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49A0AA">
      <w:pPr>
        <w:keepNext w:val="0"/>
        <w:keepLines w:val="0"/>
        <w:pageBreakBefore w:val="0"/>
        <w:widowControl/>
        <w:kinsoku/>
        <w:overflowPunct/>
        <w:topLinePunct w:val="0"/>
        <w:autoSpaceDE/>
        <w:autoSpaceDN/>
        <w:bidi w:val="0"/>
        <w:snapToGrid/>
        <w:spacing w:line="560" w:lineRule="exact"/>
        <w:ind w:left="0" w:right="0"/>
        <w:jc w:val="left"/>
        <w:textAlignment w:val="auto"/>
        <w:rPr>
          <w:rFonts w:hint="default" w:ascii="Times New Roman" w:hAnsi="Times New Roman" w:eastAsia="黑体" w:cs="Times New Roman"/>
          <w:color w:val="auto"/>
          <w:kern w:val="2"/>
          <w:sz w:val="32"/>
          <w:szCs w:val="32"/>
          <w:highlight w:val="none"/>
          <w:lang w:val="en-US" w:eastAsia="zh-CN" w:bidi="ar-SA"/>
        </w:rPr>
      </w:pPr>
    </w:p>
    <w:p w14:paraId="521B48CC">
      <w:pPr>
        <w:shd w:val="clear" w:color="auto" w:fill="FFFFFF" w:themeFill="background1"/>
        <w:spacing w:before="120" w:beforeLines="50" w:line="360" w:lineRule="auto"/>
        <w:jc w:val="center"/>
        <w:rPr>
          <w:rFonts w:ascii="宋体" w:hAnsi="宋体" w:cs="宋体"/>
          <w:color w:val="auto"/>
          <w:sz w:val="52"/>
          <w:szCs w:val="52"/>
          <w:highlight w:val="none"/>
        </w:rPr>
      </w:pPr>
    </w:p>
    <w:p w14:paraId="09CBF879">
      <w:pPr>
        <w:shd w:val="clear" w:color="auto" w:fill="FFFFFF" w:themeFill="background1"/>
        <w:spacing w:before="120" w:beforeLines="50" w:line="360" w:lineRule="auto"/>
        <w:jc w:val="center"/>
        <w:rPr>
          <w:rFonts w:ascii="宋体" w:hAnsi="宋体" w:cs="宋体"/>
          <w:b/>
          <w:color w:val="auto"/>
          <w:sz w:val="200"/>
          <w:szCs w:val="200"/>
          <w:highlight w:val="none"/>
        </w:rPr>
      </w:pPr>
      <w:r>
        <w:rPr>
          <w:rFonts w:hint="eastAsia" w:ascii="宋体" w:hAnsi="宋体" w:cs="宋体"/>
          <w:b/>
          <w:bCs/>
          <w:color w:val="auto"/>
          <w:sz w:val="72"/>
          <w:szCs w:val="72"/>
          <w:highlight w:val="none"/>
        </w:rPr>
        <w:t>广西科联招标中心有限公司</w:t>
      </w:r>
    </w:p>
    <w:p w14:paraId="11ACD50B">
      <w:pPr>
        <w:shd w:val="clear" w:color="auto" w:fill="FFFFFF" w:themeFill="background1"/>
        <w:spacing w:before="120" w:beforeLines="50" w:line="360" w:lineRule="auto"/>
        <w:jc w:val="center"/>
        <w:rPr>
          <w:rFonts w:ascii="宋体" w:hAnsi="宋体" w:cs="宋体"/>
          <w:b/>
          <w:color w:val="auto"/>
          <w:sz w:val="48"/>
          <w:szCs w:val="48"/>
          <w:highlight w:val="none"/>
        </w:rPr>
      </w:pPr>
    </w:p>
    <w:p w14:paraId="145C9FCC">
      <w:pPr>
        <w:shd w:val="clear" w:color="auto" w:fill="FFFFFF" w:themeFill="background1"/>
        <w:snapToGrid w:val="0"/>
        <w:spacing w:before="120" w:beforeLines="50" w:line="360" w:lineRule="auto"/>
        <w:jc w:val="center"/>
        <w:rPr>
          <w:rFonts w:ascii="宋体" w:hAnsi="宋体" w:cs="宋体"/>
          <w:color w:val="auto"/>
          <w:sz w:val="72"/>
          <w:szCs w:val="72"/>
          <w:highlight w:val="none"/>
        </w:rPr>
      </w:pPr>
      <w:r>
        <w:rPr>
          <w:rFonts w:hint="eastAsia" w:ascii="宋体" w:hAnsi="宋体" w:cs="宋体"/>
          <w:color w:val="auto"/>
          <w:sz w:val="110"/>
          <w:szCs w:val="110"/>
          <w:highlight w:val="none"/>
        </w:rPr>
        <w:t>招 标 文 件</w:t>
      </w:r>
    </w:p>
    <w:p w14:paraId="2F59FA5D">
      <w:pPr>
        <w:shd w:val="clear" w:color="auto" w:fill="FFFFFF" w:themeFill="background1"/>
        <w:snapToGrid w:val="0"/>
        <w:spacing w:before="120" w:beforeLines="50" w:line="360" w:lineRule="auto"/>
        <w:jc w:val="center"/>
        <w:rPr>
          <w:rFonts w:ascii="宋体" w:hAnsi="宋体" w:cs="宋体"/>
          <w:color w:val="auto"/>
          <w:sz w:val="30"/>
          <w:szCs w:val="72"/>
          <w:highlight w:val="none"/>
        </w:rPr>
      </w:pPr>
      <w:r>
        <w:rPr>
          <w:rFonts w:hint="eastAsia" w:ascii="宋体" w:hAnsi="宋体" w:cs="宋体"/>
          <w:color w:val="auto"/>
          <w:sz w:val="30"/>
          <w:szCs w:val="72"/>
          <w:highlight w:val="none"/>
        </w:rPr>
        <w:t>（全流程电子化评标）</w:t>
      </w:r>
    </w:p>
    <w:p w14:paraId="545F5A42">
      <w:pPr>
        <w:shd w:val="clear" w:color="auto" w:fill="FFFFFF" w:themeFill="background1"/>
        <w:snapToGrid w:val="0"/>
        <w:spacing w:before="120" w:beforeLines="50" w:line="360" w:lineRule="auto"/>
        <w:jc w:val="center"/>
        <w:rPr>
          <w:rFonts w:ascii="宋体" w:hAnsi="宋体" w:cs="宋体"/>
          <w:color w:val="auto"/>
          <w:sz w:val="30"/>
          <w:szCs w:val="72"/>
          <w:highlight w:val="none"/>
        </w:rPr>
      </w:pPr>
    </w:p>
    <w:p w14:paraId="46914AB1">
      <w:pPr>
        <w:shd w:val="clear" w:color="auto" w:fill="FFFFFF" w:themeFill="background1"/>
        <w:snapToGrid w:val="0"/>
        <w:spacing w:before="50" w:after="120" w:line="360" w:lineRule="auto"/>
        <w:jc w:val="center"/>
        <w:rPr>
          <w:rFonts w:hint="eastAsia" w:ascii="宋体" w:hAnsi="宋体" w:eastAsia="宋体" w:cs="宋体"/>
          <w:color w:val="auto"/>
          <w:sz w:val="30"/>
          <w:szCs w:val="30"/>
          <w:highlight w:val="none"/>
          <w:lang w:eastAsia="zh-CN"/>
        </w:rPr>
      </w:pPr>
      <w:r>
        <w:rPr>
          <w:rFonts w:hint="eastAsia" w:ascii="宋体" w:hAnsi="宋体" w:cs="宋体"/>
          <w:b/>
          <w:bCs/>
          <w:color w:val="auto"/>
          <w:sz w:val="30"/>
          <w:szCs w:val="30"/>
          <w:highlight w:val="none"/>
        </w:rPr>
        <w:t>项目名称：</w:t>
      </w:r>
      <w:r>
        <w:rPr>
          <w:rFonts w:hint="eastAsia" w:ascii="宋体" w:hAnsi="宋体" w:cs="宋体"/>
          <w:b/>
          <w:bCs/>
          <w:color w:val="auto"/>
          <w:sz w:val="30"/>
          <w:szCs w:val="30"/>
          <w:highlight w:val="none"/>
          <w:lang w:eastAsia="zh-CN"/>
        </w:rPr>
        <w:t>广西壮族自治区见义勇为人员人身意外伤害无记名保险项目</w:t>
      </w:r>
    </w:p>
    <w:p w14:paraId="570AB462">
      <w:pPr>
        <w:shd w:val="clear" w:color="auto" w:fill="FFFFFF" w:themeFill="background1"/>
        <w:snapToGrid w:val="0"/>
        <w:spacing w:before="50" w:after="120" w:line="360" w:lineRule="auto"/>
        <w:jc w:val="center"/>
        <w:rPr>
          <w:rFonts w:hint="eastAsia" w:ascii="宋体" w:hAnsi="宋体" w:eastAsia="宋体" w:cs="宋体"/>
          <w:b/>
          <w:bCs/>
          <w:color w:val="auto"/>
          <w:sz w:val="30"/>
          <w:szCs w:val="30"/>
          <w:highlight w:val="none"/>
          <w:lang w:eastAsia="zh-CN"/>
        </w:rPr>
      </w:pPr>
      <w:r>
        <w:rPr>
          <w:rFonts w:hint="eastAsia" w:ascii="宋体" w:hAnsi="宋体" w:cs="宋体"/>
          <w:b/>
          <w:bCs/>
          <w:color w:val="auto"/>
          <w:sz w:val="30"/>
          <w:szCs w:val="30"/>
          <w:highlight w:val="none"/>
        </w:rPr>
        <w:t>项目编号：</w:t>
      </w:r>
      <w:r>
        <w:rPr>
          <w:rFonts w:hint="eastAsia" w:ascii="宋体" w:hAnsi="宋体" w:cs="宋体"/>
          <w:b/>
          <w:bCs/>
          <w:color w:val="auto"/>
          <w:sz w:val="30"/>
          <w:szCs w:val="30"/>
          <w:highlight w:val="none"/>
          <w:lang w:eastAsia="zh-CN"/>
        </w:rPr>
        <w:t>GXZC2025-G3-001188-GXKL</w:t>
      </w:r>
    </w:p>
    <w:p w14:paraId="1EF93D66">
      <w:pPr>
        <w:shd w:val="clear" w:color="auto" w:fill="FFFFFF" w:themeFill="background1"/>
        <w:snapToGrid w:val="0"/>
        <w:spacing w:before="50" w:after="120" w:line="360" w:lineRule="auto"/>
        <w:ind w:firstLine="2576" w:firstLineChars="900"/>
        <w:rPr>
          <w:rFonts w:ascii="宋体" w:hAnsi="宋体" w:cs="宋体"/>
          <w:b/>
          <w:bCs/>
          <w:color w:val="auto"/>
          <w:w w:val="95"/>
          <w:sz w:val="30"/>
          <w:szCs w:val="30"/>
          <w:highlight w:val="none"/>
        </w:rPr>
      </w:pPr>
    </w:p>
    <w:p w14:paraId="6856C42C">
      <w:pPr>
        <w:pStyle w:val="16"/>
        <w:shd w:val="clear" w:color="auto" w:fill="FFFFFF" w:themeFill="background1"/>
        <w:rPr>
          <w:rFonts w:ascii="宋体" w:hAnsi="宋体" w:cs="宋体"/>
          <w:b/>
          <w:bCs/>
          <w:color w:val="auto"/>
          <w:w w:val="95"/>
          <w:sz w:val="30"/>
          <w:szCs w:val="30"/>
          <w:highlight w:val="none"/>
        </w:rPr>
      </w:pPr>
    </w:p>
    <w:p w14:paraId="655B5D36">
      <w:pPr>
        <w:shd w:val="clear" w:color="auto" w:fill="FFFFFF" w:themeFill="background1"/>
        <w:rPr>
          <w:color w:val="auto"/>
          <w:highlight w:val="none"/>
        </w:rPr>
      </w:pPr>
    </w:p>
    <w:p w14:paraId="43C10525">
      <w:pPr>
        <w:shd w:val="clear" w:color="auto" w:fill="FFFFFF" w:themeFill="background1"/>
        <w:snapToGrid w:val="0"/>
        <w:spacing w:before="50" w:after="120" w:line="360" w:lineRule="auto"/>
        <w:ind w:firstLine="2576" w:firstLineChars="900"/>
        <w:jc w:val="center"/>
        <w:rPr>
          <w:rFonts w:ascii="宋体" w:hAnsi="宋体" w:cs="宋体"/>
          <w:b/>
          <w:bCs/>
          <w:color w:val="auto"/>
          <w:w w:val="95"/>
          <w:sz w:val="30"/>
          <w:szCs w:val="30"/>
          <w:highlight w:val="none"/>
        </w:rPr>
      </w:pPr>
    </w:p>
    <w:p w14:paraId="52676C1D">
      <w:pPr>
        <w:shd w:val="clear" w:color="auto" w:fill="FFFFFF" w:themeFill="background1"/>
        <w:snapToGrid w:val="0"/>
        <w:spacing w:before="50" w:after="120" w:line="360" w:lineRule="auto"/>
        <w:jc w:val="center"/>
        <w:rPr>
          <w:rFonts w:hint="eastAsia" w:ascii="宋体" w:hAnsi="宋体" w:eastAsia="宋体" w:cs="宋体"/>
          <w:b/>
          <w:bCs/>
          <w:color w:val="auto"/>
          <w:sz w:val="30"/>
          <w:szCs w:val="30"/>
          <w:highlight w:val="none"/>
          <w:lang w:eastAsia="zh-CN"/>
        </w:rPr>
      </w:pPr>
      <w:r>
        <w:rPr>
          <w:rFonts w:hint="eastAsia" w:ascii="宋体" w:hAnsi="宋体" w:cs="宋体"/>
          <w:b/>
          <w:bCs/>
          <w:color w:val="auto"/>
          <w:sz w:val="30"/>
          <w:szCs w:val="30"/>
          <w:highlight w:val="none"/>
        </w:rPr>
        <w:t>采购人：</w:t>
      </w:r>
      <w:r>
        <w:rPr>
          <w:rFonts w:hint="eastAsia" w:ascii="宋体" w:hAnsi="宋体" w:cs="宋体"/>
          <w:b/>
          <w:bCs/>
          <w:color w:val="auto"/>
          <w:sz w:val="30"/>
          <w:szCs w:val="30"/>
          <w:highlight w:val="none"/>
          <w:lang w:eastAsia="zh-CN"/>
        </w:rPr>
        <w:t>中国共产党广西壮族自治区委员会政法委员会</w:t>
      </w:r>
    </w:p>
    <w:p w14:paraId="1BE6993C">
      <w:pPr>
        <w:shd w:val="clear" w:color="auto" w:fill="FFFFFF" w:themeFill="background1"/>
        <w:snapToGrid w:val="0"/>
        <w:spacing w:before="50" w:after="120" w:line="360" w:lineRule="auto"/>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采购代理机构：</w:t>
      </w:r>
      <w:bookmarkStart w:id="0" w:name="PO_3000001866_PM031"/>
      <w:r>
        <w:rPr>
          <w:rFonts w:hint="eastAsia" w:ascii="宋体" w:hAnsi="宋体" w:cs="宋体"/>
          <w:b/>
          <w:bCs/>
          <w:color w:val="auto"/>
          <w:sz w:val="30"/>
          <w:szCs w:val="30"/>
          <w:highlight w:val="none"/>
        </w:rPr>
        <w:t>广西科联招标中心有限公司</w:t>
      </w:r>
      <w:bookmarkEnd w:id="0"/>
    </w:p>
    <w:p w14:paraId="3A8257F9">
      <w:pPr>
        <w:shd w:val="clear" w:color="auto" w:fill="FFFFFF" w:themeFill="background1"/>
        <w:snapToGrid w:val="0"/>
        <w:spacing w:before="50" w:after="120" w:line="360" w:lineRule="auto"/>
        <w:ind w:firstLine="4293" w:firstLineChars="1500"/>
        <w:rPr>
          <w:rFonts w:ascii="宋体" w:hAnsi="宋体" w:cs="宋体"/>
          <w:b/>
          <w:bCs/>
          <w:color w:val="auto"/>
          <w:w w:val="95"/>
          <w:sz w:val="30"/>
          <w:szCs w:val="30"/>
          <w:highlight w:val="none"/>
        </w:rPr>
      </w:pPr>
    </w:p>
    <w:p w14:paraId="0BA217E7">
      <w:pPr>
        <w:pStyle w:val="14"/>
        <w:shd w:val="clear" w:color="auto" w:fill="FFFFFF" w:themeFill="background1"/>
        <w:snapToGrid w:val="0"/>
        <w:spacing w:before="50" w:after="120" w:line="360" w:lineRule="auto"/>
        <w:ind w:firstLine="4006" w:firstLineChars="1400"/>
        <w:rPr>
          <w:rFonts w:hAnsi="宋体" w:cs="宋体"/>
          <w:b/>
          <w:bCs/>
          <w:color w:val="auto"/>
          <w:w w:val="95"/>
          <w:sz w:val="30"/>
          <w:szCs w:val="30"/>
          <w:highlight w:val="none"/>
        </w:rPr>
      </w:pPr>
      <w:r>
        <w:rPr>
          <w:rFonts w:hint="eastAsia" w:hAnsi="宋体" w:cs="宋体"/>
          <w:b/>
          <w:bCs/>
          <w:color w:val="auto"/>
          <w:w w:val="95"/>
          <w:sz w:val="30"/>
          <w:szCs w:val="30"/>
          <w:highlight w:val="none"/>
        </w:rPr>
        <w:t>202</w:t>
      </w:r>
      <w:r>
        <w:rPr>
          <w:rFonts w:hint="eastAsia" w:hAnsi="宋体" w:cs="宋体"/>
          <w:b/>
          <w:bCs/>
          <w:color w:val="auto"/>
          <w:w w:val="95"/>
          <w:sz w:val="30"/>
          <w:szCs w:val="30"/>
          <w:highlight w:val="none"/>
          <w:lang w:val="en-US" w:eastAsia="zh-CN"/>
        </w:rPr>
        <w:t>5</w:t>
      </w:r>
      <w:r>
        <w:rPr>
          <w:rFonts w:hint="eastAsia" w:hAnsi="宋体" w:cs="宋体"/>
          <w:b/>
          <w:bCs/>
          <w:color w:val="auto"/>
          <w:w w:val="95"/>
          <w:sz w:val="30"/>
          <w:szCs w:val="30"/>
          <w:highlight w:val="none"/>
        </w:rPr>
        <w:t>年</w:t>
      </w:r>
      <w:r>
        <w:rPr>
          <w:rFonts w:hint="eastAsia" w:hAnsi="宋体" w:cs="宋体"/>
          <w:b/>
          <w:bCs/>
          <w:color w:val="auto"/>
          <w:w w:val="95"/>
          <w:sz w:val="30"/>
          <w:szCs w:val="30"/>
          <w:highlight w:val="none"/>
          <w:lang w:val="en-US" w:eastAsia="zh-CN"/>
        </w:rPr>
        <w:t>5</w:t>
      </w:r>
      <w:r>
        <w:rPr>
          <w:rFonts w:hint="eastAsia" w:hAnsi="宋体" w:cs="宋体"/>
          <w:b/>
          <w:bCs/>
          <w:color w:val="auto"/>
          <w:w w:val="95"/>
          <w:sz w:val="30"/>
          <w:szCs w:val="30"/>
          <w:highlight w:val="none"/>
        </w:rPr>
        <w:t>月</w:t>
      </w:r>
    </w:p>
    <w:p w14:paraId="02F953FF">
      <w:pPr>
        <w:widowControl/>
        <w:shd w:val="clear" w:color="auto" w:fill="FFFFFF" w:themeFill="background1"/>
        <w:spacing w:line="360" w:lineRule="auto"/>
        <w:rPr>
          <w:rFonts w:ascii="宋体" w:hAnsi="宋体" w:cs="宋体"/>
          <w:b/>
          <w:bCs/>
          <w:color w:val="auto"/>
          <w:w w:val="95"/>
          <w:sz w:val="30"/>
          <w:szCs w:val="30"/>
          <w:highlight w:val="none"/>
        </w:rPr>
        <w:sectPr>
          <w:footerReference r:id="rId4" w:type="first"/>
          <w:footerReference r:id="rId3" w:type="default"/>
          <w:pgSz w:w="11905" w:h="16838"/>
          <w:pgMar w:top="1134" w:right="1134" w:bottom="1134" w:left="1134" w:header="850" w:footer="850" w:gutter="0"/>
          <w:pgNumType w:fmt="decimal" w:start="0"/>
          <w:cols w:space="0" w:num="1"/>
          <w:titlePg/>
          <w:docGrid w:linePitch="331" w:charSpace="0"/>
        </w:sectPr>
      </w:pPr>
    </w:p>
    <w:p w14:paraId="20E96682">
      <w:pPr>
        <w:pStyle w:val="14"/>
        <w:shd w:val="clear" w:color="auto" w:fill="FFFFFF" w:themeFill="background1"/>
        <w:jc w:val="center"/>
        <w:rPr>
          <w:rFonts w:hAnsi="宋体" w:cs="宋体"/>
          <w:b/>
          <w:color w:val="auto"/>
          <w:sz w:val="48"/>
          <w:szCs w:val="48"/>
          <w:highlight w:val="none"/>
        </w:rPr>
      </w:pPr>
      <w:r>
        <w:rPr>
          <w:rFonts w:hint="eastAsia" w:hAnsi="宋体" w:cs="宋体"/>
          <w:b/>
          <w:color w:val="auto"/>
          <w:sz w:val="48"/>
          <w:szCs w:val="48"/>
          <w:highlight w:val="none"/>
        </w:rPr>
        <w:t>目     录</w:t>
      </w:r>
    </w:p>
    <w:p w14:paraId="675EA7DD">
      <w:pPr>
        <w:pStyle w:val="18"/>
        <w:shd w:val="clear" w:color="auto" w:fill="FFFFFF" w:themeFill="background1"/>
        <w:tabs>
          <w:tab w:val="right" w:leader="dot" w:pos="9637"/>
        </w:tabs>
        <w:rPr>
          <w:rFonts w:ascii="宋体" w:hAnsi="宋体" w:cs="宋体"/>
          <w:color w:val="auto"/>
          <w:highlight w:val="none"/>
        </w:rPr>
      </w:pPr>
    </w:p>
    <w:p w14:paraId="4C41619A">
      <w:pPr>
        <w:pStyle w:val="18"/>
        <w:shd w:val="clear" w:color="auto" w:fill="FFFFFF" w:themeFill="background1"/>
        <w:tabs>
          <w:tab w:val="right" w:leader="dot" w:pos="9637"/>
        </w:tabs>
        <w:rPr>
          <w:rFonts w:ascii="宋体" w:hAnsi="宋体" w:cs="宋体"/>
          <w:color w:val="auto"/>
          <w:sz w:val="32"/>
          <w:szCs w:val="32"/>
          <w:highlight w:val="none"/>
        </w:rPr>
      </w:pP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TOC \o "1-1" \h \u </w:instrText>
      </w:r>
      <w:r>
        <w:rPr>
          <w:rFonts w:hint="eastAsia" w:ascii="宋体" w:hAnsi="宋体" w:cs="宋体"/>
          <w:color w:val="auto"/>
          <w:sz w:val="32"/>
          <w:szCs w:val="32"/>
          <w:highlight w:val="none"/>
        </w:rPr>
        <w:fldChar w:fldCharType="separate"/>
      </w:r>
      <w:r>
        <w:rPr>
          <w:color w:val="auto"/>
          <w:highlight w:val="none"/>
        </w:rPr>
        <w:fldChar w:fldCharType="begin"/>
      </w:r>
      <w:r>
        <w:rPr>
          <w:color w:val="auto"/>
          <w:highlight w:val="none"/>
        </w:rPr>
        <w:instrText xml:space="preserve"> HYPERLINK \l "_Toc16222" </w:instrText>
      </w:r>
      <w:r>
        <w:rPr>
          <w:color w:val="auto"/>
          <w:highlight w:val="none"/>
        </w:rPr>
        <w:fldChar w:fldCharType="separate"/>
      </w:r>
      <w:r>
        <w:rPr>
          <w:rFonts w:hint="eastAsia" w:ascii="宋体" w:hAnsi="宋体" w:cs="宋体"/>
          <w:color w:val="auto"/>
          <w:sz w:val="32"/>
          <w:szCs w:val="32"/>
          <w:highlight w:val="none"/>
        </w:rPr>
        <w:t>第一章  招标公告</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_Toc16222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2</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3CD2F1A1">
      <w:pPr>
        <w:pStyle w:val="18"/>
        <w:shd w:val="clear" w:color="auto" w:fill="FFFFFF" w:themeFill="background1"/>
        <w:tabs>
          <w:tab w:val="right" w:leader="dot" w:pos="9637"/>
        </w:tabs>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"_Toc8382" </w:instrText>
      </w:r>
      <w:r>
        <w:rPr>
          <w:color w:val="auto"/>
          <w:highlight w:val="none"/>
        </w:rPr>
        <w:fldChar w:fldCharType="separate"/>
      </w:r>
      <w:r>
        <w:rPr>
          <w:rFonts w:hint="eastAsia" w:ascii="宋体" w:hAnsi="宋体" w:cs="宋体"/>
          <w:color w:val="auto"/>
          <w:sz w:val="32"/>
          <w:szCs w:val="32"/>
          <w:highlight w:val="none"/>
        </w:rPr>
        <w:t>第二章  采购需求</w:t>
      </w:r>
      <w:bookmarkStart w:id="442" w:name="_GoBack"/>
      <w:bookmarkEnd w:id="442"/>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_Toc8382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6</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27CB4F2E">
      <w:pPr>
        <w:pStyle w:val="18"/>
        <w:shd w:val="clear" w:color="auto" w:fill="FFFFFF" w:themeFill="background1"/>
        <w:tabs>
          <w:tab w:val="right" w:leader="dot" w:pos="9637"/>
        </w:tabs>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"_Toc15364" </w:instrText>
      </w:r>
      <w:r>
        <w:rPr>
          <w:color w:val="auto"/>
          <w:highlight w:val="none"/>
        </w:rPr>
        <w:fldChar w:fldCharType="separate"/>
      </w:r>
      <w:r>
        <w:rPr>
          <w:rFonts w:hint="eastAsia" w:ascii="宋体" w:hAnsi="宋体" w:cs="宋体"/>
          <w:color w:val="auto"/>
          <w:sz w:val="32"/>
          <w:szCs w:val="32"/>
          <w:highlight w:val="none"/>
        </w:rPr>
        <w:t>第三章  投标人须知</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_Toc15364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13</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3E4265B9">
      <w:pPr>
        <w:pStyle w:val="18"/>
        <w:shd w:val="clear" w:color="auto" w:fill="FFFFFF" w:themeFill="background1"/>
        <w:tabs>
          <w:tab w:val="right" w:leader="dot" w:pos="9637"/>
        </w:tabs>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"_Toc10034" </w:instrText>
      </w:r>
      <w:r>
        <w:rPr>
          <w:color w:val="auto"/>
          <w:highlight w:val="none"/>
        </w:rPr>
        <w:fldChar w:fldCharType="separate"/>
      </w:r>
      <w:r>
        <w:rPr>
          <w:rFonts w:hint="eastAsia" w:ascii="宋体" w:hAnsi="宋体" w:cs="宋体"/>
          <w:color w:val="auto"/>
          <w:sz w:val="32"/>
          <w:szCs w:val="32"/>
          <w:highlight w:val="none"/>
        </w:rPr>
        <w:t>第四章  评标方法和评标标准</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_Toc10034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35</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139AFA01">
      <w:pPr>
        <w:pStyle w:val="18"/>
        <w:shd w:val="clear" w:color="auto" w:fill="FFFFFF" w:themeFill="background1"/>
        <w:tabs>
          <w:tab w:val="right" w:leader="dot" w:pos="9637"/>
        </w:tabs>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"_Toc32021" </w:instrText>
      </w:r>
      <w:r>
        <w:rPr>
          <w:color w:val="auto"/>
          <w:highlight w:val="none"/>
        </w:rPr>
        <w:fldChar w:fldCharType="separate"/>
      </w:r>
      <w:r>
        <w:rPr>
          <w:rFonts w:hint="eastAsia" w:ascii="宋体" w:hAnsi="宋体" w:cs="宋体"/>
          <w:color w:val="auto"/>
          <w:sz w:val="32"/>
          <w:szCs w:val="32"/>
          <w:highlight w:val="none"/>
        </w:rPr>
        <w:t>第五章  拟签订的合同文本</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_Toc32021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42</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2EF5DD97">
      <w:pPr>
        <w:pStyle w:val="18"/>
        <w:shd w:val="clear" w:color="auto" w:fill="FFFFFF" w:themeFill="background1"/>
        <w:tabs>
          <w:tab w:val="right" w:leader="dot" w:pos="9637"/>
        </w:tabs>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"_Toc2517" </w:instrText>
      </w:r>
      <w:r>
        <w:rPr>
          <w:color w:val="auto"/>
          <w:highlight w:val="none"/>
        </w:rPr>
        <w:fldChar w:fldCharType="separate"/>
      </w:r>
      <w:r>
        <w:rPr>
          <w:rFonts w:hint="eastAsia" w:ascii="宋体" w:hAnsi="宋体" w:cs="宋体"/>
          <w:color w:val="auto"/>
          <w:sz w:val="32"/>
          <w:szCs w:val="32"/>
          <w:highlight w:val="none"/>
        </w:rPr>
        <w:t>第六章  投标文件格式</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_Toc2517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47</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1ED5718B">
      <w:pPr>
        <w:pStyle w:val="18"/>
        <w:shd w:val="clear" w:color="auto" w:fill="FFFFFF" w:themeFill="background1"/>
        <w:tabs>
          <w:tab w:val="right" w:leader="dot" w:pos="9637"/>
        </w:tabs>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"_Toc31310" </w:instrText>
      </w:r>
      <w:r>
        <w:rPr>
          <w:color w:val="auto"/>
          <w:highlight w:val="none"/>
        </w:rPr>
        <w:fldChar w:fldCharType="separate"/>
      </w:r>
      <w:r>
        <w:rPr>
          <w:rFonts w:hint="eastAsia" w:ascii="宋体" w:hAnsi="宋体" w:cs="宋体"/>
          <w:color w:val="auto"/>
          <w:sz w:val="32"/>
          <w:szCs w:val="32"/>
          <w:highlight w:val="none"/>
        </w:rPr>
        <w:t>第七章  质疑、投诉材料格式</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_Toc31310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75</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0C015716">
      <w:pPr>
        <w:pStyle w:val="14"/>
        <w:shd w:val="clear" w:color="auto" w:fill="FFFFFF" w:themeFill="background1"/>
        <w:jc w:val="center"/>
        <w:rPr>
          <w:rFonts w:hAnsi="宋体" w:cs="宋体"/>
          <w:color w:val="auto"/>
          <w:highlight w:val="none"/>
        </w:rPr>
      </w:pPr>
      <w:r>
        <w:rPr>
          <w:rFonts w:hint="eastAsia" w:hAnsi="宋体" w:cs="宋体"/>
          <w:color w:val="auto"/>
          <w:sz w:val="32"/>
          <w:szCs w:val="32"/>
          <w:highlight w:val="none"/>
        </w:rPr>
        <w:fldChar w:fldCharType="end"/>
      </w:r>
      <w:r>
        <w:rPr>
          <w:rFonts w:hint="eastAsia" w:hAnsi="宋体" w:cs="宋体"/>
          <w:color w:val="auto"/>
          <w:highlight w:val="none"/>
        </w:rPr>
        <w:tab/>
      </w:r>
      <w:bookmarkStart w:id="1" w:name="_Toc532545041"/>
    </w:p>
    <w:p w14:paraId="5DED2725">
      <w:pPr>
        <w:shd w:val="clear" w:color="auto" w:fill="FFFFFF" w:themeFill="background1"/>
        <w:rPr>
          <w:rFonts w:ascii="宋体" w:hAnsi="宋体" w:cs="宋体"/>
          <w:color w:val="auto"/>
          <w:highlight w:val="none"/>
        </w:rPr>
      </w:pPr>
      <w:r>
        <w:rPr>
          <w:rFonts w:hint="eastAsia" w:ascii="宋体" w:hAnsi="宋体" w:cs="宋体"/>
          <w:color w:val="auto"/>
          <w:highlight w:val="none"/>
        </w:rPr>
        <w:br w:type="page"/>
      </w:r>
    </w:p>
    <w:p w14:paraId="68F18F83">
      <w:pPr>
        <w:pStyle w:val="14"/>
        <w:shd w:val="clear" w:color="auto" w:fill="FFFFFF" w:themeFill="background1"/>
        <w:jc w:val="center"/>
        <w:outlineLvl w:val="0"/>
        <w:rPr>
          <w:rFonts w:hAnsi="宋体" w:cs="宋体"/>
          <w:b/>
          <w:color w:val="auto"/>
          <w:sz w:val="36"/>
          <w:highlight w:val="none"/>
        </w:rPr>
      </w:pPr>
      <w:bookmarkStart w:id="2" w:name="_Toc20258"/>
      <w:bookmarkStart w:id="3" w:name="_Toc9949"/>
      <w:bookmarkStart w:id="4" w:name="_Toc16576"/>
      <w:bookmarkStart w:id="5" w:name="_Toc18459"/>
      <w:bookmarkStart w:id="6" w:name="_Toc18707"/>
      <w:bookmarkStart w:id="7" w:name="_Toc11500"/>
      <w:bookmarkStart w:id="8" w:name="_Toc184"/>
      <w:bookmarkStart w:id="9" w:name="_Toc19537"/>
      <w:bookmarkStart w:id="10" w:name="_Toc16222"/>
      <w:bookmarkStart w:id="11" w:name="_Toc8345"/>
      <w:bookmarkStart w:id="12" w:name="_Toc12228"/>
      <w:r>
        <w:rPr>
          <w:rFonts w:hint="eastAsia" w:hAnsi="宋体" w:cs="宋体"/>
          <w:b/>
          <w:color w:val="auto"/>
          <w:sz w:val="36"/>
          <w:highlight w:val="none"/>
        </w:rPr>
        <w:t>第一章  招标公告</w:t>
      </w:r>
      <w:bookmarkEnd w:id="1"/>
      <w:bookmarkEnd w:id="2"/>
      <w:bookmarkEnd w:id="3"/>
      <w:bookmarkEnd w:id="4"/>
      <w:bookmarkEnd w:id="5"/>
      <w:bookmarkEnd w:id="6"/>
      <w:bookmarkEnd w:id="7"/>
      <w:bookmarkEnd w:id="8"/>
      <w:bookmarkEnd w:id="9"/>
      <w:bookmarkEnd w:id="10"/>
      <w:bookmarkEnd w:id="11"/>
      <w:bookmarkEnd w:id="12"/>
    </w:p>
    <w:p w14:paraId="16C4B384">
      <w:pPr>
        <w:pStyle w:val="14"/>
        <w:shd w:val="clear" w:color="auto" w:fill="FFFFFF" w:themeFill="background1"/>
        <w:jc w:val="center"/>
        <w:rPr>
          <w:rFonts w:hAnsi="宋体" w:cs="宋体"/>
          <w:b/>
          <w:color w:val="auto"/>
          <w:sz w:val="30"/>
          <w:szCs w:val="30"/>
          <w:highlight w:val="none"/>
        </w:rPr>
      </w:pPr>
    </w:p>
    <w:p w14:paraId="35850983">
      <w:pPr>
        <w:pStyle w:val="14"/>
        <w:shd w:val="clear" w:color="auto" w:fill="FFFFFF" w:themeFill="background1"/>
        <w:jc w:val="center"/>
        <w:rPr>
          <w:rFonts w:hAnsi="宋体" w:cs="宋体"/>
          <w:b/>
          <w:color w:val="auto"/>
          <w:sz w:val="30"/>
          <w:szCs w:val="30"/>
          <w:highlight w:val="none"/>
        </w:rPr>
      </w:pPr>
      <w:r>
        <w:rPr>
          <w:rFonts w:hint="eastAsia" w:hAnsi="宋体" w:cs="宋体"/>
          <w:b/>
          <w:color w:val="auto"/>
          <w:sz w:val="30"/>
          <w:szCs w:val="30"/>
          <w:highlight w:val="none"/>
        </w:rPr>
        <w:t>招标公告</w:t>
      </w:r>
    </w:p>
    <w:p w14:paraId="684EE464">
      <w:pPr>
        <w:pBdr>
          <w:top w:val="single" w:color="auto" w:sz="4" w:space="1"/>
          <w:left w:val="single" w:color="auto" w:sz="4" w:space="4"/>
          <w:bottom w:val="single" w:color="auto" w:sz="4" w:space="1"/>
          <w:right w:val="single" w:color="auto" w:sz="4" w:space="4"/>
        </w:pBdr>
        <w:shd w:val="clear" w:color="auto" w:fill="FFFFFF" w:themeFill="background1"/>
        <w:spacing w:line="360" w:lineRule="auto"/>
        <w:rPr>
          <w:rFonts w:ascii="宋体" w:hAnsi="宋体" w:cs="宋体"/>
          <w:color w:val="auto"/>
          <w:szCs w:val="21"/>
          <w:highlight w:val="none"/>
        </w:rPr>
      </w:pPr>
      <w:r>
        <w:rPr>
          <w:rFonts w:hint="eastAsia" w:ascii="宋体" w:hAnsi="宋体" w:cs="宋体"/>
          <w:color w:val="auto"/>
          <w:szCs w:val="21"/>
          <w:highlight w:val="none"/>
        </w:rPr>
        <w:t>项目概况</w:t>
      </w:r>
    </w:p>
    <w:p w14:paraId="3A837EAA">
      <w:pPr>
        <w:pBdr>
          <w:top w:val="single" w:color="auto" w:sz="4" w:space="1"/>
          <w:left w:val="single" w:color="auto" w:sz="4" w:space="4"/>
          <w:bottom w:val="single" w:color="auto" w:sz="4" w:space="1"/>
          <w:right w:val="single" w:color="auto" w:sz="4" w:space="4"/>
        </w:pBdr>
        <w:shd w:val="clear" w:color="auto" w:fill="FFFFFF" w:themeFill="background1"/>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u w:val="single"/>
          <w:lang w:eastAsia="zh-CN"/>
        </w:rPr>
        <w:t>广西壮族自治区见义勇为人员人身意外伤害无记名保险项目</w:t>
      </w:r>
      <w:r>
        <w:rPr>
          <w:rFonts w:hint="eastAsia" w:ascii="宋体" w:hAnsi="宋体" w:cs="宋体"/>
          <w:color w:val="auto"/>
          <w:szCs w:val="21"/>
          <w:highlight w:val="none"/>
        </w:rPr>
        <w:t>招标项目的潜在投标人应在广西政府采购云平台（https://www.gcy.zfcg.gxzf.gov.cn/）获取招标文件，并于202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日9：30（北京时间）前递交投标文件。</w:t>
      </w:r>
    </w:p>
    <w:p w14:paraId="5D28ABAD">
      <w:pPr>
        <w:shd w:val="clear" w:color="auto" w:fill="FFFFFF" w:themeFill="background1"/>
        <w:spacing w:line="360" w:lineRule="auto"/>
        <w:rPr>
          <w:rFonts w:ascii="宋体" w:hAnsi="宋体" w:cs="宋体"/>
          <w:b/>
          <w:bCs/>
          <w:color w:val="auto"/>
          <w:sz w:val="24"/>
          <w:highlight w:val="none"/>
        </w:rPr>
      </w:pPr>
      <w:bookmarkStart w:id="13" w:name="_Toc28359002"/>
      <w:bookmarkStart w:id="14" w:name="_Toc35393621"/>
      <w:bookmarkStart w:id="15" w:name="_Toc28359079"/>
      <w:bookmarkStart w:id="16" w:name="_Toc35393790"/>
      <w:bookmarkStart w:id="17" w:name="_Hlk24379207"/>
      <w:r>
        <w:rPr>
          <w:rFonts w:hint="eastAsia" w:ascii="宋体" w:hAnsi="宋体" w:cs="宋体"/>
          <w:b/>
          <w:bCs/>
          <w:color w:val="auto"/>
          <w:sz w:val="24"/>
          <w:highlight w:val="none"/>
        </w:rPr>
        <w:t>一、项目基本情况</w:t>
      </w:r>
      <w:bookmarkEnd w:id="13"/>
      <w:bookmarkEnd w:id="14"/>
      <w:bookmarkEnd w:id="15"/>
      <w:bookmarkEnd w:id="16"/>
    </w:p>
    <w:p w14:paraId="449BEF30">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GXZC2025-G3-001188-GXKL</w:t>
      </w:r>
      <w:r>
        <w:rPr>
          <w:rFonts w:hint="eastAsia" w:ascii="宋体" w:hAnsi="宋体" w:cs="宋体"/>
          <w:color w:val="auto"/>
          <w:szCs w:val="21"/>
          <w:highlight w:val="none"/>
        </w:rPr>
        <w:t>（政府采购计划编号：</w:t>
      </w:r>
      <w:r>
        <w:rPr>
          <w:rFonts w:hint="eastAsia" w:ascii="宋体" w:hAnsi="宋体" w:cs="宋体"/>
          <w:color w:val="auto"/>
          <w:szCs w:val="21"/>
          <w:highlight w:val="none"/>
          <w:u w:val="single"/>
          <w:lang w:val="en-US" w:eastAsia="zh-CN"/>
        </w:rPr>
        <w:t>广西政采[2025]8531号-001～002</w:t>
      </w:r>
      <w:r>
        <w:rPr>
          <w:rFonts w:hint="eastAsia" w:ascii="宋体" w:hAnsi="宋体" w:cs="宋体"/>
          <w:color w:val="auto"/>
          <w:szCs w:val="21"/>
          <w:highlight w:val="none"/>
        </w:rPr>
        <w:t xml:space="preserve">） </w:t>
      </w:r>
    </w:p>
    <w:p w14:paraId="38F5238B">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项目名称：</w:t>
      </w:r>
      <w:bookmarkEnd w:id="17"/>
      <w:r>
        <w:rPr>
          <w:rFonts w:hint="eastAsia" w:ascii="宋体" w:hAnsi="宋体" w:cs="宋体"/>
          <w:color w:val="auto"/>
          <w:szCs w:val="21"/>
          <w:highlight w:val="none"/>
          <w:lang w:eastAsia="zh-CN"/>
        </w:rPr>
        <w:t>广西壮族自治区见义勇为人员人身意外伤害无记名保险项目</w:t>
      </w:r>
      <w:r>
        <w:rPr>
          <w:rFonts w:hint="eastAsia" w:ascii="宋体" w:hAnsi="宋体" w:cs="宋体"/>
          <w:color w:val="auto"/>
          <w:szCs w:val="21"/>
          <w:highlight w:val="none"/>
        </w:rPr>
        <w:t xml:space="preserve"> </w:t>
      </w:r>
    </w:p>
    <w:p w14:paraId="110B8388">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预算</w:t>
      </w:r>
      <w:r>
        <w:rPr>
          <w:rFonts w:hint="eastAsia" w:ascii="宋体" w:hAnsi="宋体" w:cs="宋体"/>
          <w:color w:val="auto"/>
          <w:szCs w:val="21"/>
          <w:highlight w:val="none"/>
          <w:lang w:eastAsia="zh-CN"/>
        </w:rPr>
        <w:t>总</w:t>
      </w:r>
      <w:r>
        <w:rPr>
          <w:rFonts w:hint="eastAsia" w:ascii="宋体" w:hAnsi="宋体" w:cs="宋体"/>
          <w:color w:val="auto"/>
          <w:szCs w:val="21"/>
          <w:highlight w:val="none"/>
        </w:rPr>
        <w:t>金额（元）：</w:t>
      </w:r>
      <w:bookmarkStart w:id="18" w:name="PO_3000001867_PM001392"/>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6000000</w:t>
      </w:r>
      <w:r>
        <w:rPr>
          <w:rFonts w:ascii="宋体" w:hAnsi="宋体" w:cs="宋体"/>
          <w:color w:val="auto"/>
          <w:szCs w:val="21"/>
          <w:highlight w:val="none"/>
        </w:rPr>
        <w:t>.00</w:t>
      </w:r>
      <w:bookmarkEnd w:id="18"/>
      <w:r>
        <w:rPr>
          <w:rFonts w:hint="eastAsia" w:ascii="宋体" w:hAnsi="宋体" w:cs="宋体"/>
          <w:color w:val="auto"/>
          <w:szCs w:val="21"/>
          <w:highlight w:val="none"/>
        </w:rPr>
        <w:t>。</w:t>
      </w:r>
    </w:p>
    <w:p w14:paraId="4FE0A4E2">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最高限价（元）：</w:t>
      </w:r>
      <w:r>
        <w:rPr>
          <w:rFonts w:hint="eastAsia" w:ascii="宋体" w:hAnsi="宋体" w:cs="宋体"/>
          <w:color w:val="auto"/>
          <w:szCs w:val="21"/>
          <w:highlight w:val="none"/>
          <w:lang w:eastAsia="zh-CN"/>
        </w:rPr>
        <w:t>同预算金额</w:t>
      </w:r>
      <w:r>
        <w:rPr>
          <w:rFonts w:hint="eastAsia" w:ascii="宋体" w:hAnsi="宋体" w:cs="宋体"/>
          <w:color w:val="auto"/>
          <w:szCs w:val="21"/>
          <w:highlight w:val="none"/>
        </w:rPr>
        <w:t>。</w:t>
      </w:r>
    </w:p>
    <w:p w14:paraId="79D89509">
      <w:pPr>
        <w:shd w:val="clear" w:color="auto" w:fill="FFFFFF" w:themeFill="background1"/>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采购需求：</w:t>
      </w:r>
      <w:bookmarkStart w:id="19" w:name="PO_3000001867_PM004"/>
    </w:p>
    <w:tbl>
      <w:tblPr>
        <w:tblStyle w:val="25"/>
        <w:tblW w:w="97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4"/>
        <w:gridCol w:w="1665"/>
        <w:gridCol w:w="971"/>
        <w:gridCol w:w="6448"/>
      </w:tblGrid>
      <w:tr w14:paraId="1A5DA7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98" w:type="dxa"/>
            <w:gridSpan w:val="4"/>
            <w:tcBorders>
              <w:top w:val="single" w:color="auto" w:sz="4" w:space="0"/>
              <w:left w:val="single" w:color="auto" w:sz="4" w:space="0"/>
              <w:bottom w:val="single" w:color="auto" w:sz="4" w:space="0"/>
              <w:right w:val="single" w:color="auto" w:sz="4" w:space="0"/>
            </w:tcBorders>
            <w:vAlign w:val="center"/>
          </w:tcPr>
          <w:p w14:paraId="3314F25A">
            <w:pPr>
              <w:spacing w:line="440" w:lineRule="exact"/>
              <w:rPr>
                <w:rFonts w:ascii="宋体" w:hAnsi="宋体"/>
                <w:color w:val="auto"/>
                <w:szCs w:val="21"/>
                <w:highlight w:val="none"/>
              </w:rPr>
            </w:pPr>
            <w:r>
              <w:rPr>
                <w:rFonts w:ascii="宋体" w:hAnsi="宋体"/>
                <w:color w:val="auto"/>
                <w:szCs w:val="21"/>
                <w:highlight w:val="none"/>
                <w:u w:val="single"/>
              </w:rPr>
              <w:t xml:space="preserve"> / </w:t>
            </w:r>
            <w:r>
              <w:rPr>
                <w:rFonts w:hint="eastAsia" w:ascii="宋体" w:hAnsi="宋体"/>
                <w:color w:val="auto"/>
                <w:szCs w:val="21"/>
                <w:highlight w:val="none"/>
              </w:rPr>
              <w:t>分标；预算金额：</w:t>
            </w:r>
            <w:r>
              <w:rPr>
                <w:rFonts w:ascii="宋体" w:hAnsi="宋体"/>
                <w:color w:val="auto"/>
                <w:szCs w:val="21"/>
                <w:highlight w:val="none"/>
              </w:rPr>
              <w:t>60</w:t>
            </w:r>
            <w:r>
              <w:rPr>
                <w:rFonts w:hint="eastAsia" w:ascii="宋体" w:hAnsi="宋体"/>
                <w:color w:val="auto"/>
                <w:szCs w:val="21"/>
                <w:highlight w:val="none"/>
              </w:rPr>
              <w:t>0万元</w:t>
            </w:r>
          </w:p>
        </w:tc>
      </w:tr>
      <w:tr w14:paraId="2516B5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14" w:type="dxa"/>
            <w:tcBorders>
              <w:top w:val="single" w:color="auto" w:sz="4" w:space="0"/>
              <w:left w:val="single" w:color="auto" w:sz="4" w:space="0"/>
              <w:bottom w:val="single" w:color="auto" w:sz="4" w:space="0"/>
              <w:right w:val="single" w:color="auto" w:sz="4" w:space="0"/>
            </w:tcBorders>
            <w:vAlign w:val="center"/>
          </w:tcPr>
          <w:p w14:paraId="34BEDA8A">
            <w:pPr>
              <w:snapToGrid w:val="0"/>
              <w:spacing w:line="440" w:lineRule="exact"/>
              <w:jc w:val="center"/>
              <w:rPr>
                <w:rFonts w:ascii="宋体" w:hAnsi="宋体"/>
                <w:color w:val="auto"/>
                <w:szCs w:val="21"/>
                <w:highlight w:val="none"/>
              </w:rPr>
            </w:pPr>
            <w:r>
              <w:rPr>
                <w:rFonts w:hint="eastAsia" w:ascii="宋体" w:hAnsi="宋体"/>
                <w:color w:val="auto"/>
                <w:szCs w:val="21"/>
                <w:highlight w:val="none"/>
              </w:rPr>
              <w:t>序号</w:t>
            </w:r>
          </w:p>
        </w:tc>
        <w:tc>
          <w:tcPr>
            <w:tcW w:w="1665" w:type="dxa"/>
            <w:tcBorders>
              <w:top w:val="single" w:color="auto" w:sz="4" w:space="0"/>
              <w:left w:val="single" w:color="auto" w:sz="4" w:space="0"/>
              <w:bottom w:val="single" w:color="auto" w:sz="4" w:space="0"/>
              <w:right w:val="single" w:color="auto" w:sz="4" w:space="0"/>
            </w:tcBorders>
            <w:vAlign w:val="center"/>
          </w:tcPr>
          <w:p w14:paraId="4DFB9D01">
            <w:pPr>
              <w:snapToGrid w:val="0"/>
              <w:spacing w:line="440" w:lineRule="exact"/>
              <w:jc w:val="center"/>
              <w:rPr>
                <w:rFonts w:ascii="宋体" w:hAnsi="宋体"/>
                <w:color w:val="auto"/>
                <w:szCs w:val="21"/>
                <w:highlight w:val="none"/>
              </w:rPr>
            </w:pPr>
            <w:r>
              <w:rPr>
                <w:rFonts w:hint="eastAsia" w:ascii="宋体" w:hAnsi="宋体"/>
                <w:color w:val="auto"/>
                <w:szCs w:val="21"/>
                <w:highlight w:val="none"/>
              </w:rPr>
              <w:t>标的的名称</w:t>
            </w:r>
          </w:p>
        </w:tc>
        <w:tc>
          <w:tcPr>
            <w:tcW w:w="971" w:type="dxa"/>
            <w:tcBorders>
              <w:top w:val="single" w:color="auto" w:sz="4" w:space="0"/>
              <w:left w:val="single" w:color="auto" w:sz="4" w:space="0"/>
              <w:bottom w:val="single" w:color="auto" w:sz="4" w:space="0"/>
              <w:right w:val="single" w:color="auto" w:sz="4" w:space="0"/>
            </w:tcBorders>
            <w:vAlign w:val="center"/>
          </w:tcPr>
          <w:p w14:paraId="47CCD162">
            <w:pPr>
              <w:snapToGrid w:val="0"/>
              <w:spacing w:line="440" w:lineRule="exact"/>
              <w:jc w:val="center"/>
              <w:rPr>
                <w:rFonts w:ascii="宋体" w:hAnsi="宋体"/>
                <w:color w:val="auto"/>
                <w:szCs w:val="21"/>
                <w:highlight w:val="none"/>
              </w:rPr>
            </w:pPr>
            <w:r>
              <w:rPr>
                <w:rFonts w:hint="eastAsia" w:ascii="宋体" w:hAnsi="宋体"/>
                <w:color w:val="auto"/>
                <w:szCs w:val="21"/>
                <w:highlight w:val="none"/>
              </w:rPr>
              <w:t>数量及单位</w:t>
            </w:r>
          </w:p>
        </w:tc>
        <w:tc>
          <w:tcPr>
            <w:tcW w:w="6448" w:type="dxa"/>
            <w:tcBorders>
              <w:top w:val="single" w:color="auto" w:sz="4" w:space="0"/>
              <w:left w:val="single" w:color="auto" w:sz="4" w:space="0"/>
              <w:bottom w:val="single" w:color="auto" w:sz="4" w:space="0"/>
              <w:right w:val="single" w:color="auto" w:sz="4" w:space="0"/>
            </w:tcBorders>
            <w:vAlign w:val="center"/>
          </w:tcPr>
          <w:p w14:paraId="663C87E6">
            <w:pPr>
              <w:snapToGrid w:val="0"/>
              <w:spacing w:line="440" w:lineRule="exact"/>
              <w:jc w:val="center"/>
              <w:rPr>
                <w:rFonts w:ascii="宋体" w:hAnsi="宋体"/>
                <w:color w:val="auto"/>
                <w:szCs w:val="21"/>
                <w:highlight w:val="none"/>
              </w:rPr>
            </w:pPr>
            <w:r>
              <w:rPr>
                <w:rFonts w:hint="eastAsia" w:ascii="宋体" w:hAnsi="宋体"/>
                <w:color w:val="auto"/>
                <w:szCs w:val="21"/>
                <w:highlight w:val="none"/>
              </w:rPr>
              <w:t>简要技术需求或者服务要求</w:t>
            </w:r>
          </w:p>
        </w:tc>
      </w:tr>
      <w:tr w14:paraId="464D08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14" w:type="dxa"/>
            <w:tcBorders>
              <w:top w:val="single" w:color="auto" w:sz="4" w:space="0"/>
              <w:left w:val="single" w:color="auto" w:sz="4" w:space="0"/>
              <w:bottom w:val="single" w:color="auto" w:sz="4" w:space="0"/>
              <w:right w:val="single" w:color="auto" w:sz="4" w:space="0"/>
            </w:tcBorders>
            <w:vAlign w:val="center"/>
          </w:tcPr>
          <w:p w14:paraId="1E58F64D">
            <w:pPr>
              <w:snapToGrid w:val="0"/>
              <w:spacing w:line="440" w:lineRule="exact"/>
              <w:jc w:val="center"/>
              <w:rPr>
                <w:rFonts w:ascii="宋体" w:hAnsi="宋体"/>
                <w:color w:val="auto"/>
                <w:szCs w:val="21"/>
                <w:highlight w:val="none"/>
              </w:rPr>
            </w:pPr>
            <w:r>
              <w:rPr>
                <w:rFonts w:hint="eastAsia" w:ascii="宋体" w:hAnsi="宋体"/>
                <w:color w:val="auto"/>
                <w:szCs w:val="21"/>
                <w:highlight w:val="none"/>
              </w:rPr>
              <w:t>01</w:t>
            </w:r>
          </w:p>
        </w:tc>
        <w:tc>
          <w:tcPr>
            <w:tcW w:w="1665" w:type="dxa"/>
            <w:tcBorders>
              <w:top w:val="single" w:color="auto" w:sz="4" w:space="0"/>
              <w:left w:val="single" w:color="auto" w:sz="4" w:space="0"/>
              <w:bottom w:val="single" w:color="auto" w:sz="4" w:space="0"/>
              <w:right w:val="single" w:color="auto" w:sz="4" w:space="0"/>
            </w:tcBorders>
            <w:vAlign w:val="center"/>
          </w:tcPr>
          <w:p w14:paraId="233A504E">
            <w:pPr>
              <w:snapToGrid w:val="0"/>
              <w:spacing w:line="440" w:lineRule="exact"/>
              <w:jc w:val="center"/>
              <w:rPr>
                <w:rFonts w:ascii="宋体" w:hAnsi="宋体"/>
                <w:color w:val="auto"/>
                <w:szCs w:val="21"/>
                <w:highlight w:val="none"/>
              </w:rPr>
            </w:pPr>
            <w:r>
              <w:rPr>
                <w:rFonts w:hint="eastAsia" w:ascii="宋体" w:hAnsi="宋体"/>
                <w:color w:val="auto"/>
                <w:szCs w:val="21"/>
                <w:highlight w:val="none"/>
              </w:rPr>
              <w:t>广西壮族自治区见义勇为人员人身意外伤害无记名保险项目</w:t>
            </w:r>
          </w:p>
        </w:tc>
        <w:tc>
          <w:tcPr>
            <w:tcW w:w="971" w:type="dxa"/>
            <w:tcBorders>
              <w:top w:val="single" w:color="auto" w:sz="4" w:space="0"/>
              <w:left w:val="single" w:color="auto" w:sz="4" w:space="0"/>
              <w:bottom w:val="single" w:color="auto" w:sz="4" w:space="0"/>
              <w:right w:val="single" w:color="auto" w:sz="4" w:space="0"/>
            </w:tcBorders>
            <w:vAlign w:val="center"/>
          </w:tcPr>
          <w:p w14:paraId="19907D70">
            <w:pPr>
              <w:snapToGrid w:val="0"/>
              <w:spacing w:line="440" w:lineRule="exact"/>
              <w:jc w:val="center"/>
              <w:rPr>
                <w:rFonts w:ascii="宋体" w:hAnsi="宋体"/>
                <w:color w:val="auto"/>
                <w:szCs w:val="21"/>
                <w:highlight w:val="none"/>
              </w:rPr>
            </w:pPr>
            <w:r>
              <w:rPr>
                <w:rFonts w:hint="eastAsia" w:ascii="宋体" w:hAnsi="宋体"/>
                <w:color w:val="auto"/>
                <w:szCs w:val="21"/>
                <w:highlight w:val="none"/>
              </w:rPr>
              <w:t>1项</w:t>
            </w:r>
          </w:p>
        </w:tc>
        <w:tc>
          <w:tcPr>
            <w:tcW w:w="6448" w:type="dxa"/>
            <w:tcBorders>
              <w:top w:val="single" w:color="auto" w:sz="4" w:space="0"/>
              <w:left w:val="single" w:color="auto" w:sz="4" w:space="0"/>
              <w:bottom w:val="single" w:color="auto" w:sz="4" w:space="0"/>
              <w:right w:val="single" w:color="auto" w:sz="4" w:space="0"/>
            </w:tcBorders>
            <w:vAlign w:val="center"/>
          </w:tcPr>
          <w:p w14:paraId="7815A286">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（一）采购标的需实现的主要功能或者目标：切实解决见义勇为人员及家属的后顾之忧，真正做到不让“英雄流血又流泪”，为见义勇为人员提供保障。</w:t>
            </w:r>
          </w:p>
          <w:p w14:paraId="2849BD6C">
            <w:p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（二）</w:t>
            </w:r>
            <w:r>
              <w:rPr>
                <w:rFonts w:hint="eastAsia" w:asciiTheme="minorEastAsia" w:hAnsiTheme="minorEastAsia" w:eastAsiaTheme="minorEastAsia" w:cstheme="minorEastAsia"/>
                <w:color w:val="auto"/>
                <w:szCs w:val="21"/>
                <w:highlight w:val="none"/>
              </w:rPr>
              <w:t>投保人：中国共产党广西壮族自治区委员会政法委员会。</w:t>
            </w:r>
          </w:p>
          <w:p w14:paraId="2A715AA5">
            <w:p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eastAsia="zh-CN"/>
              </w:rPr>
              <w:t>三</w:t>
            </w:r>
            <w:r>
              <w:rPr>
                <w:rFonts w:hint="eastAsia" w:asciiTheme="minorEastAsia" w:hAnsiTheme="minorEastAsia" w:eastAsiaTheme="minorEastAsia" w:cstheme="minorEastAsia"/>
                <w:color w:val="auto"/>
                <w:szCs w:val="21"/>
                <w:highlight w:val="none"/>
              </w:rPr>
              <w:t>）被保险人：在广西壮族自治区行政区域内，没有法定或者约定义务，为保护国家利益、集体利益、社会公共利益和他人人身财产权益的公民，在此过程中遭受伤害导致伤残或死亡，经县（区）级或以上社会治安综合治理统筹部门按照《广西壮族自治区见义勇为人员奖励和保护条例》和有关法规认定为见义勇为的伤亡人员，为本保险的被保险人。</w:t>
            </w:r>
          </w:p>
          <w:p w14:paraId="7D27B049">
            <w:pPr>
              <w:pStyle w:val="10"/>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eastAsia="zh-CN"/>
              </w:rPr>
              <w:t>四</w:t>
            </w:r>
            <w:r>
              <w:rPr>
                <w:rFonts w:hint="eastAsia" w:asciiTheme="minorEastAsia" w:hAnsiTheme="minorEastAsia" w:eastAsiaTheme="minorEastAsia" w:cstheme="minorEastAsia"/>
                <w:color w:val="auto"/>
                <w:szCs w:val="21"/>
                <w:highlight w:val="none"/>
              </w:rPr>
              <w:t>）保险人：是指与投保人订立保险合同，并按照合同约定承担赔偿或者给付保险金责任的中标人（保险公司）。</w:t>
            </w:r>
          </w:p>
          <w:p w14:paraId="2669E145">
            <w:pPr>
              <w:snapToGrid w:val="0"/>
              <w:spacing w:line="440" w:lineRule="exact"/>
              <w:jc w:val="left"/>
              <w:rPr>
                <w:rFonts w:ascii="宋体" w:hAnsi="宋体"/>
                <w:color w:val="auto"/>
                <w:szCs w:val="21"/>
                <w:highlight w:val="none"/>
              </w:rPr>
            </w:pPr>
            <w:r>
              <w:rPr>
                <w:rFonts w:hint="eastAsia" w:ascii="宋体" w:hAnsi="宋体"/>
                <w:color w:val="auto"/>
                <w:szCs w:val="21"/>
                <w:highlight w:val="none"/>
              </w:rPr>
              <w:t>……</w:t>
            </w:r>
          </w:p>
        </w:tc>
      </w:tr>
    </w:tbl>
    <w:p w14:paraId="42F0099D">
      <w:pPr>
        <w:shd w:val="clear" w:color="auto" w:fill="FFFFFF" w:themeFill="background1"/>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合同履约期限：保障期（以下称保险期限）</w:t>
      </w:r>
      <w:r>
        <w:rPr>
          <w:rFonts w:hint="eastAsia" w:asciiTheme="minorEastAsia" w:hAnsiTheme="minorEastAsia" w:eastAsiaTheme="minorEastAsia" w:cstheme="minorEastAsia"/>
          <w:color w:val="auto"/>
          <w:szCs w:val="21"/>
          <w:highlight w:val="none"/>
          <w:lang w:val="en-US" w:eastAsia="zh-CN"/>
        </w:rPr>
        <w:t>两年，为接续上一期广西见义勇为人员人身意外伤害无记名保险合同，实际服务期从</w:t>
      </w:r>
      <w:r>
        <w:rPr>
          <w:rFonts w:hint="eastAsia" w:asciiTheme="minorEastAsia" w:hAnsiTheme="minorEastAsia" w:eastAsiaTheme="minorEastAsia" w:cstheme="minorEastAsia"/>
          <w:color w:val="auto"/>
          <w:szCs w:val="21"/>
          <w:highlight w:val="none"/>
          <w:lang w:val="en-GB" w:eastAsia="zh-CN"/>
        </w:rPr>
        <w:t>202</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lang w:val="en-GB" w:eastAsia="zh-CN"/>
        </w:rPr>
        <w:t>年</w:t>
      </w:r>
      <w:r>
        <w:rPr>
          <w:rFonts w:hint="eastAsia" w:asciiTheme="minorEastAsia" w:hAnsiTheme="minorEastAsia" w:eastAsiaTheme="minorEastAsia" w:cstheme="minorEastAsia"/>
          <w:color w:val="auto"/>
          <w:szCs w:val="21"/>
          <w:highlight w:val="none"/>
          <w:lang w:val="en-US" w:eastAsia="zh-CN"/>
        </w:rPr>
        <w:t>9</w:t>
      </w:r>
      <w:r>
        <w:rPr>
          <w:rFonts w:hint="eastAsia" w:asciiTheme="minorEastAsia" w:hAnsiTheme="minorEastAsia" w:eastAsiaTheme="minorEastAsia" w:cstheme="minorEastAsia"/>
          <w:color w:val="auto"/>
          <w:szCs w:val="21"/>
          <w:highlight w:val="none"/>
          <w:lang w:val="en-GB" w:eastAsia="zh-CN"/>
        </w:rPr>
        <w:t>月1</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lang w:val="en-GB" w:eastAsia="zh-CN"/>
        </w:rPr>
        <w:t>日零时起至202</w:t>
      </w:r>
      <w:r>
        <w:rPr>
          <w:rFonts w:hint="eastAsia" w:asciiTheme="minorEastAsia" w:hAnsiTheme="minorEastAsia" w:eastAsiaTheme="minorEastAsia" w:cstheme="minorEastAsia"/>
          <w:color w:val="auto"/>
          <w:szCs w:val="21"/>
          <w:highlight w:val="none"/>
          <w:lang w:val="en-US" w:eastAsia="zh-CN"/>
        </w:rPr>
        <w:t>7</w:t>
      </w:r>
      <w:r>
        <w:rPr>
          <w:rFonts w:hint="eastAsia" w:asciiTheme="minorEastAsia" w:hAnsiTheme="minorEastAsia" w:eastAsiaTheme="minorEastAsia" w:cstheme="minorEastAsia"/>
          <w:color w:val="auto"/>
          <w:szCs w:val="21"/>
          <w:highlight w:val="none"/>
          <w:lang w:val="en-GB" w:eastAsia="zh-CN"/>
        </w:rPr>
        <w:t>年</w:t>
      </w:r>
      <w:r>
        <w:rPr>
          <w:rFonts w:hint="eastAsia" w:asciiTheme="minorEastAsia" w:hAnsiTheme="minorEastAsia" w:eastAsiaTheme="minorEastAsia" w:cstheme="minorEastAsia"/>
          <w:color w:val="auto"/>
          <w:szCs w:val="21"/>
          <w:highlight w:val="none"/>
          <w:lang w:val="en-US" w:eastAsia="zh-CN"/>
        </w:rPr>
        <w:t>9</w:t>
      </w:r>
      <w:r>
        <w:rPr>
          <w:rFonts w:hint="eastAsia" w:asciiTheme="minorEastAsia" w:hAnsiTheme="minorEastAsia" w:eastAsiaTheme="minorEastAsia" w:cstheme="minorEastAsia"/>
          <w:color w:val="auto"/>
          <w:szCs w:val="21"/>
          <w:highlight w:val="none"/>
          <w:lang w:val="en-GB" w:eastAsia="zh-CN"/>
        </w:rPr>
        <w:t>月</w:t>
      </w:r>
      <w:r>
        <w:rPr>
          <w:rFonts w:hint="eastAsia" w:asciiTheme="minorEastAsia" w:hAnsiTheme="minorEastAsia" w:eastAsiaTheme="minorEastAsia" w:cstheme="minorEastAsia"/>
          <w:color w:val="auto"/>
          <w:szCs w:val="21"/>
          <w:highlight w:val="none"/>
          <w:lang w:val="en-US" w:eastAsia="zh-CN"/>
        </w:rPr>
        <w:t>15</w:t>
      </w:r>
      <w:r>
        <w:rPr>
          <w:rFonts w:hint="eastAsia" w:asciiTheme="minorEastAsia" w:hAnsiTheme="minorEastAsia" w:eastAsiaTheme="minorEastAsia" w:cstheme="minorEastAsia"/>
          <w:color w:val="auto"/>
          <w:szCs w:val="21"/>
          <w:highlight w:val="none"/>
          <w:lang w:val="en-GB" w:eastAsia="zh-CN"/>
        </w:rPr>
        <w:t>日24时止。</w:t>
      </w:r>
    </w:p>
    <w:p w14:paraId="68E293B6">
      <w:pPr>
        <w:shd w:val="clear" w:color="auto" w:fill="FFFFFF" w:themeFill="background1"/>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本标项（否）接受联合体投标</w:t>
      </w:r>
    </w:p>
    <w:p w14:paraId="7BE09435">
      <w:pPr>
        <w:shd w:val="clear" w:color="auto" w:fill="FFFFFF" w:themeFill="background1"/>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备注：无</w:t>
      </w:r>
    </w:p>
    <w:bookmarkEnd w:id="19"/>
    <w:p w14:paraId="725D408E">
      <w:pPr>
        <w:shd w:val="clear" w:color="auto" w:fill="FFFFFF" w:themeFill="background1"/>
        <w:spacing w:line="360" w:lineRule="auto"/>
        <w:rPr>
          <w:rFonts w:ascii="宋体" w:hAnsi="宋体" w:cs="宋体"/>
          <w:b/>
          <w:bCs/>
          <w:color w:val="auto"/>
          <w:sz w:val="24"/>
          <w:highlight w:val="none"/>
        </w:rPr>
      </w:pPr>
      <w:bookmarkStart w:id="20" w:name="_Toc28359080"/>
      <w:bookmarkStart w:id="21" w:name="_Toc28359003"/>
      <w:bookmarkStart w:id="22" w:name="_Toc35393791"/>
      <w:bookmarkStart w:id="23" w:name="_Toc35393622"/>
      <w:r>
        <w:rPr>
          <w:rFonts w:hint="eastAsia" w:ascii="宋体" w:hAnsi="宋体" w:cs="宋体"/>
          <w:b/>
          <w:bCs/>
          <w:color w:val="auto"/>
          <w:sz w:val="24"/>
          <w:highlight w:val="none"/>
        </w:rPr>
        <w:t>二、申请人的资格要求：</w:t>
      </w:r>
      <w:bookmarkEnd w:id="20"/>
      <w:bookmarkEnd w:id="21"/>
      <w:bookmarkEnd w:id="22"/>
      <w:bookmarkEnd w:id="23"/>
    </w:p>
    <w:p w14:paraId="1839952F">
      <w:pPr>
        <w:shd w:val="clear" w:color="auto" w:fill="FFFFFF" w:themeFill="background1"/>
        <w:spacing w:line="360" w:lineRule="auto"/>
        <w:ind w:firstLine="420" w:firstLineChars="200"/>
        <w:rPr>
          <w:rFonts w:ascii="宋体" w:hAnsi="宋体" w:cs="宋体"/>
          <w:color w:val="auto"/>
          <w:szCs w:val="21"/>
          <w:highlight w:val="none"/>
        </w:rPr>
      </w:pPr>
      <w:bookmarkStart w:id="24" w:name="_Toc28359081"/>
      <w:bookmarkStart w:id="25" w:name="_Toc28359004"/>
      <w:r>
        <w:rPr>
          <w:rFonts w:hint="eastAsia" w:ascii="宋体" w:hAnsi="宋体" w:cs="宋体"/>
          <w:color w:val="auto"/>
          <w:szCs w:val="21"/>
          <w:highlight w:val="none"/>
        </w:rPr>
        <w:t>1.满足《中华人民共和国政府采购法》第二十二条规定；</w:t>
      </w:r>
    </w:p>
    <w:p w14:paraId="3E2ECDDE">
      <w:pPr>
        <w:shd w:val="clear" w:color="auto" w:fill="FFFFFF" w:themeFill="background1"/>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2.落实政府采购政策需满足的资格要求：</w:t>
      </w:r>
      <w:r>
        <w:rPr>
          <w:rFonts w:hint="eastAsia" w:asciiTheme="minorEastAsia" w:hAnsiTheme="minorEastAsia" w:eastAsiaTheme="minorEastAsia" w:cstheme="minorEastAsia"/>
          <w:color w:val="auto"/>
          <w:szCs w:val="21"/>
          <w:highlight w:val="none"/>
        </w:rPr>
        <w:t>本项目属于预留采购预算总额的30%（含）以上专门面向中小企业采购项目（其企业划型标准按照《金融业企业划型标准规定》银发〔2015〕309号文件认定），根据《政府采购促进中小企业发展管理办法》财库〔2020〕46号文件</w:t>
      </w:r>
      <w:r>
        <w:rPr>
          <w:rFonts w:hint="eastAsia" w:ascii="宋体" w:hAnsi="宋体" w:cs="宋体"/>
          <w:color w:val="auto"/>
          <w:szCs w:val="21"/>
          <w:highlight w:val="none"/>
        </w:rPr>
        <w:t>第八条要求</w:t>
      </w:r>
      <w:r>
        <w:rPr>
          <w:rFonts w:hint="eastAsia" w:ascii="宋体" w:hAnsi="宋体" w:cs="宋体"/>
          <w:color w:val="auto"/>
          <w:szCs w:val="21"/>
          <w:highlight w:val="none"/>
          <w:lang w:eastAsia="zh-CN"/>
        </w:rPr>
        <w:t>：“超过200万元的货物和服务采购项目、超过400万元的工程采购项目中适宜由中小企业提供的，预留该部分采购项目预算总额的30%以上专门面向中小企业采购，其中预留给小微企业的比例不低于60%。”</w:t>
      </w:r>
      <w:r>
        <w:rPr>
          <w:rFonts w:hint="eastAsia" w:ascii="宋体" w:hAnsi="宋体" w:cs="宋体"/>
          <w:color w:val="auto"/>
          <w:szCs w:val="21"/>
          <w:highlight w:val="none"/>
        </w:rPr>
        <w:t>，</w:t>
      </w:r>
      <w:r>
        <w:rPr>
          <w:rFonts w:hint="eastAsia" w:asciiTheme="minorEastAsia" w:hAnsiTheme="minorEastAsia" w:eastAsiaTheme="minorEastAsia" w:cstheme="minorEastAsia"/>
          <w:color w:val="auto"/>
          <w:szCs w:val="21"/>
          <w:highlight w:val="none"/>
        </w:rPr>
        <w:t>如投标人为大型企业的，必须在获得本项目采购合同后，将采购项目预算金额30%（含）以上的比例分包给一家中小企业。接受分包合同的供应商须为中、小、微企业，接受分包合同的中小企业与分包企业之间不得存在直接控股、管理关系。【供应商须提供分包意向协议</w:t>
      </w:r>
      <w:r>
        <w:rPr>
          <w:rFonts w:hint="eastAsia" w:asciiTheme="minorEastAsia" w:hAnsiTheme="minorEastAsia" w:eastAsiaTheme="minorEastAsia" w:cstheme="minorEastAsia"/>
          <w:color w:val="auto"/>
          <w:szCs w:val="21"/>
          <w:highlight w:val="none"/>
          <w:lang w:eastAsia="zh-CN"/>
        </w:rPr>
        <w:t>（格式自拟）</w:t>
      </w:r>
      <w:r>
        <w:rPr>
          <w:rFonts w:hint="eastAsia" w:asciiTheme="minorEastAsia" w:hAnsiTheme="minorEastAsia" w:eastAsiaTheme="minorEastAsia" w:cstheme="minorEastAsia"/>
          <w:color w:val="auto"/>
          <w:szCs w:val="21"/>
          <w:highlight w:val="none"/>
        </w:rPr>
        <w:t>和《中小企业声明函》。（注：如果供应商本身提供的所有服务均由中小企业提供，视同符合上述资格条件，无需再向中小企业分包。中小企业以供应商填写的《中小企业声明函》（见投标文件格式）为判定标准，残疾人福利性单位以供应商提供的《残疾人福利性单位声明函》（见投标文件格式）为判定标准，监狱企业须供应商提供由省级以上监狱管理局、戒毒管理局（含新疆生产建设兵团）出具的属于监狱企业的证明文件，否则不予认定】</w:t>
      </w:r>
      <w:r>
        <w:rPr>
          <w:rFonts w:hint="eastAsia" w:asciiTheme="minorEastAsia" w:hAnsiTheme="minorEastAsia" w:eastAsiaTheme="minorEastAsia" w:cstheme="minorEastAsia"/>
          <w:color w:val="auto"/>
          <w:szCs w:val="21"/>
          <w:highlight w:val="none"/>
          <w:lang w:eastAsia="zh-CN"/>
        </w:rPr>
        <w:t>；</w:t>
      </w:r>
    </w:p>
    <w:p w14:paraId="50BA30E9">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项目的特定资格要求：投标人须具有经原中国银行保险监督管理机构批准并颁发的有效的《保险许可证》【如为大型企业投标，必须预留30%份额分包给一家中小企业，其分包意向中小企业也须具备该项资格要求，并在分包意向书中承诺满足所分包比例采购服务的相应要求；投标人须提供分包意向</w:t>
      </w:r>
      <w:r>
        <w:rPr>
          <w:rFonts w:hint="eastAsia" w:ascii="宋体" w:hAnsi="宋体" w:cs="宋体"/>
          <w:color w:val="auto"/>
          <w:szCs w:val="21"/>
          <w:highlight w:val="none"/>
          <w:lang w:eastAsia="zh-CN"/>
        </w:rPr>
        <w:t>协议</w:t>
      </w:r>
      <w:r>
        <w:rPr>
          <w:rFonts w:hint="eastAsia" w:ascii="宋体" w:hAnsi="宋体" w:cs="宋体"/>
          <w:color w:val="auto"/>
          <w:szCs w:val="21"/>
          <w:highlight w:val="none"/>
        </w:rPr>
        <w:t>（格式自拟）以及该中小企业声明函，投标人对分包的中小企业负连带责任】。</w:t>
      </w:r>
    </w:p>
    <w:p w14:paraId="3EA239FA">
      <w:pPr>
        <w:shd w:val="clear" w:color="auto" w:fill="FFFFFF" w:themeFill="background1"/>
        <w:spacing w:line="360" w:lineRule="auto"/>
        <w:rPr>
          <w:rFonts w:ascii="宋体" w:hAnsi="宋体" w:cs="宋体"/>
          <w:b/>
          <w:bCs/>
          <w:color w:val="auto"/>
          <w:sz w:val="24"/>
          <w:highlight w:val="none"/>
        </w:rPr>
      </w:pPr>
      <w:bookmarkStart w:id="26" w:name="_Toc35393792"/>
      <w:bookmarkStart w:id="27" w:name="_Toc35393623"/>
      <w:r>
        <w:rPr>
          <w:rFonts w:hint="eastAsia" w:ascii="宋体" w:hAnsi="宋体" w:cs="宋体"/>
          <w:b/>
          <w:bCs/>
          <w:color w:val="auto"/>
          <w:sz w:val="24"/>
          <w:highlight w:val="none"/>
        </w:rPr>
        <w:t>三、获取招标文件</w:t>
      </w:r>
      <w:bookmarkEnd w:id="24"/>
      <w:bookmarkEnd w:id="25"/>
      <w:bookmarkEnd w:id="26"/>
      <w:bookmarkEnd w:id="27"/>
    </w:p>
    <w:p w14:paraId="2B165944">
      <w:pPr>
        <w:shd w:val="clear" w:color="auto" w:fill="FFFFFF" w:themeFill="background1"/>
        <w:snapToGrid w:val="0"/>
        <w:spacing w:line="360" w:lineRule="auto"/>
        <w:ind w:firstLine="472" w:firstLineChars="225"/>
        <w:rPr>
          <w:rFonts w:ascii="宋体" w:hAnsi="宋体" w:cs="宋体"/>
          <w:color w:val="auto"/>
          <w:szCs w:val="21"/>
          <w:highlight w:val="none"/>
        </w:rPr>
      </w:pPr>
      <w:bookmarkStart w:id="28" w:name="_Toc28359005"/>
      <w:bookmarkStart w:id="29" w:name="_Toc28359082"/>
      <w:bookmarkStart w:id="30" w:name="_Toc35393793"/>
      <w:bookmarkStart w:id="31" w:name="_Toc35393624"/>
      <w:r>
        <w:rPr>
          <w:rFonts w:hint="eastAsia" w:ascii="宋体" w:hAnsi="宋体" w:cs="宋体"/>
          <w:color w:val="auto"/>
          <w:szCs w:val="21"/>
          <w:highlight w:val="none"/>
        </w:rPr>
        <w:t>时间：202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22</w:t>
      </w:r>
      <w:r>
        <w:rPr>
          <w:rFonts w:hint="eastAsia" w:ascii="宋体" w:hAnsi="宋体" w:cs="宋体"/>
          <w:color w:val="auto"/>
          <w:szCs w:val="21"/>
          <w:highlight w:val="none"/>
        </w:rPr>
        <w:t>日至202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29</w:t>
      </w:r>
      <w:r>
        <w:rPr>
          <w:rFonts w:hint="eastAsia" w:ascii="宋体" w:hAnsi="宋体" w:cs="宋体"/>
          <w:color w:val="auto"/>
          <w:szCs w:val="21"/>
          <w:highlight w:val="none"/>
        </w:rPr>
        <w:t>日，每天上午00:00至11:59，下午12:00至23:59（北京时间，法定节假日除外）。</w:t>
      </w:r>
    </w:p>
    <w:p w14:paraId="22B0A862">
      <w:pPr>
        <w:shd w:val="clear" w:color="auto" w:fill="FFFFFF" w:themeFill="background1"/>
        <w:snapToGrid w:val="0"/>
        <w:spacing w:line="360" w:lineRule="auto"/>
        <w:ind w:firstLine="472" w:firstLineChars="225"/>
        <w:rPr>
          <w:rFonts w:ascii="宋体" w:hAnsi="宋体" w:cs="宋体"/>
          <w:color w:val="auto"/>
          <w:szCs w:val="21"/>
          <w:highlight w:val="none"/>
        </w:rPr>
      </w:pPr>
      <w:r>
        <w:rPr>
          <w:rFonts w:hint="eastAsia" w:ascii="宋体" w:hAnsi="宋体" w:cs="宋体"/>
          <w:color w:val="auto"/>
          <w:szCs w:val="21"/>
          <w:highlight w:val="none"/>
        </w:rPr>
        <w:t>地点：广西政府采购云平台（https://www.gcy.zfcg.gxzf.gov.cn/）</w:t>
      </w:r>
    </w:p>
    <w:p w14:paraId="22AB8995">
      <w:pPr>
        <w:shd w:val="clear" w:color="auto" w:fill="FFFFFF" w:themeFill="background1"/>
        <w:snapToGrid w:val="0"/>
        <w:spacing w:line="360" w:lineRule="auto"/>
        <w:ind w:firstLine="472" w:firstLineChars="225"/>
        <w:rPr>
          <w:rFonts w:ascii="宋体" w:hAnsi="宋体" w:cs="宋体"/>
          <w:color w:val="auto"/>
          <w:szCs w:val="21"/>
          <w:highlight w:val="none"/>
        </w:rPr>
      </w:pPr>
      <w:r>
        <w:rPr>
          <w:rFonts w:hint="eastAsia" w:ascii="宋体" w:hAnsi="宋体" w:cs="宋体"/>
          <w:color w:val="auto"/>
          <w:szCs w:val="21"/>
          <w:highlight w:val="none"/>
        </w:rPr>
        <w:t>方式：网上下载。本项目不发放纸质文件，潜在投标人可自行在广西政府采购云平台（https://www.gcy.zfcg.gxzf.gov.cn/）下载招标文件（操作路径：登录广西政府采购云平台-项目采购-获取采购文件-找到本项目-点击“申请获取采购文件”），电子投标文件制作需要基于广西政府采购云平台获取的招标文件编制。</w:t>
      </w:r>
    </w:p>
    <w:p w14:paraId="0BB00E9E">
      <w:pPr>
        <w:shd w:val="clear" w:color="auto" w:fill="FFFFFF" w:themeFill="background1"/>
        <w:snapToGrid w:val="0"/>
        <w:spacing w:line="360" w:lineRule="auto"/>
        <w:ind w:firstLine="472" w:firstLineChars="225"/>
        <w:rPr>
          <w:rFonts w:ascii="宋体" w:hAnsi="宋体" w:cs="宋体"/>
          <w:color w:val="auto"/>
          <w:szCs w:val="21"/>
          <w:highlight w:val="none"/>
        </w:rPr>
      </w:pPr>
      <w:r>
        <w:rPr>
          <w:rFonts w:hint="eastAsia" w:ascii="宋体" w:hAnsi="宋体" w:cs="宋体"/>
          <w:color w:val="auto"/>
          <w:szCs w:val="21"/>
          <w:highlight w:val="none"/>
        </w:rPr>
        <w:t>售价：人民币0元</w:t>
      </w:r>
    </w:p>
    <w:p w14:paraId="178D0080">
      <w:pPr>
        <w:shd w:val="clear" w:color="auto" w:fill="FFFFFF" w:themeFill="background1"/>
        <w:spacing w:line="360" w:lineRule="auto"/>
        <w:rPr>
          <w:rFonts w:ascii="宋体" w:hAnsi="宋体" w:cs="宋体"/>
          <w:b/>
          <w:bCs/>
          <w:color w:val="auto"/>
          <w:sz w:val="24"/>
          <w:highlight w:val="none"/>
        </w:rPr>
      </w:pPr>
      <w:r>
        <w:rPr>
          <w:rFonts w:hint="eastAsia" w:ascii="宋体" w:hAnsi="宋体" w:cs="宋体"/>
          <w:b/>
          <w:bCs/>
          <w:color w:val="auto"/>
          <w:sz w:val="24"/>
          <w:highlight w:val="none"/>
        </w:rPr>
        <w:t>四、提交投标文件</w:t>
      </w:r>
      <w:bookmarkEnd w:id="28"/>
      <w:bookmarkEnd w:id="29"/>
      <w:r>
        <w:rPr>
          <w:rFonts w:hint="eastAsia" w:ascii="宋体" w:hAnsi="宋体" w:cs="宋体"/>
          <w:b/>
          <w:bCs/>
          <w:color w:val="auto"/>
          <w:sz w:val="24"/>
          <w:highlight w:val="none"/>
        </w:rPr>
        <w:t>截止时间、开标时间和地点</w:t>
      </w:r>
      <w:bookmarkEnd w:id="30"/>
      <w:bookmarkEnd w:id="31"/>
    </w:p>
    <w:p w14:paraId="6530387D">
      <w:pPr>
        <w:shd w:val="clear" w:color="auto" w:fill="FFFFFF" w:themeFill="background1"/>
        <w:spacing w:line="360" w:lineRule="auto"/>
        <w:ind w:firstLine="420" w:firstLineChars="200"/>
        <w:rPr>
          <w:rFonts w:ascii="宋体" w:hAnsi="宋体" w:cs="宋体"/>
          <w:color w:val="auto"/>
          <w:szCs w:val="21"/>
          <w:highlight w:val="none"/>
          <w:u w:val="single"/>
        </w:rPr>
      </w:pPr>
      <w:r>
        <w:rPr>
          <w:rFonts w:hint="eastAsia" w:ascii="宋体" w:hAnsi="宋体" w:cs="宋体"/>
          <w:bCs/>
          <w:color w:val="auto"/>
          <w:szCs w:val="21"/>
          <w:highlight w:val="none"/>
        </w:rPr>
        <w:t>1.提交投标文件截止时间和开标时间：</w:t>
      </w:r>
      <w:bookmarkStart w:id="32" w:name="PO_3000001867_PM015_1"/>
      <w:r>
        <w:rPr>
          <w:rFonts w:hint="eastAsia" w:ascii="宋体" w:hAnsi="宋体" w:cs="宋体"/>
          <w:bCs/>
          <w:color w:val="auto"/>
          <w:szCs w:val="21"/>
          <w:highlight w:val="none"/>
          <w:u w:val="single"/>
        </w:rPr>
        <w:t>202</w:t>
      </w:r>
      <w:r>
        <w:rPr>
          <w:rFonts w:hint="eastAsia" w:ascii="宋体" w:hAnsi="宋体" w:cs="宋体"/>
          <w:bCs/>
          <w:color w:val="auto"/>
          <w:szCs w:val="21"/>
          <w:highlight w:val="none"/>
          <w:u w:val="single"/>
          <w:lang w:val="en-US" w:eastAsia="zh-CN"/>
        </w:rPr>
        <w:t>5</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6</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13</w:t>
      </w:r>
      <w:r>
        <w:rPr>
          <w:rFonts w:hint="eastAsia" w:ascii="宋体" w:hAnsi="宋体" w:cs="宋体"/>
          <w:bCs/>
          <w:color w:val="auto"/>
          <w:szCs w:val="21"/>
          <w:highlight w:val="none"/>
          <w:u w:val="single"/>
        </w:rPr>
        <w:t>日9点30分</w:t>
      </w:r>
      <w:r>
        <w:rPr>
          <w:rFonts w:hint="eastAsia" w:ascii="宋体" w:hAnsi="宋体" w:cs="宋体"/>
          <w:bCs/>
          <w:color w:val="auto"/>
          <w:szCs w:val="21"/>
          <w:highlight w:val="none"/>
        </w:rPr>
        <w:t>（北京时间）</w:t>
      </w:r>
      <w:bookmarkEnd w:id="32"/>
    </w:p>
    <w:p w14:paraId="06C9C494">
      <w:pPr>
        <w:shd w:val="clear" w:color="auto" w:fill="FFFFFF" w:themeFill="background1"/>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2.提交投标文件和开标地点：广西政府采购云平台（https://www.gcy.zfcg.gxzf.gov.cn/）</w:t>
      </w:r>
    </w:p>
    <w:p w14:paraId="168A0139">
      <w:pPr>
        <w:shd w:val="clear" w:color="auto" w:fill="FFFFFF" w:themeFill="background1"/>
        <w:spacing w:line="360" w:lineRule="auto"/>
        <w:rPr>
          <w:rFonts w:ascii="宋体" w:hAnsi="宋体" w:cs="宋体"/>
          <w:b/>
          <w:bCs/>
          <w:color w:val="auto"/>
          <w:sz w:val="24"/>
          <w:highlight w:val="none"/>
        </w:rPr>
      </w:pPr>
      <w:bookmarkStart w:id="33" w:name="_Toc28359084"/>
      <w:bookmarkStart w:id="34" w:name="_Toc28359007"/>
      <w:bookmarkStart w:id="35" w:name="_Toc35393794"/>
      <w:bookmarkStart w:id="36" w:name="_Toc35393625"/>
      <w:r>
        <w:rPr>
          <w:rFonts w:hint="eastAsia" w:ascii="宋体" w:hAnsi="宋体" w:cs="宋体"/>
          <w:b/>
          <w:bCs/>
          <w:color w:val="auto"/>
          <w:sz w:val="24"/>
          <w:highlight w:val="none"/>
        </w:rPr>
        <w:t>五、公告期限</w:t>
      </w:r>
      <w:bookmarkEnd w:id="33"/>
      <w:bookmarkEnd w:id="34"/>
      <w:bookmarkEnd w:id="35"/>
      <w:bookmarkEnd w:id="36"/>
    </w:p>
    <w:p w14:paraId="08C15F74">
      <w:pPr>
        <w:shd w:val="clear" w:color="auto" w:fill="FFFFFF" w:themeFill="background1"/>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79C0C8E9">
      <w:pPr>
        <w:shd w:val="clear" w:color="auto" w:fill="FFFFFF" w:themeFill="background1"/>
        <w:spacing w:line="360" w:lineRule="auto"/>
        <w:rPr>
          <w:rFonts w:ascii="宋体" w:hAnsi="宋体" w:cs="宋体"/>
          <w:b/>
          <w:bCs/>
          <w:color w:val="auto"/>
          <w:sz w:val="24"/>
          <w:highlight w:val="none"/>
        </w:rPr>
      </w:pPr>
      <w:bookmarkStart w:id="37" w:name="_Toc35393626"/>
      <w:bookmarkStart w:id="38" w:name="_Toc35393795"/>
      <w:r>
        <w:rPr>
          <w:rFonts w:hint="eastAsia" w:ascii="宋体" w:hAnsi="宋体" w:cs="宋体"/>
          <w:b/>
          <w:bCs/>
          <w:color w:val="auto"/>
          <w:sz w:val="24"/>
          <w:highlight w:val="none"/>
        </w:rPr>
        <w:t>六、其他补充事宜</w:t>
      </w:r>
      <w:bookmarkEnd w:id="37"/>
      <w:bookmarkEnd w:id="38"/>
    </w:p>
    <w:p w14:paraId="055B7EA6">
      <w:pPr>
        <w:shd w:val="clear" w:color="auto" w:fill="FFFFFF" w:themeFill="background1"/>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1.投标保证金：</w:t>
      </w:r>
    </w:p>
    <w:p w14:paraId="7F809615">
      <w:pPr>
        <w:shd w:val="clear" w:color="auto" w:fill="FFFFFF" w:themeFill="background1"/>
        <w:spacing w:line="360" w:lineRule="auto"/>
        <w:ind w:firstLine="843" w:firstLineChars="400"/>
        <w:rPr>
          <w:rFonts w:ascii="宋体" w:hAnsi="宋体" w:cs="宋体"/>
          <w:b/>
          <w:bCs/>
          <w:color w:val="auto"/>
          <w:szCs w:val="21"/>
          <w:highlight w:val="none"/>
        </w:rPr>
      </w:pPr>
      <w:r>
        <w:rPr>
          <w:rFonts w:hint="eastAsia" w:ascii="宋体" w:hAnsi="宋体" w:cs="宋体"/>
          <w:b/>
          <w:bCs/>
          <w:color w:val="auto"/>
          <w:szCs w:val="21"/>
          <w:highlight w:val="none"/>
        </w:rPr>
        <w:t>□ 本项目不需要缴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rPr>
        <w:t>投标保证金。</w:t>
      </w:r>
    </w:p>
    <w:p w14:paraId="1D731F45">
      <w:pPr>
        <w:shd w:val="clear" w:color="auto" w:fill="FFFFFF" w:themeFill="background1"/>
        <w:spacing w:line="360" w:lineRule="auto"/>
        <w:ind w:firstLine="843" w:firstLineChars="400"/>
        <w:rPr>
          <w:rFonts w:ascii="宋体" w:hAnsi="宋体" w:cs="宋体"/>
          <w:b/>
          <w:bCs/>
          <w:color w:val="auto"/>
          <w:szCs w:val="21"/>
          <w:highlight w:val="none"/>
        </w:rPr>
      </w:pPr>
      <w:r>
        <w:rPr>
          <w:rFonts w:hint="eastAsia" w:ascii="宋体" w:hAnsi="宋体" w:cs="宋体"/>
          <w:b/>
          <w:bCs/>
          <w:color w:val="auto"/>
          <w:szCs w:val="21"/>
          <w:highlight w:val="none"/>
        </w:rPr>
        <w:t>☑ 本项目需要缴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rPr>
        <w:t>投标保证金，相关要求：</w:t>
      </w:r>
    </w:p>
    <w:p w14:paraId="388B839D">
      <w:pPr>
        <w:shd w:val="clear" w:color="auto" w:fill="FFFFFF" w:themeFill="background1"/>
        <w:spacing w:line="360" w:lineRule="auto"/>
        <w:ind w:firstLine="840" w:firstLineChars="400"/>
        <w:rPr>
          <w:rFonts w:hint="eastAsia" w:ascii="宋体" w:hAnsi="宋体" w:eastAsia="宋体" w:cs="宋体"/>
          <w:color w:val="auto"/>
          <w:szCs w:val="21"/>
          <w:highlight w:val="none"/>
          <w:u w:val="none"/>
          <w:lang w:eastAsia="zh-CN"/>
        </w:rPr>
      </w:pPr>
      <w:r>
        <w:rPr>
          <w:rFonts w:hint="eastAsia" w:ascii="宋体" w:hAnsi="宋体" w:cs="宋体"/>
          <w:color w:val="auto"/>
          <w:kern w:val="0"/>
          <w:szCs w:val="21"/>
          <w:highlight w:val="none"/>
        </w:rPr>
        <w:t>投标保证金金额：</w:t>
      </w:r>
      <w:r>
        <w:rPr>
          <w:rFonts w:hint="eastAsia" w:ascii="宋体" w:hAnsi="宋体" w:cs="宋体"/>
          <w:color w:val="auto"/>
          <w:szCs w:val="21"/>
          <w:highlight w:val="none"/>
          <w:u w:val="none"/>
        </w:rPr>
        <w:t>（大写）人民币</w:t>
      </w:r>
      <w:r>
        <w:rPr>
          <w:rFonts w:hint="eastAsia" w:ascii="宋体" w:hAnsi="宋体" w:cs="宋体"/>
          <w:color w:val="auto"/>
          <w:szCs w:val="21"/>
          <w:highlight w:val="none"/>
          <w:u w:val="none"/>
        </w:rPr>
        <w:fldChar w:fldCharType="begin"/>
      </w:r>
      <w:r>
        <w:rPr>
          <w:rFonts w:hint="eastAsia" w:ascii="宋体" w:hAnsi="宋体" w:cs="宋体"/>
          <w:color w:val="auto"/>
          <w:szCs w:val="21"/>
          <w:highlight w:val="none"/>
          <w:u w:val="none"/>
        </w:rPr>
        <w:instrText xml:space="preserve"> = 60000 \* CHINESENUM2 \* MERGEFORMAT </w:instrText>
      </w:r>
      <w:r>
        <w:rPr>
          <w:rFonts w:hint="eastAsia" w:ascii="宋体" w:hAnsi="宋体" w:cs="宋体"/>
          <w:color w:val="auto"/>
          <w:szCs w:val="21"/>
          <w:highlight w:val="none"/>
          <w:u w:val="none"/>
        </w:rPr>
        <w:fldChar w:fldCharType="separate"/>
      </w:r>
      <w:r>
        <w:rPr>
          <w:rFonts w:hint="eastAsia" w:ascii="宋体" w:hAnsi="宋体" w:cs="宋体"/>
          <w:color w:val="auto"/>
          <w:highlight w:val="none"/>
          <w:u w:val="none"/>
          <w:lang w:eastAsia="zh-CN"/>
        </w:rPr>
        <w:t>陆</w:t>
      </w:r>
      <w:r>
        <w:rPr>
          <w:rFonts w:hint="eastAsia" w:ascii="宋体" w:hAnsi="宋体" w:cs="宋体"/>
          <w:color w:val="auto"/>
          <w:highlight w:val="none"/>
          <w:u w:val="none"/>
        </w:rPr>
        <w:t>万</w:t>
      </w:r>
      <w:r>
        <w:rPr>
          <w:rFonts w:hint="eastAsia" w:ascii="宋体" w:hAnsi="宋体" w:cs="宋体"/>
          <w:color w:val="auto"/>
          <w:szCs w:val="21"/>
          <w:highlight w:val="none"/>
          <w:u w:val="none"/>
        </w:rPr>
        <w:fldChar w:fldCharType="end"/>
      </w:r>
      <w:r>
        <w:rPr>
          <w:rFonts w:hint="eastAsia" w:ascii="宋体" w:hAnsi="宋体" w:cs="宋体"/>
          <w:color w:val="auto"/>
          <w:szCs w:val="21"/>
          <w:highlight w:val="none"/>
          <w:u w:val="none"/>
        </w:rPr>
        <w:t>元整（小写）¥</w:t>
      </w:r>
      <w:r>
        <w:rPr>
          <w:rFonts w:hint="eastAsia" w:ascii="宋体" w:hAnsi="宋体" w:cs="宋体"/>
          <w:color w:val="auto"/>
          <w:szCs w:val="21"/>
          <w:highlight w:val="none"/>
          <w:u w:val="none"/>
          <w:lang w:val="en-US" w:eastAsia="zh-CN"/>
        </w:rPr>
        <w:t>60</w:t>
      </w:r>
      <w:r>
        <w:rPr>
          <w:rFonts w:hint="eastAsia" w:ascii="宋体" w:hAnsi="宋体" w:cs="宋体"/>
          <w:color w:val="auto"/>
          <w:szCs w:val="21"/>
          <w:highlight w:val="none"/>
          <w:u w:val="none"/>
        </w:rPr>
        <w:t>000.00</w:t>
      </w:r>
      <w:r>
        <w:rPr>
          <w:rFonts w:hint="eastAsia" w:ascii="宋体" w:hAnsi="宋体" w:cs="宋体"/>
          <w:color w:val="auto"/>
          <w:szCs w:val="21"/>
          <w:highlight w:val="none"/>
          <w:u w:val="none"/>
          <w:lang w:eastAsia="zh-CN"/>
        </w:rPr>
        <w:t>；</w:t>
      </w:r>
    </w:p>
    <w:p w14:paraId="6C9136D9">
      <w:pPr>
        <w:shd w:val="clear" w:color="auto" w:fill="FFFFFF" w:themeFill="background1"/>
        <w:spacing w:line="360" w:lineRule="auto"/>
        <w:ind w:firstLine="840" w:firstLineChars="400"/>
        <w:rPr>
          <w:rFonts w:ascii="宋体" w:hAnsi="宋体" w:cs="宋体"/>
          <w:color w:val="auto"/>
          <w:kern w:val="0"/>
          <w:szCs w:val="21"/>
          <w:highlight w:val="none"/>
          <w:u w:val="none"/>
        </w:rPr>
      </w:pPr>
      <w:r>
        <w:rPr>
          <w:rFonts w:hint="eastAsia" w:ascii="宋体" w:hAnsi="宋体" w:cs="宋体"/>
          <w:color w:val="auto"/>
          <w:kern w:val="0"/>
          <w:szCs w:val="21"/>
          <w:highlight w:val="none"/>
        </w:rPr>
        <w:t>投标保证金的缴纳方式：以银行转账、支票、汇票、本票或者金融机构、担保机构出具的保函等非现金形式提交。采用银行转账方式的，在投标截止时间前交至采购代理机构指定账户并且到账。缴纳投</w:t>
      </w:r>
      <w:r>
        <w:rPr>
          <w:rFonts w:hint="eastAsia" w:ascii="宋体" w:hAnsi="宋体" w:cs="宋体"/>
          <w:color w:val="auto"/>
          <w:kern w:val="0"/>
          <w:szCs w:val="21"/>
          <w:highlight w:val="none"/>
          <w:u w:val="none"/>
        </w:rPr>
        <w:t>标保证金指定账户的信息：</w:t>
      </w:r>
    </w:p>
    <w:p w14:paraId="20177778">
      <w:pPr>
        <w:shd w:val="clear" w:color="auto" w:fill="FFFFFF" w:themeFill="background1"/>
        <w:spacing w:line="360" w:lineRule="auto"/>
        <w:ind w:left="495" w:firstLine="420" w:firstLineChars="200"/>
        <w:rPr>
          <w:rFonts w:ascii="宋体" w:hAnsi="宋体" w:cs="宋体"/>
          <w:color w:val="auto"/>
          <w:kern w:val="0"/>
          <w:szCs w:val="21"/>
          <w:highlight w:val="none"/>
          <w:u w:val="none"/>
        </w:rPr>
      </w:pPr>
      <w:r>
        <w:rPr>
          <w:rFonts w:hint="eastAsia" w:ascii="宋体" w:hAnsi="宋体" w:cs="宋体"/>
          <w:color w:val="auto"/>
          <w:kern w:val="0"/>
          <w:szCs w:val="21"/>
          <w:highlight w:val="none"/>
          <w:u w:val="none"/>
        </w:rPr>
        <w:t>开户银行：招商银行南宁市</w:t>
      </w:r>
      <w:r>
        <w:rPr>
          <w:rFonts w:hint="eastAsia" w:ascii="宋体" w:hAnsi="宋体" w:cs="宋体"/>
          <w:color w:val="auto"/>
          <w:kern w:val="0"/>
          <w:szCs w:val="21"/>
          <w:highlight w:val="none"/>
          <w:u w:val="none"/>
          <w:lang w:val="en-US" w:eastAsia="zh-CN"/>
        </w:rPr>
        <w:t>金浦</w:t>
      </w:r>
      <w:r>
        <w:rPr>
          <w:rFonts w:hint="eastAsia" w:ascii="宋体" w:hAnsi="宋体" w:cs="宋体"/>
          <w:color w:val="auto"/>
          <w:kern w:val="0"/>
          <w:szCs w:val="21"/>
          <w:highlight w:val="none"/>
          <w:u w:val="none"/>
        </w:rPr>
        <w:t>路支行</w:t>
      </w:r>
    </w:p>
    <w:p w14:paraId="1B55F439">
      <w:pPr>
        <w:shd w:val="clear" w:color="auto" w:fill="FFFFFF" w:themeFill="background1"/>
        <w:spacing w:line="360" w:lineRule="auto"/>
        <w:ind w:left="495" w:firstLine="420" w:firstLineChars="200"/>
        <w:rPr>
          <w:rFonts w:ascii="宋体" w:hAnsi="宋体" w:cs="宋体"/>
          <w:color w:val="auto"/>
          <w:kern w:val="0"/>
          <w:szCs w:val="21"/>
          <w:highlight w:val="none"/>
          <w:u w:val="none"/>
        </w:rPr>
      </w:pPr>
      <w:r>
        <w:rPr>
          <w:rFonts w:hint="eastAsia" w:ascii="宋体" w:hAnsi="宋体" w:cs="宋体"/>
          <w:color w:val="auto"/>
          <w:kern w:val="0"/>
          <w:szCs w:val="21"/>
          <w:highlight w:val="none"/>
          <w:u w:val="none"/>
        </w:rPr>
        <w:t>开户名称：广西科联招标中心有限公司</w:t>
      </w:r>
    </w:p>
    <w:p w14:paraId="6C619661">
      <w:pPr>
        <w:shd w:val="clear" w:color="auto" w:fill="FFFFFF" w:themeFill="background1"/>
        <w:spacing w:line="360" w:lineRule="auto"/>
        <w:ind w:left="495" w:firstLine="420" w:firstLineChars="200"/>
        <w:rPr>
          <w:rFonts w:hint="eastAsia" w:ascii="宋体" w:hAnsi="宋体" w:cs="宋体"/>
          <w:color w:val="auto"/>
          <w:kern w:val="0"/>
          <w:szCs w:val="21"/>
          <w:highlight w:val="none"/>
          <w:u w:val="none"/>
          <w:lang w:val="en-US" w:eastAsia="zh-CN"/>
        </w:rPr>
      </w:pPr>
      <w:r>
        <w:rPr>
          <w:rFonts w:hint="eastAsia" w:ascii="宋体" w:hAnsi="宋体" w:cs="宋体"/>
          <w:color w:val="auto"/>
          <w:kern w:val="0"/>
          <w:szCs w:val="21"/>
          <w:highlight w:val="none"/>
        </w:rPr>
        <w:t>银行账号：7719011969103333000008360</w:t>
      </w:r>
    </w:p>
    <w:p w14:paraId="5EA8000F">
      <w:pPr>
        <w:shd w:val="clear" w:color="auto" w:fill="FFFFFF" w:themeFill="background1"/>
        <w:spacing w:line="360" w:lineRule="auto"/>
        <w:ind w:firstLine="840" w:firstLineChars="400"/>
        <w:rPr>
          <w:rFonts w:ascii="宋体" w:hAnsi="宋体" w:cs="宋体"/>
          <w:color w:val="auto"/>
          <w:highlight w:val="none"/>
        </w:rPr>
      </w:pPr>
      <w:r>
        <w:rPr>
          <w:rFonts w:hint="eastAsia" w:ascii="宋体" w:hAnsi="宋体" w:cs="宋体"/>
          <w:color w:val="auto"/>
          <w:kern w:val="0"/>
          <w:szCs w:val="21"/>
          <w:highlight w:val="none"/>
        </w:rPr>
        <w:t>采用支票、汇票、本票或者保函等方式的，在投标截止时间前，投标人必须递交单独密封的支票、汇票、本票或者保函（电子保函除外）等原件给采购代理机构。</w:t>
      </w:r>
      <w:r>
        <w:rPr>
          <w:rFonts w:hint="eastAsia" w:ascii="宋体" w:hAnsi="宋体" w:cs="宋体"/>
          <w:b/>
          <w:bCs/>
          <w:color w:val="auto"/>
          <w:kern w:val="0"/>
          <w:szCs w:val="21"/>
          <w:highlight w:val="none"/>
        </w:rPr>
        <w:t>否则视为无效投标保证金</w:t>
      </w:r>
      <w:r>
        <w:rPr>
          <w:rFonts w:hint="eastAsia" w:ascii="宋体" w:hAnsi="宋体" w:cs="宋体"/>
          <w:color w:val="auto"/>
          <w:kern w:val="0"/>
          <w:szCs w:val="21"/>
          <w:highlight w:val="none"/>
        </w:rPr>
        <w:t>。</w:t>
      </w:r>
    </w:p>
    <w:p w14:paraId="4BB7AE36">
      <w:pPr>
        <w:shd w:val="clear" w:color="auto" w:fill="FFFFFF" w:themeFill="background1"/>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2.网上查询地址</w:t>
      </w:r>
    </w:p>
    <w:p w14:paraId="713C5CCE">
      <w:pPr>
        <w:shd w:val="clear" w:color="auto" w:fill="FFFFFF" w:themeFill="background1"/>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http://www.ccgp-guangxi.gov.cn/ (中国政府采购网广西分网)、http://gxggzy.gxzf.gov.cn/（广西壮族自治区公共资源交易中心网站）。</w:t>
      </w:r>
    </w:p>
    <w:p w14:paraId="7B692833">
      <w:pPr>
        <w:shd w:val="clear" w:color="auto" w:fill="FFFFFF" w:themeFill="background1"/>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3.本项目需要落实的政府采购政策：</w:t>
      </w:r>
    </w:p>
    <w:p w14:paraId="22E728FB">
      <w:pPr>
        <w:shd w:val="clear" w:color="auto" w:fill="FFFFFF" w:themeFill="background1"/>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4A26CB03">
      <w:pPr>
        <w:shd w:val="clear" w:color="auto" w:fill="FFFFFF" w:themeFill="background1"/>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3EBEBABD">
      <w:pPr>
        <w:shd w:val="clear" w:color="auto" w:fill="FFFFFF" w:themeFill="background1"/>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5E847565">
      <w:pPr>
        <w:shd w:val="clear" w:color="auto" w:fill="FFFFFF" w:themeFill="background1"/>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665306D3">
      <w:pPr>
        <w:shd w:val="clear" w:color="auto" w:fill="FFFFFF" w:themeFill="background1"/>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p w14:paraId="349E769F">
      <w:pPr>
        <w:shd w:val="clear" w:color="auto" w:fill="FFFFFF" w:themeFill="background1"/>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8ECA8C7">
      <w:pPr>
        <w:shd w:val="clear" w:color="auto" w:fill="FFFFFF" w:themeFill="background1"/>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5.对在“信用中国”网站(www.creditchina.gov.cn) 、中国政府采购网(www.ccgp.gov.cn)被列入失信被执行人、</w:t>
      </w:r>
      <w:r>
        <w:rPr>
          <w:rFonts w:hint="eastAsia" w:ascii="宋体" w:hAnsi="宋体" w:cs="宋体"/>
          <w:color w:val="auto"/>
          <w:szCs w:val="21"/>
          <w:highlight w:val="none"/>
        </w:rPr>
        <w:t>重大税收违法失信主体</w:t>
      </w:r>
      <w:r>
        <w:rPr>
          <w:rFonts w:hint="eastAsia" w:ascii="宋体" w:hAnsi="宋体" w:cs="宋体"/>
          <w:color w:val="auto"/>
          <w:kern w:val="0"/>
          <w:szCs w:val="21"/>
          <w:highlight w:val="none"/>
        </w:rPr>
        <w:t>、政府采购严重违法失信行为记录名单及其他不符合《中华人民共和国政府采购法》第二十二条规定条件的供应商，不得参与政府采购活动。</w:t>
      </w:r>
    </w:p>
    <w:p w14:paraId="37301931">
      <w:pPr>
        <w:shd w:val="clear" w:color="auto" w:fill="FFFFFF" w:themeFill="background1"/>
        <w:spacing w:line="360" w:lineRule="auto"/>
        <w:ind w:firstLine="316" w:firstLineChars="150"/>
        <w:rPr>
          <w:rFonts w:ascii="宋体" w:hAnsi="宋体" w:cs="宋体"/>
          <w:color w:val="auto"/>
          <w:kern w:val="0"/>
          <w:szCs w:val="21"/>
          <w:highlight w:val="none"/>
        </w:rPr>
      </w:pPr>
      <w:r>
        <w:rPr>
          <w:rFonts w:hint="eastAsia" w:ascii="宋体" w:hAnsi="宋体" w:cs="宋体"/>
          <w:b/>
          <w:bCs/>
          <w:color w:val="auto"/>
          <w:kern w:val="0"/>
          <w:szCs w:val="21"/>
          <w:highlight w:val="none"/>
        </w:rPr>
        <w:t>6.</w:t>
      </w:r>
      <w:r>
        <w:rPr>
          <w:rFonts w:hint="eastAsia" w:ascii="宋体" w:hAnsi="宋体" w:cs="宋体"/>
          <w:b/>
          <w:bCs/>
          <w:color w:val="auto"/>
          <w:szCs w:val="21"/>
          <w:highlight w:val="none"/>
        </w:rPr>
        <w:t>在线投标的有关说明</w:t>
      </w:r>
      <w:r>
        <w:rPr>
          <w:rFonts w:hint="eastAsia" w:ascii="宋体" w:hAnsi="宋体" w:cs="宋体"/>
          <w:b/>
          <w:bCs/>
          <w:color w:val="auto"/>
          <w:kern w:val="0"/>
          <w:szCs w:val="21"/>
          <w:highlight w:val="none"/>
        </w:rPr>
        <w:t>：</w:t>
      </w:r>
    </w:p>
    <w:p w14:paraId="666ECC11">
      <w:pPr>
        <w:widowControl/>
        <w:shd w:val="clear" w:color="auto" w:fill="FFFFFF" w:themeFill="background1"/>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（1）投标文件提交方式：本项目为全流程电子化项目，通过</w:t>
      </w:r>
      <w:r>
        <w:rPr>
          <w:rFonts w:hint="eastAsia" w:ascii="宋体" w:hAnsi="宋体" w:cs="宋体"/>
          <w:color w:val="auto"/>
          <w:szCs w:val="21"/>
          <w:highlight w:val="none"/>
        </w:rPr>
        <w:t>广西政府采购云平台（https://www.gcy.zfcg.gxzf.gov.cn/）</w:t>
      </w:r>
      <w:r>
        <w:rPr>
          <w:rFonts w:hint="eastAsia" w:ascii="宋体" w:hAnsi="宋体"/>
          <w:color w:val="auto"/>
          <w:szCs w:val="21"/>
          <w:highlight w:val="none"/>
        </w:rPr>
        <w:t>实行在线电子投标，供应商应先安装</w:t>
      </w:r>
      <w:r>
        <w:rPr>
          <w:rFonts w:hint="eastAsia" w:ascii="宋体" w:hAnsi="宋体" w:cs="宋体"/>
          <w:color w:val="auto"/>
          <w:szCs w:val="21"/>
          <w:highlight w:val="none"/>
        </w:rPr>
        <w:t>广西政府采购云平台新版客户端（新版客户端下载路径：广西政府采购网（访问地址http://zfcg.gxzf.gov.cn/）—办事服务—下载专区）</w:t>
      </w:r>
      <w:r>
        <w:rPr>
          <w:rFonts w:hint="eastAsia" w:ascii="宋体" w:hAnsi="宋体"/>
          <w:color w:val="auto"/>
          <w:szCs w:val="21"/>
          <w:highlight w:val="none"/>
        </w:rPr>
        <w:t>，并按照本项目招标文件和</w:t>
      </w:r>
      <w:r>
        <w:rPr>
          <w:rFonts w:hint="eastAsia" w:ascii="宋体" w:hAnsi="宋体" w:cs="宋体"/>
          <w:color w:val="auto"/>
          <w:szCs w:val="21"/>
          <w:highlight w:val="none"/>
        </w:rPr>
        <w:t>广西政府采购云平台</w:t>
      </w:r>
      <w:r>
        <w:rPr>
          <w:rFonts w:hint="eastAsia" w:ascii="宋体" w:hAnsi="宋体"/>
          <w:color w:val="auto"/>
          <w:szCs w:val="21"/>
          <w:highlight w:val="none"/>
        </w:rPr>
        <w:t>的要求编制、加密后在投标截止时间前通过网络上传至</w:t>
      </w:r>
      <w:r>
        <w:rPr>
          <w:rFonts w:hint="eastAsia" w:ascii="宋体" w:hAnsi="宋体" w:cs="宋体"/>
          <w:color w:val="auto"/>
          <w:szCs w:val="21"/>
          <w:highlight w:val="none"/>
        </w:rPr>
        <w:t>广西政府采购云平台</w:t>
      </w:r>
      <w:r>
        <w:rPr>
          <w:rFonts w:hint="eastAsia" w:ascii="宋体" w:hAnsi="宋体"/>
          <w:color w:val="auto"/>
          <w:szCs w:val="21"/>
          <w:highlight w:val="none"/>
        </w:rPr>
        <w:t>，</w:t>
      </w:r>
      <w:r>
        <w:rPr>
          <w:rFonts w:hint="eastAsia" w:ascii="宋体" w:hAnsi="宋体"/>
          <w:b/>
          <w:bCs/>
          <w:color w:val="auto"/>
          <w:szCs w:val="21"/>
          <w:highlight w:val="none"/>
        </w:rPr>
        <w:t>投标人在</w:t>
      </w:r>
      <w:r>
        <w:rPr>
          <w:rFonts w:hint="eastAsia" w:ascii="宋体" w:hAnsi="宋体" w:cs="宋体"/>
          <w:color w:val="auto"/>
          <w:szCs w:val="21"/>
          <w:highlight w:val="none"/>
        </w:rPr>
        <w:t>广西政府采购云平台</w:t>
      </w:r>
      <w:r>
        <w:rPr>
          <w:rFonts w:hint="eastAsia" w:ascii="宋体" w:hAnsi="宋体"/>
          <w:b/>
          <w:bCs/>
          <w:color w:val="auto"/>
          <w:szCs w:val="21"/>
          <w:highlight w:val="none"/>
        </w:rPr>
        <w:t>提交电子版投标文件时，请填写参加远程开标活动经办人联系方式</w:t>
      </w:r>
      <w:r>
        <w:rPr>
          <w:rFonts w:hint="eastAsia" w:ascii="宋体" w:hAnsi="宋体"/>
          <w:color w:val="auto"/>
          <w:szCs w:val="21"/>
          <w:highlight w:val="none"/>
        </w:rPr>
        <w:t>。</w:t>
      </w:r>
    </w:p>
    <w:p w14:paraId="1BCE9E60">
      <w:pPr>
        <w:widowControl/>
        <w:shd w:val="clear" w:color="auto" w:fill="FFFFFF" w:themeFill="background1"/>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（2）未进行网上注册并办理数字证书（CA认证）的供应商将无法参与本项目政府采购活动，潜在投标人应当在投标截止时间前，完成电子交易平台上的CA数字证书办理及投标文件的提交。</w:t>
      </w:r>
    </w:p>
    <w:p w14:paraId="448C5B64">
      <w:pPr>
        <w:widowControl/>
        <w:shd w:val="clear" w:color="auto" w:fill="FFFFFF" w:themeFill="background1"/>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（3）为确保网上操作合法、有效和安全，请投标人确保在电子投标过程中能够对相关数据电文进行加密和使用电子签章，妥善保管CA数字证书并使用有效的CA数字证书参与整个招标活动。</w:t>
      </w:r>
    </w:p>
    <w:p w14:paraId="159FFBF9">
      <w:pPr>
        <w:shd w:val="clear" w:color="auto" w:fill="FFFFFF" w:themeFill="background1"/>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701F7245">
      <w:pPr>
        <w:shd w:val="clear" w:color="auto" w:fill="FFFFFF" w:themeFill="background1"/>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（4）CA证书在线解密：投标人投标时，需携带制作投标文件时用来加密的有效数字证书（CA认证）登录广西政府采购云平台电子开标大厅现场按规定时间对加密的投标文件进行解密。</w:t>
      </w:r>
    </w:p>
    <w:p w14:paraId="5040858D">
      <w:pPr>
        <w:shd w:val="clear" w:color="auto" w:fill="FFFFFF" w:themeFill="background1"/>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若对项目采购电子交易系统操作有疑问，可登录广西政府采购云平台（https://www.gcy.zfcg.gxzf.gov.cn/），点击右侧咨询小采，获取采小蜜智能服务管家帮助，或拨打广西政府采购云平台服务热线95763获取热线服务帮助。</w:t>
      </w:r>
    </w:p>
    <w:p w14:paraId="6BC88AB9">
      <w:pPr>
        <w:shd w:val="clear" w:color="auto" w:fill="FFFFFF" w:themeFill="background1"/>
        <w:spacing w:line="360" w:lineRule="auto"/>
        <w:rPr>
          <w:rFonts w:ascii="宋体" w:hAnsi="宋体" w:cs="宋体"/>
          <w:b/>
          <w:bCs/>
          <w:color w:val="auto"/>
          <w:sz w:val="24"/>
          <w:highlight w:val="none"/>
        </w:rPr>
      </w:pPr>
      <w:bookmarkStart w:id="39" w:name="_Toc28359008"/>
      <w:bookmarkStart w:id="40" w:name="_Toc35393627"/>
      <w:bookmarkStart w:id="41" w:name="_Toc28359085"/>
      <w:bookmarkStart w:id="42" w:name="_Toc35393796"/>
      <w:r>
        <w:rPr>
          <w:rFonts w:hint="eastAsia" w:ascii="宋体" w:hAnsi="宋体" w:cs="宋体"/>
          <w:b/>
          <w:bCs/>
          <w:color w:val="auto"/>
          <w:sz w:val="24"/>
          <w:highlight w:val="none"/>
        </w:rPr>
        <w:t>七、对本次招标提出询问，请按以下方式联系。</w:t>
      </w:r>
      <w:bookmarkEnd w:id="39"/>
      <w:bookmarkEnd w:id="40"/>
      <w:bookmarkEnd w:id="41"/>
      <w:bookmarkEnd w:id="42"/>
    </w:p>
    <w:p w14:paraId="74F9EEE5">
      <w:pPr>
        <w:shd w:val="clear" w:color="auto" w:fill="FFFFFF" w:themeFill="background1"/>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1.采购人信息</w:t>
      </w:r>
    </w:p>
    <w:p w14:paraId="36564F79">
      <w:pPr>
        <w:shd w:val="clear" w:color="auto" w:fill="FFFFFF" w:themeFill="background1"/>
        <w:spacing w:line="360" w:lineRule="auto"/>
        <w:ind w:firstLine="420" w:firstLineChars="2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名称：</w:t>
      </w:r>
      <w:r>
        <w:rPr>
          <w:rFonts w:hint="eastAsia" w:ascii="宋体" w:hAnsi="宋体" w:cs="宋体"/>
          <w:color w:val="auto"/>
          <w:kern w:val="0"/>
          <w:szCs w:val="21"/>
          <w:highlight w:val="none"/>
          <w:u w:val="single"/>
          <w:lang w:eastAsia="zh-CN"/>
        </w:rPr>
        <w:t>中国共产党广西壮族自治区委员会政法委员会</w:t>
      </w:r>
    </w:p>
    <w:p w14:paraId="33139960">
      <w:pPr>
        <w:shd w:val="clear" w:color="auto" w:fill="FFFFFF" w:themeFill="background1"/>
        <w:spacing w:line="360" w:lineRule="auto"/>
        <w:ind w:firstLine="420" w:firstLineChars="2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地址：</w:t>
      </w:r>
      <w:r>
        <w:rPr>
          <w:rFonts w:hint="eastAsia" w:ascii="宋体" w:hAnsi="宋体" w:cs="宋体"/>
          <w:color w:val="auto"/>
          <w:kern w:val="0"/>
          <w:szCs w:val="21"/>
          <w:highlight w:val="none"/>
          <w:u w:val="single"/>
          <w:lang w:val="en-US" w:eastAsia="zh-CN"/>
        </w:rPr>
        <w:t>广西南宁市南湖街道金洲路15号</w:t>
      </w:r>
    </w:p>
    <w:p w14:paraId="1E294B0B">
      <w:pPr>
        <w:shd w:val="clear" w:color="auto" w:fill="FFFFFF" w:themeFill="background1"/>
        <w:spacing w:line="360" w:lineRule="auto"/>
        <w:ind w:firstLine="420" w:firstLineChars="200"/>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联系方式：</w:t>
      </w:r>
      <w:r>
        <w:rPr>
          <w:rFonts w:hint="eastAsia" w:ascii="宋体" w:hAnsi="宋体" w:cs="宋体"/>
          <w:color w:val="auto"/>
          <w:kern w:val="0"/>
          <w:szCs w:val="21"/>
          <w:highlight w:val="none"/>
          <w:u w:val="single"/>
          <w:lang w:val="en-US" w:eastAsia="zh-CN"/>
        </w:rPr>
        <w:t>黎品玉</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u w:val="single"/>
          <w:lang w:val="en-US" w:eastAsia="zh-CN"/>
        </w:rPr>
        <w:t>0771-6119271</w:t>
      </w:r>
    </w:p>
    <w:p w14:paraId="7C4249A9">
      <w:pPr>
        <w:shd w:val="clear" w:color="auto" w:fill="FFFFFF" w:themeFill="background1"/>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2.采购代理机构信息</w:t>
      </w:r>
    </w:p>
    <w:p w14:paraId="4A2ED67C">
      <w:pPr>
        <w:shd w:val="clear" w:color="auto" w:fill="FFFFFF" w:themeFill="background1"/>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名称：</w:t>
      </w:r>
      <w:bookmarkStart w:id="43" w:name="PO_3000001866_PM031_1"/>
      <w:r>
        <w:rPr>
          <w:rFonts w:hint="eastAsia" w:ascii="宋体" w:hAnsi="宋体" w:cs="宋体"/>
          <w:color w:val="auto"/>
          <w:kern w:val="0"/>
          <w:szCs w:val="21"/>
          <w:highlight w:val="none"/>
          <w:u w:val="single"/>
        </w:rPr>
        <w:t>广西科联招标中心有限公司</w:t>
      </w:r>
      <w:bookmarkEnd w:id="43"/>
    </w:p>
    <w:p w14:paraId="0471F6EA">
      <w:pPr>
        <w:shd w:val="clear" w:color="auto" w:fill="FFFFFF" w:themeFill="background1"/>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地址：</w:t>
      </w:r>
      <w:bookmarkStart w:id="44" w:name="PO_3000001866_PM035_1"/>
      <w:r>
        <w:rPr>
          <w:rFonts w:hint="eastAsia" w:ascii="宋体" w:hAnsi="宋体" w:cs="宋体"/>
          <w:color w:val="auto"/>
          <w:kern w:val="0"/>
          <w:szCs w:val="21"/>
          <w:highlight w:val="none"/>
          <w:u w:val="single"/>
        </w:rPr>
        <w:t>广西南宁市大学东路170号</w:t>
      </w:r>
      <w:bookmarkEnd w:id="44"/>
    </w:p>
    <w:p w14:paraId="35A4BDD1">
      <w:pPr>
        <w:shd w:val="clear" w:color="auto" w:fill="FFFFFF" w:themeFill="background1"/>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联系方式：</w:t>
      </w:r>
      <w:r>
        <w:rPr>
          <w:rFonts w:hint="eastAsia" w:ascii="宋体" w:hAnsi="宋体" w:cs="宋体"/>
          <w:color w:val="auto"/>
          <w:kern w:val="0"/>
          <w:szCs w:val="21"/>
          <w:highlight w:val="none"/>
          <w:u w:val="single"/>
        </w:rPr>
        <w:t>0771-2273829</w:t>
      </w:r>
    </w:p>
    <w:p w14:paraId="777CB959">
      <w:pPr>
        <w:shd w:val="clear" w:color="auto" w:fill="FFFFFF" w:themeFill="background1"/>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3.项目联系方式</w:t>
      </w:r>
    </w:p>
    <w:p w14:paraId="6CFE795D">
      <w:pPr>
        <w:shd w:val="clear" w:color="auto" w:fill="FFFFFF" w:themeFill="background1"/>
        <w:spacing w:line="360" w:lineRule="auto"/>
        <w:ind w:firstLine="420" w:firstLineChars="200"/>
        <w:rPr>
          <w:rFonts w:ascii="宋体" w:hAnsi="宋体" w:cs="宋体"/>
          <w:color w:val="auto"/>
          <w:kern w:val="0"/>
          <w:szCs w:val="21"/>
          <w:highlight w:val="none"/>
          <w:u w:val="single"/>
        </w:rPr>
      </w:pPr>
      <w:r>
        <w:rPr>
          <w:rFonts w:hint="eastAsia" w:ascii="宋体" w:hAnsi="宋体" w:cs="宋体"/>
          <w:color w:val="auto"/>
          <w:kern w:val="0"/>
          <w:szCs w:val="21"/>
          <w:highlight w:val="none"/>
        </w:rPr>
        <w:t>项目联系人：</w:t>
      </w:r>
      <w:r>
        <w:rPr>
          <w:rFonts w:hint="eastAsia" w:ascii="宋体" w:hAnsi="宋体" w:cs="宋体"/>
          <w:color w:val="auto"/>
          <w:kern w:val="0"/>
          <w:szCs w:val="21"/>
          <w:highlight w:val="none"/>
          <w:u w:val="single"/>
        </w:rPr>
        <w:t>韦俊珉</w:t>
      </w:r>
    </w:p>
    <w:p w14:paraId="5EF500F8">
      <w:pPr>
        <w:shd w:val="clear" w:color="auto" w:fill="FFFFFF" w:themeFill="background1"/>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电  话：</w:t>
      </w:r>
      <w:bookmarkStart w:id="45" w:name="PO_3000001866_PM033"/>
      <w:r>
        <w:rPr>
          <w:rFonts w:hint="eastAsia" w:ascii="宋体" w:hAnsi="宋体" w:cs="宋体"/>
          <w:color w:val="auto"/>
          <w:kern w:val="0"/>
          <w:szCs w:val="21"/>
          <w:highlight w:val="none"/>
          <w:u w:val="single"/>
        </w:rPr>
        <w:t>0771-2273829</w:t>
      </w:r>
      <w:bookmarkEnd w:id="45"/>
    </w:p>
    <w:p w14:paraId="38DAADEC">
      <w:pPr>
        <w:shd w:val="clear" w:color="auto" w:fill="FFFFFF" w:themeFill="background1"/>
        <w:spacing w:line="360" w:lineRule="auto"/>
        <w:ind w:firstLine="420" w:firstLineChars="200"/>
        <w:rPr>
          <w:rFonts w:ascii="宋体" w:hAnsi="宋体" w:cs="宋体"/>
          <w:color w:val="auto"/>
          <w:kern w:val="0"/>
          <w:szCs w:val="21"/>
          <w:highlight w:val="none"/>
        </w:rPr>
      </w:pPr>
    </w:p>
    <w:p w14:paraId="5198AB29">
      <w:pPr>
        <w:shd w:val="clear" w:color="auto" w:fill="FFFFFF" w:themeFill="background1"/>
        <w:spacing w:line="360" w:lineRule="auto"/>
        <w:ind w:firstLine="420" w:firstLineChars="200"/>
        <w:rPr>
          <w:rFonts w:ascii="宋体" w:hAnsi="宋体" w:cs="宋体"/>
          <w:color w:val="auto"/>
          <w:kern w:val="0"/>
          <w:szCs w:val="21"/>
          <w:highlight w:val="none"/>
        </w:rPr>
      </w:pPr>
    </w:p>
    <w:p w14:paraId="0044A8BB">
      <w:pPr>
        <w:pStyle w:val="14"/>
        <w:shd w:val="clear" w:color="auto" w:fill="FFFFFF" w:themeFill="background1"/>
        <w:jc w:val="center"/>
        <w:outlineLvl w:val="0"/>
        <w:rPr>
          <w:rFonts w:hAnsi="宋体" w:cs="宋体"/>
          <w:b/>
          <w:color w:val="auto"/>
          <w:sz w:val="36"/>
          <w:highlight w:val="none"/>
        </w:rPr>
      </w:pPr>
      <w:bookmarkStart w:id="46" w:name="_Toc532545042"/>
      <w:bookmarkStart w:id="47" w:name="_Toc4483"/>
      <w:bookmarkStart w:id="48" w:name="_Toc28689"/>
      <w:bookmarkStart w:id="49" w:name="_Toc17621"/>
      <w:bookmarkStart w:id="50" w:name="_Toc32573"/>
      <w:bookmarkStart w:id="51" w:name="_Toc7686"/>
      <w:bookmarkStart w:id="52" w:name="_Toc937"/>
      <w:bookmarkStart w:id="53" w:name="_Toc13449"/>
      <w:bookmarkStart w:id="54" w:name="_Toc2299"/>
      <w:bookmarkStart w:id="55" w:name="_Toc7337"/>
      <w:bookmarkStart w:id="56" w:name="_Toc8382"/>
      <w:bookmarkStart w:id="57" w:name="_Toc22408"/>
      <w:bookmarkStart w:id="58" w:name="_Toc21081"/>
      <w:bookmarkStart w:id="59" w:name="_Toc24210"/>
    </w:p>
    <w:p w14:paraId="0CA1758B">
      <w:pPr>
        <w:pStyle w:val="14"/>
        <w:shd w:val="clear" w:color="auto" w:fill="FFFFFF" w:themeFill="background1"/>
        <w:jc w:val="center"/>
        <w:outlineLvl w:val="0"/>
        <w:rPr>
          <w:rFonts w:hAnsi="宋体" w:cs="宋体"/>
          <w:b/>
          <w:color w:val="auto"/>
          <w:sz w:val="36"/>
          <w:highlight w:val="none"/>
        </w:rPr>
      </w:pPr>
    </w:p>
    <w:p w14:paraId="5C3520DB">
      <w:pPr>
        <w:shd w:val="clear" w:color="auto" w:fill="FFFFFF" w:themeFill="background1"/>
        <w:rPr>
          <w:rFonts w:hAnsi="宋体" w:cs="宋体"/>
          <w:b/>
          <w:color w:val="auto"/>
          <w:sz w:val="36"/>
          <w:highlight w:val="none"/>
        </w:rPr>
      </w:pPr>
      <w:r>
        <w:rPr>
          <w:rFonts w:hint="eastAsia" w:hAnsi="宋体" w:cs="宋体"/>
          <w:b/>
          <w:color w:val="auto"/>
          <w:sz w:val="36"/>
          <w:highlight w:val="none"/>
        </w:rPr>
        <w:br w:type="page"/>
      </w:r>
    </w:p>
    <w:p w14:paraId="531F5F22">
      <w:pPr>
        <w:pStyle w:val="14"/>
        <w:shd w:val="clear" w:color="auto" w:fill="FFFFFF" w:themeFill="background1"/>
        <w:jc w:val="center"/>
        <w:outlineLvl w:val="0"/>
        <w:rPr>
          <w:rFonts w:hAnsi="宋体" w:cs="宋体"/>
          <w:b/>
          <w:color w:val="auto"/>
          <w:sz w:val="36"/>
          <w:highlight w:val="none"/>
        </w:rPr>
      </w:pPr>
      <w:r>
        <w:rPr>
          <w:rFonts w:hint="eastAsia" w:hAnsi="宋体" w:cs="宋体"/>
          <w:b/>
          <w:color w:val="auto"/>
          <w:sz w:val="36"/>
          <w:highlight w:val="none"/>
        </w:rPr>
        <w:t xml:space="preserve">第二章  </w:t>
      </w:r>
      <w:bookmarkEnd w:id="46"/>
      <w:r>
        <w:rPr>
          <w:rFonts w:hint="eastAsia" w:hAnsi="宋体" w:cs="宋体"/>
          <w:b/>
          <w:color w:val="auto"/>
          <w:sz w:val="36"/>
          <w:highlight w:val="none"/>
        </w:rPr>
        <w:t>采购需求</w:t>
      </w:r>
      <w:bookmarkEnd w:id="47"/>
      <w:bookmarkEnd w:id="48"/>
      <w:bookmarkEnd w:id="49"/>
      <w:bookmarkEnd w:id="50"/>
      <w:bookmarkEnd w:id="51"/>
      <w:bookmarkEnd w:id="52"/>
      <w:bookmarkEnd w:id="53"/>
      <w:bookmarkEnd w:id="54"/>
      <w:bookmarkEnd w:id="55"/>
      <w:bookmarkEnd w:id="56"/>
      <w:bookmarkEnd w:id="57"/>
      <w:bookmarkEnd w:id="58"/>
      <w:bookmarkEnd w:id="59"/>
    </w:p>
    <w:p w14:paraId="60E20AEC">
      <w:pPr>
        <w:shd w:val="clear" w:color="auto" w:fill="FFFFFF" w:themeFill="background1"/>
        <w:adjustRightInd w:val="0"/>
        <w:spacing w:line="340" w:lineRule="exact"/>
        <w:rPr>
          <w:rFonts w:ascii="宋体" w:hAnsi="宋体" w:cs="宋体"/>
          <w:b/>
          <w:color w:val="auto"/>
          <w:szCs w:val="21"/>
          <w:highlight w:val="none"/>
        </w:rPr>
      </w:pPr>
    </w:p>
    <w:p w14:paraId="78513307">
      <w:pPr>
        <w:shd w:val="clear" w:color="auto" w:fill="FFFFFF" w:themeFill="background1"/>
        <w:adjustRightInd w:val="0"/>
        <w:spacing w:line="500" w:lineRule="exact"/>
        <w:rPr>
          <w:rFonts w:ascii="宋体" w:hAnsi="宋体" w:cs="宋体"/>
          <w:b/>
          <w:color w:val="auto"/>
          <w:szCs w:val="21"/>
          <w:highlight w:val="none"/>
        </w:rPr>
      </w:pPr>
      <w:r>
        <w:rPr>
          <w:rFonts w:hint="eastAsia" w:ascii="宋体" w:hAnsi="宋体" w:cs="宋体"/>
          <w:b/>
          <w:color w:val="auto"/>
          <w:szCs w:val="21"/>
          <w:highlight w:val="none"/>
        </w:rPr>
        <w:t>说明：</w:t>
      </w:r>
    </w:p>
    <w:p w14:paraId="1740033B">
      <w:pPr>
        <w:shd w:val="clear" w:color="auto" w:fill="FFFFFF" w:themeFill="background1"/>
        <w:spacing w:line="500" w:lineRule="exact"/>
        <w:ind w:firstLine="424" w:firstLineChars="202"/>
        <w:jc w:val="left"/>
        <w:rPr>
          <w:rFonts w:hint="eastAsia" w:ascii="宋体" w:hAnsi="宋体" w:cs="宋体" w:eastAsiaTheme="minorEastAsia"/>
          <w:color w:val="auto"/>
          <w:highlight w:val="none"/>
          <w:lang w:eastAsia="zh-CN"/>
        </w:rPr>
      </w:pPr>
      <w:r>
        <w:rPr>
          <w:rFonts w:hint="eastAsia" w:ascii="宋体" w:hAnsi="宋体" w:cs="宋体"/>
          <w:color w:val="auto"/>
          <w:highlight w:val="none"/>
        </w:rPr>
        <w:t>1. 为落实政府采购政策需满足的要求：本招标文件所称中小企业必须符合《政府采购促进中小企业发展管理办法》（财库〔2020〕46号）的规定。</w:t>
      </w:r>
      <w:r>
        <w:rPr>
          <w:rFonts w:hint="eastAsia" w:asciiTheme="minorEastAsia" w:hAnsiTheme="minorEastAsia" w:eastAsiaTheme="minorEastAsia"/>
          <w:b/>
          <w:color w:val="auto"/>
          <w:highlight w:val="none"/>
        </w:rPr>
        <w:t>【本次项目采用固定价格采购，固定经费为人民币600万元整，依据《政府采购货物和服务招标投标管理办法》（财政部令第87号）第五十五条，本次项目价格不列为评审因素】</w:t>
      </w:r>
      <w:r>
        <w:rPr>
          <w:rFonts w:hint="eastAsia" w:asciiTheme="minorEastAsia" w:hAnsiTheme="minorEastAsia" w:eastAsiaTheme="minorEastAsia"/>
          <w:b/>
          <w:color w:val="auto"/>
          <w:highlight w:val="none"/>
          <w:lang w:eastAsia="zh-CN"/>
        </w:rPr>
        <w:t>。</w:t>
      </w:r>
    </w:p>
    <w:p w14:paraId="2C1F0305">
      <w:pPr>
        <w:shd w:val="clear" w:color="auto" w:fill="FFFFFF" w:themeFill="background1"/>
        <w:spacing w:line="500" w:lineRule="exact"/>
        <w:ind w:firstLine="424" w:firstLineChars="202"/>
        <w:jc w:val="left"/>
        <w:rPr>
          <w:rFonts w:ascii="宋体" w:hAnsi="宋体" w:cs="宋体"/>
          <w:color w:val="auto"/>
          <w:highlight w:val="none"/>
        </w:rPr>
      </w:pPr>
      <w:r>
        <w:rPr>
          <w:rFonts w:hint="eastAsia" w:ascii="宋体" w:hAnsi="宋体" w:cs="宋体"/>
          <w:color w:val="auto"/>
          <w:highlight w:val="none"/>
        </w:rPr>
        <w:t>2.“实质性要求”是指招标文件中已经指明不满足则投标无效的条款，或者不能负偏离的条款，或者采购需求中带“▲”的条款。</w:t>
      </w:r>
    </w:p>
    <w:p w14:paraId="19EF4ECF">
      <w:pPr>
        <w:shd w:val="clear" w:color="auto" w:fill="FFFFFF" w:themeFill="background1"/>
        <w:spacing w:line="500" w:lineRule="exact"/>
        <w:ind w:firstLine="424" w:firstLineChars="202"/>
        <w:jc w:val="left"/>
        <w:rPr>
          <w:rFonts w:ascii="宋体" w:hAnsi="宋体" w:cs="宋体"/>
          <w:color w:val="auto"/>
          <w:highlight w:val="none"/>
        </w:rPr>
      </w:pPr>
      <w:r>
        <w:rPr>
          <w:rFonts w:hint="eastAsia" w:ascii="宋体" w:hAnsi="宋体" w:cs="宋体"/>
          <w:color w:val="auto"/>
          <w:highlight w:val="none"/>
        </w:rPr>
        <w:t>3.投标人必须对投标文件中提供的证明材料和资质文件真实性负责，如出现虚假应标情况，投标人除了应接受有关部门的处罚外，还应依据《中华人民共和国民法典》的相关条款来进行赔偿。</w:t>
      </w:r>
    </w:p>
    <w:p w14:paraId="763BCCA8">
      <w:pPr>
        <w:shd w:val="clear" w:color="auto" w:fill="FFFFFF" w:themeFill="background1"/>
        <w:spacing w:line="500" w:lineRule="exact"/>
        <w:ind w:firstLine="424" w:firstLineChars="202"/>
        <w:jc w:val="left"/>
        <w:rPr>
          <w:rFonts w:ascii="宋体" w:hAnsi="宋体" w:cs="宋体"/>
          <w:color w:val="auto"/>
          <w:highlight w:val="none"/>
        </w:rPr>
      </w:pPr>
      <w:r>
        <w:rPr>
          <w:rFonts w:hint="eastAsia" w:ascii="宋体" w:hAnsi="宋体" w:cs="宋体"/>
          <w:color w:val="auto"/>
          <w:highlight w:val="none"/>
        </w:rPr>
        <w:t>4.投标人应对投标内容所涉及的专利承担法律责任，并负责保护采购人的利益不受任何损害。一切由于文字、商标、技术和软件专利授权引起的法律裁决、诉讼和赔偿费用均由中标人负责。</w:t>
      </w:r>
    </w:p>
    <w:p w14:paraId="2BC773F4">
      <w:pPr>
        <w:shd w:val="clear" w:color="auto" w:fill="FFFFFF" w:themeFill="background1"/>
        <w:spacing w:line="500" w:lineRule="exact"/>
        <w:ind w:firstLine="424" w:firstLineChars="202"/>
        <w:jc w:val="left"/>
        <w:rPr>
          <w:rFonts w:ascii="宋体" w:hAnsi="宋体" w:cs="宋体"/>
          <w:color w:val="auto"/>
          <w:highlight w:val="none"/>
        </w:rPr>
      </w:pPr>
      <w:r>
        <w:rPr>
          <w:rFonts w:hint="eastAsia" w:ascii="宋体" w:hAnsi="宋体" w:cs="宋体"/>
          <w:color w:val="auto"/>
          <w:highlight w:val="none"/>
        </w:rPr>
        <w:t>5.采购内容所属行业：保险业金融机构。</w:t>
      </w:r>
    </w:p>
    <w:p w14:paraId="68160C44">
      <w:pPr>
        <w:pStyle w:val="16"/>
        <w:shd w:val="clear" w:color="auto" w:fill="FFFFFF" w:themeFill="background1"/>
        <w:rPr>
          <w:rFonts w:ascii="宋体" w:hAnsi="宋体" w:cs="宋体"/>
          <w:color w:val="auto"/>
          <w:highlight w:val="none"/>
        </w:rPr>
      </w:pPr>
    </w:p>
    <w:tbl>
      <w:tblPr>
        <w:tblStyle w:val="25"/>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2"/>
        <w:gridCol w:w="1206"/>
        <w:gridCol w:w="719"/>
        <w:gridCol w:w="709"/>
        <w:gridCol w:w="6779"/>
      </w:tblGrid>
      <w:tr w14:paraId="38913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EC3D0C">
            <w:pPr>
              <w:keepNext w:val="0"/>
              <w:keepLines w:val="0"/>
              <w:pageBreakBefore w:val="0"/>
              <w:tabs>
                <w:tab w:val="left" w:pos="180"/>
                <w:tab w:val="left" w:pos="1620"/>
              </w:tabs>
              <w:kinsoku/>
              <w:wordWrap/>
              <w:overflowPunct/>
              <w:topLinePunct w:val="0"/>
              <w:autoSpaceDE/>
              <w:autoSpaceDN/>
              <w:bidi w:val="0"/>
              <w:adjustRightInd/>
              <w:spacing w:line="360" w:lineRule="exact"/>
              <w:jc w:val="both"/>
              <w:textAlignment w:val="auto"/>
              <w:rPr>
                <w:rFonts w:hint="eastAsia" w:ascii="宋体" w:hAnsi="宋体" w:eastAsia="宋体" w:cs="宋体"/>
                <w:color w:val="auto"/>
                <w:szCs w:val="21"/>
                <w:highlight w:val="none"/>
                <w:lang w:eastAsia="zh-CN"/>
              </w:rPr>
            </w:pPr>
            <w:r>
              <w:rPr>
                <w:rFonts w:hint="eastAsia" w:ascii="宋体" w:hAnsi="宋体" w:eastAsia="宋体" w:cs="宋体"/>
                <w:b/>
                <w:bCs/>
                <w:color w:val="auto"/>
                <w:szCs w:val="21"/>
                <w:highlight w:val="none"/>
                <w:lang w:eastAsia="zh-CN"/>
              </w:rPr>
              <w:t>一、需求一览表</w:t>
            </w:r>
          </w:p>
        </w:tc>
      </w:tr>
      <w:tr w14:paraId="1A2AB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8B2A4">
            <w:pPr>
              <w:keepNext w:val="0"/>
              <w:keepLines w:val="0"/>
              <w:pageBreakBefore w:val="0"/>
              <w:tabs>
                <w:tab w:val="left" w:pos="180"/>
                <w:tab w:val="left" w:pos="1620"/>
              </w:tabs>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序号</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AA7BE">
            <w:pPr>
              <w:keepNext w:val="0"/>
              <w:keepLines w:val="0"/>
              <w:pageBreakBefore w:val="0"/>
              <w:tabs>
                <w:tab w:val="left" w:pos="180"/>
                <w:tab w:val="left" w:pos="1620"/>
              </w:tabs>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标的的名称</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457E4">
            <w:pPr>
              <w:keepNext w:val="0"/>
              <w:keepLines w:val="0"/>
              <w:pageBreakBefore w:val="0"/>
              <w:tabs>
                <w:tab w:val="left" w:pos="180"/>
                <w:tab w:val="left" w:pos="1620"/>
              </w:tabs>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数量及单位</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9619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Cs w:val="21"/>
                <w:highlight w:val="none"/>
              </w:rPr>
              <w:t>所属行业</w:t>
            </w:r>
          </w:p>
        </w:tc>
        <w:tc>
          <w:tcPr>
            <w:tcW w:w="3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E8B87">
            <w:pPr>
              <w:keepNext w:val="0"/>
              <w:keepLines w:val="0"/>
              <w:pageBreakBefore w:val="0"/>
              <w:tabs>
                <w:tab w:val="left" w:pos="180"/>
                <w:tab w:val="left" w:pos="1620"/>
              </w:tabs>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▲一、</w:t>
            </w:r>
            <w:r>
              <w:rPr>
                <w:rFonts w:hint="eastAsia" w:ascii="宋体" w:hAnsi="宋体" w:eastAsia="宋体" w:cs="宋体"/>
                <w:color w:val="auto"/>
                <w:szCs w:val="21"/>
                <w:highlight w:val="none"/>
                <w:lang w:val="en-US" w:eastAsia="zh-CN"/>
              </w:rPr>
              <w:t>项目</w:t>
            </w:r>
            <w:r>
              <w:rPr>
                <w:rFonts w:hint="eastAsia" w:ascii="宋体" w:hAnsi="宋体" w:eastAsia="宋体" w:cs="宋体"/>
                <w:color w:val="auto"/>
                <w:szCs w:val="21"/>
                <w:highlight w:val="none"/>
                <w:lang w:eastAsia="zh-CN"/>
              </w:rPr>
              <w:t>需求</w:t>
            </w:r>
          </w:p>
        </w:tc>
      </w:tr>
      <w:tr w14:paraId="51926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03518">
            <w:pPr>
              <w:keepNext w:val="0"/>
              <w:keepLines w:val="0"/>
              <w:pageBreakBefore w:val="0"/>
              <w:tabs>
                <w:tab w:val="left" w:pos="180"/>
                <w:tab w:val="left" w:pos="1620"/>
              </w:tabs>
              <w:kinsoku/>
              <w:wordWrap/>
              <w:overflowPunct/>
              <w:topLinePunct w:val="0"/>
              <w:autoSpaceDE/>
              <w:autoSpaceDN/>
              <w:bidi w:val="0"/>
              <w:adjustRightInd/>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C908C">
            <w:pPr>
              <w:keepNext w:val="0"/>
              <w:keepLines w:val="0"/>
              <w:pageBreakBefore w:val="0"/>
              <w:tabs>
                <w:tab w:val="left" w:pos="180"/>
                <w:tab w:val="left" w:pos="1620"/>
              </w:tabs>
              <w:kinsoku/>
              <w:wordWrap/>
              <w:overflowPunct/>
              <w:topLinePunct w:val="0"/>
              <w:autoSpaceDE/>
              <w:autoSpaceDN/>
              <w:bidi w:val="0"/>
              <w:adjustRightInd/>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广西壮族自治区见义勇为人员人身意外伤害无记名保险项目</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50BE3">
            <w:pPr>
              <w:keepNext w:val="0"/>
              <w:keepLines w:val="0"/>
              <w:pageBreakBefore w:val="0"/>
              <w:tabs>
                <w:tab w:val="left" w:pos="180"/>
                <w:tab w:val="left" w:pos="1620"/>
              </w:tabs>
              <w:kinsoku/>
              <w:wordWrap/>
              <w:overflowPunct/>
              <w:topLinePunct w:val="0"/>
              <w:autoSpaceDE/>
              <w:autoSpaceDN/>
              <w:bidi w:val="0"/>
              <w:adjustRightInd/>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1项</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5C663">
            <w:pPr>
              <w:pStyle w:val="10"/>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保险业金融机构</w:t>
            </w:r>
          </w:p>
        </w:tc>
        <w:tc>
          <w:tcPr>
            <w:tcW w:w="3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0177D">
            <w:pPr>
              <w:pStyle w:val="2"/>
              <w:keepNext w:val="0"/>
              <w:keepLines w:val="0"/>
              <w:pageBreakBefore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（一）采购标的需实现的主要功能或者目标：切实解决见义勇为人员及家属的后顾之忧，真正做到不让“英雄流血又流泪”，为见义勇为人员提供保障。</w:t>
            </w:r>
          </w:p>
          <w:p w14:paraId="4C23C6BA">
            <w:pPr>
              <w:pStyle w:val="2"/>
              <w:keepNext w:val="0"/>
              <w:keepLines w:val="0"/>
              <w:pageBreakBefore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（二）</w:t>
            </w:r>
            <w:r>
              <w:rPr>
                <w:rFonts w:hint="eastAsia" w:ascii="宋体" w:hAnsi="宋体" w:eastAsia="宋体" w:cs="宋体"/>
                <w:color w:val="auto"/>
                <w:szCs w:val="21"/>
                <w:highlight w:val="none"/>
              </w:rPr>
              <w:t>投保人：中国共产党广西壮族自治区委员会政法委员会。</w:t>
            </w:r>
          </w:p>
          <w:p w14:paraId="595227B7">
            <w:pPr>
              <w:pStyle w:val="2"/>
              <w:keepNext w:val="0"/>
              <w:keepLines w:val="0"/>
              <w:pageBreakBefore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三）被保险人：在广西壮族自治区行政区域内，没有法定或者约定义务，为保护国家利益、集体利益、社会公共利益和他人人身财产权益的公民，在此过程中遭受伤害导致伤残或死亡，经县（区）级或以上社会治安综合治理统筹部门按照《广西壮族自治区见义勇为人员奖励和保护条例》和有关法规认定为见义勇为的伤亡人员，为本保险的被保险人。</w:t>
            </w:r>
          </w:p>
          <w:p w14:paraId="3BC409ED">
            <w:pPr>
              <w:pStyle w:val="2"/>
              <w:keepNext w:val="0"/>
              <w:keepLines w:val="0"/>
              <w:pageBreakBefore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（四）保险人：是指与投保人订立保险合同，并按照合同约定承担赔偿或者给付保险金责任的中标人（保险公司）。</w:t>
            </w:r>
          </w:p>
          <w:p w14:paraId="36A67C68">
            <w:pPr>
              <w:pStyle w:val="2"/>
              <w:keepNext w:val="0"/>
              <w:keepLines w:val="0"/>
              <w:pageBreakBefore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（五）保险期限：两年，为接续上一期广西见义勇为人员人身意外伤害无记名保险合同，实际服务期从</w:t>
            </w:r>
            <w:r>
              <w:rPr>
                <w:rFonts w:hint="eastAsia" w:ascii="宋体" w:hAnsi="宋体" w:eastAsia="宋体" w:cs="宋体"/>
                <w:color w:val="auto"/>
                <w:szCs w:val="21"/>
                <w:highlight w:val="none"/>
                <w:lang w:val="en-GB" w:eastAsia="zh-CN"/>
              </w:rPr>
              <w:t>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en-GB" w:eastAsia="zh-CN"/>
              </w:rPr>
              <w:t>年</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val="en-GB" w:eastAsia="zh-CN"/>
              </w:rPr>
              <w:t>月1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en-GB" w:eastAsia="zh-CN"/>
              </w:rPr>
              <w:t>日零时起至202</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val="en-GB" w:eastAsia="zh-CN"/>
              </w:rPr>
              <w:t>年</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val="en-GB" w:eastAsia="zh-CN"/>
              </w:rPr>
              <w:t>月</w:t>
            </w: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lang w:val="en-GB" w:eastAsia="zh-CN"/>
              </w:rPr>
              <w:t>日24时止。</w:t>
            </w:r>
          </w:p>
          <w:p w14:paraId="582B14D6">
            <w:pPr>
              <w:pStyle w:val="2"/>
              <w:keepNext w:val="0"/>
              <w:keepLines w:val="0"/>
              <w:pageBreakBefore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六</w:t>
            </w:r>
            <w:r>
              <w:rPr>
                <w:rFonts w:hint="eastAsia" w:ascii="宋体" w:hAnsi="宋体" w:eastAsia="宋体" w:cs="宋体"/>
                <w:color w:val="auto"/>
                <w:szCs w:val="21"/>
                <w:highlight w:val="none"/>
              </w:rPr>
              <w:t>）保费金额：每年300万元人民币，两年共计600万元。</w:t>
            </w:r>
          </w:p>
          <w:p w14:paraId="4C410E64">
            <w:pPr>
              <w:pStyle w:val="2"/>
              <w:keepNext w:val="0"/>
              <w:keepLines w:val="0"/>
              <w:pageBreakBefore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七</w:t>
            </w:r>
            <w:r>
              <w:rPr>
                <w:rFonts w:hint="eastAsia" w:ascii="宋体" w:hAnsi="宋体" w:eastAsia="宋体" w:cs="宋体"/>
                <w:color w:val="auto"/>
                <w:szCs w:val="21"/>
                <w:highlight w:val="none"/>
              </w:rPr>
              <w:t>）保险责任</w:t>
            </w:r>
          </w:p>
          <w:p w14:paraId="18CD6CF2">
            <w:pPr>
              <w:pStyle w:val="2"/>
              <w:keepNext w:val="0"/>
              <w:keepLines w:val="0"/>
              <w:pageBreakBefore w:val="0"/>
              <w:kinsoku/>
              <w:wordWrap/>
              <w:overflowPunct/>
              <w:topLinePunct w:val="0"/>
              <w:autoSpaceDE/>
              <w:autoSpaceDN/>
              <w:bidi w:val="0"/>
              <w:adjustRightInd/>
              <w:spacing w:line="360" w:lineRule="exact"/>
              <w:ind w:firstLine="42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1.符合《人身意外伤害保险业务经营标准》（保监发〔2009〕91号）的相关规定；其中被保险人无年龄限制。</w:t>
            </w:r>
          </w:p>
          <w:p w14:paraId="2D69F645">
            <w:pPr>
              <w:pStyle w:val="2"/>
              <w:keepNext w:val="0"/>
              <w:keepLines w:val="0"/>
              <w:pageBreakBefore w:val="0"/>
              <w:kinsoku/>
              <w:wordWrap/>
              <w:overflowPunct/>
              <w:topLinePunct w:val="0"/>
              <w:autoSpaceDE/>
              <w:autoSpaceDN/>
              <w:bidi w:val="0"/>
              <w:adjustRightInd/>
              <w:spacing w:line="360" w:lineRule="exact"/>
              <w:ind w:firstLine="42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保险有效期间，在广西壮族自治区行政区域内，没有法定或者约定义务，为保护国家利益、集体利益、社会公共利益和他人人身财产权益的公民，在此过程中遭受伤害导致伤残或死亡，经县（区）级社会治安综合治理统筹部门认定，报市级社会治安综合治理统筹部门审核同意，保险人根据保险合同协议的规定对其所造成的伤残或死亡给付保险金以及相应的医疗费用和住院医疗津贴。</w:t>
            </w:r>
          </w:p>
          <w:p w14:paraId="105259C1">
            <w:pPr>
              <w:pStyle w:val="2"/>
              <w:keepNext w:val="0"/>
              <w:keepLines w:val="0"/>
              <w:pageBreakBefore w:val="0"/>
              <w:kinsoku/>
              <w:wordWrap/>
              <w:overflowPunct/>
              <w:topLinePunct w:val="0"/>
              <w:autoSpaceDE/>
              <w:autoSpaceDN/>
              <w:bidi w:val="0"/>
              <w:adjustRightInd/>
              <w:spacing w:line="36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八</w:t>
            </w:r>
            <w:r>
              <w:rPr>
                <w:rFonts w:hint="eastAsia" w:ascii="宋体" w:hAnsi="宋体" w:eastAsia="宋体" w:cs="宋体"/>
                <w:color w:val="auto"/>
                <w:szCs w:val="21"/>
                <w:highlight w:val="none"/>
              </w:rPr>
              <w:t>）保险金额</w:t>
            </w:r>
          </w:p>
          <w:p w14:paraId="0BAD4A87">
            <w:pPr>
              <w:keepNext w:val="0"/>
              <w:keepLines w:val="0"/>
              <w:pageBreakBefore w:val="0"/>
              <w:kinsoku/>
              <w:wordWrap/>
              <w:overflowPunct/>
              <w:topLinePunct w:val="0"/>
              <w:autoSpaceDE/>
              <w:autoSpaceDN/>
              <w:bidi w:val="0"/>
              <w:adjustRightInd/>
              <w:spacing w:line="360" w:lineRule="exact"/>
              <w:ind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US" w:eastAsia="zh-CN"/>
              </w:rPr>
              <w:t>意外身故保险金额</w:t>
            </w:r>
            <w:r>
              <w:rPr>
                <w:rFonts w:hint="eastAsia" w:asciiTheme="minorEastAsia" w:hAnsiTheme="minorEastAsia" w:eastAsiaTheme="minorEastAsia" w:cstheme="minorEastAsia"/>
                <w:color w:val="auto"/>
                <w:szCs w:val="21"/>
                <w:highlight w:val="none"/>
              </w:rPr>
              <w:t>：每人60万元人民币。</w:t>
            </w:r>
          </w:p>
          <w:p w14:paraId="24CB1D45">
            <w:pPr>
              <w:keepNext w:val="0"/>
              <w:keepLines w:val="0"/>
              <w:pageBreakBefore w:val="0"/>
              <w:kinsoku/>
              <w:wordWrap/>
              <w:overflowPunct/>
              <w:topLinePunct w:val="0"/>
              <w:autoSpaceDE/>
              <w:autoSpaceDN/>
              <w:bidi w:val="0"/>
              <w:adjustRightInd/>
              <w:spacing w:line="36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在保险期限内，被保险人因见义勇为而遭受意外伤害事故，并自事故发生之日起180日内死亡，保险人赔付人民币60万元身故保险金。</w:t>
            </w:r>
          </w:p>
          <w:p w14:paraId="3EDE4FF7">
            <w:pPr>
              <w:keepNext w:val="0"/>
              <w:keepLines w:val="0"/>
              <w:pageBreakBefore w:val="0"/>
              <w:kinsoku/>
              <w:wordWrap/>
              <w:overflowPunct/>
              <w:topLinePunct w:val="0"/>
              <w:autoSpaceDE/>
              <w:autoSpaceDN/>
              <w:bidi w:val="0"/>
              <w:adjustRightInd/>
              <w:spacing w:line="36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lang w:val="en-US" w:eastAsia="zh-CN"/>
              </w:rPr>
              <w:t>意外残疾保险金额</w:t>
            </w:r>
            <w:r>
              <w:rPr>
                <w:rFonts w:hint="eastAsia" w:asciiTheme="minorEastAsia" w:hAnsiTheme="minorEastAsia" w:eastAsiaTheme="minorEastAsia" w:cstheme="minorEastAsia"/>
                <w:color w:val="auto"/>
                <w:szCs w:val="21"/>
                <w:highlight w:val="none"/>
              </w:rPr>
              <w:t>：每人不超过60万元人民币。</w:t>
            </w:r>
          </w:p>
          <w:p w14:paraId="71DC1861">
            <w:pPr>
              <w:keepNext w:val="0"/>
              <w:keepLines w:val="0"/>
              <w:pageBreakBefore w:val="0"/>
              <w:kinsoku/>
              <w:wordWrap/>
              <w:overflowPunct/>
              <w:topLinePunct w:val="0"/>
              <w:autoSpaceDE/>
              <w:autoSpaceDN/>
              <w:bidi w:val="0"/>
              <w:adjustRightInd/>
              <w:spacing w:line="36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在保险期限内，被保险人因见义勇为而遭受意外伤害事故，并自事故发生之日起180日内残疾，保险人按《人身保险残疾程度与保险金给付比例表》规定给付残疾保险金，最高达60万元人民币。</w:t>
            </w:r>
          </w:p>
          <w:p w14:paraId="6588A144">
            <w:pPr>
              <w:keepNext w:val="0"/>
              <w:keepLines w:val="0"/>
              <w:pageBreakBefore w:val="0"/>
              <w:kinsoku/>
              <w:wordWrap/>
              <w:overflowPunct/>
              <w:topLinePunct w:val="0"/>
              <w:autoSpaceDE/>
              <w:autoSpaceDN/>
              <w:bidi w:val="0"/>
              <w:adjustRightInd/>
              <w:spacing w:line="36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r>
              <w:rPr>
                <w:rFonts w:hint="eastAsia" w:asciiTheme="minorEastAsia" w:hAnsiTheme="minorEastAsia" w:eastAsiaTheme="minorEastAsia" w:cstheme="minorEastAsia"/>
                <w:color w:val="auto"/>
                <w:szCs w:val="21"/>
                <w:highlight w:val="none"/>
                <w:lang w:val="en-US" w:eastAsia="zh-CN"/>
              </w:rPr>
              <w:t>住院医疗津贴</w:t>
            </w:r>
            <w:r>
              <w:rPr>
                <w:rFonts w:hint="eastAsia" w:asciiTheme="minorEastAsia" w:hAnsiTheme="minorEastAsia" w:eastAsiaTheme="minorEastAsia" w:cstheme="minorEastAsia"/>
                <w:color w:val="auto"/>
                <w:szCs w:val="21"/>
                <w:highlight w:val="none"/>
              </w:rPr>
              <w:t>不低于每天100元人民币。</w:t>
            </w:r>
          </w:p>
          <w:p w14:paraId="0A58266B">
            <w:pPr>
              <w:keepNext w:val="0"/>
              <w:keepLines w:val="0"/>
              <w:pageBreakBefore w:val="0"/>
              <w:kinsoku/>
              <w:wordWrap/>
              <w:overflowPunct/>
              <w:topLinePunct w:val="0"/>
              <w:autoSpaceDE/>
              <w:autoSpaceDN/>
              <w:bidi w:val="0"/>
              <w:adjustRightInd/>
              <w:spacing w:line="36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在保险期限内，被保险人因见义勇为而遭受意外伤害事故，在中华人民共和国境内（不包括香港、澳门、台湾地区）县级以上（含县级）医院或保险人认可的机构进行住院治疗，住院天数超过3日的，保险人按住院天数，每天补偿人民币不低于100元，累计最高赔付不超过180日。</w:t>
            </w:r>
          </w:p>
          <w:p w14:paraId="10A73F57">
            <w:pPr>
              <w:keepNext w:val="0"/>
              <w:keepLines w:val="0"/>
              <w:pageBreakBefore w:val="0"/>
              <w:kinsoku/>
              <w:wordWrap/>
              <w:overflowPunct/>
              <w:topLinePunct w:val="0"/>
              <w:autoSpaceDE/>
              <w:autoSpaceDN/>
              <w:bidi w:val="0"/>
              <w:adjustRightInd/>
              <w:spacing w:line="360" w:lineRule="exact"/>
              <w:ind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4.附加医疗费用</w:t>
            </w:r>
            <w:r>
              <w:rPr>
                <w:rFonts w:hint="eastAsia" w:asciiTheme="minorEastAsia" w:hAnsiTheme="minorEastAsia" w:eastAsiaTheme="minorEastAsia" w:cstheme="minorEastAsia"/>
                <w:color w:val="auto"/>
                <w:szCs w:val="21"/>
                <w:highlight w:val="none"/>
                <w:lang w:val="en-US" w:eastAsia="zh-CN"/>
              </w:rPr>
              <w:t>保险金额</w:t>
            </w:r>
            <w:r>
              <w:rPr>
                <w:rFonts w:hint="eastAsia" w:asciiTheme="minorEastAsia" w:hAnsiTheme="minorEastAsia" w:eastAsiaTheme="minorEastAsia" w:cstheme="minorEastAsia"/>
                <w:color w:val="auto"/>
                <w:szCs w:val="21"/>
                <w:highlight w:val="none"/>
              </w:rPr>
              <w:t>：每年每人最高6万元人民币。</w:t>
            </w:r>
          </w:p>
          <w:p w14:paraId="4C1EFE5E">
            <w:pPr>
              <w:keepNext w:val="0"/>
              <w:keepLines w:val="0"/>
              <w:pageBreakBefore w:val="0"/>
              <w:kinsoku/>
              <w:wordWrap/>
              <w:overflowPunct/>
              <w:topLinePunct w:val="0"/>
              <w:autoSpaceDE/>
              <w:autoSpaceDN/>
              <w:bidi w:val="0"/>
              <w:adjustRightInd/>
              <w:spacing w:line="360" w:lineRule="exact"/>
              <w:ind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在保险期限内，被保险人因见义勇为而遭受意外伤害事故，在中华人民共和国境内（不包括香港、澳门、台湾地区）县级以上（含县级）医院或保险人认可的机构进行治疗，保险人对医疗费用按不低于当地社会医疗保险主管部门规定的报销比例给予赔付。</w:t>
            </w:r>
          </w:p>
          <w:p w14:paraId="54D606A7">
            <w:pPr>
              <w:pStyle w:val="2"/>
              <w:keepNext w:val="0"/>
              <w:keepLines w:val="0"/>
              <w:pageBreakBefore w:val="0"/>
              <w:kinsoku/>
              <w:wordWrap/>
              <w:overflowPunct/>
              <w:topLinePunct w:val="0"/>
              <w:autoSpaceDE/>
              <w:autoSpaceDN/>
              <w:bidi w:val="0"/>
              <w:adjustRightInd/>
              <w:spacing w:line="360" w:lineRule="exact"/>
              <w:ind w:firstLine="422"/>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在本承保期前的承保期（不限保险人）内，被保险人因见义勇为受伤治疗，在当期未能治愈，本期需要继续治疗的，保险人按照本期的赔偿标准和要求进行赔偿。</w:t>
            </w:r>
          </w:p>
          <w:p w14:paraId="1B34EC67">
            <w:pPr>
              <w:pStyle w:val="2"/>
              <w:keepNext w:val="0"/>
              <w:keepLines w:val="0"/>
              <w:pageBreakBefore w:val="0"/>
              <w:kinsoku/>
              <w:wordWrap/>
              <w:overflowPunct/>
              <w:topLinePunct w:val="0"/>
              <w:autoSpaceDE/>
              <w:autoSpaceDN/>
              <w:bidi w:val="0"/>
              <w:adjustRightInd/>
              <w:spacing w:line="360" w:lineRule="exact"/>
              <w:ind w:firstLine="42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凡是发生在保险期间内的保险事故，在保险人的责任范围内，保险金申请人向保险人请求给付保险金的时效期间为五年。</w:t>
            </w:r>
          </w:p>
          <w:p w14:paraId="4A40FE96">
            <w:pPr>
              <w:pStyle w:val="2"/>
              <w:keepNext w:val="0"/>
              <w:keepLines w:val="0"/>
              <w:pageBreakBefore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九</w:t>
            </w:r>
            <w:r>
              <w:rPr>
                <w:rFonts w:hint="eastAsia" w:ascii="宋体" w:hAnsi="宋体" w:eastAsia="宋体" w:cs="宋体"/>
                <w:color w:val="auto"/>
                <w:szCs w:val="21"/>
                <w:highlight w:val="none"/>
              </w:rPr>
              <w:t>）其他</w:t>
            </w:r>
          </w:p>
          <w:p w14:paraId="02891412">
            <w:pPr>
              <w:pStyle w:val="2"/>
              <w:keepNext w:val="0"/>
              <w:keepLines w:val="0"/>
              <w:pageBreakBefore w:val="0"/>
              <w:kinsoku/>
              <w:wordWrap/>
              <w:overflowPunct/>
              <w:topLinePunct w:val="0"/>
              <w:autoSpaceDE/>
              <w:autoSpaceDN/>
              <w:bidi w:val="0"/>
              <w:adjustRightInd/>
              <w:spacing w:line="360" w:lineRule="exact"/>
              <w:ind w:firstLine="42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见义勇为案件特殊，投保人（被保险人）递交索赔资料原则上应为原件，若已提供相关原件用于医保报销的，可以提供复印件，但必须由保险事故发生地县（区）级或以上社会治安综合治理统筹部门按规定程序审核并核对原件与复印件一致后在复印件签署意见并盖章确认。</w:t>
            </w:r>
          </w:p>
          <w:p w14:paraId="4FCBF5DB">
            <w:pPr>
              <w:pStyle w:val="2"/>
              <w:keepNext w:val="0"/>
              <w:keepLines w:val="0"/>
              <w:pageBreakBefore w:val="0"/>
              <w:kinsoku/>
              <w:wordWrap/>
              <w:overflowPunct/>
              <w:topLinePunct w:val="0"/>
              <w:autoSpaceDE/>
              <w:autoSpaceDN/>
              <w:bidi w:val="0"/>
              <w:adjustRightInd/>
              <w:spacing w:line="360" w:lineRule="exact"/>
              <w:ind w:firstLine="42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2.保险人在收到索赔申请时应一次性告知所需要的单证，并承诺在单证齐全情况下20个工作日内办结理赔手续。</w:t>
            </w:r>
          </w:p>
          <w:p w14:paraId="6A5FFB0A">
            <w:pPr>
              <w:pStyle w:val="2"/>
              <w:keepNext w:val="0"/>
              <w:keepLines w:val="0"/>
              <w:pageBreakBefore w:val="0"/>
              <w:kinsoku/>
              <w:wordWrap/>
              <w:overflowPunct/>
              <w:topLinePunct w:val="0"/>
              <w:autoSpaceDE/>
              <w:autoSpaceDN/>
              <w:bidi w:val="0"/>
              <w:adjustRightInd/>
              <w:spacing w:line="360" w:lineRule="exact"/>
              <w:ind w:firstLine="42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3.保险人在收到理赔材料后20个工作日因非自身原因未能办结理赔手续的，须向投保人、被保险人书面说明情况，并每隔20个工作日向投保人、被保险人送达书面说明，直至办结理赔手续。</w:t>
            </w:r>
          </w:p>
          <w:p w14:paraId="7F319C9E">
            <w:pPr>
              <w:pStyle w:val="2"/>
              <w:keepNext w:val="0"/>
              <w:keepLines w:val="0"/>
              <w:pageBreakBefore w:val="0"/>
              <w:kinsoku/>
              <w:wordWrap/>
              <w:overflowPunct/>
              <w:topLinePunct w:val="0"/>
              <w:autoSpaceDE/>
              <w:autoSpaceDN/>
              <w:bidi w:val="0"/>
              <w:adjustRightInd/>
              <w:spacing w:line="360" w:lineRule="exact"/>
              <w:ind w:firstLine="42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bookmarkStart w:id="60" w:name="_Hlk142593429"/>
            <w:r>
              <w:rPr>
                <w:rFonts w:hint="eastAsia" w:ascii="宋体" w:hAnsi="宋体" w:eastAsia="宋体" w:cs="宋体"/>
                <w:color w:val="auto"/>
                <w:szCs w:val="21"/>
                <w:highlight w:val="none"/>
              </w:rPr>
              <w:t>保险期限结束后10日内保险人向投保人提供保险期限期间理赔的清单</w:t>
            </w:r>
            <w:bookmarkEnd w:id="60"/>
            <w:r>
              <w:rPr>
                <w:rFonts w:hint="eastAsia" w:ascii="宋体" w:hAnsi="宋体" w:eastAsia="宋体" w:cs="宋体"/>
                <w:color w:val="auto"/>
                <w:szCs w:val="21"/>
                <w:highlight w:val="none"/>
              </w:rPr>
              <w:t>，包括赔付人姓名、出险时间、赔付时间、赔付项目、赔付金额等。时效期结束后，保险人应向投保人提供一份完整的理赔清单。</w:t>
            </w:r>
          </w:p>
          <w:p w14:paraId="2F89B3E4">
            <w:pPr>
              <w:pStyle w:val="2"/>
              <w:keepNext w:val="0"/>
              <w:keepLines w:val="0"/>
              <w:pageBreakBefore w:val="0"/>
              <w:kinsoku/>
              <w:wordWrap/>
              <w:overflowPunct/>
              <w:topLinePunct w:val="0"/>
              <w:autoSpaceDE/>
              <w:autoSpaceDN/>
              <w:bidi w:val="0"/>
              <w:adjustRightInd/>
              <w:spacing w:line="360" w:lineRule="exact"/>
              <w:ind w:firstLine="42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w:t>
            </w:r>
            <w:r>
              <w:rPr>
                <w:rFonts w:hint="eastAsia" w:ascii="宋体" w:hAnsi="宋体" w:eastAsia="宋体" w:cs="宋体"/>
                <w:color w:val="auto"/>
                <w:szCs w:val="21"/>
                <w:highlight w:val="none"/>
                <w:lang w:val="en-US" w:eastAsia="zh-CN"/>
              </w:rPr>
              <w:t>须承诺中标后</w:t>
            </w:r>
            <w:r>
              <w:rPr>
                <w:rFonts w:hint="eastAsia" w:ascii="宋体" w:hAnsi="宋体" w:eastAsia="宋体" w:cs="宋体"/>
                <w:color w:val="auto"/>
                <w:szCs w:val="21"/>
                <w:highlight w:val="none"/>
              </w:rPr>
              <w:t>在广西壮族自治区各</w:t>
            </w:r>
            <w:r>
              <w:rPr>
                <w:rFonts w:hint="eastAsia" w:ascii="宋体" w:hAnsi="宋体" w:eastAsia="宋体" w:cs="宋体"/>
                <w:color w:val="auto"/>
                <w:szCs w:val="21"/>
                <w:highlight w:val="none"/>
                <w:lang w:val="en-US" w:eastAsia="zh-CN"/>
              </w:rPr>
              <w:t>设区</w:t>
            </w:r>
            <w:r>
              <w:rPr>
                <w:rFonts w:hint="eastAsia" w:ascii="宋体" w:hAnsi="宋体" w:eastAsia="宋体" w:cs="宋体"/>
                <w:color w:val="auto"/>
                <w:szCs w:val="21"/>
                <w:highlight w:val="none"/>
              </w:rPr>
              <w:t>市本级</w:t>
            </w:r>
            <w:r>
              <w:rPr>
                <w:rFonts w:hint="eastAsia" w:ascii="宋体" w:hAnsi="宋体" w:eastAsia="宋体" w:cs="宋体"/>
                <w:color w:val="auto"/>
                <w:szCs w:val="21"/>
                <w:highlight w:val="none"/>
                <w:lang w:val="en-US" w:eastAsia="zh-CN"/>
              </w:rPr>
              <w:t>设立</w:t>
            </w:r>
            <w:r>
              <w:rPr>
                <w:rFonts w:hint="eastAsia" w:ascii="宋体" w:hAnsi="宋体" w:eastAsia="宋体" w:cs="宋体"/>
                <w:color w:val="auto"/>
                <w:szCs w:val="21"/>
                <w:highlight w:val="none"/>
              </w:rPr>
              <w:t>服务团队。</w:t>
            </w:r>
          </w:p>
          <w:p w14:paraId="456B32E0">
            <w:pPr>
              <w:pStyle w:val="2"/>
              <w:keepNext w:val="0"/>
              <w:keepLines w:val="0"/>
              <w:pageBreakBefore w:val="0"/>
              <w:kinsoku/>
              <w:wordWrap/>
              <w:overflowPunct/>
              <w:topLinePunct w:val="0"/>
              <w:autoSpaceDE/>
              <w:autoSpaceDN/>
              <w:bidi w:val="0"/>
              <w:adjustRightInd/>
              <w:spacing w:line="360" w:lineRule="exact"/>
              <w:ind w:firstLine="422"/>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6.凡是经县（区）级社会治安综合治理统筹部门认定，报市级社会治安综合治理统筹部门审核确认为见义勇为伤亡的人员，保险人均予理赔。</w:t>
            </w:r>
          </w:p>
          <w:p w14:paraId="4300B90A">
            <w:pPr>
              <w:pStyle w:val="2"/>
              <w:keepNext w:val="0"/>
              <w:keepLines w:val="0"/>
              <w:pageBreakBefore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7.采取多种形式大力宣传《广西壮族自治区见义勇为人员奖励和保护条例》</w:t>
            </w:r>
            <w:r>
              <w:rPr>
                <w:rFonts w:hint="eastAsia" w:ascii="宋体" w:hAnsi="宋体" w:eastAsia="宋体" w:cs="宋体"/>
                <w:b w:val="0"/>
                <w:bCs/>
                <w:color w:val="auto"/>
                <w:sz w:val="21"/>
                <w:szCs w:val="21"/>
                <w:highlight w:val="none"/>
                <w:lang w:val="en-US" w:eastAsia="zh-CN"/>
              </w:rPr>
              <w:t>。</w:t>
            </w:r>
          </w:p>
          <w:p w14:paraId="4122AEE8">
            <w:pPr>
              <w:pStyle w:val="2"/>
              <w:keepNext w:val="0"/>
              <w:keepLines w:val="0"/>
              <w:pageBreakBefore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8.</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未能在服务响应时间内完成服务的（响应时间及要求按招标文件要求及投标文件承诺执行），每延长一天需向</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支付违约金2000元</w:t>
            </w:r>
            <w:r>
              <w:rPr>
                <w:rFonts w:hint="eastAsia" w:ascii="宋体" w:hAnsi="宋体" w:eastAsia="宋体" w:cs="宋体"/>
                <w:color w:val="auto"/>
                <w:szCs w:val="21"/>
                <w:highlight w:val="none"/>
                <w:lang w:eastAsia="zh-CN"/>
              </w:rPr>
              <w:t>。</w:t>
            </w:r>
          </w:p>
        </w:tc>
      </w:tr>
      <w:tr w14:paraId="5ABC8D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5000" w:type="pct"/>
            <w:gridSpan w:val="5"/>
            <w:tcBorders>
              <w:top w:val="single" w:color="auto" w:sz="4" w:space="0"/>
              <w:left w:val="single" w:color="auto" w:sz="4" w:space="0"/>
              <w:bottom w:val="single" w:color="auto" w:sz="4" w:space="0"/>
              <w:right w:val="single" w:color="auto" w:sz="4" w:space="0"/>
            </w:tcBorders>
            <w:shd w:val="clear" w:color="auto" w:fill="auto"/>
          </w:tcPr>
          <w:p w14:paraId="2F7245D0">
            <w:pPr>
              <w:keepNext w:val="0"/>
              <w:keepLines w:val="0"/>
              <w:pageBreakBefore w:val="0"/>
              <w:kinsoku/>
              <w:wordWrap/>
              <w:overflowPunct/>
              <w:topLinePunct w:val="0"/>
              <w:autoSpaceDE/>
              <w:autoSpaceDN/>
              <w:bidi w:val="0"/>
              <w:adjustRightInd/>
              <w:spacing w:line="360" w:lineRule="exact"/>
              <w:textAlignment w:val="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二</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商务要求</w:t>
            </w:r>
          </w:p>
        </w:tc>
      </w:tr>
      <w:tr w14:paraId="77328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3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91971C6">
            <w:pPr>
              <w:keepNext w:val="0"/>
              <w:keepLines w:val="0"/>
              <w:pageBreakBefore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（一）保险期限及服务地点</w:t>
            </w:r>
          </w:p>
        </w:tc>
        <w:tc>
          <w:tcPr>
            <w:tcW w:w="4168" w:type="pct"/>
            <w:gridSpan w:val="3"/>
            <w:tcBorders>
              <w:top w:val="single" w:color="auto" w:sz="4" w:space="0"/>
              <w:left w:val="single" w:color="auto" w:sz="4" w:space="0"/>
              <w:bottom w:val="single" w:color="auto" w:sz="4" w:space="0"/>
              <w:right w:val="single" w:color="auto" w:sz="4" w:space="0"/>
            </w:tcBorders>
            <w:shd w:val="clear" w:color="auto" w:fill="auto"/>
          </w:tcPr>
          <w:p w14:paraId="007A63CB">
            <w:pPr>
              <w:keepNext w:val="0"/>
              <w:keepLines w:val="0"/>
              <w:pageBreakBefore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1.保险期限：</w:t>
            </w:r>
            <w:r>
              <w:rPr>
                <w:rFonts w:hint="eastAsia" w:ascii="宋体" w:hAnsi="宋体" w:eastAsia="宋体" w:cs="宋体"/>
                <w:color w:val="auto"/>
                <w:szCs w:val="21"/>
                <w:highlight w:val="none"/>
                <w:lang w:val="en-US" w:eastAsia="zh-CN"/>
              </w:rPr>
              <w:t>两年，为接续上一期广西见义勇为人员人身意外伤害无记名保险合同，实际服务期从</w:t>
            </w:r>
            <w:r>
              <w:rPr>
                <w:rFonts w:hint="eastAsia" w:ascii="宋体" w:hAnsi="宋体" w:eastAsia="宋体" w:cs="宋体"/>
                <w:color w:val="auto"/>
                <w:szCs w:val="21"/>
                <w:highlight w:val="none"/>
                <w:lang w:val="en-GB" w:eastAsia="zh-CN"/>
              </w:rPr>
              <w:t>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en-GB" w:eastAsia="zh-CN"/>
              </w:rPr>
              <w:t>年</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val="en-GB" w:eastAsia="zh-CN"/>
              </w:rPr>
              <w:t>月1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en-GB" w:eastAsia="zh-CN"/>
              </w:rPr>
              <w:t>日零时起至202</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val="en-GB" w:eastAsia="zh-CN"/>
              </w:rPr>
              <w:t>年</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val="en-GB" w:eastAsia="zh-CN"/>
              </w:rPr>
              <w:t>月</w:t>
            </w: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lang w:val="en-GB" w:eastAsia="zh-CN"/>
              </w:rPr>
              <w:t>日24时止。</w:t>
            </w:r>
          </w:p>
          <w:p w14:paraId="0066B7E5">
            <w:pPr>
              <w:keepNext w:val="0"/>
              <w:keepLines w:val="0"/>
              <w:pageBreakBefore w:val="0"/>
              <w:kinsoku/>
              <w:wordWrap/>
              <w:overflowPunct/>
              <w:topLinePunct w:val="0"/>
              <w:autoSpaceDE/>
              <w:autoSpaceDN/>
              <w:bidi w:val="0"/>
              <w:adjustRightInd/>
              <w:spacing w:line="36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2.服务地点：广西壮族自治区行政区域内。</w:t>
            </w:r>
          </w:p>
        </w:tc>
      </w:tr>
      <w:tr w14:paraId="19035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3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AB2016E">
            <w:pPr>
              <w:keepNext w:val="0"/>
              <w:keepLines w:val="0"/>
              <w:pageBreakBefore w:val="0"/>
              <w:kinsoku/>
              <w:wordWrap/>
              <w:overflowPunct/>
              <w:topLinePunct w:val="0"/>
              <w:autoSpaceDE/>
              <w:autoSpaceDN/>
              <w:bidi w:val="0"/>
              <w:adjustRightInd/>
              <w:spacing w:line="36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（二）付款条件</w:t>
            </w:r>
          </w:p>
        </w:tc>
        <w:tc>
          <w:tcPr>
            <w:tcW w:w="4168" w:type="pct"/>
            <w:gridSpan w:val="3"/>
            <w:tcBorders>
              <w:top w:val="single" w:color="auto" w:sz="4" w:space="0"/>
              <w:left w:val="single" w:color="auto" w:sz="4" w:space="0"/>
              <w:bottom w:val="single" w:color="auto" w:sz="4" w:space="0"/>
              <w:right w:val="single" w:color="auto" w:sz="4" w:space="0"/>
            </w:tcBorders>
            <w:shd w:val="clear" w:color="auto" w:fill="auto"/>
          </w:tcPr>
          <w:p w14:paraId="71A534BE">
            <w:pPr>
              <w:keepNext w:val="0"/>
              <w:keepLines w:val="0"/>
              <w:pageBreakBefore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合同签订生效后，在2025年10月前中标人开具2025年相应的保单，并通过采购人审核后10个工作日内，广西见义勇为基金会支付300万元合同款，支付方式为银行转账。转账完成之日起两日内中标人开具发票给广西见义勇为基金会。</w:t>
            </w:r>
          </w:p>
          <w:p w14:paraId="3CA07C0D">
            <w:pPr>
              <w:keepNext w:val="0"/>
              <w:keepLines w:val="0"/>
              <w:pageBreakBefore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b/>
                <w:color w:val="auto"/>
                <w:szCs w:val="21"/>
                <w:highlight w:val="none"/>
              </w:rPr>
            </w:pPr>
            <w:r>
              <w:rPr>
                <w:rFonts w:hint="eastAsia" w:ascii="宋体" w:hAnsi="宋体" w:eastAsia="宋体" w:cs="宋体"/>
                <w:color w:val="auto"/>
                <w:szCs w:val="21"/>
                <w:highlight w:val="none"/>
                <w:lang w:val="en-US" w:eastAsia="zh-CN"/>
              </w:rPr>
              <w:t>2.在2026年10月前中标人开具2026年相应的保单，并通过采购人审核后10个工作日内，广西见义勇为基金会支付300万元合同款，支付方式为银行转账。转账完成之日起两日内中标人开具发票给广西见义勇为基金会。</w:t>
            </w:r>
          </w:p>
        </w:tc>
      </w:tr>
      <w:tr w14:paraId="59D17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7EC255D7">
            <w:pPr>
              <w:keepNext w:val="0"/>
              <w:keepLines w:val="0"/>
              <w:pageBreakBefore w:val="0"/>
              <w:kinsoku/>
              <w:wordWrap/>
              <w:overflowPunct/>
              <w:topLinePunct w:val="0"/>
              <w:autoSpaceDE/>
              <w:autoSpaceDN/>
              <w:bidi w:val="0"/>
              <w:adjustRightInd/>
              <w:spacing w:line="360" w:lineRule="exac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三、与实现项目目标相关的其他要求</w:t>
            </w:r>
          </w:p>
        </w:tc>
      </w:tr>
      <w:tr w14:paraId="7BBA9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7E4ED9C6">
            <w:pPr>
              <w:keepNext w:val="0"/>
              <w:keepLines w:val="0"/>
              <w:pageBreakBefore w:val="0"/>
              <w:kinsoku/>
              <w:wordWrap/>
              <w:overflowPunct/>
              <w:topLinePunct w:val="0"/>
              <w:autoSpaceDE/>
              <w:autoSpaceDN/>
              <w:bidi w:val="0"/>
              <w:adjustRightInd/>
              <w:spacing w:line="360" w:lineRule="exac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（一）投标人的履约能力要求</w:t>
            </w:r>
          </w:p>
        </w:tc>
      </w:tr>
      <w:tr w14:paraId="4AA13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3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9AA63E4">
            <w:pPr>
              <w:keepNext w:val="0"/>
              <w:keepLines w:val="0"/>
              <w:pageBreakBefore w:val="0"/>
              <w:kinsoku/>
              <w:wordWrap/>
              <w:overflowPunct/>
              <w:topLinePunct w:val="0"/>
              <w:autoSpaceDE/>
              <w:autoSpaceDN/>
              <w:bidi w:val="0"/>
              <w:adjustRightInd/>
              <w:spacing w:line="360" w:lineRule="exact"/>
              <w:textAlignment w:val="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管理体系要求</w:t>
            </w:r>
          </w:p>
        </w:tc>
        <w:tc>
          <w:tcPr>
            <w:tcW w:w="4168"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2CB9BF2">
            <w:pPr>
              <w:keepNext w:val="0"/>
              <w:keepLines w:val="0"/>
              <w:pageBreakBefore w:val="0"/>
              <w:kinsoku/>
              <w:wordWrap/>
              <w:overflowPunct/>
              <w:topLinePunct w:val="0"/>
              <w:autoSpaceDE/>
              <w:autoSpaceDN/>
              <w:bidi w:val="0"/>
              <w:adjustRightInd/>
              <w:spacing w:line="360" w:lineRule="exact"/>
              <w:textAlignment w:val="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详见第四章“评标方法及评标标准”</w:t>
            </w:r>
          </w:p>
        </w:tc>
      </w:tr>
      <w:tr w14:paraId="0BA07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3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FD408FD">
            <w:pPr>
              <w:keepNext w:val="0"/>
              <w:keepLines w:val="0"/>
              <w:pageBreakBefore w:val="0"/>
              <w:kinsoku/>
              <w:wordWrap/>
              <w:overflowPunct/>
              <w:topLinePunct w:val="0"/>
              <w:autoSpaceDE/>
              <w:autoSpaceDN/>
              <w:bidi w:val="0"/>
              <w:adjustRightInd/>
              <w:spacing w:line="360" w:lineRule="exact"/>
              <w:textAlignment w:val="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业绩要求</w:t>
            </w:r>
          </w:p>
        </w:tc>
        <w:tc>
          <w:tcPr>
            <w:tcW w:w="4168"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0D075D48">
            <w:pPr>
              <w:keepNext w:val="0"/>
              <w:keepLines w:val="0"/>
              <w:pageBreakBefore w:val="0"/>
              <w:kinsoku/>
              <w:wordWrap/>
              <w:overflowPunct/>
              <w:topLinePunct w:val="0"/>
              <w:autoSpaceDE/>
              <w:autoSpaceDN/>
              <w:bidi w:val="0"/>
              <w:adjustRightInd/>
              <w:spacing w:line="360" w:lineRule="exact"/>
              <w:textAlignment w:val="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详见第四章“评标方法及评标标准”</w:t>
            </w:r>
          </w:p>
        </w:tc>
      </w:tr>
      <w:tr w14:paraId="6362CB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55F84855">
            <w:pPr>
              <w:keepNext w:val="0"/>
              <w:keepLines w:val="0"/>
              <w:pageBreakBefore w:val="0"/>
              <w:tabs>
                <w:tab w:val="left" w:pos="180"/>
                <w:tab w:val="left" w:pos="1620"/>
              </w:tabs>
              <w:kinsoku/>
              <w:wordWrap/>
              <w:overflowPunct/>
              <w:topLinePunct w:val="0"/>
              <w:autoSpaceDE/>
              <w:autoSpaceDN/>
              <w:bidi w:val="0"/>
              <w:adjustRightInd/>
              <w:spacing w:line="360" w:lineRule="exact"/>
              <w:textAlignment w:val="auto"/>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w:t>
            </w:r>
            <w:r>
              <w:rPr>
                <w:rFonts w:hint="default" w:ascii="宋体" w:hAnsi="宋体" w:eastAsia="宋体" w:cs="宋体"/>
                <w:b/>
                <w:color w:val="auto"/>
                <w:szCs w:val="21"/>
                <w:highlight w:val="none"/>
                <w:lang w:val="en-US"/>
              </w:rPr>
              <w:t>二</w:t>
            </w:r>
            <w:r>
              <w:rPr>
                <w:rFonts w:hint="eastAsia" w:ascii="宋体" w:hAnsi="宋体" w:eastAsia="宋体" w:cs="宋体"/>
                <w:b/>
                <w:color w:val="auto"/>
                <w:szCs w:val="21"/>
                <w:highlight w:val="none"/>
              </w:rPr>
              <w:t>）验收标准</w:t>
            </w:r>
          </w:p>
        </w:tc>
      </w:tr>
      <w:tr w14:paraId="57E1D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28674D42">
            <w:pPr>
              <w:keepNext w:val="0"/>
              <w:keepLines w:val="0"/>
              <w:pageBreakBefore w:val="0"/>
              <w:kinsoku/>
              <w:wordWrap/>
              <w:overflowPunct/>
              <w:topLinePunct w:val="0"/>
              <w:autoSpaceDE/>
              <w:autoSpaceDN/>
              <w:bidi w:val="0"/>
              <w:adjustRightInd/>
              <w:spacing w:line="36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1.本项目采购标的需执行的国家相关标准、行业标准、地方标准或其他强制性标准、规范等要求。</w:t>
            </w:r>
          </w:p>
          <w:p w14:paraId="4C5656C7">
            <w:pPr>
              <w:keepNext w:val="0"/>
              <w:keepLines w:val="0"/>
              <w:pageBreakBefore w:val="0"/>
              <w:kinsoku/>
              <w:wordWrap/>
              <w:overflowPunct/>
              <w:topLinePunct w:val="0"/>
              <w:autoSpaceDE/>
              <w:autoSpaceDN/>
              <w:bidi w:val="0"/>
              <w:adjustRightInd/>
              <w:spacing w:line="36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项目验收：合同履行过程中，采购人按照本项目合同及招标文件、中标供应商投标文件承诺进行验收（或委托具有相应资质的第三方机构进行验收，费用由中标供应商承担，投标时应考虑投标风险），如验收不合格，由中标供应商按采购人（或第三方验收机构）要求整改，中标供应商不按要求整改或拒不整改的，采购人有权向财政监管部门报告，给采购人造成的损失等费用由中标供应商承担。如不符合招标文件项目需要及技术需求以及提供虚假承诺的，按相关规定做违约处理，采购人依据相关法律规定追究中标供应商的责任，由此带来的一切损失由中标供应商自行承担。</w:t>
            </w:r>
          </w:p>
          <w:p w14:paraId="7FB3C882">
            <w:pPr>
              <w:keepNext w:val="0"/>
              <w:keepLines w:val="0"/>
              <w:pageBreakBefore w:val="0"/>
              <w:kinsoku/>
              <w:wordWrap/>
              <w:overflowPunct/>
              <w:topLinePunct w:val="0"/>
              <w:autoSpaceDE/>
              <w:autoSpaceDN/>
              <w:bidi w:val="0"/>
              <w:adjustRightInd/>
              <w:spacing w:line="36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验收方式：保险期限结束后10日内保险人向投保人提供保险期限期间理赔的清单，包括赔付人姓名、出险时间、赔付时间、赔付项目、赔付金额等。时效期结束后，保险人务必向投保人提供一份完整的理赔清单。</w:t>
            </w:r>
          </w:p>
        </w:tc>
      </w:tr>
      <w:tr w14:paraId="64F3C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769DCDE7">
            <w:pPr>
              <w:keepNext w:val="0"/>
              <w:keepLines w:val="0"/>
              <w:pageBreakBefore w:val="0"/>
              <w:kinsoku/>
              <w:wordWrap/>
              <w:overflowPunct/>
              <w:topLinePunct w:val="0"/>
              <w:autoSpaceDE/>
              <w:autoSpaceDN/>
              <w:bidi w:val="0"/>
              <w:adjustRightInd/>
              <w:spacing w:line="360" w:lineRule="exact"/>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（三）其他要求</w:t>
            </w:r>
          </w:p>
        </w:tc>
      </w:tr>
      <w:tr w14:paraId="3C753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2F474BE1">
            <w:pPr>
              <w:keepNext w:val="0"/>
              <w:keepLines w:val="0"/>
              <w:pageBreakBefore w:val="0"/>
              <w:kinsoku/>
              <w:wordWrap/>
              <w:overflowPunct/>
              <w:topLinePunct w:val="0"/>
              <w:autoSpaceDE/>
              <w:autoSpaceDN/>
              <w:bidi w:val="0"/>
              <w:adjustRightInd/>
              <w:spacing w:line="36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1.本次项目为固定价格采购项目，固定经费为人民币600万元整，依据《政府采购货物和服务招标投标管理办法》（财政部令第87号）第五十五条，本次项目价格不列为评审因素。</w:t>
            </w:r>
          </w:p>
          <w:p w14:paraId="479C9788">
            <w:pPr>
              <w:keepNext w:val="0"/>
              <w:keepLines w:val="0"/>
              <w:pageBreakBefore w:val="0"/>
              <w:kinsoku/>
              <w:wordWrap/>
              <w:overflowPunct/>
              <w:topLinePunct w:val="0"/>
              <w:autoSpaceDE/>
              <w:autoSpaceDN/>
              <w:bidi w:val="0"/>
              <w:adjustRightInd/>
              <w:spacing w:line="36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2.供应商在投标文件中根据评标标准提供相关服务实施方案及材料，包括但不限于</w:t>
            </w:r>
            <w:r>
              <w:rPr>
                <w:rFonts w:hint="eastAsia" w:ascii="宋体" w:hAnsi="宋体" w:eastAsia="宋体" w:cs="宋体"/>
                <w:color w:val="auto"/>
                <w:szCs w:val="21"/>
                <w:highlight w:val="none"/>
                <w:lang w:val="en-US" w:eastAsia="zh-CN"/>
              </w:rPr>
              <w:t>增值服务、</w:t>
            </w:r>
            <w:r>
              <w:rPr>
                <w:rFonts w:hint="eastAsia" w:ascii="宋体" w:hAnsi="宋体" w:eastAsia="宋体" w:cs="宋体"/>
                <w:color w:val="auto"/>
                <w:szCs w:val="21"/>
                <w:highlight w:val="none"/>
              </w:rPr>
              <w:t>满意度回访、投诉与争议处理、监督与考核、</w:t>
            </w:r>
            <w:r>
              <w:rPr>
                <w:rFonts w:hint="eastAsia" w:ascii="宋体" w:hAnsi="宋体" w:eastAsia="宋体" w:cs="宋体"/>
                <w:color w:val="auto"/>
                <w:szCs w:val="21"/>
                <w:highlight w:val="none"/>
                <w:lang w:eastAsia="zh-CN"/>
              </w:rPr>
              <w:t>见义勇为宣传措施、</w:t>
            </w:r>
            <w:r>
              <w:rPr>
                <w:rFonts w:hint="eastAsia" w:ascii="宋体" w:hAnsi="宋体" w:eastAsia="宋体" w:cs="宋体"/>
                <w:color w:val="auto"/>
                <w:szCs w:val="21"/>
                <w:highlight w:val="none"/>
              </w:rPr>
              <w:t>理赔服务措施、运营管理、承保方案、理赔经验、承保业绩、风险综合评级、偿付能力等。</w:t>
            </w:r>
          </w:p>
        </w:tc>
      </w:tr>
    </w:tbl>
    <w:p w14:paraId="33E5009E">
      <w:pPr>
        <w:pStyle w:val="2"/>
        <w:shd w:val="clear" w:color="auto" w:fill="FFFFFF" w:themeFill="background1"/>
        <w:spacing w:line="360" w:lineRule="auto"/>
        <w:rPr>
          <w:rFonts w:hint="eastAsia" w:hAnsi="宋体" w:cs="宋体"/>
          <w:color w:val="auto"/>
          <w:sz w:val="32"/>
          <w:szCs w:val="32"/>
          <w:highlight w:val="none"/>
        </w:rPr>
      </w:pPr>
    </w:p>
    <w:p w14:paraId="4DA4F170">
      <w:pP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57F14486">
      <w:pPr>
        <w:widowControl/>
        <w:spacing w:line="460" w:lineRule="exact"/>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附件</w:t>
      </w:r>
    </w:p>
    <w:p w14:paraId="3ACBF292">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中国人民银行</w:t>
      </w:r>
    </w:p>
    <w:p w14:paraId="728137CD">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中国银行业监督管理委员会</w:t>
      </w:r>
    </w:p>
    <w:p w14:paraId="05D1D5F2">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中国证券监督管理委员会</w:t>
      </w:r>
    </w:p>
    <w:p w14:paraId="3AB7485D">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中国保险监督管理委员会</w:t>
      </w:r>
    </w:p>
    <w:p w14:paraId="5E7AEBF1">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国家统计局</w:t>
      </w:r>
    </w:p>
    <w:p w14:paraId="1316A77B">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关于印发《金融业企业划型标准规定》的通知</w:t>
      </w:r>
    </w:p>
    <w:p w14:paraId="4BCFC5F6">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银发〔2015〕309号</w:t>
      </w:r>
    </w:p>
    <w:p w14:paraId="61838A64">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经国务院同意，现印发给你们，请遵照执行。请人民银行上海总部，各分行、营业管理部、省会（首府）城市中心支行、副省级城市中心支行会同所在省（区、市）银监局、证监局、保监局、统计局将本通知联合转发至辖内相关机构。</w:t>
      </w:r>
    </w:p>
    <w:p w14:paraId="3EB44706">
      <w:pPr>
        <w:keepNext w:val="0"/>
        <w:keepLines w:val="0"/>
        <w:pageBreakBefore w:val="0"/>
        <w:widowControl/>
        <w:kinsoku/>
        <w:wordWrap/>
        <w:overflowPunct/>
        <w:topLinePunct w:val="0"/>
        <w:autoSpaceDE/>
        <w:autoSpaceDN/>
        <w:bidi w:val="0"/>
        <w:adjustRightInd/>
        <w:snapToGrid/>
        <w:spacing w:line="420" w:lineRule="exact"/>
        <w:ind w:firstLine="420" w:firstLineChars="200"/>
        <w:jc w:val="righ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2015年9月28日</w:t>
      </w:r>
    </w:p>
    <w:p w14:paraId="53948DD5">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附件：金融业企业划型标准规定</w:t>
      </w:r>
    </w:p>
    <w:p w14:paraId="07FB1892">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根据《中华人民共和国中小企业促进法》、《国务院关于进一步促进中小企业发展的若干意见》（国发〔2009〕36号）和《国务院办公厅关于金融支持小微企业发展的实施意见》（国办发〔2013〕87号），制定本规定。</w:t>
      </w:r>
    </w:p>
    <w:p w14:paraId="1E42BBA4">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二、适用范围。本规定适用于从事《国民经济行业分类》（GB/T4754-2011）中J门类（金融业）活动的企业。</w:t>
      </w:r>
    </w:p>
    <w:p w14:paraId="7C100714">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51F0FFAE">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四、划型标准指标。采用一个完整会计年度中四个季度末法人并表口径的资产总额（信托公司为信托资产）平均值作为划型指标，该指标以监管部门数据为准。</w:t>
      </w:r>
    </w:p>
    <w:p w14:paraId="5331BFDC">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五、指标标准值。依据指标标准值，将各类金融业企业划分为大、中、小、微四个规模类型，中型企业标准上限及以上的为大型企业。</w:t>
      </w:r>
    </w:p>
    <w:p w14:paraId="3AF7B9CB">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（一）银行业存款类金融机构。资产总额40000亿元以下的为中小微型企业。其中，资产总额5000亿元及以上的为中型企业，资产总额50亿元及以上的为小型企业，资产总额50亿元以下的为微型企业。</w:t>
      </w:r>
    </w:p>
    <w:p w14:paraId="6A98AB62">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（二）银行业非存款类金融机构。资产总额1000亿元以下的为中小微企业。其中，资产总额200亿元及以上的为中型企业，资产总额50亿元及以上的为小型企业，资产总额50亿元以下的为微型企业。</w:t>
      </w:r>
    </w:p>
    <w:p w14:paraId="2C56D17D">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（三）贷款公司、小额贷款公司及典当行。资产总额1000亿元以下的为中小微型企业。其中，资产总额200亿元及以上的为中型企业，资产总额50亿元及以上的为小型企业，资产总额50亿元以下的为微型企业。</w:t>
      </w:r>
    </w:p>
    <w:p w14:paraId="00E6BD03">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（四）证券业金融机构。资产总额1000亿元以下的为中小微型企业。其中，资产总额100亿元及以上的为中型企业，资产总额10亿元及以上的为小型企业，资产总额10亿元以下的为微型企业。</w:t>
      </w:r>
    </w:p>
    <w:p w14:paraId="34A014BF">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（五）保险业金融机构。资产总额5000亿元以下的为中小微型企业。其中，资产总额400亿元及以上的为中型企业，资产总额20亿元及以上的为小型企业，资产总额20亿元以下的为微型企业。</w:t>
      </w:r>
    </w:p>
    <w:p w14:paraId="16E95661">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（六）信托公司。信托资产1000亿元以下的为中小微型企业。其中，信托资产400亿元及以上的为中型企业，信托资产20亿元及以上的为小型企业，信托资产20亿元以下的为微型企业。</w:t>
      </w:r>
    </w:p>
    <w:p w14:paraId="64B126BA">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（七）金融控股公司。资产总额40000亿元以下的为中小微企业。其中，资产总额5000亿元及以上的为中型企业，资产总额50亿元及以上的为小型企业，资产总额50亿元以下的为微型企业。</w:t>
      </w:r>
    </w:p>
    <w:p w14:paraId="6EAE8D2F">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八）除贷款公司、小额贷款公司、典当行以外的其他金融机构。资产总额1000亿元以下的为中小微型企业。其中，资产总额200亿元及以上的为中型企业，资产总额50亿元及以上的为小型企业，资产总额50亿元以下的为微型企业。</w:t>
      </w:r>
    </w:p>
    <w:p w14:paraId="5581AA90">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六、组织实施。由人民银行会同银监会、证监会、保监会和统计局联合组成金融业企业划型标准工作组，负责金融业企业划型标准的实施、后期评估和调整工作，按年组织金融业企业规模认定，并在人民银行建立《金融业机构信息管理系统》中增加相应的字段模块。经过认定的金融业企业在系统中进行规模登记，方便政府部门和社会各界查询使用。</w:t>
      </w:r>
    </w:p>
    <w:p w14:paraId="0455400B">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七、标准值的评估和调整。金融业企业划型标准工作组每五年对划型标准值受经济发展与通货膨胀等因素的影响程度进行评估和调整。</w:t>
      </w:r>
    </w:p>
    <w:p w14:paraId="28CF7657">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八、本规定的中型金融业企业标准上限即为大型金融业企业下限。国务院有关部门据此进行相关数据的统计分析，不得制定与本规定不一致的金融业企业划型标准。</w:t>
      </w:r>
    </w:p>
    <w:p w14:paraId="3B3F1DF9">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九、融资担保公司参照本规定中“除贷款公司、小额贷款公司、典当行以外的其他金融机构”标准划型。</w:t>
      </w:r>
    </w:p>
    <w:p w14:paraId="76087F5D">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十、本规定由人民银行会同银监会、证监会、保监会和统计局负责解释。</w:t>
      </w:r>
    </w:p>
    <w:p w14:paraId="67248AF9">
      <w:pPr>
        <w:keepNext w:val="0"/>
        <w:keepLines w:val="0"/>
        <w:pageBreakBefore w:val="0"/>
        <w:widowControl/>
        <w:kinsoku/>
        <w:wordWrap/>
        <w:overflowPunct/>
        <w:topLinePunct w:val="0"/>
        <w:autoSpaceDE/>
        <w:autoSpaceDN/>
        <w:bidi w:val="0"/>
        <w:adjustRightInd/>
        <w:snapToGrid/>
        <w:spacing w:line="420" w:lineRule="exact"/>
        <w:ind w:firstLine="315" w:firstLineChars="15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十一、本规定自发布之日起实施。</w:t>
      </w:r>
    </w:p>
    <w:p w14:paraId="38F8C34C">
      <w:pPr>
        <w:keepNext w:val="0"/>
        <w:keepLines w:val="0"/>
        <w:pageBreakBefore w:val="0"/>
        <w:widowControl/>
        <w:kinsoku/>
        <w:wordWrap/>
        <w:overflowPunct/>
        <w:topLinePunct w:val="0"/>
        <w:autoSpaceDE/>
        <w:autoSpaceDN/>
        <w:bidi w:val="0"/>
        <w:adjustRightInd/>
        <w:snapToGrid/>
        <w:spacing w:line="420" w:lineRule="exact"/>
        <w:ind w:firstLine="315" w:firstLineChars="150"/>
        <w:jc w:val="left"/>
        <w:textAlignment w:val="auto"/>
        <w:rPr>
          <w:rFonts w:hint="eastAsia" w:ascii="宋体" w:hAnsi="宋体" w:eastAsia="宋体" w:cs="宋体"/>
          <w:color w:val="auto"/>
          <w:kern w:val="0"/>
          <w:sz w:val="21"/>
          <w:szCs w:val="21"/>
          <w:highlight w:val="none"/>
        </w:rPr>
      </w:pPr>
    </w:p>
    <w:p w14:paraId="496E0704">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附：金融业企业划型标准</w:t>
      </w:r>
    </w:p>
    <w:p w14:paraId="731526B1">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行业、类别、类型、资产总额、货币金融服务、货币银行服务：</w:t>
      </w:r>
    </w:p>
    <w:p w14:paraId="0E7F7F85">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一、银行业存款类金融机构</w:t>
      </w:r>
    </w:p>
    <w:p w14:paraId="74AB7C1A">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①中型：5000亿元（含）至40000亿元；</w:t>
      </w:r>
    </w:p>
    <w:p w14:paraId="2FB56E72">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②小型：50亿元（含）至5000亿元；</w:t>
      </w:r>
    </w:p>
    <w:p w14:paraId="656E614B">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③微型：50亿元以下。</w:t>
      </w:r>
    </w:p>
    <w:p w14:paraId="57E721DC">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二、非货币银行服务/银行业非存款类金融机构</w:t>
      </w:r>
    </w:p>
    <w:p w14:paraId="2441B617">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①中型200亿元（含）至1000亿元；</w:t>
      </w:r>
    </w:p>
    <w:p w14:paraId="563D204F">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②小型50亿元（含）200亿元；</w:t>
      </w:r>
    </w:p>
    <w:p w14:paraId="37D14495">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③微型50亿元以下。</w:t>
      </w:r>
    </w:p>
    <w:p w14:paraId="4390F25D">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三、贷款公司/小额贷款公司及典当行</w:t>
      </w:r>
    </w:p>
    <w:p w14:paraId="794AE9CA">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①中型200亿元（含）至1000亿元；</w:t>
      </w:r>
    </w:p>
    <w:p w14:paraId="153E44D4">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②小型50亿元（含）至200亿元；</w:t>
      </w:r>
    </w:p>
    <w:p w14:paraId="17DC4E9D">
      <w:pPr>
        <w:keepNext w:val="0"/>
        <w:keepLines w:val="0"/>
        <w:pageBreakBefore w:val="0"/>
        <w:widowControl/>
        <w:tabs>
          <w:tab w:val="left" w:pos="5487"/>
        </w:tabs>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③微型50亿元以下。</w:t>
      </w:r>
      <w:r>
        <w:rPr>
          <w:rFonts w:hint="eastAsia" w:ascii="宋体" w:hAnsi="宋体" w:eastAsia="宋体" w:cs="宋体"/>
          <w:color w:val="auto"/>
          <w:kern w:val="0"/>
          <w:sz w:val="21"/>
          <w:szCs w:val="21"/>
          <w:highlight w:val="none"/>
        </w:rPr>
        <w:tab/>
      </w:r>
    </w:p>
    <w:p w14:paraId="4A96ACE5">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四、资本市场服务/证券业金融机构</w:t>
      </w:r>
    </w:p>
    <w:p w14:paraId="46376DB8">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①中型100亿元（含）至1000亿元；</w:t>
      </w:r>
    </w:p>
    <w:p w14:paraId="40F2DA6F">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②小型10亿元（含）100亿元；</w:t>
      </w:r>
    </w:p>
    <w:p w14:paraId="6083EAC8">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③微型10亿元以下。</w:t>
      </w:r>
    </w:p>
    <w:p w14:paraId="681CFC31">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五、保险业/保险业金融机构</w:t>
      </w:r>
    </w:p>
    <w:p w14:paraId="2A99C172">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①中型400亿元（含）至5000亿元；</w:t>
      </w:r>
    </w:p>
    <w:p w14:paraId="5963E706">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②小型20亿元（含）至400亿元；</w:t>
      </w:r>
    </w:p>
    <w:p w14:paraId="1B1B057D">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③微型20亿元以下。</w:t>
      </w:r>
    </w:p>
    <w:p w14:paraId="05D3BAB7">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六、其他金融业、金融信托与管理服务、信托公司</w:t>
      </w:r>
    </w:p>
    <w:p w14:paraId="70881D4B">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①中型400亿元（含）至1000亿元；</w:t>
      </w:r>
    </w:p>
    <w:p w14:paraId="3102D2EF">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②小型20亿元（含）至400亿元；</w:t>
      </w:r>
    </w:p>
    <w:p w14:paraId="04EBF6CF">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③微型20亿元以下。</w:t>
      </w:r>
    </w:p>
    <w:p w14:paraId="034D678B">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七、控股公司服务、金融控股公司</w:t>
      </w:r>
    </w:p>
    <w:p w14:paraId="4ED25056">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①中型5000亿元（含）至40000亿元；</w:t>
      </w:r>
    </w:p>
    <w:p w14:paraId="54AAADEC">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②小型50亿元（含）至5000亿元；</w:t>
      </w:r>
    </w:p>
    <w:p w14:paraId="4DC97326">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③微型50亿元以下。</w:t>
      </w:r>
    </w:p>
    <w:p w14:paraId="3C400C75">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八、其他未包括的金融业，除贷款公司、小额贷款公司、典当行以外的其他金融机构</w:t>
      </w:r>
    </w:p>
    <w:p w14:paraId="4D8F5B99">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①中型200亿元（含）至1000亿元；</w:t>
      </w:r>
    </w:p>
    <w:p w14:paraId="0C32F901">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②小型50亿元（含）至200亿元；</w:t>
      </w:r>
    </w:p>
    <w:p w14:paraId="2A01705E">
      <w:pPr>
        <w:pStyle w:val="2"/>
        <w:keepNext w:val="0"/>
        <w:keepLines w:val="0"/>
        <w:pageBreakBefore w:val="0"/>
        <w:shd w:val="clear" w:color="auto" w:fill="FFFFFF" w:themeFill="background1"/>
        <w:kinsoku/>
        <w:wordWrap/>
        <w:overflowPunct/>
        <w:topLinePunct w:val="0"/>
        <w:autoSpaceDE/>
        <w:autoSpaceDN/>
        <w:bidi w:val="0"/>
        <w:adjustRightInd/>
        <w:snapToGrid/>
        <w:spacing w:after="0" w:line="420" w:lineRule="exact"/>
        <w:textAlignment w:val="auto"/>
        <w:rPr>
          <w:rFonts w:hint="eastAsia" w:hAnsi="宋体" w:cs="宋体"/>
          <w:color w:val="auto"/>
          <w:sz w:val="32"/>
          <w:szCs w:val="32"/>
          <w:highlight w:val="none"/>
        </w:rPr>
      </w:pPr>
      <w:r>
        <w:rPr>
          <w:rFonts w:hint="eastAsia" w:ascii="宋体" w:hAnsi="宋体" w:eastAsia="宋体" w:cs="宋体"/>
          <w:color w:val="auto"/>
          <w:kern w:val="0"/>
          <w:sz w:val="21"/>
          <w:szCs w:val="21"/>
          <w:highlight w:val="none"/>
        </w:rPr>
        <w:t>③微型50亿元以下。</w:t>
      </w:r>
    </w:p>
    <w:p w14:paraId="46159527">
      <w:pPr>
        <w:rPr>
          <w:rFonts w:hint="eastAsia" w:hAnsi="宋体" w:cs="宋体"/>
          <w:color w:val="auto"/>
          <w:sz w:val="32"/>
          <w:szCs w:val="32"/>
          <w:highlight w:val="none"/>
        </w:rPr>
      </w:pPr>
      <w:r>
        <w:rPr>
          <w:rFonts w:hint="eastAsia" w:hAnsi="宋体" w:cs="宋体"/>
          <w:color w:val="auto"/>
          <w:sz w:val="32"/>
          <w:szCs w:val="32"/>
          <w:highlight w:val="none"/>
        </w:rPr>
        <w:br w:type="page"/>
      </w:r>
    </w:p>
    <w:p w14:paraId="590FEB14">
      <w:pPr>
        <w:shd w:val="clear" w:color="auto" w:fill="FFFFFF" w:themeFill="background1"/>
        <w:jc w:val="center"/>
        <w:outlineLvl w:val="0"/>
        <w:rPr>
          <w:rFonts w:ascii="宋体" w:hAnsi="宋体" w:cs="宋体"/>
          <w:b/>
          <w:color w:val="auto"/>
          <w:sz w:val="36"/>
          <w:highlight w:val="none"/>
        </w:rPr>
      </w:pPr>
      <w:bookmarkStart w:id="61" w:name="_Toc496"/>
      <w:bookmarkStart w:id="62" w:name="_Toc9063"/>
      <w:bookmarkStart w:id="63" w:name="_Toc29172"/>
      <w:bookmarkStart w:id="64" w:name="_Toc26039"/>
      <w:bookmarkStart w:id="65" w:name="_Toc8975"/>
      <w:bookmarkStart w:id="66" w:name="_Toc28587"/>
      <w:bookmarkStart w:id="67" w:name="_Toc3325"/>
      <w:bookmarkStart w:id="68" w:name="_Toc532545044"/>
      <w:bookmarkStart w:id="69" w:name="_Toc24489"/>
      <w:bookmarkStart w:id="70" w:name="_Toc6362"/>
    </w:p>
    <w:p w14:paraId="04F80801">
      <w:pPr>
        <w:pStyle w:val="14"/>
        <w:shd w:val="clear" w:color="auto" w:fill="FFFFFF" w:themeFill="background1"/>
        <w:jc w:val="center"/>
        <w:outlineLvl w:val="0"/>
        <w:rPr>
          <w:rFonts w:hAnsi="宋体" w:cs="宋体"/>
          <w:b/>
          <w:color w:val="auto"/>
          <w:sz w:val="36"/>
          <w:szCs w:val="36"/>
          <w:highlight w:val="none"/>
        </w:rPr>
      </w:pPr>
      <w:bookmarkStart w:id="71" w:name="_Toc20953"/>
      <w:bookmarkStart w:id="72" w:name="_Toc15364"/>
      <w:bookmarkStart w:id="73" w:name="_Toc20085"/>
      <w:bookmarkStart w:id="74" w:name="_Toc26044"/>
      <w:r>
        <w:rPr>
          <w:rFonts w:hint="eastAsia" w:hAnsi="宋体" w:cs="宋体"/>
          <w:b/>
          <w:color w:val="auto"/>
          <w:sz w:val="36"/>
          <w:highlight w:val="none"/>
        </w:rPr>
        <w:t>第三章  投标人须知</w:t>
      </w:r>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5AD998BB">
      <w:pPr>
        <w:pStyle w:val="14"/>
        <w:shd w:val="clear" w:color="auto" w:fill="FFFFFF" w:themeFill="background1"/>
        <w:jc w:val="center"/>
        <w:outlineLvl w:val="1"/>
        <w:rPr>
          <w:rFonts w:hAnsi="宋体" w:cs="宋体"/>
          <w:b/>
          <w:color w:val="auto"/>
          <w:sz w:val="30"/>
          <w:szCs w:val="30"/>
          <w:highlight w:val="none"/>
        </w:rPr>
      </w:pPr>
      <w:bookmarkStart w:id="75" w:name="_Toc29813"/>
      <w:bookmarkStart w:id="76" w:name="_Toc32208"/>
      <w:bookmarkStart w:id="77" w:name="_Toc16388"/>
      <w:bookmarkStart w:id="78" w:name="_Toc1597"/>
      <w:bookmarkStart w:id="79" w:name="_Toc10039"/>
      <w:bookmarkStart w:id="80" w:name="_Toc11515"/>
      <w:bookmarkStart w:id="81" w:name="_Toc24714"/>
      <w:bookmarkStart w:id="82" w:name="_Toc8769"/>
      <w:bookmarkStart w:id="83" w:name="_Toc4562"/>
      <w:bookmarkStart w:id="84" w:name="_Toc29809"/>
      <w:r>
        <w:rPr>
          <w:rFonts w:hint="eastAsia" w:hAnsi="宋体" w:cs="宋体"/>
          <w:b/>
          <w:color w:val="auto"/>
          <w:sz w:val="30"/>
          <w:szCs w:val="30"/>
          <w:highlight w:val="none"/>
        </w:rPr>
        <w:t>第一节 投标人须知前附表</w:t>
      </w:r>
      <w:bookmarkEnd w:id="75"/>
      <w:bookmarkEnd w:id="76"/>
      <w:bookmarkEnd w:id="77"/>
      <w:bookmarkEnd w:id="78"/>
      <w:bookmarkEnd w:id="79"/>
      <w:bookmarkEnd w:id="80"/>
      <w:bookmarkEnd w:id="81"/>
      <w:bookmarkEnd w:id="82"/>
      <w:bookmarkEnd w:id="83"/>
      <w:bookmarkEnd w:id="84"/>
    </w:p>
    <w:tbl>
      <w:tblPr>
        <w:tblStyle w:val="25"/>
        <w:tblW w:w="102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268"/>
        <w:gridCol w:w="7297"/>
      </w:tblGrid>
      <w:tr w14:paraId="6D7B59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2FD30214">
            <w:pPr>
              <w:shd w:val="clear" w:color="auto" w:fill="FFFFFF" w:themeFill="background1"/>
              <w:snapToGrid w:val="0"/>
              <w:spacing w:line="380" w:lineRule="exact"/>
              <w:jc w:val="center"/>
              <w:rPr>
                <w:rFonts w:ascii="宋体" w:hAnsi="宋体" w:cs="宋体"/>
                <w:color w:val="auto"/>
                <w:szCs w:val="21"/>
                <w:highlight w:val="none"/>
              </w:rPr>
            </w:pPr>
            <w:r>
              <w:rPr>
                <w:rFonts w:hint="eastAsia" w:ascii="宋体" w:hAnsi="宋体" w:cs="宋体"/>
                <w:color w:val="auto"/>
                <w:szCs w:val="21"/>
                <w:highlight w:val="none"/>
              </w:rPr>
              <w:t>条款号</w:t>
            </w:r>
          </w:p>
        </w:tc>
        <w:tc>
          <w:tcPr>
            <w:tcW w:w="2268" w:type="dxa"/>
            <w:tcBorders>
              <w:top w:val="single" w:color="auto" w:sz="4" w:space="0"/>
              <w:left w:val="single" w:color="auto" w:sz="4" w:space="0"/>
              <w:bottom w:val="single" w:color="auto" w:sz="4" w:space="0"/>
              <w:right w:val="single" w:color="auto" w:sz="4" w:space="0"/>
            </w:tcBorders>
            <w:vAlign w:val="center"/>
          </w:tcPr>
          <w:p w14:paraId="19F10C67">
            <w:pPr>
              <w:shd w:val="clear" w:color="auto" w:fill="FFFFFF" w:themeFill="background1"/>
              <w:snapToGrid w:val="0"/>
              <w:spacing w:line="380" w:lineRule="exact"/>
              <w:jc w:val="center"/>
              <w:rPr>
                <w:rFonts w:ascii="宋体" w:hAnsi="宋体" w:cs="宋体"/>
                <w:color w:val="auto"/>
                <w:szCs w:val="21"/>
                <w:highlight w:val="none"/>
              </w:rPr>
            </w:pPr>
            <w:r>
              <w:rPr>
                <w:rFonts w:hint="eastAsia" w:ascii="宋体" w:hAnsi="宋体" w:cs="宋体"/>
                <w:color w:val="auto"/>
                <w:szCs w:val="21"/>
                <w:highlight w:val="none"/>
              </w:rPr>
              <w:t>项目内容</w:t>
            </w:r>
          </w:p>
        </w:tc>
        <w:tc>
          <w:tcPr>
            <w:tcW w:w="7297" w:type="dxa"/>
            <w:tcBorders>
              <w:top w:val="single" w:color="auto" w:sz="4" w:space="0"/>
              <w:left w:val="single" w:color="auto" w:sz="4" w:space="0"/>
              <w:bottom w:val="single" w:color="auto" w:sz="4" w:space="0"/>
              <w:right w:val="single" w:color="auto" w:sz="4" w:space="0"/>
            </w:tcBorders>
            <w:vAlign w:val="center"/>
          </w:tcPr>
          <w:p w14:paraId="60DF0300">
            <w:pPr>
              <w:shd w:val="clear" w:color="auto" w:fill="FFFFFF" w:themeFill="background1"/>
              <w:snapToGrid w:val="0"/>
              <w:spacing w:line="380" w:lineRule="exact"/>
              <w:jc w:val="center"/>
              <w:rPr>
                <w:rFonts w:ascii="宋体" w:hAnsi="宋体" w:cs="宋体"/>
                <w:color w:val="auto"/>
                <w:szCs w:val="21"/>
                <w:highlight w:val="none"/>
              </w:rPr>
            </w:pPr>
            <w:r>
              <w:rPr>
                <w:rFonts w:hint="eastAsia" w:ascii="宋体" w:hAnsi="宋体" w:cs="宋体"/>
                <w:color w:val="auto"/>
                <w:szCs w:val="21"/>
                <w:highlight w:val="none"/>
              </w:rPr>
              <w:t>编列内容</w:t>
            </w:r>
          </w:p>
        </w:tc>
      </w:tr>
      <w:tr w14:paraId="112654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0EB157B4">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3</w:t>
            </w:r>
          </w:p>
        </w:tc>
        <w:tc>
          <w:tcPr>
            <w:tcW w:w="2268" w:type="dxa"/>
            <w:tcBorders>
              <w:top w:val="single" w:color="auto" w:sz="4" w:space="0"/>
              <w:left w:val="single" w:color="auto" w:sz="4" w:space="0"/>
              <w:bottom w:val="single" w:color="auto" w:sz="4" w:space="0"/>
              <w:right w:val="single" w:color="auto" w:sz="4" w:space="0"/>
            </w:tcBorders>
            <w:vAlign w:val="center"/>
          </w:tcPr>
          <w:p w14:paraId="2403CDC4">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投标人的资格要求</w:t>
            </w:r>
          </w:p>
        </w:tc>
        <w:tc>
          <w:tcPr>
            <w:tcW w:w="7297" w:type="dxa"/>
            <w:tcBorders>
              <w:top w:val="single" w:color="auto" w:sz="4" w:space="0"/>
              <w:left w:val="single" w:color="auto" w:sz="4" w:space="0"/>
              <w:bottom w:val="single" w:color="auto" w:sz="4" w:space="0"/>
              <w:right w:val="single" w:color="auto" w:sz="4" w:space="0"/>
            </w:tcBorders>
            <w:vAlign w:val="center"/>
          </w:tcPr>
          <w:p w14:paraId="0B425258">
            <w:pPr>
              <w:pStyle w:val="10"/>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详见招标公告。</w:t>
            </w:r>
          </w:p>
        </w:tc>
      </w:tr>
      <w:tr w14:paraId="2AD9E3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64195DC3">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6.1</w:t>
            </w:r>
          </w:p>
        </w:tc>
        <w:tc>
          <w:tcPr>
            <w:tcW w:w="2268" w:type="dxa"/>
            <w:tcBorders>
              <w:top w:val="single" w:color="auto" w:sz="4" w:space="0"/>
              <w:left w:val="single" w:color="auto" w:sz="4" w:space="0"/>
              <w:bottom w:val="single" w:color="auto" w:sz="4" w:space="0"/>
              <w:right w:val="single" w:color="auto" w:sz="4" w:space="0"/>
            </w:tcBorders>
            <w:vAlign w:val="center"/>
          </w:tcPr>
          <w:p w14:paraId="4DC035D9">
            <w:pPr>
              <w:shd w:val="clear" w:color="auto" w:fill="FFFFFF" w:themeFill="background1"/>
              <w:spacing w:line="380" w:lineRule="exact"/>
              <w:rPr>
                <w:rFonts w:ascii="宋体" w:hAnsi="宋体" w:cs="宋体"/>
                <w:color w:val="auto"/>
                <w:szCs w:val="21"/>
                <w:highlight w:val="none"/>
              </w:rPr>
            </w:pPr>
            <w:bookmarkStart w:id="85" w:name="_8.1"/>
            <w:bookmarkEnd w:id="85"/>
            <w:bookmarkStart w:id="86" w:name="_5"/>
            <w:bookmarkEnd w:id="86"/>
            <w:bookmarkStart w:id="87" w:name="_9.2"/>
            <w:bookmarkEnd w:id="87"/>
            <w:r>
              <w:rPr>
                <w:rFonts w:hint="eastAsia" w:ascii="宋体" w:hAnsi="宋体" w:cs="宋体"/>
                <w:color w:val="auto"/>
                <w:szCs w:val="21"/>
                <w:highlight w:val="none"/>
              </w:rPr>
              <w:t>是否接受联合体投标</w:t>
            </w:r>
          </w:p>
        </w:tc>
        <w:tc>
          <w:tcPr>
            <w:tcW w:w="7297" w:type="dxa"/>
            <w:tcBorders>
              <w:top w:val="single" w:color="auto" w:sz="4" w:space="0"/>
              <w:left w:val="single" w:color="auto" w:sz="4" w:space="0"/>
              <w:bottom w:val="single" w:color="auto" w:sz="4" w:space="0"/>
              <w:right w:val="single" w:color="auto" w:sz="4" w:space="0"/>
            </w:tcBorders>
            <w:vAlign w:val="center"/>
          </w:tcPr>
          <w:p w14:paraId="11892874">
            <w:pPr>
              <w:pStyle w:val="10"/>
              <w:shd w:val="clear" w:color="auto" w:fill="FFFFFF" w:themeFill="background1"/>
              <w:spacing w:line="380" w:lineRule="exact"/>
              <w:rPr>
                <w:rFonts w:ascii="宋体" w:hAnsi="宋体" w:cs="宋体"/>
                <w:color w:val="auto"/>
                <w:szCs w:val="21"/>
                <w:highlight w:val="none"/>
              </w:rPr>
            </w:pPr>
            <w:bookmarkStart w:id="88" w:name="PO_3000001866_PM007"/>
            <w:r>
              <w:rPr>
                <w:rFonts w:hint="eastAsia" w:ascii="宋体" w:hAnsi="宋体" w:cs="宋体"/>
                <w:color w:val="auto"/>
                <w:szCs w:val="21"/>
                <w:highlight w:val="none"/>
              </w:rPr>
              <w:t>详见招标公告。</w:t>
            </w:r>
            <w:bookmarkEnd w:id="88"/>
          </w:p>
        </w:tc>
      </w:tr>
      <w:tr w14:paraId="494632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006C0420">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6.2</w:t>
            </w:r>
          </w:p>
        </w:tc>
        <w:tc>
          <w:tcPr>
            <w:tcW w:w="2268" w:type="dxa"/>
            <w:tcBorders>
              <w:top w:val="single" w:color="auto" w:sz="4" w:space="0"/>
              <w:left w:val="single" w:color="auto" w:sz="4" w:space="0"/>
              <w:bottom w:val="single" w:color="auto" w:sz="4" w:space="0"/>
              <w:right w:val="single" w:color="auto" w:sz="4" w:space="0"/>
            </w:tcBorders>
            <w:vAlign w:val="center"/>
          </w:tcPr>
          <w:p w14:paraId="4A8D6C90">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联合体投标要求</w:t>
            </w:r>
          </w:p>
        </w:tc>
        <w:tc>
          <w:tcPr>
            <w:tcW w:w="7297" w:type="dxa"/>
            <w:tcBorders>
              <w:top w:val="single" w:color="auto" w:sz="4" w:space="0"/>
              <w:left w:val="single" w:color="auto" w:sz="4" w:space="0"/>
              <w:bottom w:val="single" w:color="auto" w:sz="4" w:space="0"/>
              <w:right w:val="single" w:color="auto" w:sz="4" w:space="0"/>
            </w:tcBorders>
            <w:vAlign w:val="center"/>
          </w:tcPr>
          <w:p w14:paraId="2C426A47">
            <w:pPr>
              <w:pStyle w:val="10"/>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无。</w:t>
            </w:r>
          </w:p>
        </w:tc>
      </w:tr>
      <w:tr w14:paraId="367F53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06D6F13B">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7.2</w:t>
            </w:r>
          </w:p>
        </w:tc>
        <w:tc>
          <w:tcPr>
            <w:tcW w:w="2268" w:type="dxa"/>
            <w:tcBorders>
              <w:top w:val="single" w:color="auto" w:sz="4" w:space="0"/>
              <w:left w:val="single" w:color="auto" w:sz="4" w:space="0"/>
              <w:bottom w:val="single" w:color="auto" w:sz="4" w:space="0"/>
              <w:right w:val="single" w:color="auto" w:sz="4" w:space="0"/>
            </w:tcBorders>
            <w:vAlign w:val="center"/>
          </w:tcPr>
          <w:p w14:paraId="56879519">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是否允许转包/分包</w:t>
            </w:r>
          </w:p>
        </w:tc>
        <w:tc>
          <w:tcPr>
            <w:tcW w:w="7297" w:type="dxa"/>
            <w:tcBorders>
              <w:top w:val="single" w:color="auto" w:sz="4" w:space="0"/>
              <w:left w:val="single" w:color="auto" w:sz="4" w:space="0"/>
              <w:bottom w:val="single" w:color="auto" w:sz="4" w:space="0"/>
              <w:right w:val="single" w:color="auto" w:sz="4" w:space="0"/>
            </w:tcBorders>
            <w:vAlign w:val="center"/>
          </w:tcPr>
          <w:p w14:paraId="0EC3C6F7">
            <w:pPr>
              <w:pStyle w:val="10"/>
              <w:shd w:val="clear" w:color="auto" w:fill="FFFFFF" w:themeFill="background1"/>
              <w:spacing w:line="380" w:lineRule="exact"/>
              <w:rPr>
                <w:rFonts w:hint="eastAsia" w:ascii="宋体" w:hAnsi="宋体" w:cs="宋体"/>
                <w:color w:val="auto"/>
                <w:szCs w:val="21"/>
                <w:highlight w:val="none"/>
              </w:rPr>
            </w:pPr>
            <w:bookmarkStart w:id="89" w:name="PO_3000001866_PM044"/>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不允许分包</w:t>
            </w:r>
            <w:bookmarkEnd w:id="89"/>
          </w:p>
          <w:p w14:paraId="63CDDFC3">
            <w:pPr>
              <w:pStyle w:val="10"/>
              <w:shd w:val="clear" w:color="auto" w:fill="FFFFFF" w:themeFill="background1"/>
              <w:spacing w:line="380" w:lineRule="exact"/>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允许分包</w:t>
            </w:r>
          </w:p>
          <w:p w14:paraId="5B7F0947">
            <w:pPr>
              <w:pStyle w:val="10"/>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转包/分包内容：</w:t>
            </w:r>
            <w:r>
              <w:rPr>
                <w:rFonts w:hint="eastAsia" w:asciiTheme="minorEastAsia" w:hAnsiTheme="minorEastAsia" w:eastAsiaTheme="minorEastAsia" w:cstheme="minorEastAsia"/>
                <w:iCs/>
                <w:color w:val="auto"/>
                <w:szCs w:val="21"/>
                <w:highlight w:val="none"/>
                <w:u w:val="single"/>
              </w:rPr>
              <w:t>如为大型企业投标，必须预留30%份额分包给一家中小企业，其分包意向中小企业也须具备该项资格要求，</w:t>
            </w:r>
            <w:r>
              <w:rPr>
                <w:rFonts w:hint="eastAsia" w:asciiTheme="minorEastAsia" w:hAnsiTheme="minorEastAsia" w:eastAsiaTheme="minorEastAsia" w:cstheme="minorEastAsia"/>
                <w:color w:val="auto"/>
                <w:szCs w:val="21"/>
                <w:highlight w:val="none"/>
                <w:u w:val="single"/>
              </w:rPr>
              <w:t>并在分包意向书中承诺满足所分包比例采购服务的相应要求；投标人须提供</w:t>
            </w:r>
            <w:r>
              <w:rPr>
                <w:rFonts w:hint="eastAsia" w:asciiTheme="minorEastAsia" w:hAnsiTheme="minorEastAsia" w:eastAsiaTheme="minorEastAsia" w:cstheme="minorEastAsia"/>
                <w:b/>
                <w:bCs/>
                <w:color w:val="auto"/>
                <w:szCs w:val="21"/>
                <w:highlight w:val="none"/>
                <w:u w:val="single"/>
              </w:rPr>
              <w:t>分</w:t>
            </w:r>
            <w:r>
              <w:rPr>
                <w:rFonts w:hint="eastAsia" w:asciiTheme="minorEastAsia" w:hAnsiTheme="minorEastAsia" w:eastAsiaTheme="minorEastAsia" w:cstheme="minorEastAsia"/>
                <w:b/>
                <w:bCs/>
                <w:color w:val="auto"/>
                <w:szCs w:val="21"/>
                <w:highlight w:val="none"/>
                <w:u w:val="single"/>
              </w:rPr>
              <w:t>包意向</w:t>
            </w:r>
            <w:r>
              <w:rPr>
                <w:rFonts w:hint="eastAsia" w:asciiTheme="minorEastAsia" w:hAnsiTheme="minorEastAsia" w:eastAsiaTheme="minorEastAsia" w:cstheme="minorEastAsia"/>
                <w:b/>
                <w:bCs/>
                <w:color w:val="auto"/>
                <w:szCs w:val="21"/>
                <w:highlight w:val="none"/>
                <w:u w:val="single"/>
                <w:lang w:val="en-US" w:eastAsia="zh-CN"/>
              </w:rPr>
              <w:t>协议</w:t>
            </w:r>
            <w:r>
              <w:rPr>
                <w:rFonts w:hint="eastAsia" w:asciiTheme="minorEastAsia" w:hAnsiTheme="minorEastAsia" w:eastAsiaTheme="minorEastAsia" w:cstheme="minorEastAsia"/>
                <w:color w:val="auto"/>
                <w:szCs w:val="21"/>
                <w:highlight w:val="none"/>
                <w:u w:val="single"/>
              </w:rPr>
              <w:t>（格式自拟）</w:t>
            </w:r>
            <w:r>
              <w:rPr>
                <w:rFonts w:hint="eastAsia" w:asciiTheme="minorEastAsia" w:hAnsiTheme="minorEastAsia" w:eastAsiaTheme="minorEastAsia" w:cstheme="minorEastAsia"/>
                <w:b/>
                <w:bCs/>
                <w:color w:val="auto"/>
                <w:szCs w:val="21"/>
                <w:highlight w:val="none"/>
                <w:u w:val="single"/>
              </w:rPr>
              <w:t>以及该中小企业声明函</w:t>
            </w:r>
            <w:r>
              <w:rPr>
                <w:rFonts w:hint="eastAsia" w:asciiTheme="minorEastAsia" w:hAnsiTheme="minorEastAsia" w:eastAsiaTheme="minorEastAsia" w:cstheme="minorEastAsia"/>
                <w:color w:val="auto"/>
                <w:szCs w:val="21"/>
                <w:highlight w:val="none"/>
                <w:u w:val="single"/>
              </w:rPr>
              <w:t>。投标人对分包的中小企业负连带责任。</w:t>
            </w:r>
          </w:p>
          <w:p w14:paraId="19B371C7">
            <w:pPr>
              <w:pStyle w:val="10"/>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转包/分包金额或者比例：</w:t>
            </w:r>
            <w:r>
              <w:rPr>
                <w:rFonts w:hint="eastAsia" w:ascii="宋体" w:hAnsi="宋体" w:cs="宋体"/>
                <w:color w:val="auto"/>
                <w:szCs w:val="21"/>
                <w:highlight w:val="none"/>
                <w:u w:val="single"/>
              </w:rPr>
              <w:t xml:space="preserve"> 预算金额的30%（含）以上。</w:t>
            </w:r>
          </w:p>
        </w:tc>
      </w:tr>
      <w:tr w14:paraId="49F815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5D97B84E">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11.4</w:t>
            </w:r>
          </w:p>
        </w:tc>
        <w:tc>
          <w:tcPr>
            <w:tcW w:w="2268" w:type="dxa"/>
            <w:tcBorders>
              <w:top w:val="single" w:color="auto" w:sz="4" w:space="0"/>
              <w:left w:val="single" w:color="auto" w:sz="4" w:space="0"/>
              <w:bottom w:val="single" w:color="auto" w:sz="4" w:space="0"/>
              <w:right w:val="single" w:color="auto" w:sz="4" w:space="0"/>
            </w:tcBorders>
            <w:vAlign w:val="center"/>
          </w:tcPr>
          <w:p w14:paraId="32060A53">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媒体发布渠道</w:t>
            </w:r>
          </w:p>
        </w:tc>
        <w:tc>
          <w:tcPr>
            <w:tcW w:w="7297" w:type="dxa"/>
            <w:tcBorders>
              <w:top w:val="single" w:color="auto" w:sz="4" w:space="0"/>
              <w:left w:val="single" w:color="auto" w:sz="4" w:space="0"/>
              <w:bottom w:val="single" w:color="auto" w:sz="4" w:space="0"/>
              <w:right w:val="single" w:color="auto" w:sz="4" w:space="0"/>
            </w:tcBorders>
            <w:vAlign w:val="center"/>
          </w:tcPr>
          <w:p w14:paraId="350EFFD0">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与本项目相关的政府采购业务澄清、更正及与之相关的事项将在招标公告中“六、其他补充事宜”中网上查询地址上发布</w:t>
            </w:r>
            <w:r>
              <w:rPr>
                <w:rFonts w:hint="eastAsia" w:ascii="宋体" w:hAnsi="宋体" w:cs="宋体"/>
                <w:color w:val="auto"/>
                <w:kern w:val="0"/>
                <w:szCs w:val="21"/>
                <w:highlight w:val="none"/>
              </w:rPr>
              <w:t>。</w:t>
            </w:r>
          </w:p>
        </w:tc>
      </w:tr>
      <w:tr w14:paraId="102FF1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79E069A1">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11.5</w:t>
            </w:r>
          </w:p>
        </w:tc>
        <w:tc>
          <w:tcPr>
            <w:tcW w:w="2268" w:type="dxa"/>
            <w:tcBorders>
              <w:top w:val="single" w:color="auto" w:sz="4" w:space="0"/>
              <w:left w:val="single" w:color="auto" w:sz="4" w:space="0"/>
              <w:bottom w:val="single" w:color="auto" w:sz="4" w:space="0"/>
              <w:right w:val="single" w:color="auto" w:sz="4" w:space="0"/>
            </w:tcBorders>
            <w:vAlign w:val="center"/>
          </w:tcPr>
          <w:p w14:paraId="49D8A4DA">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是否组织标前答疑会</w:t>
            </w:r>
          </w:p>
        </w:tc>
        <w:tc>
          <w:tcPr>
            <w:tcW w:w="7297" w:type="dxa"/>
            <w:tcBorders>
              <w:top w:val="single" w:color="auto" w:sz="4" w:space="0"/>
              <w:left w:val="single" w:color="auto" w:sz="4" w:space="0"/>
              <w:bottom w:val="single" w:color="auto" w:sz="4" w:space="0"/>
              <w:right w:val="single" w:color="auto" w:sz="4" w:space="0"/>
            </w:tcBorders>
            <w:vAlign w:val="center"/>
          </w:tcPr>
          <w:p w14:paraId="7EF3469B">
            <w:pPr>
              <w:shd w:val="clear" w:color="auto" w:fill="FFFFFF" w:themeFill="background1"/>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 不组织召开开标前答疑会</w:t>
            </w:r>
          </w:p>
          <w:p w14:paraId="58CBEF5E">
            <w:pPr>
              <w:shd w:val="clear" w:color="auto" w:fill="FFFFFF" w:themeFill="background1"/>
              <w:snapToGrid w:val="0"/>
              <w:spacing w:line="380" w:lineRule="exact"/>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组织召开开标前答疑会</w:t>
            </w:r>
          </w:p>
          <w:p w14:paraId="085705EE">
            <w:pPr>
              <w:shd w:val="clear" w:color="auto" w:fill="FFFFFF" w:themeFill="background1"/>
              <w:snapToGrid w:val="0"/>
              <w:spacing w:line="380" w:lineRule="exact"/>
              <w:rPr>
                <w:rFonts w:ascii="宋体" w:hAnsi="宋体" w:cs="宋体"/>
                <w:color w:val="auto"/>
                <w:szCs w:val="21"/>
                <w:highlight w:val="none"/>
                <w:u w:val="single"/>
              </w:rPr>
            </w:pPr>
            <w:r>
              <w:rPr>
                <w:rFonts w:hint="eastAsia" w:ascii="宋体" w:hAnsi="宋体" w:cs="宋体"/>
                <w:color w:val="auto"/>
                <w:szCs w:val="21"/>
                <w:highlight w:val="none"/>
              </w:rPr>
              <w:t>会议开始时间：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分，逾期后果自负。会议地点：</w:t>
            </w:r>
            <w:r>
              <w:rPr>
                <w:rFonts w:hint="eastAsia" w:ascii="宋体" w:hAnsi="宋体" w:cs="宋体"/>
                <w:color w:val="auto"/>
                <w:szCs w:val="21"/>
                <w:highlight w:val="none"/>
                <w:u w:val="single"/>
              </w:rPr>
              <w:t xml:space="preserve">              </w:t>
            </w:r>
          </w:p>
        </w:tc>
      </w:tr>
      <w:tr w14:paraId="0F51C4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75" w:type="dxa"/>
            <w:tcBorders>
              <w:top w:val="nil"/>
              <w:left w:val="single" w:color="auto" w:sz="4" w:space="0"/>
              <w:bottom w:val="nil"/>
              <w:right w:val="single" w:color="auto" w:sz="4" w:space="0"/>
            </w:tcBorders>
            <w:vAlign w:val="center"/>
          </w:tcPr>
          <w:p w14:paraId="60B7E157">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13.1</w:t>
            </w:r>
          </w:p>
        </w:tc>
        <w:tc>
          <w:tcPr>
            <w:tcW w:w="2268" w:type="dxa"/>
            <w:tcBorders>
              <w:top w:val="single" w:color="auto" w:sz="4" w:space="0"/>
              <w:left w:val="single" w:color="auto" w:sz="4" w:space="0"/>
              <w:bottom w:val="single" w:color="auto" w:sz="4" w:space="0"/>
              <w:right w:val="single" w:color="auto" w:sz="4" w:space="0"/>
            </w:tcBorders>
            <w:vAlign w:val="center"/>
          </w:tcPr>
          <w:p w14:paraId="19776266">
            <w:pPr>
              <w:shd w:val="clear" w:color="auto" w:fill="FFFFFF" w:themeFill="background1"/>
              <w:snapToGrid w:val="0"/>
              <w:spacing w:line="380" w:lineRule="exact"/>
              <w:jc w:val="left"/>
              <w:rPr>
                <w:rFonts w:ascii="宋体" w:hAnsi="宋体" w:cs="宋体"/>
                <w:color w:val="auto"/>
                <w:szCs w:val="21"/>
                <w:highlight w:val="none"/>
              </w:rPr>
            </w:pPr>
            <w:bookmarkStart w:id="90" w:name="_13.2"/>
            <w:bookmarkEnd w:id="90"/>
            <w:r>
              <w:rPr>
                <w:rFonts w:hint="eastAsia" w:ascii="宋体" w:hAnsi="宋体" w:cs="宋体"/>
                <w:color w:val="auto"/>
                <w:szCs w:val="21"/>
                <w:highlight w:val="none"/>
              </w:rPr>
              <w:t>资格证明文件组成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05094AEE">
            <w:pPr>
              <w:shd w:val="clear" w:color="auto" w:fill="FFFFFF" w:themeFill="background1"/>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1、投标人为法人或者其他组织的，提供营业执照等证明文件复印件（如营业执照或者事业单位法人证书或者</w:t>
            </w:r>
            <w:r>
              <w:rPr>
                <w:rStyle w:val="37"/>
                <w:rFonts w:hint="eastAsia"/>
                <w:color w:val="auto"/>
                <w:sz w:val="21"/>
                <w:szCs w:val="21"/>
                <w:highlight w:val="none"/>
              </w:rPr>
              <w:t>执业许可证</w:t>
            </w:r>
            <w:r>
              <w:rPr>
                <w:rFonts w:hint="eastAsia" w:ascii="宋体" w:hAnsi="宋体" w:cs="宋体"/>
                <w:color w:val="auto"/>
                <w:szCs w:val="21"/>
                <w:highlight w:val="none"/>
              </w:rPr>
              <w:t>等），投标人为自然人的，提供有效身份证正反面复印件。（</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72717C35">
            <w:pPr>
              <w:shd w:val="clear" w:color="auto" w:fill="FFFFFF" w:themeFill="background1"/>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2、投标人依法缴纳税收的相关材料（提供税款所属时期为202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月至投标文件提交截止时间止的任意</w:t>
            </w:r>
            <w:r>
              <w:rPr>
                <w:rFonts w:hint="eastAsia" w:ascii="宋体" w:hAnsi="宋体" w:cs="宋体"/>
                <w:color w:val="auto"/>
                <w:szCs w:val="21"/>
                <w:highlight w:val="none"/>
                <w:u w:val="single"/>
              </w:rPr>
              <w:t>1</w:t>
            </w:r>
            <w:r>
              <w:rPr>
                <w:rFonts w:hint="eastAsia" w:ascii="宋体" w:hAnsi="宋体" w:cs="宋体"/>
                <w:color w:val="auto"/>
                <w:szCs w:val="21"/>
                <w:highlight w:val="none"/>
              </w:rPr>
              <w:t>个月的依法缴纳税收的凭据复印件；依法免税的投标人，必须提供相应文件证明其依法免税。从取得营业执照时间起到投标文件提交截止时间为止不足要求月数的，只需提供从取得营业执照起的依法缴纳税收相应证明文件）。（</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56EC9AFC">
            <w:pPr>
              <w:shd w:val="clear" w:color="auto" w:fill="FFFFFF" w:themeFill="background1"/>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3、投标人依法缴纳社会保障资金的相关材料（提供税款所属时期或缴费起始时间为202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月至投标文件提交截止时间止的任意1个月的依法缴纳社会保障资金的缴费凭证复印件；依法不需要缴纳社会保障资金的投标人，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187E940E">
            <w:pPr>
              <w:shd w:val="clear" w:color="auto" w:fill="FFFFFF" w:themeFill="background1"/>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4、投标人财务状况报告（提供202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年度经审计的财务报告复印件或者截标时间前半年内至少一个月能反映财务状况的报表或者投标人自拟的截标时间前半年内至少一个月的财务情况说明）。（</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127520C6">
            <w:pPr>
              <w:shd w:val="clear" w:color="auto" w:fill="FFFFFF" w:themeFill="background1"/>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rPr>
              <w:t>5、</w:t>
            </w:r>
            <w:r>
              <w:rPr>
                <w:rFonts w:hint="eastAsia" w:asciiTheme="minorEastAsia" w:hAnsiTheme="minorEastAsia" w:eastAsiaTheme="minorEastAsia" w:cstheme="minorEastAsia"/>
                <w:color w:val="auto"/>
                <w:szCs w:val="21"/>
                <w:highlight w:val="none"/>
              </w:rPr>
              <w:t>本项目属于预留采购预算总额的30%（含）以上专门面向中小企业采购项目（其企业划型标准按照《金融业企业划型标准规定》银发〔2015〕309号文件认定），根据《政府采购促进中小企业发展管理办法》财库〔2020〕46号文件</w:t>
            </w:r>
            <w:r>
              <w:rPr>
                <w:rFonts w:hint="eastAsia" w:ascii="宋体" w:hAnsi="宋体" w:cs="宋体"/>
                <w:color w:val="auto"/>
                <w:szCs w:val="21"/>
                <w:highlight w:val="none"/>
              </w:rPr>
              <w:t>第八条要求</w:t>
            </w:r>
            <w:r>
              <w:rPr>
                <w:rFonts w:hint="eastAsia" w:ascii="宋体" w:hAnsi="宋体" w:cs="宋体"/>
                <w:color w:val="auto"/>
                <w:szCs w:val="21"/>
                <w:highlight w:val="none"/>
                <w:lang w:eastAsia="zh-CN"/>
              </w:rPr>
              <w:t>：“超过200万元的货物和服务采购项目、超过400万元的工程采购项目中适宜由中小企业提供的，预留该部分采购项目预算总额的30%以上专门面向中小企业采购，其中预留给小微企业的比例不低于60%。”</w:t>
            </w:r>
            <w:r>
              <w:rPr>
                <w:rFonts w:hint="eastAsia" w:ascii="宋体" w:hAnsi="宋体" w:cs="宋体"/>
                <w:color w:val="auto"/>
                <w:szCs w:val="21"/>
                <w:highlight w:val="none"/>
              </w:rPr>
              <w:t>，</w:t>
            </w:r>
            <w:r>
              <w:rPr>
                <w:rFonts w:hint="eastAsia" w:asciiTheme="minorEastAsia" w:hAnsiTheme="minorEastAsia" w:eastAsiaTheme="minorEastAsia" w:cstheme="minorEastAsia"/>
                <w:color w:val="auto"/>
                <w:szCs w:val="21"/>
                <w:highlight w:val="none"/>
              </w:rPr>
              <w:t>如投标人为大型企业的，必须在获得本项目采购合同后，将采购项目预算金额30%（含）以上的比例分包给一家中小企业。接受分包合同的供应商须为中、小、微企业，接受分包合同的中小企业与分包企业之间不得存在直接控股、管理关系。【供应商须提供分包意向协议</w:t>
            </w:r>
            <w:r>
              <w:rPr>
                <w:rFonts w:hint="eastAsia" w:asciiTheme="minorEastAsia" w:hAnsiTheme="minorEastAsia" w:eastAsiaTheme="minorEastAsia" w:cstheme="minorEastAsia"/>
                <w:color w:val="auto"/>
                <w:szCs w:val="21"/>
                <w:highlight w:val="none"/>
                <w:lang w:eastAsia="zh-CN"/>
              </w:rPr>
              <w:t>（格式自拟）</w:t>
            </w:r>
            <w:r>
              <w:rPr>
                <w:rFonts w:hint="eastAsia" w:asciiTheme="minorEastAsia" w:hAnsiTheme="minorEastAsia" w:eastAsiaTheme="minorEastAsia" w:cstheme="minorEastAsia"/>
                <w:color w:val="auto"/>
                <w:szCs w:val="21"/>
                <w:highlight w:val="none"/>
              </w:rPr>
              <w:t>和《中小企业声明函》。（注：如果供应商本身提供的所有服务均由中小企业提供，视同符合上述资格条件，无需再向中小企业分包。中小企业以供应商填写的《中小企业声明函》（见投标文件格式）为判定标准，残疾人福利性单位以供应商提供的《残疾人福利性单位声明函》（见投标文件格式）为判定标准，监狱企业须供应商提供由省级以上监狱管理局、戒毒管理局（含新疆生产建设兵团）出具的属于监狱企业的证明文件，否则不予认定】</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b/>
                <w:color w:val="auto"/>
                <w:szCs w:val="21"/>
                <w:highlight w:val="none"/>
              </w:rPr>
              <w:t>必须提供，否则按无效投标处理</w:t>
            </w:r>
            <w:r>
              <w:rPr>
                <w:rFonts w:hint="eastAsia" w:asciiTheme="minorEastAsia" w:hAnsiTheme="minorEastAsia" w:eastAsiaTheme="minorEastAsia" w:cstheme="minorEastAsia"/>
                <w:color w:val="auto"/>
                <w:szCs w:val="21"/>
                <w:highlight w:val="none"/>
              </w:rPr>
              <w:t>）</w:t>
            </w:r>
          </w:p>
          <w:p w14:paraId="704BA670">
            <w:pPr>
              <w:shd w:val="clear" w:color="auto" w:fill="FFFFFF" w:themeFill="background1"/>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本项目的特定资格要求：投标人须具有经原中国银行保险监督管理机构批准并颁发的有效的《保险许可证》【如为大型企业投标，必须预留30%份额分包给一家中小企业，其分包意向中小企业也须具备该项资格要求，并在分包意向书中承诺满足所分包比例采购服务的相应要求；投标人须提供分包意向</w:t>
            </w:r>
            <w:r>
              <w:rPr>
                <w:rFonts w:hint="eastAsia" w:ascii="宋体" w:hAnsi="宋体" w:cs="宋体"/>
                <w:color w:val="auto"/>
                <w:szCs w:val="21"/>
                <w:highlight w:val="none"/>
                <w:lang w:eastAsia="zh-CN"/>
              </w:rPr>
              <w:t>协议</w:t>
            </w:r>
            <w:r>
              <w:rPr>
                <w:rFonts w:hint="eastAsia" w:ascii="宋体" w:hAnsi="宋体" w:cs="宋体"/>
                <w:color w:val="auto"/>
                <w:szCs w:val="21"/>
                <w:highlight w:val="none"/>
              </w:rPr>
              <w:t>（格式自拟）以及该中小企业声明函，投标人对分包的中小企业负连带责任】。（</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2163A6A5">
            <w:pPr>
              <w:shd w:val="clear" w:color="auto" w:fill="FFFFFF" w:themeFill="background1"/>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、声明函（格式后附）。（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235C6D07">
            <w:pPr>
              <w:shd w:val="clear" w:color="auto" w:fill="FFFFFF" w:themeFill="background1"/>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w:t>
            </w:r>
            <w:r>
              <w:rPr>
                <w:rFonts w:hint="eastAsia" w:asciiTheme="minorEastAsia" w:hAnsiTheme="minorEastAsia" w:eastAsiaTheme="minorEastAsia" w:cstheme="minorEastAsia"/>
                <w:color w:val="auto"/>
                <w:szCs w:val="21"/>
                <w:highlight w:val="none"/>
              </w:rPr>
              <w:t>法人授权分公司投标书，如投标人为分公司等分支机构的，则应提供由其总公司出具相关授权书（含总公司的营业执照复印件），并在授权书中明确总公司将相应承担其分公司等分支机构在本项目中的民事责任</w:t>
            </w:r>
            <w:r>
              <w:rPr>
                <w:rFonts w:hint="eastAsia" w:asciiTheme="minorEastAsia" w:hAnsiTheme="minorEastAsia" w:eastAsiaTheme="minorEastAsia" w:cstheme="minorEastAsia"/>
                <w:color w:val="auto"/>
                <w:szCs w:val="21"/>
                <w:highlight w:val="none"/>
                <w:lang w:val="en-US" w:eastAsia="zh-CN"/>
              </w:rPr>
              <w:t>。</w:t>
            </w:r>
            <w:r>
              <w:rPr>
                <w:rFonts w:hint="eastAsia" w:asciiTheme="minorEastAsia" w:hAnsiTheme="minorEastAsia" w:eastAsiaTheme="minorEastAsia" w:cstheme="minorEastAsia"/>
                <w:b/>
                <w:color w:val="auto"/>
                <w:szCs w:val="21"/>
                <w:highlight w:val="none"/>
              </w:rPr>
              <w:t>（总公司授权分公司投标时使用，其他有独立法人资格的供应商不须提供）</w:t>
            </w:r>
          </w:p>
          <w:p w14:paraId="33646BD9">
            <w:pPr>
              <w:shd w:val="clear" w:color="auto" w:fill="FFFFFF" w:themeFill="background1"/>
              <w:snapToGrid w:val="0"/>
              <w:spacing w:line="380" w:lineRule="exact"/>
              <w:jc w:val="left"/>
              <w:rPr>
                <w:rFonts w:ascii="宋体" w:hAnsi="宋体" w:cs="宋体"/>
                <w:b/>
                <w:bCs/>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联合体投标协议书（格式后附）。</w:t>
            </w:r>
            <w:r>
              <w:rPr>
                <w:rFonts w:hint="eastAsia" w:ascii="宋体" w:hAnsi="宋体" w:cs="宋体"/>
                <w:b/>
                <w:bCs/>
                <w:color w:val="auto"/>
                <w:szCs w:val="21"/>
                <w:highlight w:val="none"/>
              </w:rPr>
              <w:t>（联合体投标时必须提供，否则作无效投标处理）</w:t>
            </w:r>
          </w:p>
          <w:p w14:paraId="7F084C7F">
            <w:pPr>
              <w:shd w:val="clear" w:color="auto" w:fill="FFFFFF" w:themeFill="background1"/>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、除招标文件规定必须提供以外，投标人认为需要提供的其他证明材料（格式自拟）。（</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14:paraId="1C3F0A05">
            <w:pPr>
              <w:shd w:val="clear" w:color="auto" w:fill="FFFFFF" w:themeFill="background1"/>
              <w:snapToGrid w:val="0"/>
              <w:spacing w:line="380" w:lineRule="exact"/>
              <w:jc w:val="left"/>
              <w:rPr>
                <w:rFonts w:ascii="宋体" w:hAnsi="宋体" w:cs="宋体"/>
                <w:b/>
                <w:color w:val="auto"/>
                <w:szCs w:val="21"/>
                <w:highlight w:val="none"/>
              </w:rPr>
            </w:pPr>
            <w:r>
              <w:rPr>
                <w:rFonts w:hint="eastAsia" w:ascii="宋体" w:hAnsi="宋体" w:cs="宋体"/>
                <w:b/>
                <w:bCs/>
                <w:color w:val="auto"/>
                <w:szCs w:val="21"/>
                <w:highlight w:val="none"/>
              </w:rPr>
              <w:t>注：1、以上标明“必须提供”的材料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，必须加盖投标人公章，否则</w:t>
            </w:r>
            <w:r>
              <w:rPr>
                <w:rFonts w:hint="eastAsia" w:ascii="宋体" w:hAnsi="宋体" w:cs="宋体"/>
                <w:b/>
                <w:color w:val="auto"/>
                <w:szCs w:val="21"/>
                <w:highlight w:val="none"/>
              </w:rPr>
              <w:t>作无效投标处理。</w:t>
            </w:r>
          </w:p>
          <w:p w14:paraId="2C503F09">
            <w:pPr>
              <w:shd w:val="clear" w:color="auto" w:fill="FFFFFF" w:themeFill="background1"/>
              <w:snapToGrid w:val="0"/>
              <w:spacing w:line="380" w:lineRule="exact"/>
              <w:ind w:firstLine="422" w:firstLineChars="200"/>
              <w:jc w:val="left"/>
              <w:rPr>
                <w:rFonts w:ascii="宋体" w:hAnsi="宋体" w:cs="宋体"/>
                <w:b/>
                <w:bCs/>
                <w:color w:val="auto"/>
                <w:szCs w:val="21"/>
                <w:highlight w:val="none"/>
              </w:rPr>
            </w:pPr>
            <w:r>
              <w:rPr>
                <w:rFonts w:hint="eastAsia" w:ascii="宋体" w:hAnsi="宋体" w:cs="宋体"/>
                <w:b/>
                <w:color w:val="auto"/>
                <w:szCs w:val="21"/>
                <w:highlight w:val="none"/>
              </w:rPr>
              <w:t>2</w:t>
            </w:r>
            <w:r>
              <w:rPr>
                <w:rFonts w:hint="eastAsia" w:ascii="宋体" w:hAnsi="宋体" w:cs="宋体"/>
                <w:b/>
                <w:bCs/>
                <w:color w:val="auto"/>
                <w:szCs w:val="21"/>
                <w:highlight w:val="none"/>
              </w:rPr>
              <w:t>、联合体投标时，第1-5项资格证明文件联合体各方均必须分别提供，联合体各方分别盖章，否则投标文件作无效投标处理。</w:t>
            </w:r>
          </w:p>
        </w:tc>
      </w:tr>
      <w:tr w14:paraId="56387F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nil"/>
              <w:left w:val="single" w:color="auto" w:sz="4" w:space="0"/>
              <w:bottom w:val="nil"/>
              <w:right w:val="single" w:color="auto" w:sz="4" w:space="0"/>
            </w:tcBorders>
            <w:vAlign w:val="center"/>
          </w:tcPr>
          <w:p w14:paraId="4E55287E">
            <w:pPr>
              <w:shd w:val="clear" w:color="auto" w:fill="FFFFFF" w:themeFill="background1"/>
              <w:spacing w:line="380" w:lineRule="exac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76D587AF">
            <w:pPr>
              <w:shd w:val="clear" w:color="auto" w:fill="FFFFFF" w:themeFill="background1"/>
              <w:snapToGrid w:val="0"/>
              <w:spacing w:line="380" w:lineRule="exact"/>
              <w:jc w:val="left"/>
              <w:rPr>
                <w:rFonts w:ascii="宋体" w:hAnsi="宋体" w:cs="宋体"/>
                <w:color w:val="auto"/>
                <w:szCs w:val="21"/>
                <w:highlight w:val="none"/>
              </w:rPr>
            </w:pPr>
            <w:bookmarkStart w:id="91" w:name="_13.3"/>
            <w:bookmarkEnd w:id="91"/>
            <w:r>
              <w:rPr>
                <w:rFonts w:hint="eastAsia" w:ascii="宋体" w:hAnsi="宋体" w:cs="宋体"/>
                <w:color w:val="auto"/>
                <w:szCs w:val="21"/>
                <w:highlight w:val="none"/>
              </w:rPr>
              <w:t>商务文件组成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0C10597E">
            <w:pPr>
              <w:shd w:val="clear" w:color="auto" w:fill="FFFFFF" w:themeFill="background1"/>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1、无串通投标行为的承诺函（格式后附）；（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039449C4">
            <w:pPr>
              <w:shd w:val="clear" w:color="auto" w:fill="FFFFFF" w:themeFill="background1"/>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2、法定代表人身份证明及法定代表人有效身份证正反面复印件（格式后附）；（</w:t>
            </w:r>
            <w:r>
              <w:rPr>
                <w:rFonts w:hint="eastAsia" w:ascii="宋体" w:hAnsi="宋体" w:cs="宋体"/>
                <w:b/>
                <w:bCs/>
                <w:color w:val="auto"/>
                <w:szCs w:val="21"/>
                <w:highlight w:val="none"/>
              </w:rPr>
              <w:t>除自然人投标外</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46A4E825">
            <w:pPr>
              <w:shd w:val="clear" w:color="auto" w:fill="FFFFFF" w:themeFill="background1"/>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3、法定代表人授权委托书及委托代理人有效身份证正反面复印件（格式后附）；（</w:t>
            </w:r>
            <w:r>
              <w:rPr>
                <w:rFonts w:hint="eastAsia" w:ascii="宋体" w:hAnsi="宋体" w:cs="宋体"/>
                <w:b/>
                <w:color w:val="auto"/>
                <w:szCs w:val="21"/>
                <w:highlight w:val="none"/>
              </w:rPr>
              <w:t>委托时必须提供，否则作无效投标处理</w:t>
            </w:r>
            <w:r>
              <w:rPr>
                <w:rFonts w:hint="eastAsia" w:ascii="宋体" w:hAnsi="宋体" w:cs="宋体"/>
                <w:color w:val="auto"/>
                <w:szCs w:val="21"/>
                <w:highlight w:val="none"/>
              </w:rPr>
              <w:t>）</w:t>
            </w:r>
          </w:p>
          <w:p w14:paraId="70715E83">
            <w:pPr>
              <w:shd w:val="clear" w:color="auto" w:fill="FFFFFF" w:themeFill="background1"/>
              <w:snapToGrid w:val="0"/>
              <w:spacing w:line="380" w:lineRule="exact"/>
              <w:jc w:val="left"/>
              <w:rPr>
                <w:rFonts w:ascii="宋体" w:hAnsi="宋体" w:cs="宋体"/>
                <w:b/>
                <w:bCs/>
                <w:color w:val="auto"/>
                <w:szCs w:val="21"/>
                <w:highlight w:val="none"/>
              </w:rPr>
            </w:pPr>
            <w:r>
              <w:rPr>
                <w:rFonts w:hint="eastAsia" w:ascii="宋体" w:hAnsi="宋体" w:cs="宋体"/>
                <w:color w:val="auto"/>
                <w:szCs w:val="21"/>
                <w:highlight w:val="none"/>
              </w:rPr>
              <w:t>4、投标保证金提交凭证；</w:t>
            </w:r>
            <w:r>
              <w:rPr>
                <w:rFonts w:hint="eastAsia" w:ascii="宋体" w:hAnsi="宋体" w:cs="宋体"/>
                <w:b/>
                <w:bCs/>
                <w:color w:val="auto"/>
                <w:szCs w:val="21"/>
                <w:highlight w:val="none"/>
              </w:rPr>
              <w:t>（必须提供，否则作无效投标处理）</w:t>
            </w:r>
          </w:p>
          <w:p w14:paraId="304FC2E4">
            <w:pPr>
              <w:shd w:val="clear" w:color="auto" w:fill="FFFFFF" w:themeFill="background1"/>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5、商务条款偏离表（格式后附）；（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733B92DA">
            <w:pPr>
              <w:shd w:val="clear" w:color="auto" w:fill="FFFFFF" w:themeFill="background1"/>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6、投标人情况介绍（格式自拟）；（</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14:paraId="6E320F09">
            <w:pPr>
              <w:shd w:val="clear" w:color="auto" w:fill="FFFFFF" w:themeFill="background1"/>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7、除招标文件规定必须提供以外，投标人认为需要提供的其他证明材料（格式自拟）。（投标人根据“第二章 采购需求”及“第四章 评标方法和评标标准”提供有关证明材料）。（</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14:paraId="184390BF">
            <w:pPr>
              <w:shd w:val="clear" w:color="auto" w:fill="FFFFFF" w:themeFill="background1"/>
              <w:snapToGrid w:val="0"/>
              <w:spacing w:line="380" w:lineRule="exact"/>
              <w:jc w:val="left"/>
              <w:rPr>
                <w:rFonts w:ascii="宋体" w:hAnsi="宋体" w:cs="宋体"/>
                <w:b/>
                <w:bCs/>
                <w:color w:val="auto"/>
                <w:szCs w:val="21"/>
                <w:highlight w:val="none"/>
              </w:rPr>
            </w:pPr>
            <w:r>
              <w:rPr>
                <w:rFonts w:hint="eastAsia" w:ascii="宋体" w:hAnsi="宋体" w:cs="宋体"/>
                <w:b/>
                <w:bCs/>
                <w:color w:val="auto"/>
                <w:szCs w:val="21"/>
                <w:highlight w:val="none"/>
              </w:rPr>
              <w:t>注：1、法定代表人授权委托书必须由法定代表人及委托代理人签字，并加盖投标人公章，否则作无效投标处理。</w:t>
            </w:r>
          </w:p>
          <w:p w14:paraId="432C1806">
            <w:pPr>
              <w:shd w:val="clear" w:color="auto" w:fill="FFFFFF" w:themeFill="background1"/>
              <w:snapToGrid w:val="0"/>
              <w:spacing w:line="380" w:lineRule="exact"/>
              <w:ind w:firstLine="422" w:firstLineChars="200"/>
              <w:jc w:val="left"/>
              <w:rPr>
                <w:rFonts w:ascii="宋体" w:hAnsi="宋体" w:cs="宋体"/>
                <w:b/>
                <w:color w:val="auto"/>
                <w:szCs w:val="21"/>
                <w:highlight w:val="none"/>
              </w:rPr>
            </w:pPr>
            <w:r>
              <w:rPr>
                <w:rFonts w:hint="eastAsia" w:ascii="宋体" w:hAnsi="宋体" w:cs="宋体"/>
                <w:b/>
                <w:bCs/>
                <w:color w:val="auto"/>
                <w:szCs w:val="21"/>
                <w:highlight w:val="none"/>
              </w:rPr>
              <w:t>2、以上标明“必须提供”的材料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，必须加盖投标人公章，否则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14:paraId="6A5106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vMerge w:val="restart"/>
            <w:tcBorders>
              <w:top w:val="nil"/>
              <w:left w:val="single" w:color="auto" w:sz="4" w:space="0"/>
              <w:bottom w:val="single" w:color="auto" w:sz="4" w:space="0"/>
              <w:right w:val="single" w:color="auto" w:sz="4" w:space="0"/>
            </w:tcBorders>
            <w:vAlign w:val="center"/>
          </w:tcPr>
          <w:p w14:paraId="1A303443">
            <w:pPr>
              <w:shd w:val="clear" w:color="auto" w:fill="FFFFFF" w:themeFill="background1"/>
              <w:spacing w:line="380" w:lineRule="exac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5F429F13">
            <w:pPr>
              <w:shd w:val="clear" w:color="auto" w:fill="FFFFFF" w:themeFill="background1"/>
              <w:snapToGrid w:val="0"/>
              <w:spacing w:line="380" w:lineRule="exact"/>
              <w:jc w:val="left"/>
              <w:rPr>
                <w:rFonts w:ascii="宋体" w:hAnsi="宋体" w:cs="宋体"/>
                <w:color w:val="auto"/>
                <w:szCs w:val="21"/>
                <w:highlight w:val="none"/>
              </w:rPr>
            </w:pPr>
            <w:bookmarkStart w:id="92" w:name="_13.4"/>
            <w:bookmarkEnd w:id="92"/>
            <w:r>
              <w:rPr>
                <w:rFonts w:hint="eastAsia" w:ascii="宋体" w:hAnsi="宋体" w:cs="宋体"/>
                <w:color w:val="auto"/>
                <w:szCs w:val="21"/>
                <w:highlight w:val="none"/>
              </w:rPr>
              <w:t>技术文件组成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452F1ED3">
            <w:pPr>
              <w:shd w:val="clear" w:color="auto" w:fill="FFFFFF" w:themeFill="background1"/>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1、服务要求偏离表（格式后附）；（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76FABBD9">
            <w:pPr>
              <w:shd w:val="clear" w:color="auto" w:fill="FFFFFF" w:themeFill="background1"/>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2、服务方案（格式自拟）；（</w:t>
            </w:r>
            <w:r>
              <w:rPr>
                <w:rFonts w:hint="eastAsia" w:ascii="宋体" w:hAnsi="宋体" w:cs="宋体"/>
                <w:b/>
                <w:bCs/>
                <w:color w:val="auto"/>
                <w:szCs w:val="21"/>
                <w:highlight w:val="none"/>
              </w:rPr>
              <w:t>必须提供，否则按无效投标处理</w:t>
            </w:r>
            <w:r>
              <w:rPr>
                <w:rFonts w:hint="eastAsia" w:ascii="宋体" w:hAnsi="宋体" w:cs="宋体"/>
                <w:color w:val="auto"/>
                <w:szCs w:val="21"/>
                <w:highlight w:val="none"/>
              </w:rPr>
              <w:t>）</w:t>
            </w:r>
          </w:p>
          <w:p w14:paraId="07831CED">
            <w:pPr>
              <w:shd w:val="clear" w:color="auto" w:fill="FFFFFF" w:themeFill="background1"/>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3、项目实施人员一览表（格式</w:t>
            </w:r>
            <w:r>
              <w:rPr>
                <w:rFonts w:hint="eastAsia"/>
                <w:color w:val="auto"/>
                <w:szCs w:val="21"/>
                <w:highlight w:val="none"/>
              </w:rPr>
              <w:t>后附</w:t>
            </w:r>
            <w:r>
              <w:rPr>
                <w:rFonts w:hint="eastAsia" w:ascii="宋体" w:hAnsi="宋体" w:cs="宋体"/>
                <w:color w:val="auto"/>
                <w:szCs w:val="21"/>
                <w:highlight w:val="none"/>
              </w:rPr>
              <w:t>）；（</w:t>
            </w:r>
            <w:r>
              <w:rPr>
                <w:rFonts w:hint="eastAsia" w:ascii="宋体" w:hAnsi="宋体" w:cs="宋体"/>
                <w:b/>
                <w:bCs/>
                <w:color w:val="auto"/>
                <w:szCs w:val="21"/>
                <w:highlight w:val="none"/>
              </w:rPr>
              <w:t>必须提供，否则按无效投标处理</w:t>
            </w:r>
            <w:r>
              <w:rPr>
                <w:rFonts w:hint="eastAsia" w:ascii="宋体" w:hAnsi="宋体" w:cs="宋体"/>
                <w:color w:val="auto"/>
                <w:szCs w:val="21"/>
                <w:highlight w:val="none"/>
              </w:rPr>
              <w:t>）</w:t>
            </w:r>
          </w:p>
          <w:p w14:paraId="3D7883D7">
            <w:pPr>
              <w:shd w:val="clear" w:color="auto" w:fill="FFFFFF" w:themeFill="background1"/>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Theme="minorEastAsia" w:hAnsiTheme="minorEastAsia" w:eastAsiaTheme="minorEastAsia" w:cstheme="minorEastAsia"/>
                <w:color w:val="auto"/>
                <w:szCs w:val="21"/>
                <w:highlight w:val="none"/>
              </w:rPr>
              <w:t>投标人责任免除承诺书（格式后附）；（</w:t>
            </w:r>
            <w:r>
              <w:rPr>
                <w:rFonts w:hint="eastAsia" w:asciiTheme="minorEastAsia" w:hAnsiTheme="minorEastAsia" w:eastAsiaTheme="minorEastAsia" w:cstheme="minorEastAsia"/>
                <w:b/>
                <w:color w:val="auto"/>
                <w:szCs w:val="21"/>
                <w:highlight w:val="none"/>
              </w:rPr>
              <w:t>必须提供，否则作无效投标处理</w:t>
            </w:r>
            <w:r>
              <w:rPr>
                <w:rFonts w:hint="eastAsia" w:asciiTheme="minorEastAsia" w:hAnsiTheme="minorEastAsia" w:eastAsiaTheme="minorEastAsia" w:cstheme="minorEastAsia"/>
                <w:color w:val="auto"/>
                <w:szCs w:val="21"/>
                <w:highlight w:val="none"/>
              </w:rPr>
              <w:t>）</w:t>
            </w:r>
          </w:p>
          <w:p w14:paraId="55FFA541">
            <w:pPr>
              <w:shd w:val="clear" w:color="auto" w:fill="FFFFFF" w:themeFill="background1"/>
              <w:snapToGrid w:val="0"/>
              <w:spacing w:line="380" w:lineRule="exact"/>
              <w:jc w:val="left"/>
              <w:rPr>
                <w:rFonts w:ascii="宋体" w:hAnsi="宋体" w:cs="宋体"/>
                <w:bCs/>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除招标文件规定必须提供以外，投标人需要说明的其他文件和说明（格式自拟）。</w:t>
            </w:r>
            <w:r>
              <w:rPr>
                <w:rFonts w:hint="eastAsia" w:ascii="宋体" w:hAnsi="宋体"/>
                <w:color w:val="auto"/>
                <w:szCs w:val="21"/>
                <w:highlight w:val="none"/>
              </w:rPr>
              <w:t>（</w:t>
            </w:r>
            <w:r>
              <w:rPr>
                <w:rFonts w:hint="eastAsia" w:ascii="宋体" w:hAnsi="宋体"/>
                <w:b/>
                <w:bCs/>
                <w:color w:val="auto"/>
                <w:szCs w:val="21"/>
                <w:highlight w:val="none"/>
              </w:rPr>
              <w:t>如有，请提供</w:t>
            </w:r>
            <w:r>
              <w:rPr>
                <w:rFonts w:hint="eastAsia" w:ascii="宋体" w:hAnsi="宋体"/>
                <w:color w:val="auto"/>
                <w:szCs w:val="21"/>
                <w:highlight w:val="none"/>
              </w:rPr>
              <w:t>）</w:t>
            </w:r>
          </w:p>
          <w:p w14:paraId="4131B925">
            <w:pPr>
              <w:shd w:val="clear" w:color="auto" w:fill="FFFFFF" w:themeFill="background1"/>
              <w:snapToGrid w:val="0"/>
              <w:spacing w:line="380" w:lineRule="exact"/>
              <w:jc w:val="left"/>
              <w:rPr>
                <w:rFonts w:ascii="宋体" w:hAnsi="宋体" w:cs="宋体"/>
                <w:b/>
                <w:bCs/>
                <w:color w:val="auto"/>
                <w:szCs w:val="21"/>
                <w:highlight w:val="none"/>
              </w:rPr>
            </w:pPr>
            <w:r>
              <w:rPr>
                <w:rFonts w:hint="eastAsia" w:ascii="宋体" w:hAnsi="宋体" w:cs="宋体"/>
                <w:b/>
                <w:bCs/>
                <w:color w:val="auto"/>
                <w:szCs w:val="21"/>
                <w:highlight w:val="none"/>
              </w:rPr>
              <w:t>注：以上标明“必须提供”的材料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，必须加盖投标人公章，否则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14:paraId="07B58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vMerge w:val="continue"/>
            <w:tcBorders>
              <w:top w:val="nil"/>
              <w:left w:val="single" w:color="auto" w:sz="4" w:space="0"/>
              <w:bottom w:val="single" w:color="auto" w:sz="4" w:space="0"/>
              <w:right w:val="single" w:color="auto" w:sz="4" w:space="0"/>
            </w:tcBorders>
            <w:vAlign w:val="center"/>
          </w:tcPr>
          <w:p w14:paraId="0A00D4AE">
            <w:pPr>
              <w:widowControl/>
              <w:shd w:val="clear" w:color="auto" w:fill="FFFFFF" w:themeFill="background1"/>
              <w:spacing w:line="380" w:lineRule="exact"/>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603F942D">
            <w:pPr>
              <w:shd w:val="clear" w:color="auto" w:fill="FFFFFF" w:themeFill="background1"/>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报价文件组成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55B86DBA">
            <w:pPr>
              <w:shd w:val="clear" w:color="auto" w:fill="FFFFFF" w:themeFill="background1"/>
              <w:tabs>
                <w:tab w:val="left" w:pos="459"/>
              </w:tabs>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1、投标函（格式后附）；</w:t>
            </w:r>
            <w:r>
              <w:rPr>
                <w:rFonts w:hint="eastAsia" w:ascii="宋体" w:hAnsi="宋体" w:cs="宋体"/>
                <w:bCs/>
                <w:color w:val="auto"/>
                <w:szCs w:val="21"/>
                <w:highlight w:val="none"/>
              </w:rPr>
              <w:t>（</w:t>
            </w:r>
            <w:r>
              <w:rPr>
                <w:rFonts w:hint="eastAsia" w:ascii="宋体" w:hAnsi="宋体" w:cs="宋体"/>
                <w:b/>
                <w:color w:val="auto"/>
                <w:szCs w:val="21"/>
                <w:highlight w:val="none"/>
              </w:rPr>
              <w:t>必须提供，否则作无效投标处理</w:t>
            </w:r>
            <w:r>
              <w:rPr>
                <w:rFonts w:hint="eastAsia" w:ascii="宋体" w:hAnsi="宋体" w:cs="宋体"/>
                <w:bCs/>
                <w:color w:val="auto"/>
                <w:szCs w:val="21"/>
                <w:highlight w:val="none"/>
              </w:rPr>
              <w:t>）</w:t>
            </w:r>
          </w:p>
          <w:p w14:paraId="2E5C9E08">
            <w:pPr>
              <w:shd w:val="clear" w:color="auto" w:fill="FFFFFF" w:themeFill="background1"/>
              <w:tabs>
                <w:tab w:val="left" w:pos="459"/>
              </w:tabs>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2、开标一览表（格式后附）；（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2B7D0C7E">
            <w:pPr>
              <w:shd w:val="clear" w:color="auto" w:fill="FFFFFF" w:themeFill="background1"/>
              <w:tabs>
                <w:tab w:val="left" w:pos="459"/>
              </w:tabs>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3、投标人针对报价需要说明的其他文件和说明（格式自拟）。（</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tc>
      </w:tr>
      <w:tr w14:paraId="5F0D23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140E71D6">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16.2</w:t>
            </w:r>
          </w:p>
        </w:tc>
        <w:tc>
          <w:tcPr>
            <w:tcW w:w="2268" w:type="dxa"/>
            <w:tcBorders>
              <w:top w:val="single" w:color="auto" w:sz="4" w:space="0"/>
              <w:left w:val="single" w:color="auto" w:sz="4" w:space="0"/>
              <w:bottom w:val="single" w:color="auto" w:sz="4" w:space="0"/>
              <w:right w:val="single" w:color="auto" w:sz="4" w:space="0"/>
            </w:tcBorders>
            <w:vAlign w:val="center"/>
          </w:tcPr>
          <w:p w14:paraId="2FAC18BD">
            <w:pPr>
              <w:shd w:val="clear" w:color="auto" w:fill="FFFFFF" w:themeFill="background1"/>
              <w:spacing w:line="380" w:lineRule="exact"/>
              <w:rPr>
                <w:rFonts w:ascii="宋体" w:hAnsi="宋体" w:cs="宋体"/>
                <w:color w:val="auto"/>
                <w:szCs w:val="21"/>
                <w:highlight w:val="none"/>
              </w:rPr>
            </w:pPr>
            <w:bookmarkStart w:id="93" w:name="_16.2"/>
            <w:bookmarkEnd w:id="93"/>
            <w:r>
              <w:rPr>
                <w:rFonts w:hint="eastAsia" w:ascii="宋体" w:hAnsi="宋体" w:cs="宋体"/>
                <w:color w:val="auto"/>
                <w:szCs w:val="21"/>
                <w:highlight w:val="none"/>
              </w:rPr>
              <w:t>投标报价要求</w:t>
            </w:r>
          </w:p>
        </w:tc>
        <w:tc>
          <w:tcPr>
            <w:tcW w:w="7297" w:type="dxa"/>
            <w:tcBorders>
              <w:top w:val="single" w:color="auto" w:sz="4" w:space="0"/>
              <w:left w:val="single" w:color="auto" w:sz="4" w:space="0"/>
              <w:bottom w:val="single" w:color="auto" w:sz="4" w:space="0"/>
              <w:right w:val="single" w:color="auto" w:sz="4" w:space="0"/>
            </w:tcBorders>
            <w:vAlign w:val="center"/>
          </w:tcPr>
          <w:p w14:paraId="3730684E">
            <w:pPr>
              <w:shd w:val="clear" w:color="auto" w:fill="FFFFFF" w:themeFill="background1"/>
              <w:snapToGrid w:val="0"/>
              <w:spacing w:line="380" w:lineRule="exact"/>
              <w:rPr>
                <w:rFonts w:hint="eastAsia" w:ascii="宋体" w:hAnsi="宋体" w:cs="宋体"/>
                <w:color w:val="auto"/>
                <w:highlight w:val="none"/>
              </w:rPr>
            </w:pPr>
            <w:r>
              <w:rPr>
                <w:rFonts w:hint="eastAsia" w:ascii="宋体" w:hAnsi="宋体" w:cs="宋体"/>
                <w:color w:val="auto"/>
                <w:highlight w:val="none"/>
              </w:rPr>
              <w:t>本项目采用固定价格采购，固定经费为人民币600万元整</w:t>
            </w:r>
            <w:r>
              <w:rPr>
                <w:rFonts w:hint="eastAsia" w:ascii="宋体" w:hAnsi="宋体" w:cs="宋体"/>
                <w:color w:val="auto"/>
                <w:highlight w:val="none"/>
                <w:lang w:val="en-US" w:eastAsia="zh-CN"/>
              </w:rPr>
              <w:t>，</w:t>
            </w:r>
            <w:r>
              <w:rPr>
                <w:rFonts w:hint="eastAsia" w:ascii="宋体" w:hAnsi="宋体" w:cs="宋体"/>
                <w:color w:val="auto"/>
                <w:highlight w:val="none"/>
              </w:rPr>
              <w:t>投标报价是履行合同的最终价格，包括服务的价格等完成合同所需的一切本身和不可或缺的所有开支、风险及责任等各项全部费用的总和；必要的各项税金；其他（如技术支持、售后服务、</w:t>
            </w:r>
            <w:r>
              <w:rPr>
                <w:rFonts w:hint="eastAsia" w:ascii="宋体" w:hAnsi="宋体" w:cs="宋体"/>
                <w:color w:val="auto"/>
                <w:highlight w:val="none"/>
                <w:lang w:eastAsia="zh-CN"/>
              </w:rPr>
              <w:t>见义勇为</w:t>
            </w:r>
            <w:r>
              <w:rPr>
                <w:rFonts w:hint="eastAsia" w:ascii="宋体" w:hAnsi="宋体" w:cs="宋体"/>
                <w:color w:val="auto"/>
                <w:highlight w:val="none"/>
                <w:lang w:val="en-US" w:eastAsia="zh-CN"/>
              </w:rPr>
              <w:t>宣传</w:t>
            </w:r>
            <w:r>
              <w:rPr>
                <w:rFonts w:hint="eastAsia" w:ascii="宋体" w:hAnsi="宋体" w:cs="宋体"/>
                <w:color w:val="auto"/>
                <w:highlight w:val="none"/>
              </w:rPr>
              <w:t>费</w:t>
            </w:r>
            <w:r>
              <w:rPr>
                <w:rFonts w:hint="eastAsia" w:ascii="宋体" w:hAnsi="宋体" w:cs="宋体"/>
                <w:color w:val="auto"/>
                <w:highlight w:val="none"/>
                <w:lang w:val="en-US" w:eastAsia="zh-CN"/>
              </w:rPr>
              <w:t>用</w:t>
            </w:r>
            <w:r>
              <w:rPr>
                <w:rFonts w:hint="eastAsia" w:ascii="宋体" w:hAnsi="宋体" w:cs="宋体"/>
                <w:color w:val="auto"/>
                <w:highlight w:val="none"/>
              </w:rPr>
              <w:t>等所有项目费用）。（</w:t>
            </w:r>
            <w:r>
              <w:rPr>
                <w:rFonts w:hint="eastAsia" w:ascii="宋体" w:hAnsi="宋体" w:cs="宋体"/>
                <w:b/>
                <w:bCs/>
                <w:color w:val="auto"/>
                <w:highlight w:val="none"/>
              </w:rPr>
              <w:t>采购需求另有约定的，从其约定</w:t>
            </w:r>
            <w:r>
              <w:rPr>
                <w:rFonts w:hint="eastAsia" w:ascii="宋体" w:hAnsi="宋体" w:cs="宋体"/>
                <w:color w:val="auto"/>
                <w:highlight w:val="none"/>
              </w:rPr>
              <w:t>）</w:t>
            </w:r>
          </w:p>
          <w:p w14:paraId="677C9571">
            <w:pPr>
              <w:shd w:val="clear" w:color="auto" w:fill="FFFFFF" w:themeFill="background1"/>
              <w:snapToGrid w:val="0"/>
              <w:spacing w:line="380" w:lineRule="exact"/>
              <w:rPr>
                <w:rFonts w:ascii="宋体" w:hAnsi="宋体" w:cs="宋体"/>
                <w:b/>
                <w:color w:val="auto"/>
                <w:szCs w:val="21"/>
                <w:highlight w:val="none"/>
              </w:rPr>
            </w:pPr>
            <w:r>
              <w:rPr>
                <w:rFonts w:hint="eastAsia" w:ascii="宋体" w:hAnsi="宋体" w:cs="宋体"/>
                <w:b/>
                <w:color w:val="auto"/>
                <w:szCs w:val="21"/>
                <w:highlight w:val="none"/>
              </w:rPr>
              <w:t>☑ 投标报价包含验收费用</w:t>
            </w:r>
          </w:p>
          <w:p w14:paraId="7417369F">
            <w:pPr>
              <w:shd w:val="clear" w:color="auto" w:fill="FFFFFF" w:themeFill="background1"/>
              <w:snapToGrid w:val="0"/>
              <w:spacing w:line="380" w:lineRule="exact"/>
              <w:rPr>
                <w:rFonts w:ascii="宋体" w:hAnsi="宋体" w:cs="宋体"/>
                <w:color w:val="auto"/>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投标报价不包含验收费用</w:t>
            </w:r>
          </w:p>
        </w:tc>
      </w:tr>
      <w:tr w14:paraId="0FA9FA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4FC6C3D6">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17.2</w:t>
            </w:r>
          </w:p>
        </w:tc>
        <w:tc>
          <w:tcPr>
            <w:tcW w:w="2268" w:type="dxa"/>
            <w:tcBorders>
              <w:top w:val="single" w:color="auto" w:sz="4" w:space="0"/>
              <w:left w:val="single" w:color="auto" w:sz="4" w:space="0"/>
              <w:bottom w:val="single" w:color="auto" w:sz="4" w:space="0"/>
              <w:right w:val="single" w:color="auto" w:sz="4" w:space="0"/>
            </w:tcBorders>
            <w:vAlign w:val="center"/>
          </w:tcPr>
          <w:p w14:paraId="0D0A444B">
            <w:pPr>
              <w:shd w:val="clear" w:color="auto" w:fill="FFFFFF" w:themeFill="background1"/>
              <w:spacing w:line="380" w:lineRule="exact"/>
              <w:rPr>
                <w:rFonts w:ascii="宋体" w:hAnsi="宋体" w:cs="宋体"/>
                <w:color w:val="auto"/>
                <w:szCs w:val="21"/>
                <w:highlight w:val="none"/>
              </w:rPr>
            </w:pPr>
            <w:bookmarkStart w:id="94" w:name="_17.1"/>
            <w:bookmarkEnd w:id="94"/>
            <w:r>
              <w:rPr>
                <w:rFonts w:hint="eastAsia" w:ascii="宋体" w:hAnsi="宋体" w:cs="宋体"/>
                <w:color w:val="auto"/>
                <w:szCs w:val="21"/>
                <w:highlight w:val="none"/>
              </w:rPr>
              <w:t>投标有效期</w:t>
            </w:r>
          </w:p>
        </w:tc>
        <w:tc>
          <w:tcPr>
            <w:tcW w:w="7297" w:type="dxa"/>
            <w:tcBorders>
              <w:top w:val="single" w:color="auto" w:sz="4" w:space="0"/>
              <w:left w:val="single" w:color="auto" w:sz="4" w:space="0"/>
              <w:bottom w:val="single" w:color="auto" w:sz="4" w:space="0"/>
              <w:right w:val="single" w:color="auto" w:sz="4" w:space="0"/>
            </w:tcBorders>
            <w:vAlign w:val="center"/>
          </w:tcPr>
          <w:p w14:paraId="412A1D6F">
            <w:pPr>
              <w:shd w:val="clear" w:color="auto" w:fill="FFFFFF" w:themeFill="background1"/>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自投标截止之日起</w:t>
            </w:r>
            <w:r>
              <w:rPr>
                <w:rFonts w:hint="eastAsia" w:ascii="宋体" w:hAnsi="宋体" w:cs="宋体"/>
                <w:color w:val="auto"/>
                <w:szCs w:val="21"/>
                <w:highlight w:val="none"/>
                <w:u w:val="single"/>
              </w:rPr>
              <w:t>90</w:t>
            </w:r>
            <w:r>
              <w:rPr>
                <w:rFonts w:hint="eastAsia" w:ascii="宋体" w:hAnsi="宋体" w:cs="宋体"/>
                <w:color w:val="auto"/>
                <w:szCs w:val="21"/>
                <w:highlight w:val="none"/>
              </w:rPr>
              <w:t>日。</w:t>
            </w:r>
          </w:p>
        </w:tc>
      </w:tr>
      <w:tr w14:paraId="324369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4A1A3AC1">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18</w:t>
            </w:r>
          </w:p>
        </w:tc>
        <w:tc>
          <w:tcPr>
            <w:tcW w:w="2268" w:type="dxa"/>
            <w:tcBorders>
              <w:top w:val="single" w:color="auto" w:sz="4" w:space="0"/>
              <w:left w:val="single" w:color="auto" w:sz="4" w:space="0"/>
              <w:bottom w:val="single" w:color="auto" w:sz="4" w:space="0"/>
              <w:right w:val="single" w:color="auto" w:sz="4" w:space="0"/>
            </w:tcBorders>
            <w:vAlign w:val="center"/>
          </w:tcPr>
          <w:p w14:paraId="79AFEF3E">
            <w:pPr>
              <w:shd w:val="clear" w:color="auto" w:fill="FFFFFF" w:themeFill="background1"/>
              <w:spacing w:line="380" w:lineRule="exact"/>
              <w:rPr>
                <w:rFonts w:ascii="宋体" w:hAnsi="宋体" w:cs="宋体"/>
                <w:color w:val="auto"/>
                <w:szCs w:val="21"/>
                <w:highlight w:val="none"/>
              </w:rPr>
            </w:pPr>
            <w:bookmarkStart w:id="95" w:name="_18"/>
            <w:bookmarkEnd w:id="95"/>
            <w:r>
              <w:rPr>
                <w:rFonts w:hint="eastAsia" w:ascii="宋体" w:hAnsi="宋体" w:cs="宋体"/>
                <w:color w:val="auto"/>
                <w:szCs w:val="21"/>
                <w:highlight w:val="none"/>
              </w:rPr>
              <w:t>投标保证金金额</w:t>
            </w:r>
          </w:p>
        </w:tc>
        <w:tc>
          <w:tcPr>
            <w:tcW w:w="7297" w:type="dxa"/>
            <w:tcBorders>
              <w:top w:val="single" w:color="auto" w:sz="4" w:space="0"/>
              <w:left w:val="single" w:color="auto" w:sz="4" w:space="0"/>
              <w:bottom w:val="single" w:color="auto" w:sz="4" w:space="0"/>
              <w:right w:val="single" w:color="auto" w:sz="4" w:space="0"/>
            </w:tcBorders>
            <w:vAlign w:val="center"/>
          </w:tcPr>
          <w:p w14:paraId="77D61F3C">
            <w:pPr>
              <w:shd w:val="clear" w:color="auto" w:fill="FFFFFF" w:themeFill="background1"/>
              <w:autoSpaceDE w:val="0"/>
              <w:autoSpaceDN w:val="0"/>
              <w:snapToGrid w:val="0"/>
              <w:spacing w:line="380" w:lineRule="exact"/>
              <w:textAlignment w:val="bottom"/>
              <w:rPr>
                <w:rFonts w:ascii="宋体" w:hAnsi="宋体" w:cs="宋体"/>
                <w:b/>
                <w:bCs/>
                <w:color w:val="auto"/>
                <w:szCs w:val="21"/>
                <w:highlight w:val="none"/>
              </w:rPr>
            </w:pP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 xml:space="preserve"> </w:t>
            </w:r>
            <w:r>
              <w:rPr>
                <w:rFonts w:hint="eastAsia" w:ascii="宋体" w:hAnsi="宋体" w:cs="宋体"/>
                <w:b/>
                <w:bCs/>
                <w:color w:val="auto"/>
                <w:szCs w:val="21"/>
                <w:highlight w:val="none"/>
              </w:rPr>
              <w:t>本项目不需要缴纳投标保证金。</w:t>
            </w:r>
          </w:p>
          <w:p w14:paraId="4FB74BC6">
            <w:pPr>
              <w:shd w:val="clear" w:color="auto" w:fill="FFFFFF" w:themeFill="background1"/>
              <w:snapToGrid w:val="0"/>
              <w:spacing w:line="380" w:lineRule="exact"/>
              <w:rPr>
                <w:rFonts w:ascii="宋体" w:hAnsi="宋体" w:cs="宋体"/>
                <w:b/>
                <w:bCs/>
                <w:color w:val="auto"/>
                <w:szCs w:val="21"/>
                <w:highlight w:val="none"/>
              </w:rPr>
            </w:pPr>
            <w:r>
              <w:rPr>
                <w:rFonts w:hint="eastAsia" w:ascii="宋体" w:hAnsi="宋体" w:cs="宋体"/>
                <w:b/>
                <w:bCs/>
                <w:color w:val="auto"/>
                <w:szCs w:val="21"/>
                <w:highlight w:val="none"/>
              </w:rPr>
              <w:t>☑ 本项目需要缴纳投标保证金，相关要求如下：</w:t>
            </w:r>
          </w:p>
          <w:p w14:paraId="1EF6DA2E">
            <w:pPr>
              <w:shd w:val="clear" w:color="auto" w:fill="FFFFFF" w:themeFill="background1"/>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1.投标保证金的缴纳方式：详见招标公告</w:t>
            </w:r>
          </w:p>
          <w:p w14:paraId="64CC70B6">
            <w:pPr>
              <w:shd w:val="clear" w:color="auto" w:fill="FFFFFF" w:themeFill="background1"/>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2.投标保证金的金额：详见招标公告</w:t>
            </w:r>
          </w:p>
          <w:p w14:paraId="1A12FCF8">
            <w:pPr>
              <w:pStyle w:val="10"/>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3.投标保证金采用银行转账缴纳方式的，在投标截止时间前交至采购代理机构指定账户并且到账，投标人应将银行转账底单的复印件作为投标保证金提交凭证，放置于商务文件中，</w:t>
            </w:r>
            <w:r>
              <w:rPr>
                <w:rFonts w:hint="eastAsia" w:ascii="宋体" w:hAnsi="宋体" w:cs="宋体"/>
                <w:b/>
                <w:color w:val="auto"/>
                <w:szCs w:val="21"/>
                <w:highlight w:val="none"/>
              </w:rPr>
              <w:t>否则作无效投标处理</w:t>
            </w:r>
            <w:r>
              <w:rPr>
                <w:rFonts w:hint="eastAsia" w:ascii="宋体" w:hAnsi="宋体" w:cs="宋体"/>
                <w:color w:val="auto"/>
                <w:szCs w:val="21"/>
                <w:highlight w:val="none"/>
              </w:rPr>
              <w:t>。</w:t>
            </w:r>
          </w:p>
          <w:p w14:paraId="4B54E8DD">
            <w:pPr>
              <w:shd w:val="clear" w:color="auto" w:fill="FFFFFF" w:themeFill="background1"/>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4.投标保证金采用支票、汇票、本票或者金融机构、担保机构出具的保函等缴纳方式的，投标人应将支票、汇票、本票或者金融机构、担保机构出具的保函等的复印件作为投标保证金提交凭证，放置于商务文件中，</w:t>
            </w:r>
            <w:r>
              <w:rPr>
                <w:rFonts w:hint="eastAsia" w:ascii="宋体" w:hAnsi="宋体" w:cs="宋体"/>
                <w:b/>
                <w:color w:val="auto"/>
                <w:szCs w:val="21"/>
                <w:highlight w:val="none"/>
              </w:rPr>
              <w:t>否则作无效投标处理</w:t>
            </w:r>
            <w:r>
              <w:rPr>
                <w:rFonts w:hint="eastAsia" w:ascii="宋体" w:hAnsi="宋体" w:cs="宋体"/>
                <w:color w:val="auto"/>
                <w:szCs w:val="21"/>
                <w:highlight w:val="none"/>
              </w:rPr>
              <w:t>。投标人必须</w:t>
            </w:r>
            <w:r>
              <w:rPr>
                <w:rFonts w:hint="eastAsia" w:ascii="宋体" w:hAnsi="宋体" w:cs="宋体"/>
                <w:color w:val="auto"/>
                <w:kern w:val="0"/>
                <w:szCs w:val="21"/>
                <w:highlight w:val="none"/>
              </w:rPr>
              <w:t>在投标截止时间前</w:t>
            </w:r>
            <w:r>
              <w:rPr>
                <w:rFonts w:hint="eastAsia" w:ascii="宋体" w:hAnsi="宋体" w:cs="宋体"/>
                <w:color w:val="auto"/>
                <w:szCs w:val="21"/>
                <w:highlight w:val="none"/>
              </w:rPr>
              <w:t>将支票、汇票、本票或者金融、担保机构出具的保函等原件提交给采购代理机构，由采购代理机构向投标人出具回执，并妥善保管。</w:t>
            </w:r>
          </w:p>
          <w:p w14:paraId="13FE531A">
            <w:pPr>
              <w:shd w:val="clear" w:color="auto" w:fill="FFFFFF" w:themeFill="background1"/>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5.缴纳投标保证金指定账户：详见招标公告。</w:t>
            </w:r>
          </w:p>
          <w:p w14:paraId="44A41D26">
            <w:pPr>
              <w:shd w:val="clear" w:color="auto" w:fill="FFFFFF" w:themeFill="background1"/>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6.投标人为联合体的，可以由联合体中的一方或者多方共同缴纳投标保证金，其缴纳的投标保证金对联合体各方均具有约束力。</w:t>
            </w:r>
          </w:p>
          <w:p w14:paraId="02D501B3">
            <w:pPr>
              <w:shd w:val="clear" w:color="auto" w:fill="FFFFFF" w:themeFill="background1"/>
              <w:snapToGrid w:val="0"/>
              <w:spacing w:line="380" w:lineRule="exact"/>
              <w:rPr>
                <w:rFonts w:ascii="宋体" w:hAnsi="宋体" w:cs="宋体"/>
                <w:b/>
                <w:color w:val="auto"/>
                <w:szCs w:val="21"/>
                <w:highlight w:val="none"/>
              </w:rPr>
            </w:pPr>
            <w:r>
              <w:rPr>
                <w:rFonts w:hint="eastAsia" w:ascii="宋体" w:hAnsi="宋体" w:cs="宋体"/>
                <w:b/>
                <w:color w:val="auto"/>
                <w:szCs w:val="21"/>
                <w:highlight w:val="none"/>
              </w:rPr>
              <w:t xml:space="preserve">备注： </w:t>
            </w:r>
          </w:p>
          <w:p w14:paraId="624DF414">
            <w:pPr>
              <w:shd w:val="clear" w:color="auto" w:fill="FFFFFF" w:themeFill="background1"/>
              <w:snapToGrid w:val="0"/>
              <w:spacing w:line="380" w:lineRule="exact"/>
              <w:rPr>
                <w:rFonts w:ascii="宋体" w:hAnsi="宋体" w:cs="宋体"/>
                <w:b/>
                <w:color w:val="auto"/>
                <w:szCs w:val="21"/>
                <w:highlight w:val="none"/>
              </w:rPr>
            </w:pPr>
            <w:r>
              <w:rPr>
                <w:rFonts w:hint="eastAsia" w:ascii="宋体" w:hAnsi="宋体" w:cs="宋体"/>
                <w:b/>
                <w:color w:val="auto"/>
                <w:szCs w:val="21"/>
                <w:highlight w:val="none"/>
              </w:rPr>
              <w:t>1. 投标保证金在投标截止时间后提交的，或者不按规定缴纳方式缴纳的，或者未足额缴纳的（包含保函额度不足的），视为无效投标保证金。</w:t>
            </w:r>
          </w:p>
          <w:p w14:paraId="7DF340B8">
            <w:pPr>
              <w:shd w:val="clear" w:color="auto" w:fill="FFFFFF" w:themeFill="background1"/>
              <w:snapToGrid w:val="0"/>
              <w:spacing w:line="380" w:lineRule="exact"/>
              <w:rPr>
                <w:rFonts w:ascii="宋体" w:hAnsi="宋体" w:cs="宋体"/>
                <w:b/>
                <w:color w:val="auto"/>
                <w:szCs w:val="21"/>
                <w:highlight w:val="none"/>
              </w:rPr>
            </w:pPr>
            <w:r>
              <w:rPr>
                <w:rFonts w:hint="eastAsia" w:ascii="宋体" w:hAnsi="宋体" w:cs="宋体"/>
                <w:b/>
                <w:color w:val="auto"/>
                <w:szCs w:val="21"/>
                <w:highlight w:val="none"/>
              </w:rPr>
              <w:t>2.投标人采用现金方式或者从个人账户（自然人投标除外）转出的投标保证金，视为无效投标保证金。</w:t>
            </w:r>
          </w:p>
          <w:p w14:paraId="055B4226">
            <w:pPr>
              <w:shd w:val="clear" w:color="auto" w:fill="FFFFFF" w:themeFill="background1"/>
              <w:snapToGrid w:val="0"/>
              <w:spacing w:line="380" w:lineRule="exact"/>
              <w:rPr>
                <w:rFonts w:ascii="宋体" w:hAnsi="宋体" w:cs="宋体"/>
                <w:b/>
                <w:color w:val="auto"/>
                <w:szCs w:val="21"/>
                <w:highlight w:val="none"/>
              </w:rPr>
            </w:pPr>
            <w:r>
              <w:rPr>
                <w:rFonts w:hint="eastAsia" w:ascii="宋体" w:hAnsi="宋体" w:cs="宋体"/>
                <w:b/>
                <w:color w:val="auto"/>
                <w:szCs w:val="21"/>
                <w:highlight w:val="none"/>
              </w:rPr>
              <w:t>3.支票、汇票或者本票出现无效或者背书情形的，视为无效投标保证金。</w:t>
            </w:r>
          </w:p>
          <w:p w14:paraId="498411E0">
            <w:pPr>
              <w:shd w:val="clear" w:color="auto" w:fill="FFFFFF" w:themeFill="background1"/>
              <w:snapToGrid w:val="0"/>
              <w:spacing w:line="380" w:lineRule="exact"/>
              <w:rPr>
                <w:rFonts w:ascii="宋体" w:hAnsi="宋体" w:cs="宋体"/>
                <w:b/>
                <w:color w:val="auto"/>
                <w:szCs w:val="21"/>
                <w:highlight w:val="none"/>
              </w:rPr>
            </w:pPr>
            <w:r>
              <w:rPr>
                <w:rFonts w:hint="eastAsia" w:ascii="宋体" w:hAnsi="宋体" w:cs="宋体"/>
                <w:b/>
                <w:color w:val="auto"/>
                <w:szCs w:val="21"/>
                <w:highlight w:val="none"/>
              </w:rPr>
              <w:t>4.保函有效期低于投标有效期的，视为无效投标保证金。</w:t>
            </w:r>
          </w:p>
          <w:p w14:paraId="7755CA63">
            <w:pPr>
              <w:shd w:val="clear" w:color="auto" w:fill="FFFFFF" w:themeFill="background1"/>
              <w:autoSpaceDE w:val="0"/>
              <w:autoSpaceDN w:val="0"/>
              <w:snapToGrid w:val="0"/>
              <w:spacing w:line="380" w:lineRule="exact"/>
              <w:textAlignment w:val="bottom"/>
              <w:rPr>
                <w:rFonts w:ascii="宋体" w:hAnsi="宋体" w:cs="宋体"/>
                <w:color w:val="auto"/>
                <w:szCs w:val="21"/>
                <w:highlight w:val="none"/>
              </w:rPr>
            </w:pPr>
            <w:r>
              <w:rPr>
                <w:rFonts w:hint="eastAsia" w:ascii="宋体" w:hAnsi="宋体" w:cs="宋体"/>
                <w:b/>
                <w:color w:val="auto"/>
                <w:szCs w:val="21"/>
                <w:highlight w:val="none"/>
              </w:rPr>
              <w:t>5.采用金融、担保机构出具保函的，必须为无条件保函，否则视为无效投标保证金</w:t>
            </w:r>
            <w:r>
              <w:rPr>
                <w:rFonts w:hint="eastAsia" w:ascii="宋体" w:hAnsi="宋体" w:cs="宋体"/>
                <w:b/>
                <w:bCs/>
                <w:color w:val="auto"/>
                <w:szCs w:val="21"/>
                <w:highlight w:val="none"/>
              </w:rPr>
              <w:t>。</w:t>
            </w:r>
          </w:p>
        </w:tc>
      </w:tr>
      <w:tr w14:paraId="2F76DD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09896E93">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19.1</w:t>
            </w:r>
          </w:p>
        </w:tc>
        <w:tc>
          <w:tcPr>
            <w:tcW w:w="2268" w:type="dxa"/>
            <w:tcBorders>
              <w:top w:val="single" w:color="auto" w:sz="4" w:space="0"/>
              <w:left w:val="single" w:color="auto" w:sz="4" w:space="0"/>
              <w:bottom w:val="single" w:color="auto" w:sz="4" w:space="0"/>
              <w:right w:val="single" w:color="auto" w:sz="4" w:space="0"/>
            </w:tcBorders>
            <w:vAlign w:val="center"/>
          </w:tcPr>
          <w:p w14:paraId="472F5778">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投标文件编制要求</w:t>
            </w:r>
          </w:p>
        </w:tc>
        <w:tc>
          <w:tcPr>
            <w:tcW w:w="7297" w:type="dxa"/>
            <w:tcBorders>
              <w:top w:val="single" w:color="auto" w:sz="4" w:space="0"/>
              <w:left w:val="single" w:color="auto" w:sz="4" w:space="0"/>
              <w:bottom w:val="single" w:color="auto" w:sz="4" w:space="0"/>
              <w:right w:val="single" w:color="auto" w:sz="4" w:space="0"/>
            </w:tcBorders>
            <w:vAlign w:val="center"/>
          </w:tcPr>
          <w:p w14:paraId="6C49FB84">
            <w:pPr>
              <w:shd w:val="clear" w:color="auto" w:fill="FFFFFF" w:themeFill="background1"/>
              <w:spacing w:line="380" w:lineRule="exact"/>
              <w:rPr>
                <w:rFonts w:ascii="宋体" w:hAnsi="宋体" w:cs="宋体"/>
                <w:b/>
                <w:color w:val="auto"/>
                <w:szCs w:val="21"/>
                <w:highlight w:val="none"/>
                <w:u w:val="single"/>
              </w:rPr>
            </w:pPr>
            <w:r>
              <w:rPr>
                <w:rFonts w:hint="eastAsia" w:ascii="宋体" w:hAnsi="宋体" w:cs="宋体"/>
                <w:color w:val="auto"/>
                <w:szCs w:val="21"/>
                <w:highlight w:val="none"/>
              </w:rPr>
              <w:t>投标文件应按报价文件、资格证明文件、商务文件、技术文件分别编制，报价文件、资格证明文件分别生成电子文件，商务文件和技术文件按顺序合并生成电子文件。</w:t>
            </w:r>
            <w:r>
              <w:rPr>
                <w:rFonts w:hint="eastAsia" w:ascii="宋体" w:hAnsi="宋体" w:cs="宋体"/>
                <w:b/>
                <w:bCs/>
                <w:color w:val="auto"/>
                <w:szCs w:val="21"/>
                <w:highlight w:val="none"/>
              </w:rPr>
              <w:t>（注：按照本招标文件“第六章 投标文件格式”编写，第六章未附格式的，由投标人自行拟定。）</w:t>
            </w:r>
          </w:p>
        </w:tc>
      </w:tr>
      <w:tr w14:paraId="3B6589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34632DAC">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20</w:t>
            </w:r>
          </w:p>
        </w:tc>
        <w:tc>
          <w:tcPr>
            <w:tcW w:w="2268" w:type="dxa"/>
            <w:tcBorders>
              <w:top w:val="single" w:color="auto" w:sz="4" w:space="0"/>
              <w:left w:val="single" w:color="auto" w:sz="4" w:space="0"/>
              <w:bottom w:val="single" w:color="auto" w:sz="4" w:space="0"/>
              <w:right w:val="single" w:color="auto" w:sz="4" w:space="0"/>
            </w:tcBorders>
            <w:vAlign w:val="center"/>
          </w:tcPr>
          <w:p w14:paraId="68C2DA2E">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备份投标文件</w:t>
            </w:r>
          </w:p>
        </w:tc>
        <w:tc>
          <w:tcPr>
            <w:tcW w:w="7297" w:type="dxa"/>
            <w:tcBorders>
              <w:top w:val="single" w:color="auto" w:sz="4" w:space="0"/>
              <w:left w:val="single" w:color="auto" w:sz="4" w:space="0"/>
              <w:bottom w:val="single" w:color="auto" w:sz="4" w:space="0"/>
              <w:right w:val="single" w:color="auto" w:sz="4" w:space="0"/>
            </w:tcBorders>
            <w:vAlign w:val="center"/>
          </w:tcPr>
          <w:p w14:paraId="293626E6">
            <w:pPr>
              <w:shd w:val="clear" w:color="auto" w:fill="FFFFFF" w:themeFill="background1"/>
              <w:autoSpaceDE w:val="0"/>
              <w:autoSpaceDN w:val="0"/>
              <w:snapToGrid w:val="0"/>
              <w:spacing w:line="380" w:lineRule="exact"/>
              <w:textAlignment w:val="bottom"/>
              <w:rPr>
                <w:rFonts w:ascii="宋体" w:hAnsi="宋体" w:cs="宋体"/>
                <w:color w:val="auto"/>
                <w:szCs w:val="21"/>
                <w:highlight w:val="none"/>
              </w:rPr>
            </w:pPr>
            <w:r>
              <w:rPr>
                <w:rFonts w:hint="eastAsia" w:ascii="宋体" w:hAnsi="宋体" w:cs="宋体"/>
                <w:color w:val="auto"/>
                <w:szCs w:val="21"/>
                <w:highlight w:val="none"/>
              </w:rPr>
              <w:t>本项目不接受备份投标文件。</w:t>
            </w:r>
          </w:p>
        </w:tc>
      </w:tr>
      <w:tr w14:paraId="0FC06F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675" w:type="dxa"/>
            <w:vMerge w:val="restart"/>
            <w:tcBorders>
              <w:top w:val="single" w:color="auto" w:sz="4" w:space="0"/>
              <w:left w:val="single" w:color="auto" w:sz="4" w:space="0"/>
              <w:bottom w:val="nil"/>
              <w:right w:val="single" w:color="auto" w:sz="4" w:space="0"/>
            </w:tcBorders>
            <w:vAlign w:val="center"/>
          </w:tcPr>
          <w:p w14:paraId="7FD2DBA1">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21.1</w:t>
            </w:r>
          </w:p>
        </w:tc>
        <w:tc>
          <w:tcPr>
            <w:tcW w:w="2268" w:type="dxa"/>
            <w:tcBorders>
              <w:top w:val="single" w:color="auto" w:sz="4" w:space="0"/>
              <w:left w:val="single" w:color="auto" w:sz="4" w:space="0"/>
              <w:bottom w:val="single" w:color="auto" w:sz="4" w:space="0"/>
              <w:right w:val="single" w:color="auto" w:sz="4" w:space="0"/>
            </w:tcBorders>
            <w:vAlign w:val="center"/>
          </w:tcPr>
          <w:p w14:paraId="3F2AB874">
            <w:pPr>
              <w:shd w:val="clear" w:color="auto" w:fill="FFFFFF" w:themeFill="background1"/>
              <w:spacing w:line="380" w:lineRule="exact"/>
              <w:rPr>
                <w:rFonts w:ascii="宋体" w:hAnsi="宋体" w:cs="宋体"/>
                <w:color w:val="auto"/>
                <w:szCs w:val="21"/>
                <w:highlight w:val="none"/>
              </w:rPr>
            </w:pPr>
            <w:bookmarkStart w:id="96" w:name="_21.1"/>
            <w:bookmarkEnd w:id="96"/>
            <w:r>
              <w:rPr>
                <w:rFonts w:hint="eastAsia" w:ascii="宋体" w:hAnsi="宋体" w:cs="宋体"/>
                <w:color w:val="auto"/>
                <w:szCs w:val="21"/>
                <w:highlight w:val="none"/>
              </w:rPr>
              <w:t>投标截止时间</w:t>
            </w:r>
          </w:p>
        </w:tc>
        <w:tc>
          <w:tcPr>
            <w:tcW w:w="7297" w:type="dxa"/>
            <w:tcBorders>
              <w:top w:val="single" w:color="auto" w:sz="4" w:space="0"/>
              <w:left w:val="single" w:color="auto" w:sz="4" w:space="0"/>
              <w:bottom w:val="single" w:color="auto" w:sz="4" w:space="0"/>
              <w:right w:val="single" w:color="auto" w:sz="4" w:space="0"/>
            </w:tcBorders>
            <w:vAlign w:val="center"/>
          </w:tcPr>
          <w:p w14:paraId="7D04AB5A">
            <w:pPr>
              <w:shd w:val="clear" w:color="auto" w:fill="FFFFFF" w:themeFill="background1"/>
              <w:snapToGrid w:val="0"/>
              <w:spacing w:line="380" w:lineRule="exact"/>
              <w:rPr>
                <w:rFonts w:ascii="宋体" w:hAnsi="宋体" w:cs="宋体"/>
                <w:color w:val="auto"/>
                <w:szCs w:val="21"/>
                <w:highlight w:val="none"/>
                <w:u w:val="single"/>
              </w:rPr>
            </w:pPr>
            <w:r>
              <w:rPr>
                <w:rFonts w:hint="eastAsia" w:ascii="宋体" w:hAnsi="宋体" w:cs="宋体"/>
                <w:color w:val="auto"/>
                <w:szCs w:val="21"/>
                <w:highlight w:val="none"/>
              </w:rPr>
              <w:t>详见招标公告</w:t>
            </w:r>
          </w:p>
        </w:tc>
      </w:tr>
      <w:tr w14:paraId="7CD33B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675" w:type="dxa"/>
            <w:vMerge w:val="continue"/>
            <w:tcBorders>
              <w:top w:val="single" w:color="auto" w:sz="4" w:space="0"/>
              <w:left w:val="single" w:color="auto" w:sz="4" w:space="0"/>
              <w:bottom w:val="nil"/>
              <w:right w:val="single" w:color="auto" w:sz="4" w:space="0"/>
            </w:tcBorders>
            <w:vAlign w:val="center"/>
          </w:tcPr>
          <w:p w14:paraId="4A0DA00D">
            <w:pPr>
              <w:widowControl/>
              <w:shd w:val="clear" w:color="auto" w:fill="FFFFFF" w:themeFill="background1"/>
              <w:spacing w:line="380" w:lineRule="exact"/>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32A870EF">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投标地点</w:t>
            </w:r>
          </w:p>
        </w:tc>
        <w:tc>
          <w:tcPr>
            <w:tcW w:w="7297" w:type="dxa"/>
            <w:tcBorders>
              <w:top w:val="single" w:color="auto" w:sz="4" w:space="0"/>
              <w:left w:val="single" w:color="auto" w:sz="4" w:space="0"/>
              <w:bottom w:val="single" w:color="auto" w:sz="4" w:space="0"/>
              <w:right w:val="single" w:color="auto" w:sz="4" w:space="0"/>
            </w:tcBorders>
            <w:vAlign w:val="center"/>
          </w:tcPr>
          <w:p w14:paraId="7AF3F373">
            <w:pPr>
              <w:shd w:val="clear" w:color="auto" w:fill="FFFFFF" w:themeFill="background1"/>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详见招标公告</w:t>
            </w:r>
          </w:p>
        </w:tc>
      </w:tr>
      <w:tr w14:paraId="4A2C81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675" w:type="dxa"/>
            <w:vMerge w:val="continue"/>
            <w:tcBorders>
              <w:top w:val="single" w:color="auto" w:sz="4" w:space="0"/>
              <w:left w:val="single" w:color="auto" w:sz="4" w:space="0"/>
              <w:bottom w:val="nil"/>
              <w:right w:val="single" w:color="auto" w:sz="4" w:space="0"/>
            </w:tcBorders>
            <w:vAlign w:val="center"/>
          </w:tcPr>
          <w:p w14:paraId="0769625C">
            <w:pPr>
              <w:widowControl/>
              <w:shd w:val="clear" w:color="auto" w:fill="FFFFFF" w:themeFill="background1"/>
              <w:spacing w:line="380" w:lineRule="exact"/>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7D0B6A17">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vAlign w:val="center"/>
          </w:tcPr>
          <w:p w14:paraId="5380347A">
            <w:pPr>
              <w:shd w:val="clear" w:color="auto" w:fill="FFFFFF" w:themeFill="background1"/>
              <w:snapToGrid w:val="0"/>
              <w:spacing w:line="380" w:lineRule="exact"/>
              <w:rPr>
                <w:rFonts w:ascii="宋体" w:hAnsi="宋体" w:cs="宋体"/>
                <w:bCs/>
                <w:color w:val="auto"/>
                <w:szCs w:val="21"/>
                <w:highlight w:val="none"/>
              </w:rPr>
            </w:pPr>
            <w:r>
              <w:rPr>
                <w:rFonts w:hint="eastAsia" w:ascii="宋体" w:hAnsi="宋体" w:cs="宋体"/>
                <w:bCs/>
                <w:color w:val="auto"/>
                <w:szCs w:val="21"/>
                <w:highlight w:val="none"/>
              </w:rPr>
              <w:t>时间：</w:t>
            </w:r>
            <w:r>
              <w:rPr>
                <w:rFonts w:hint="eastAsia" w:ascii="宋体" w:hAnsi="宋体" w:cs="宋体"/>
                <w:bCs/>
                <w:color w:val="auto"/>
                <w:szCs w:val="21"/>
                <w:highlight w:val="none"/>
                <w:u w:val="single"/>
              </w:rPr>
              <w:t>无</w:t>
            </w:r>
          </w:p>
          <w:p w14:paraId="7089D292">
            <w:pPr>
              <w:shd w:val="clear" w:color="auto" w:fill="FFFFFF" w:themeFill="background1"/>
              <w:snapToGrid w:val="0"/>
              <w:spacing w:line="380" w:lineRule="exact"/>
              <w:rPr>
                <w:rFonts w:ascii="宋体" w:hAnsi="宋体" w:cs="宋体"/>
                <w:color w:val="auto"/>
                <w:szCs w:val="21"/>
                <w:highlight w:val="none"/>
              </w:rPr>
            </w:pPr>
            <w:r>
              <w:rPr>
                <w:rFonts w:hint="eastAsia" w:ascii="宋体" w:hAnsi="宋体" w:cs="宋体"/>
                <w:bCs/>
                <w:color w:val="auto"/>
                <w:szCs w:val="21"/>
                <w:highlight w:val="none"/>
              </w:rPr>
              <w:t>地点：</w:t>
            </w:r>
            <w:r>
              <w:rPr>
                <w:rFonts w:hint="eastAsia" w:ascii="宋体" w:hAnsi="宋体" w:cs="宋体"/>
                <w:bCs/>
                <w:color w:val="auto"/>
                <w:szCs w:val="21"/>
                <w:highlight w:val="none"/>
                <w:u w:val="single"/>
              </w:rPr>
              <w:t>无</w:t>
            </w:r>
          </w:p>
        </w:tc>
      </w:tr>
      <w:tr w14:paraId="4A7185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0C979AFC">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23</w:t>
            </w:r>
          </w:p>
        </w:tc>
        <w:tc>
          <w:tcPr>
            <w:tcW w:w="2268" w:type="dxa"/>
            <w:tcBorders>
              <w:top w:val="single" w:color="auto" w:sz="4" w:space="0"/>
              <w:left w:val="single" w:color="auto" w:sz="4" w:space="0"/>
              <w:bottom w:val="single" w:color="auto" w:sz="4" w:space="0"/>
              <w:right w:val="single" w:color="auto" w:sz="4" w:space="0"/>
            </w:tcBorders>
            <w:vAlign w:val="center"/>
          </w:tcPr>
          <w:p w14:paraId="4D7C7B9B">
            <w:pPr>
              <w:shd w:val="clear" w:color="auto" w:fill="FFFFFF" w:themeFill="background1"/>
              <w:spacing w:line="380" w:lineRule="exact"/>
              <w:rPr>
                <w:rFonts w:ascii="宋体" w:hAnsi="宋体" w:cs="宋体"/>
                <w:color w:val="auto"/>
                <w:szCs w:val="21"/>
                <w:highlight w:val="none"/>
              </w:rPr>
            </w:pPr>
            <w:bookmarkStart w:id="97" w:name="_23"/>
            <w:bookmarkEnd w:id="97"/>
            <w:r>
              <w:rPr>
                <w:rFonts w:hint="eastAsia" w:ascii="宋体" w:hAnsi="宋体" w:cs="宋体"/>
                <w:color w:val="auto"/>
                <w:szCs w:val="21"/>
                <w:highlight w:val="none"/>
              </w:rPr>
              <w:t>开标时间、地点</w:t>
            </w:r>
          </w:p>
        </w:tc>
        <w:tc>
          <w:tcPr>
            <w:tcW w:w="7297" w:type="dxa"/>
            <w:tcBorders>
              <w:top w:val="single" w:color="auto" w:sz="4" w:space="0"/>
              <w:left w:val="single" w:color="auto" w:sz="4" w:space="0"/>
              <w:bottom w:val="single" w:color="auto" w:sz="4" w:space="0"/>
              <w:right w:val="single" w:color="auto" w:sz="4" w:space="0"/>
            </w:tcBorders>
            <w:vAlign w:val="center"/>
          </w:tcPr>
          <w:p w14:paraId="6ED40C2C">
            <w:pPr>
              <w:shd w:val="clear" w:color="auto" w:fill="FFFFFF" w:themeFill="background1"/>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 xml:space="preserve">详见招标公告 </w:t>
            </w:r>
          </w:p>
        </w:tc>
      </w:tr>
      <w:tr w14:paraId="60CECD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jc w:val="center"/>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3CAECC0C">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25.3（2）</w:t>
            </w:r>
          </w:p>
        </w:tc>
        <w:tc>
          <w:tcPr>
            <w:tcW w:w="2268" w:type="dxa"/>
            <w:tcBorders>
              <w:top w:val="single" w:color="auto" w:sz="4" w:space="0"/>
              <w:left w:val="single" w:color="auto" w:sz="4" w:space="0"/>
              <w:bottom w:val="single" w:color="auto" w:sz="4" w:space="0"/>
              <w:right w:val="single" w:color="auto" w:sz="4" w:space="0"/>
            </w:tcBorders>
            <w:vAlign w:val="center"/>
          </w:tcPr>
          <w:p w14:paraId="7E49FB48">
            <w:pPr>
              <w:shd w:val="clear" w:color="auto" w:fill="FFFFFF" w:themeFill="background1"/>
              <w:spacing w:line="380" w:lineRule="exact"/>
              <w:rPr>
                <w:rFonts w:ascii="宋体" w:hAnsi="宋体" w:cs="宋体"/>
                <w:color w:val="auto"/>
                <w:szCs w:val="21"/>
                <w:highlight w:val="none"/>
              </w:rPr>
            </w:pPr>
            <w:bookmarkStart w:id="98" w:name="_25.3"/>
            <w:bookmarkEnd w:id="98"/>
            <w:r>
              <w:rPr>
                <w:rFonts w:hint="eastAsia" w:ascii="宋体" w:hAnsi="宋体" w:cs="宋体"/>
                <w:color w:val="auto"/>
                <w:szCs w:val="21"/>
                <w:highlight w:val="none"/>
              </w:rPr>
              <w:t>投标人信用查询渠道</w:t>
            </w:r>
          </w:p>
        </w:tc>
        <w:tc>
          <w:tcPr>
            <w:tcW w:w="7297" w:type="dxa"/>
            <w:tcBorders>
              <w:top w:val="single" w:color="auto" w:sz="4" w:space="0"/>
              <w:left w:val="single" w:color="auto" w:sz="4" w:space="0"/>
              <w:bottom w:val="single" w:color="auto" w:sz="4" w:space="0"/>
              <w:right w:val="single" w:color="auto" w:sz="4" w:space="0"/>
            </w:tcBorders>
            <w:vAlign w:val="center"/>
          </w:tcPr>
          <w:p w14:paraId="3ADE7E71">
            <w:pPr>
              <w:shd w:val="clear" w:color="auto" w:fill="FFFFFF" w:themeFill="background1"/>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采购人或者采购代理机构在资格审查结束前，对投标人进行信用查询。</w:t>
            </w:r>
          </w:p>
          <w:p w14:paraId="6ADF0C66">
            <w:pPr>
              <w:shd w:val="clear" w:color="auto" w:fill="FFFFFF" w:themeFill="background1"/>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查询渠道：“信用中国”网站(www.creditchina.gov.cn) 、中国政府采购网(www.ccgp.gov.cn)。</w:t>
            </w:r>
          </w:p>
        </w:tc>
      </w:tr>
      <w:tr w14:paraId="0178C3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068C4A1F">
            <w:pPr>
              <w:widowControl/>
              <w:shd w:val="clear" w:color="auto" w:fill="FFFFFF" w:themeFill="background1"/>
              <w:spacing w:line="380" w:lineRule="exact"/>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489EB9B2">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信用查询截止时点</w:t>
            </w:r>
          </w:p>
        </w:tc>
        <w:tc>
          <w:tcPr>
            <w:tcW w:w="7297" w:type="dxa"/>
            <w:tcBorders>
              <w:top w:val="single" w:color="auto" w:sz="4" w:space="0"/>
              <w:left w:val="single" w:color="auto" w:sz="4" w:space="0"/>
              <w:bottom w:val="single" w:color="auto" w:sz="4" w:space="0"/>
              <w:right w:val="single" w:color="auto" w:sz="4" w:space="0"/>
            </w:tcBorders>
            <w:vAlign w:val="center"/>
          </w:tcPr>
          <w:p w14:paraId="40487E57">
            <w:pPr>
              <w:shd w:val="clear" w:color="auto" w:fill="FFFFFF" w:themeFill="background1"/>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资格审查结束前</w:t>
            </w:r>
          </w:p>
        </w:tc>
      </w:tr>
      <w:tr w14:paraId="3F59B2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6B9580AC">
            <w:pPr>
              <w:widowControl/>
              <w:shd w:val="clear" w:color="auto" w:fill="FFFFFF" w:themeFill="background1"/>
              <w:spacing w:line="380" w:lineRule="exact"/>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1ADFC362">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查询记录和证据留存方式</w:t>
            </w:r>
          </w:p>
        </w:tc>
        <w:tc>
          <w:tcPr>
            <w:tcW w:w="7297" w:type="dxa"/>
            <w:tcBorders>
              <w:top w:val="single" w:color="auto" w:sz="4" w:space="0"/>
              <w:left w:val="single" w:color="auto" w:sz="4" w:space="0"/>
              <w:bottom w:val="single" w:color="auto" w:sz="4" w:space="0"/>
              <w:right w:val="single" w:color="auto" w:sz="4" w:space="0"/>
            </w:tcBorders>
            <w:vAlign w:val="center"/>
          </w:tcPr>
          <w:p w14:paraId="489B2D9A">
            <w:pPr>
              <w:shd w:val="clear" w:color="auto" w:fill="FFFFFF" w:themeFill="background1"/>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在查询网站中直接截图查询记录，截图作为附件在广西政府采购云平台上传保存。</w:t>
            </w:r>
          </w:p>
        </w:tc>
      </w:tr>
      <w:tr w14:paraId="67FA2F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1FD06D4C">
            <w:pPr>
              <w:widowControl/>
              <w:shd w:val="clear" w:color="auto" w:fill="FFFFFF" w:themeFill="background1"/>
              <w:spacing w:line="380" w:lineRule="exact"/>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32401E1A">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信用信息使用规则</w:t>
            </w:r>
          </w:p>
        </w:tc>
        <w:tc>
          <w:tcPr>
            <w:tcW w:w="7297" w:type="dxa"/>
            <w:tcBorders>
              <w:top w:val="single" w:color="auto" w:sz="4" w:space="0"/>
              <w:left w:val="single" w:color="auto" w:sz="4" w:space="0"/>
              <w:bottom w:val="single" w:color="auto" w:sz="4" w:space="0"/>
              <w:right w:val="single" w:color="auto" w:sz="4" w:space="0"/>
            </w:tcBorders>
            <w:vAlign w:val="center"/>
          </w:tcPr>
          <w:p w14:paraId="6C89A355">
            <w:pPr>
              <w:shd w:val="clear" w:color="auto" w:fill="FFFFFF" w:themeFill="background1"/>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585D36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3C06F911">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29.1</w:t>
            </w:r>
          </w:p>
        </w:tc>
        <w:tc>
          <w:tcPr>
            <w:tcW w:w="2268" w:type="dxa"/>
            <w:tcBorders>
              <w:top w:val="single" w:color="auto" w:sz="4" w:space="0"/>
              <w:left w:val="single" w:color="auto" w:sz="4" w:space="0"/>
              <w:bottom w:val="single" w:color="auto" w:sz="4" w:space="0"/>
              <w:right w:val="single" w:color="auto" w:sz="4" w:space="0"/>
            </w:tcBorders>
            <w:vAlign w:val="center"/>
          </w:tcPr>
          <w:p w14:paraId="6B2E4999">
            <w:pPr>
              <w:shd w:val="clear" w:color="auto" w:fill="FFFFFF" w:themeFill="background1"/>
              <w:spacing w:line="380" w:lineRule="exact"/>
              <w:rPr>
                <w:rFonts w:ascii="宋体" w:hAnsi="宋体" w:cs="宋体"/>
                <w:color w:val="auto"/>
                <w:szCs w:val="21"/>
                <w:highlight w:val="none"/>
              </w:rPr>
            </w:pPr>
            <w:bookmarkStart w:id="99" w:name="_26"/>
            <w:bookmarkEnd w:id="99"/>
            <w:bookmarkStart w:id="100" w:name="_28.3"/>
            <w:bookmarkEnd w:id="100"/>
            <w:r>
              <w:rPr>
                <w:rFonts w:hint="eastAsia" w:ascii="宋体" w:hAnsi="宋体" w:cs="宋体"/>
                <w:color w:val="auto"/>
                <w:szCs w:val="21"/>
                <w:highlight w:val="none"/>
              </w:rPr>
              <w:t>评标方法</w:t>
            </w:r>
          </w:p>
        </w:tc>
        <w:tc>
          <w:tcPr>
            <w:tcW w:w="7297" w:type="dxa"/>
            <w:tcBorders>
              <w:top w:val="single" w:color="auto" w:sz="4" w:space="0"/>
              <w:left w:val="single" w:color="auto" w:sz="4" w:space="0"/>
              <w:bottom w:val="single" w:color="auto" w:sz="4" w:space="0"/>
              <w:right w:val="single" w:color="auto" w:sz="4" w:space="0"/>
            </w:tcBorders>
            <w:vAlign w:val="center"/>
          </w:tcPr>
          <w:p w14:paraId="0088908D">
            <w:pPr>
              <w:shd w:val="clear" w:color="auto" w:fill="FFFFFF" w:themeFill="background1"/>
              <w:autoSpaceDE w:val="0"/>
              <w:autoSpaceDN w:val="0"/>
              <w:snapToGrid w:val="0"/>
              <w:spacing w:line="380" w:lineRule="exact"/>
              <w:textAlignment w:val="bottom"/>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综合评分法</w:t>
            </w:r>
          </w:p>
          <w:p w14:paraId="5397CAC0">
            <w:pPr>
              <w:shd w:val="clear" w:color="auto" w:fill="FFFFFF" w:themeFill="background1"/>
              <w:autoSpaceDE w:val="0"/>
              <w:autoSpaceDN w:val="0"/>
              <w:snapToGrid w:val="0"/>
              <w:spacing w:line="380" w:lineRule="exact"/>
              <w:textAlignment w:val="bottom"/>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最低评标价法</w:t>
            </w:r>
          </w:p>
        </w:tc>
      </w:tr>
      <w:tr w14:paraId="0AB14B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75" w:type="dxa"/>
            <w:tcBorders>
              <w:top w:val="single" w:color="auto" w:sz="4" w:space="0"/>
              <w:left w:val="single" w:color="auto" w:sz="4" w:space="0"/>
              <w:bottom w:val="nil"/>
              <w:right w:val="single" w:color="auto" w:sz="4" w:space="0"/>
            </w:tcBorders>
            <w:vAlign w:val="center"/>
          </w:tcPr>
          <w:p w14:paraId="635778A4">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29.2</w:t>
            </w:r>
          </w:p>
        </w:tc>
        <w:tc>
          <w:tcPr>
            <w:tcW w:w="2268" w:type="dxa"/>
            <w:tcBorders>
              <w:top w:val="single" w:color="auto" w:sz="4" w:space="0"/>
              <w:left w:val="single" w:color="auto" w:sz="4" w:space="0"/>
              <w:bottom w:val="nil"/>
              <w:right w:val="single" w:color="auto" w:sz="4" w:space="0"/>
            </w:tcBorders>
            <w:vAlign w:val="center"/>
          </w:tcPr>
          <w:p w14:paraId="5B003F31">
            <w:pPr>
              <w:shd w:val="clear" w:color="auto" w:fill="FFFFFF" w:themeFill="background1"/>
              <w:spacing w:line="380" w:lineRule="exact"/>
              <w:rPr>
                <w:rFonts w:ascii="宋体" w:hAnsi="宋体" w:cs="宋体"/>
                <w:color w:val="auto"/>
                <w:szCs w:val="21"/>
                <w:highlight w:val="none"/>
              </w:rPr>
            </w:pPr>
            <w:bookmarkStart w:id="101" w:name="_29.2.2（2）"/>
            <w:bookmarkEnd w:id="101"/>
            <w:r>
              <w:rPr>
                <w:rFonts w:hint="eastAsia" w:ascii="宋体" w:hAnsi="宋体" w:cs="宋体"/>
                <w:color w:val="auto"/>
                <w:szCs w:val="21"/>
                <w:highlight w:val="none"/>
              </w:rPr>
              <w:t>允许负偏离项</w:t>
            </w:r>
          </w:p>
        </w:tc>
        <w:tc>
          <w:tcPr>
            <w:tcW w:w="7297" w:type="dxa"/>
            <w:tcBorders>
              <w:top w:val="single" w:color="auto" w:sz="4" w:space="0"/>
              <w:left w:val="single" w:color="auto" w:sz="4" w:space="0"/>
              <w:bottom w:val="nil"/>
              <w:right w:val="single" w:color="auto" w:sz="4" w:space="0"/>
            </w:tcBorders>
            <w:vAlign w:val="center"/>
          </w:tcPr>
          <w:p w14:paraId="38C48208">
            <w:pPr>
              <w:shd w:val="clear" w:color="auto" w:fill="FFFFFF" w:themeFill="background1"/>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商务条款评审中允许负偏离的条款数为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零  </w:t>
            </w:r>
            <w:r>
              <w:rPr>
                <w:rFonts w:ascii="宋体" w:hAnsi="宋体" w:cs="宋体"/>
                <w:color w:val="auto"/>
                <w:szCs w:val="21"/>
                <w:highlight w:val="none"/>
                <w:u w:val="single"/>
              </w:rPr>
              <w:t xml:space="preserve"> </w:t>
            </w:r>
            <w:r>
              <w:rPr>
                <w:rFonts w:hint="eastAsia" w:ascii="宋体" w:hAnsi="宋体" w:cs="宋体"/>
                <w:color w:val="auto"/>
                <w:szCs w:val="21"/>
                <w:highlight w:val="none"/>
              </w:rPr>
              <w:t>项。</w:t>
            </w:r>
          </w:p>
          <w:p w14:paraId="6B9AB8FE">
            <w:pPr>
              <w:shd w:val="clear" w:color="auto" w:fill="FFFFFF" w:themeFill="background1"/>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技术需求评审中允许负偏离的条款数为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零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项。</w:t>
            </w:r>
          </w:p>
        </w:tc>
      </w:tr>
      <w:tr w14:paraId="44FA57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3752FA54">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30.1</w:t>
            </w:r>
          </w:p>
        </w:tc>
        <w:tc>
          <w:tcPr>
            <w:tcW w:w="2268" w:type="dxa"/>
            <w:tcBorders>
              <w:top w:val="single" w:color="auto" w:sz="4" w:space="0"/>
              <w:left w:val="single" w:color="auto" w:sz="4" w:space="0"/>
              <w:bottom w:val="single" w:color="auto" w:sz="4" w:space="0"/>
              <w:right w:val="single" w:color="auto" w:sz="4" w:space="0"/>
            </w:tcBorders>
            <w:vAlign w:val="center"/>
          </w:tcPr>
          <w:p w14:paraId="6DA0C31B">
            <w:pPr>
              <w:shd w:val="clear" w:color="auto" w:fill="FFFFFF" w:themeFill="background1"/>
              <w:autoSpaceDE w:val="0"/>
              <w:autoSpaceDN w:val="0"/>
              <w:snapToGrid w:val="0"/>
              <w:spacing w:line="380" w:lineRule="exact"/>
              <w:textAlignment w:val="bottom"/>
              <w:rPr>
                <w:rFonts w:ascii="宋体" w:hAnsi="宋体" w:cs="宋体"/>
                <w:color w:val="auto"/>
                <w:szCs w:val="21"/>
                <w:highlight w:val="none"/>
              </w:rPr>
            </w:pPr>
            <w:r>
              <w:rPr>
                <w:rFonts w:hint="eastAsia" w:ascii="宋体" w:hAnsi="宋体" w:cs="宋体"/>
                <w:color w:val="auto"/>
                <w:szCs w:val="21"/>
                <w:highlight w:val="none"/>
              </w:rPr>
              <w:t xml:space="preserve">确定中标人时，出现中标候选人排名并列的情形，确定中标人方式 </w:t>
            </w:r>
          </w:p>
        </w:tc>
        <w:tc>
          <w:tcPr>
            <w:tcW w:w="7297" w:type="dxa"/>
            <w:tcBorders>
              <w:top w:val="single" w:color="auto" w:sz="4" w:space="0"/>
              <w:left w:val="single" w:color="auto" w:sz="4" w:space="0"/>
              <w:bottom w:val="single" w:color="auto" w:sz="4" w:space="0"/>
              <w:right w:val="single" w:color="auto" w:sz="4" w:space="0"/>
            </w:tcBorders>
            <w:vAlign w:val="center"/>
          </w:tcPr>
          <w:p w14:paraId="04EEFF28">
            <w:pPr>
              <w:pStyle w:val="10"/>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采购人确定中标人时，出现中标候选人并列的情形，采购人按以下的方式确定中标人：</w:t>
            </w:r>
          </w:p>
          <w:p w14:paraId="55BB9FA1">
            <w:pPr>
              <w:pStyle w:val="10"/>
              <w:shd w:val="clear" w:color="auto" w:fill="FFFFFF" w:themeFill="background1"/>
              <w:spacing w:line="38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总得分相同的，以投标报价由低到高顺序排列；得分相同且投标报价相同的，按技术分得分由高到低顺序排列；总得分相同且投标报价相同且技术得分相同的，按商务分得分由高到低的顺序排列</w:t>
            </w:r>
            <w:r>
              <w:rPr>
                <w:rFonts w:hint="eastAsia" w:ascii="宋体" w:hAnsi="宋体" w:cs="宋体"/>
                <w:color w:val="auto"/>
                <w:szCs w:val="21"/>
                <w:highlight w:val="none"/>
                <w:lang w:eastAsia="zh-CN"/>
              </w:rPr>
              <w:t>。</w:t>
            </w:r>
          </w:p>
          <w:p w14:paraId="7E0A4CE0">
            <w:pPr>
              <w:pStyle w:val="10"/>
              <w:shd w:val="clear" w:color="auto" w:fill="FFFFFF" w:themeFill="background1"/>
              <w:spacing w:line="380" w:lineRule="exact"/>
              <w:rPr>
                <w:rFonts w:ascii="宋体" w:hAnsi="宋体" w:cs="宋体"/>
                <w:b/>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 xml:space="preserve"> </w:t>
            </w:r>
            <w:r>
              <w:rPr>
                <w:rFonts w:hint="eastAsia" w:ascii="宋体" w:hAnsi="宋体" w:cs="宋体"/>
                <w:color w:val="auto"/>
                <w:highlight w:val="none"/>
              </w:rPr>
              <w:t>采取随机抽取的方式确定。</w:t>
            </w:r>
          </w:p>
        </w:tc>
      </w:tr>
      <w:tr w14:paraId="2D0A82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1DDFCEFB">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35</w:t>
            </w:r>
          </w:p>
        </w:tc>
        <w:tc>
          <w:tcPr>
            <w:tcW w:w="2268" w:type="dxa"/>
            <w:tcBorders>
              <w:top w:val="single" w:color="auto" w:sz="4" w:space="0"/>
              <w:left w:val="single" w:color="auto" w:sz="4" w:space="0"/>
              <w:bottom w:val="single" w:color="auto" w:sz="4" w:space="0"/>
              <w:right w:val="single" w:color="auto" w:sz="4" w:space="0"/>
            </w:tcBorders>
            <w:vAlign w:val="center"/>
          </w:tcPr>
          <w:p w14:paraId="0D03E05E">
            <w:pPr>
              <w:shd w:val="clear" w:color="auto" w:fill="FFFFFF" w:themeFill="background1"/>
              <w:spacing w:line="380" w:lineRule="exact"/>
              <w:rPr>
                <w:rFonts w:ascii="宋体" w:hAnsi="宋体" w:cs="宋体"/>
                <w:color w:val="auto"/>
                <w:szCs w:val="21"/>
                <w:highlight w:val="none"/>
              </w:rPr>
            </w:pPr>
            <w:bookmarkStart w:id="102" w:name="_39.1"/>
            <w:bookmarkEnd w:id="102"/>
            <w:r>
              <w:rPr>
                <w:rFonts w:hint="eastAsia" w:ascii="宋体" w:hAnsi="宋体" w:cs="宋体"/>
                <w:color w:val="auto"/>
                <w:szCs w:val="21"/>
                <w:highlight w:val="none"/>
              </w:rPr>
              <w:t>履约保证金金额</w:t>
            </w:r>
          </w:p>
        </w:tc>
        <w:tc>
          <w:tcPr>
            <w:tcW w:w="7297" w:type="dxa"/>
            <w:tcBorders>
              <w:top w:val="single" w:color="auto" w:sz="4" w:space="0"/>
              <w:left w:val="single" w:color="auto" w:sz="4" w:space="0"/>
              <w:bottom w:val="single" w:color="auto" w:sz="4" w:space="0"/>
              <w:right w:val="single" w:color="auto" w:sz="4" w:space="0"/>
            </w:tcBorders>
            <w:vAlign w:val="bottom"/>
          </w:tcPr>
          <w:p w14:paraId="483D08FC">
            <w:pPr>
              <w:shd w:val="clear" w:color="auto" w:fill="FFFFFF" w:themeFill="background1"/>
              <w:spacing w:line="380" w:lineRule="exact"/>
              <w:rPr>
                <w:rFonts w:ascii="宋体" w:hAnsi="宋体" w:cs="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 xml:space="preserve"> 本项目不需要缴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rPr>
              <w:t>履约保证金。</w:t>
            </w:r>
          </w:p>
          <w:p w14:paraId="49487A8C">
            <w:pPr>
              <w:shd w:val="clear" w:color="auto" w:fill="FFFFFF" w:themeFill="background1"/>
              <w:spacing w:line="380" w:lineRule="exact"/>
              <w:rPr>
                <w:rFonts w:ascii="宋体" w:hAnsi="宋体" w:cs="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 xml:space="preserve"> 本项目需要缴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rPr>
              <w:t>履约保证金，相关要求如下：</w:t>
            </w:r>
          </w:p>
          <w:p w14:paraId="07AB5EF2">
            <w:pPr>
              <w:numPr>
                <w:ilvl w:val="0"/>
                <w:numId w:val="0"/>
              </w:numPr>
              <w:shd w:val="clear" w:color="auto" w:fill="FFFFFF" w:themeFill="background1"/>
              <w:autoSpaceDE w:val="0"/>
              <w:autoSpaceDN w:val="0"/>
              <w:snapToGrid w:val="0"/>
              <w:spacing w:line="380" w:lineRule="exact"/>
              <w:textAlignment w:val="bottom"/>
              <w:rPr>
                <w:rFonts w:ascii="宋体" w:hAnsi="宋体" w:cs="宋体"/>
                <w:color w:val="auto"/>
                <w:szCs w:val="21"/>
                <w:highlight w:val="none"/>
              </w:rPr>
            </w:pPr>
            <w:r>
              <w:rPr>
                <w:rFonts w:ascii="宋体" w:hAnsi="宋体" w:eastAsia="宋体" w:cs="宋体"/>
                <w:color w:val="auto"/>
                <w:kern w:val="2"/>
                <w:sz w:val="21"/>
                <w:szCs w:val="21"/>
                <w:highlight w:val="none"/>
                <w:lang w:val="en-US" w:eastAsia="zh-CN" w:bidi="ar-SA"/>
              </w:rPr>
              <w:t>1.</w:t>
            </w:r>
            <w:r>
              <w:rPr>
                <w:rFonts w:hint="eastAsia" w:ascii="宋体" w:hAnsi="宋体" w:cs="宋体"/>
                <w:color w:val="auto"/>
                <w:szCs w:val="21"/>
                <w:highlight w:val="none"/>
              </w:rPr>
              <w:t>履约保证金金额：</w:t>
            </w:r>
            <w:r>
              <w:rPr>
                <w:rFonts w:hint="eastAsia" w:ascii="宋体" w:hAnsi="宋体" w:cs="宋体"/>
                <w:color w:val="auto"/>
                <w:szCs w:val="21"/>
                <w:highlight w:val="none"/>
                <w:lang w:eastAsia="zh-CN"/>
              </w:rPr>
              <w:t>政府采购合同</w:t>
            </w:r>
            <w:r>
              <w:rPr>
                <w:rFonts w:hint="eastAsia" w:ascii="宋体" w:hAnsi="宋体" w:cs="宋体"/>
                <w:color w:val="auto"/>
                <w:szCs w:val="21"/>
                <w:highlight w:val="none"/>
              </w:rPr>
              <w:t>金额的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若</w:t>
            </w:r>
            <w:r>
              <w:rPr>
                <w:rFonts w:hint="eastAsia"/>
                <w:color w:val="auto"/>
                <w:highlight w:val="none"/>
                <w:lang w:eastAsia="zh-CN"/>
              </w:rPr>
              <w:t>中标人为中小企业，</w:t>
            </w:r>
            <w:r>
              <w:rPr>
                <w:rFonts w:hint="eastAsia"/>
                <w:color w:val="auto"/>
                <w:highlight w:val="none"/>
                <w:lang w:val="en-US" w:eastAsia="zh-CN"/>
              </w:rPr>
              <w:t>为</w:t>
            </w:r>
            <w:r>
              <w:rPr>
                <w:rFonts w:hint="eastAsia"/>
                <w:color w:val="auto"/>
                <w:highlight w:val="none"/>
                <w:u w:val="single"/>
                <w:lang w:val="en-US" w:eastAsia="zh-CN"/>
              </w:rPr>
              <w:t xml:space="preserve">   </w:t>
            </w:r>
            <w:r>
              <w:rPr>
                <w:rFonts w:hint="eastAsia" w:ascii="宋体" w:hAnsi="宋体" w:eastAsia="宋体" w:cs="宋体"/>
                <w:color w:val="auto"/>
                <w:highlight w:val="none"/>
                <w:lang w:val="en-US" w:eastAsia="zh-CN"/>
              </w:rPr>
              <w:t>%</w:t>
            </w:r>
            <w:r>
              <w:rPr>
                <w:rFonts w:hint="eastAsia"/>
                <w:color w:val="auto"/>
                <w:highlight w:val="none"/>
                <w:lang w:val="en-US" w:eastAsia="zh-CN"/>
              </w:rPr>
              <w:t>。</w:t>
            </w:r>
          </w:p>
          <w:p w14:paraId="2F5BF53D">
            <w:pPr>
              <w:shd w:val="clear" w:color="auto" w:fill="FFFFFF" w:themeFill="background1"/>
              <w:autoSpaceDE w:val="0"/>
              <w:autoSpaceDN w:val="0"/>
              <w:snapToGrid w:val="0"/>
              <w:spacing w:line="380" w:lineRule="exact"/>
              <w:textAlignment w:val="bottom"/>
              <w:rPr>
                <w:rFonts w:ascii="宋体" w:hAnsi="宋体" w:cs="宋体"/>
                <w:color w:val="auto"/>
                <w:szCs w:val="21"/>
                <w:highlight w:val="none"/>
              </w:rPr>
            </w:pPr>
            <w:r>
              <w:rPr>
                <w:rFonts w:hint="eastAsia" w:ascii="宋体" w:hAnsi="宋体" w:cs="宋体"/>
                <w:color w:val="auto"/>
                <w:szCs w:val="21"/>
                <w:highlight w:val="none"/>
              </w:rPr>
              <w:t>2.履约保证金递交方式：中标人在</w:t>
            </w:r>
            <w:r>
              <w:rPr>
                <w:rFonts w:hint="eastAsia" w:ascii="宋体" w:hAnsi="宋体" w:cs="宋体"/>
                <w:color w:val="auto"/>
                <w:kern w:val="0"/>
                <w:szCs w:val="21"/>
                <w:highlight w:val="none"/>
                <w:u w:val="single"/>
              </w:rPr>
              <w:t>签订合同</w:t>
            </w:r>
            <w:r>
              <w:rPr>
                <w:rFonts w:hint="eastAsia" w:ascii="宋体" w:hAnsi="宋体" w:cs="宋体"/>
                <w:color w:val="auto"/>
                <w:szCs w:val="21"/>
                <w:highlight w:val="none"/>
                <w:u w:val="single"/>
              </w:rPr>
              <w:t>前</w:t>
            </w:r>
            <w:r>
              <w:rPr>
                <w:rFonts w:hint="eastAsia" w:ascii="宋体" w:hAnsi="宋体" w:cs="宋体"/>
                <w:color w:val="auto"/>
                <w:szCs w:val="21"/>
                <w:highlight w:val="none"/>
              </w:rPr>
              <w:t>以银行转账、支票、汇票、本票或者金融机构、担保机构出具的保函等非现金方式向</w:t>
            </w:r>
            <w:r>
              <w:rPr>
                <w:rFonts w:hint="eastAsia" w:ascii="宋体" w:hAnsi="宋体" w:cs="宋体"/>
                <w:color w:val="auto"/>
                <w:szCs w:val="21"/>
                <w:highlight w:val="none"/>
                <w:u w:val="single"/>
              </w:rPr>
              <w:t>采购人</w:t>
            </w:r>
            <w:r>
              <w:rPr>
                <w:rFonts w:hint="eastAsia" w:ascii="宋体" w:hAnsi="宋体" w:cs="宋体"/>
                <w:color w:val="auto"/>
                <w:szCs w:val="21"/>
                <w:highlight w:val="none"/>
              </w:rPr>
              <w:t>提交。</w:t>
            </w:r>
          </w:p>
          <w:p w14:paraId="6A73D112">
            <w:pPr>
              <w:shd w:val="clear" w:color="auto" w:fill="FFFFFF" w:themeFill="background1"/>
              <w:autoSpaceDE w:val="0"/>
              <w:autoSpaceDN w:val="0"/>
              <w:snapToGrid w:val="0"/>
              <w:spacing w:line="380" w:lineRule="exact"/>
              <w:textAlignment w:val="bottom"/>
              <w:rPr>
                <w:rFonts w:ascii="宋体" w:hAnsi="宋体" w:cs="宋体"/>
                <w:color w:val="auto"/>
                <w:szCs w:val="21"/>
                <w:highlight w:val="none"/>
                <w:u w:val="single"/>
              </w:rPr>
            </w:pPr>
            <w:r>
              <w:rPr>
                <w:rFonts w:hint="eastAsia" w:ascii="宋体" w:hAnsi="宋体" w:cs="宋体"/>
                <w:color w:val="auto"/>
                <w:szCs w:val="21"/>
                <w:highlight w:val="none"/>
              </w:rPr>
              <w:t>3.履约保证金退付方式、时间及条件：按招标文件合同主要条款格式第八条的规定执行</w:t>
            </w:r>
            <w:r>
              <w:rPr>
                <w:rFonts w:hint="eastAsia" w:ascii="宋体" w:hAnsi="宋体" w:cs="宋体"/>
                <w:color w:val="auto"/>
                <w:szCs w:val="21"/>
                <w:highlight w:val="none"/>
                <w:u w:val="none"/>
              </w:rPr>
              <w:t>。</w:t>
            </w:r>
          </w:p>
          <w:p w14:paraId="3A85C803">
            <w:pPr>
              <w:shd w:val="clear" w:color="auto" w:fill="FFFFFF" w:themeFill="background1"/>
              <w:autoSpaceDE w:val="0"/>
              <w:autoSpaceDN w:val="0"/>
              <w:snapToGrid w:val="0"/>
              <w:spacing w:line="380" w:lineRule="exact"/>
              <w:textAlignment w:val="bottom"/>
              <w:rPr>
                <w:rFonts w:ascii="宋体" w:hAnsi="宋体" w:cs="宋体"/>
                <w:color w:val="auto"/>
                <w:szCs w:val="21"/>
                <w:highlight w:val="none"/>
              </w:rPr>
            </w:pPr>
            <w:r>
              <w:rPr>
                <w:rFonts w:hint="eastAsia" w:ascii="宋体" w:hAnsi="宋体" w:cs="宋体"/>
                <w:color w:val="auto"/>
                <w:szCs w:val="21"/>
                <w:highlight w:val="none"/>
              </w:rPr>
              <w:t>4.缴纳履约保证金的指定账户：</w:t>
            </w:r>
          </w:p>
          <w:p w14:paraId="4931489A">
            <w:pPr>
              <w:spacing w:line="36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开户名称：</w:t>
            </w:r>
          </w:p>
          <w:p w14:paraId="07A82501">
            <w:pPr>
              <w:tabs>
                <w:tab w:val="left" w:pos="1440"/>
              </w:tabs>
              <w:spacing w:line="36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开户行：</w:t>
            </w:r>
            <w:r>
              <w:rPr>
                <w:rFonts w:hint="eastAsia" w:ascii="宋体" w:hAnsi="宋体" w:cs="宋体"/>
                <w:color w:val="auto"/>
                <w:szCs w:val="21"/>
                <w:highlight w:val="none"/>
                <w:lang w:val="en-US" w:eastAsia="zh-CN"/>
              </w:rPr>
              <w:t xml:space="preserve">   </w:t>
            </w:r>
          </w:p>
          <w:p w14:paraId="6C9DA1E5">
            <w:pPr>
              <w:shd w:val="clear" w:color="auto" w:fill="FFFFFF" w:themeFill="background1"/>
              <w:spacing w:line="38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账  号：</w:t>
            </w:r>
            <w:r>
              <w:rPr>
                <w:rFonts w:hint="eastAsia" w:ascii="宋体" w:hAnsi="宋体" w:cs="宋体"/>
                <w:color w:val="auto"/>
                <w:szCs w:val="21"/>
                <w:highlight w:val="none"/>
                <w:lang w:val="en-US" w:eastAsia="zh-CN"/>
              </w:rPr>
              <w:t xml:space="preserve">       </w:t>
            </w:r>
          </w:p>
          <w:p w14:paraId="74DF42D7">
            <w:pPr>
              <w:shd w:val="clear" w:color="auto" w:fill="FFFFFF" w:themeFill="background1"/>
              <w:spacing w:line="380" w:lineRule="exact"/>
              <w:jc w:val="left"/>
              <w:rPr>
                <w:rFonts w:ascii="宋体" w:hAnsi="宋体" w:cs="宋体"/>
                <w:color w:val="auto"/>
                <w:szCs w:val="21"/>
                <w:highlight w:val="none"/>
              </w:rPr>
            </w:pPr>
            <w:r>
              <w:rPr>
                <w:rFonts w:hint="eastAsia" w:ascii="宋体" w:hAnsi="宋体" w:cs="宋体"/>
                <w:color w:val="auto"/>
                <w:szCs w:val="21"/>
                <w:highlight w:val="none"/>
              </w:rPr>
              <w:t>备注：</w:t>
            </w:r>
          </w:p>
          <w:p w14:paraId="260139C0">
            <w:pPr>
              <w:shd w:val="clear" w:color="auto" w:fill="FFFFFF" w:themeFill="background1"/>
              <w:spacing w:line="380" w:lineRule="exact"/>
              <w:jc w:val="left"/>
              <w:rPr>
                <w:rFonts w:ascii="宋体" w:hAnsi="宋体" w:cs="宋体"/>
                <w:b/>
                <w:color w:val="auto"/>
                <w:szCs w:val="21"/>
                <w:highlight w:val="none"/>
              </w:rPr>
            </w:pPr>
            <w:bookmarkStart w:id="103" w:name="_Hlk54170335"/>
            <w:r>
              <w:rPr>
                <w:rFonts w:hint="eastAsia" w:ascii="宋体" w:hAnsi="宋体" w:cs="宋体"/>
                <w:b/>
                <w:color w:val="auto"/>
                <w:szCs w:val="21"/>
                <w:highlight w:val="none"/>
              </w:rPr>
              <w:t>1.根据《关于持续优化政府采购营商环境推动高质量发展的通知》（桂财采〔2024〕55号）</w:t>
            </w:r>
            <w:r>
              <w:rPr>
                <w:rFonts w:hint="eastAsia" w:ascii="宋体" w:hAnsi="宋体" w:cs="宋体"/>
                <w:b/>
                <w:color w:val="auto"/>
                <w:szCs w:val="21"/>
                <w:highlight w:val="none"/>
                <w:lang w:eastAsia="zh-CN"/>
              </w:rPr>
              <w:t>要求</w:t>
            </w:r>
            <w:r>
              <w:rPr>
                <w:rFonts w:hint="eastAsia" w:ascii="宋体" w:hAnsi="宋体" w:cs="宋体"/>
                <w:b/>
                <w:color w:val="auto"/>
                <w:szCs w:val="21"/>
                <w:highlight w:val="none"/>
              </w:rPr>
              <w:t>：强调持续降低制度性交易成本</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预算单位（采购人）、采购代理机构应当综合考虑项目情况、供应商资信状况、市场供需关系等选择是否收取投标（响应）保证金。鼓励预算单位（采购人）、采购代理机构对诚信供应商免收投标（响应）保证金或降低缴纳比例。</w:t>
            </w:r>
            <w:bookmarkEnd w:id="103"/>
          </w:p>
          <w:p w14:paraId="476B16A3">
            <w:pPr>
              <w:shd w:val="clear" w:color="auto" w:fill="FFFFFF" w:themeFill="background1"/>
              <w:spacing w:line="380" w:lineRule="exact"/>
              <w:jc w:val="left"/>
              <w:rPr>
                <w:rFonts w:ascii="宋体" w:hAnsi="宋体" w:cs="宋体"/>
                <w:b/>
                <w:color w:val="auto"/>
                <w:szCs w:val="21"/>
                <w:highlight w:val="none"/>
              </w:rPr>
            </w:pPr>
            <w:r>
              <w:rPr>
                <w:rFonts w:hint="eastAsia" w:ascii="宋体" w:hAnsi="宋体" w:cs="宋体"/>
                <w:b/>
                <w:color w:val="auto"/>
                <w:szCs w:val="21"/>
                <w:highlight w:val="none"/>
              </w:rPr>
              <w:t>2.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14:paraId="44598254">
            <w:pPr>
              <w:shd w:val="clear" w:color="auto" w:fill="FFFFFF" w:themeFill="background1"/>
              <w:spacing w:line="380" w:lineRule="exact"/>
              <w:jc w:val="left"/>
              <w:rPr>
                <w:rFonts w:ascii="宋体" w:hAnsi="宋体" w:cs="宋体"/>
                <w:b/>
                <w:color w:val="auto"/>
                <w:szCs w:val="21"/>
                <w:highlight w:val="none"/>
              </w:rPr>
            </w:pPr>
            <w:r>
              <w:rPr>
                <w:rFonts w:hint="eastAsia" w:ascii="宋体" w:hAnsi="宋体" w:cs="宋体"/>
                <w:b/>
                <w:color w:val="auto"/>
                <w:szCs w:val="21"/>
                <w:highlight w:val="none"/>
              </w:rPr>
              <w:t>3.采用金融、担保机构出具的保函的，必须为无条件保函，否则不予签订合同。</w:t>
            </w:r>
          </w:p>
          <w:p w14:paraId="41559CFF">
            <w:pPr>
              <w:shd w:val="clear" w:color="auto" w:fill="FFFFFF" w:themeFill="background1"/>
              <w:spacing w:line="380" w:lineRule="exact"/>
              <w:jc w:val="left"/>
              <w:rPr>
                <w:rFonts w:ascii="宋体" w:hAnsi="宋体" w:cs="宋体"/>
                <w:color w:val="auto"/>
                <w:szCs w:val="21"/>
                <w:highlight w:val="none"/>
              </w:rPr>
            </w:pPr>
            <w:r>
              <w:rPr>
                <w:rFonts w:hint="eastAsia" w:ascii="宋体" w:hAnsi="宋体" w:cs="宋体"/>
                <w:b/>
                <w:color w:val="auto"/>
                <w:szCs w:val="21"/>
                <w:highlight w:val="none"/>
              </w:rPr>
              <w:t>4.投标人为联合体的，由联合体其中一方按规定提交的履约保证金，视为有效履约保证金。</w:t>
            </w:r>
          </w:p>
        </w:tc>
      </w:tr>
      <w:tr w14:paraId="28507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5F50DB6A">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36.1</w:t>
            </w:r>
          </w:p>
        </w:tc>
        <w:tc>
          <w:tcPr>
            <w:tcW w:w="2268" w:type="dxa"/>
            <w:tcBorders>
              <w:top w:val="single" w:color="auto" w:sz="4" w:space="0"/>
              <w:left w:val="single" w:color="auto" w:sz="4" w:space="0"/>
              <w:bottom w:val="single" w:color="auto" w:sz="4" w:space="0"/>
              <w:right w:val="single" w:color="auto" w:sz="4" w:space="0"/>
            </w:tcBorders>
            <w:vAlign w:val="center"/>
          </w:tcPr>
          <w:p w14:paraId="5DE8B61D">
            <w:pPr>
              <w:shd w:val="clear" w:color="auto" w:fill="FFFFFF" w:themeFill="background1"/>
              <w:spacing w:line="380" w:lineRule="exact"/>
              <w:rPr>
                <w:rFonts w:ascii="宋体" w:hAnsi="宋体" w:cs="宋体"/>
                <w:color w:val="auto"/>
                <w:szCs w:val="21"/>
                <w:highlight w:val="none"/>
              </w:rPr>
            </w:pPr>
            <w:bookmarkStart w:id="104" w:name="_40.1"/>
            <w:bookmarkEnd w:id="104"/>
            <w:r>
              <w:rPr>
                <w:rFonts w:hint="eastAsia" w:ascii="宋体" w:hAnsi="宋体" w:cs="宋体"/>
                <w:color w:val="auto"/>
                <w:szCs w:val="21"/>
                <w:highlight w:val="none"/>
              </w:rPr>
              <w:t>签订合同携带的材料</w:t>
            </w:r>
          </w:p>
        </w:tc>
        <w:tc>
          <w:tcPr>
            <w:tcW w:w="7297" w:type="dxa"/>
            <w:tcBorders>
              <w:top w:val="single" w:color="auto" w:sz="4" w:space="0"/>
              <w:left w:val="single" w:color="auto" w:sz="4" w:space="0"/>
              <w:bottom w:val="single" w:color="auto" w:sz="4" w:space="0"/>
              <w:right w:val="single" w:color="auto" w:sz="4" w:space="0"/>
            </w:tcBorders>
            <w:vAlign w:val="center"/>
          </w:tcPr>
          <w:p w14:paraId="6F8C6830">
            <w:pPr>
              <w:shd w:val="clear" w:color="auto" w:fill="FFFFFF" w:themeFill="background1"/>
              <w:autoSpaceDE w:val="0"/>
              <w:autoSpaceDN w:val="0"/>
              <w:snapToGrid w:val="0"/>
              <w:spacing w:line="380" w:lineRule="exact"/>
              <w:textAlignment w:val="bottom"/>
              <w:rPr>
                <w:rFonts w:ascii="宋体" w:hAnsi="宋体" w:cs="宋体"/>
                <w:color w:val="auto"/>
                <w:szCs w:val="21"/>
                <w:highlight w:val="none"/>
              </w:rPr>
            </w:pPr>
            <w:r>
              <w:rPr>
                <w:rFonts w:hint="eastAsia" w:ascii="宋体" w:hAnsi="宋体" w:cs="宋体"/>
                <w:color w:val="auto"/>
                <w:szCs w:val="21"/>
                <w:highlight w:val="none"/>
              </w:rPr>
              <w:t>委托代理人负责签订合同的，须携带有效的法定代表人授权委托书及其委托代理人身份证原件等其他资格证件。</w:t>
            </w:r>
          </w:p>
          <w:p w14:paraId="70CBA897">
            <w:pPr>
              <w:shd w:val="clear" w:color="auto" w:fill="FFFFFF" w:themeFill="background1"/>
              <w:autoSpaceDE w:val="0"/>
              <w:autoSpaceDN w:val="0"/>
              <w:snapToGrid w:val="0"/>
              <w:spacing w:line="380" w:lineRule="exact"/>
              <w:textAlignment w:val="bottom"/>
              <w:rPr>
                <w:rFonts w:ascii="宋体" w:hAnsi="宋体" w:cs="宋体"/>
                <w:color w:val="auto"/>
                <w:szCs w:val="21"/>
                <w:highlight w:val="none"/>
              </w:rPr>
            </w:pPr>
            <w:r>
              <w:rPr>
                <w:rFonts w:hint="eastAsia" w:ascii="宋体" w:hAnsi="宋体" w:cs="宋体"/>
                <w:color w:val="auto"/>
                <w:szCs w:val="21"/>
                <w:highlight w:val="none"/>
              </w:rPr>
              <w:t>法定代表人负责签订合同的，须携带法定代表人身份证明原件及身份证原件等其他证明材料。</w:t>
            </w:r>
          </w:p>
        </w:tc>
      </w:tr>
      <w:tr w14:paraId="562BBE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6E1CA535">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38.2.1</w:t>
            </w:r>
          </w:p>
        </w:tc>
        <w:tc>
          <w:tcPr>
            <w:tcW w:w="2268" w:type="dxa"/>
            <w:tcBorders>
              <w:top w:val="single" w:color="auto" w:sz="4" w:space="0"/>
              <w:left w:val="single" w:color="auto" w:sz="4" w:space="0"/>
              <w:bottom w:val="single" w:color="auto" w:sz="4" w:space="0"/>
              <w:right w:val="single" w:color="auto" w:sz="4" w:space="0"/>
            </w:tcBorders>
            <w:vAlign w:val="center"/>
          </w:tcPr>
          <w:p w14:paraId="570762F8">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接收质疑函方式</w:t>
            </w:r>
          </w:p>
        </w:tc>
        <w:tc>
          <w:tcPr>
            <w:tcW w:w="7297" w:type="dxa"/>
            <w:tcBorders>
              <w:top w:val="single" w:color="auto" w:sz="4" w:space="0"/>
              <w:left w:val="single" w:color="auto" w:sz="4" w:space="0"/>
              <w:bottom w:val="single" w:color="auto" w:sz="4" w:space="0"/>
              <w:right w:val="single" w:color="auto" w:sz="4" w:space="0"/>
            </w:tcBorders>
            <w:vAlign w:val="center"/>
          </w:tcPr>
          <w:p w14:paraId="4344BB2F">
            <w:pPr>
              <w:shd w:val="clear" w:color="auto" w:fill="FFFFFF" w:themeFill="background1"/>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以书面形式</w:t>
            </w:r>
          </w:p>
        </w:tc>
      </w:tr>
      <w:tr w14:paraId="735E58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1206FFE4">
            <w:pPr>
              <w:widowControl/>
              <w:shd w:val="clear" w:color="auto" w:fill="FFFFFF" w:themeFill="background1"/>
              <w:spacing w:line="380" w:lineRule="exact"/>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19874B3C">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质疑联系部门及联系方式</w:t>
            </w:r>
          </w:p>
        </w:tc>
        <w:tc>
          <w:tcPr>
            <w:tcW w:w="7297" w:type="dxa"/>
            <w:tcBorders>
              <w:top w:val="single" w:color="auto" w:sz="4" w:space="0"/>
              <w:left w:val="single" w:color="auto" w:sz="4" w:space="0"/>
              <w:bottom w:val="single" w:color="auto" w:sz="4" w:space="0"/>
              <w:right w:val="single" w:color="auto" w:sz="4" w:space="0"/>
            </w:tcBorders>
            <w:vAlign w:val="center"/>
          </w:tcPr>
          <w:p w14:paraId="2AEC431D">
            <w:pPr>
              <w:shd w:val="clear" w:color="auto" w:fill="FFFFFF" w:themeFill="background1"/>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名称：</w:t>
            </w:r>
            <w:bookmarkStart w:id="105" w:name="PO_3000001867_PM031_3"/>
            <w:r>
              <w:rPr>
                <w:rFonts w:hint="eastAsia" w:ascii="宋体" w:hAnsi="宋体" w:cs="宋体"/>
                <w:color w:val="auto"/>
                <w:szCs w:val="21"/>
                <w:highlight w:val="none"/>
              </w:rPr>
              <w:t>广西科联招标中心有限公司</w:t>
            </w:r>
            <w:bookmarkEnd w:id="105"/>
          </w:p>
          <w:p w14:paraId="217F0062">
            <w:pPr>
              <w:shd w:val="clear" w:color="auto" w:fill="FFFFFF" w:themeFill="background1"/>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联系电话： 0771-3486228</w:t>
            </w:r>
          </w:p>
          <w:p w14:paraId="2C4A3E22">
            <w:pPr>
              <w:shd w:val="clear" w:color="auto" w:fill="FFFFFF" w:themeFill="background1"/>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 xml:space="preserve">通讯地址：广西科联招标中心有限公司307室（广西南宁市大学东路170号广西农机研究院内）       </w:t>
            </w:r>
          </w:p>
        </w:tc>
      </w:tr>
      <w:tr w14:paraId="678151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283DF6E1">
            <w:pPr>
              <w:widowControl/>
              <w:shd w:val="clear" w:color="auto" w:fill="FFFFFF" w:themeFill="background1"/>
              <w:spacing w:line="380" w:lineRule="exact"/>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3759CE02">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现场提交质疑办理业务时间</w:t>
            </w:r>
          </w:p>
        </w:tc>
        <w:tc>
          <w:tcPr>
            <w:tcW w:w="7297" w:type="dxa"/>
            <w:tcBorders>
              <w:top w:val="single" w:color="auto" w:sz="4" w:space="0"/>
              <w:left w:val="single" w:color="auto" w:sz="4" w:space="0"/>
              <w:bottom w:val="single" w:color="auto" w:sz="4" w:space="0"/>
              <w:right w:val="single" w:color="auto" w:sz="4" w:space="0"/>
            </w:tcBorders>
            <w:vAlign w:val="center"/>
          </w:tcPr>
          <w:p w14:paraId="58A856FC">
            <w:pPr>
              <w:shd w:val="clear" w:color="auto" w:fill="FFFFFF" w:themeFill="background1"/>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质疑期内每个工作日（北京时间）上午</w:t>
            </w:r>
            <w:r>
              <w:rPr>
                <w:rFonts w:hint="eastAsia" w:ascii="宋体" w:hAnsi="宋体" w:cs="宋体"/>
                <w:color w:val="auto"/>
                <w:szCs w:val="21"/>
                <w:highlight w:val="none"/>
                <w:u w:val="single"/>
              </w:rPr>
              <w:t>8</w:t>
            </w:r>
            <w:r>
              <w:rPr>
                <w:rFonts w:hint="eastAsia" w:ascii="宋体" w:hAnsi="宋体" w:cs="宋体"/>
                <w:color w:val="auto"/>
                <w:szCs w:val="21"/>
                <w:highlight w:val="none"/>
              </w:rPr>
              <w:t>时</w:t>
            </w:r>
            <w:r>
              <w:rPr>
                <w:rFonts w:hint="eastAsia" w:ascii="宋体" w:hAnsi="宋体" w:cs="宋体"/>
                <w:color w:val="auto"/>
                <w:szCs w:val="21"/>
                <w:highlight w:val="none"/>
                <w:u w:val="single"/>
              </w:rPr>
              <w:t>00</w:t>
            </w:r>
            <w:r>
              <w:rPr>
                <w:rFonts w:hint="eastAsia" w:ascii="宋体" w:hAnsi="宋体" w:cs="宋体"/>
                <w:color w:val="auto"/>
                <w:szCs w:val="21"/>
                <w:highlight w:val="none"/>
              </w:rPr>
              <w:t>分到</w:t>
            </w:r>
            <w:r>
              <w:rPr>
                <w:rFonts w:hint="eastAsia" w:ascii="宋体" w:hAnsi="宋体" w:cs="宋体"/>
                <w:color w:val="auto"/>
                <w:szCs w:val="21"/>
                <w:highlight w:val="none"/>
                <w:u w:val="single"/>
              </w:rPr>
              <w:t>12</w:t>
            </w:r>
            <w:r>
              <w:rPr>
                <w:rFonts w:hint="eastAsia" w:ascii="宋体" w:hAnsi="宋体" w:cs="宋体"/>
                <w:color w:val="auto"/>
                <w:szCs w:val="21"/>
                <w:highlight w:val="none"/>
              </w:rPr>
              <w:t>时</w:t>
            </w:r>
            <w:r>
              <w:rPr>
                <w:rFonts w:hint="eastAsia" w:ascii="宋体" w:hAnsi="宋体" w:cs="宋体"/>
                <w:color w:val="auto"/>
                <w:szCs w:val="21"/>
                <w:highlight w:val="none"/>
                <w:u w:val="single"/>
              </w:rPr>
              <w:t>00</w:t>
            </w:r>
            <w:r>
              <w:rPr>
                <w:rFonts w:hint="eastAsia" w:ascii="宋体" w:hAnsi="宋体" w:cs="宋体"/>
                <w:color w:val="auto"/>
                <w:szCs w:val="21"/>
                <w:highlight w:val="none"/>
              </w:rPr>
              <w:t>分，下午</w:t>
            </w:r>
            <w:r>
              <w:rPr>
                <w:rFonts w:hint="eastAsia" w:ascii="宋体" w:hAnsi="宋体" w:cs="宋体"/>
                <w:color w:val="auto"/>
                <w:szCs w:val="21"/>
                <w:highlight w:val="none"/>
                <w:u w:val="single"/>
              </w:rPr>
              <w:t>15</w:t>
            </w:r>
            <w:r>
              <w:rPr>
                <w:rFonts w:hint="eastAsia" w:ascii="宋体" w:hAnsi="宋体" w:cs="宋体"/>
                <w:color w:val="auto"/>
                <w:szCs w:val="21"/>
                <w:highlight w:val="none"/>
              </w:rPr>
              <w:t>时</w:t>
            </w:r>
            <w:r>
              <w:rPr>
                <w:rFonts w:hint="eastAsia" w:ascii="宋体" w:hAnsi="宋体" w:cs="宋体"/>
                <w:color w:val="auto"/>
                <w:szCs w:val="21"/>
                <w:highlight w:val="none"/>
                <w:u w:val="single"/>
              </w:rPr>
              <w:t>00</w:t>
            </w:r>
            <w:r>
              <w:rPr>
                <w:rFonts w:hint="eastAsia" w:ascii="宋体" w:hAnsi="宋体" w:cs="宋体"/>
                <w:color w:val="auto"/>
                <w:szCs w:val="21"/>
                <w:highlight w:val="none"/>
              </w:rPr>
              <w:t>分到</w:t>
            </w:r>
            <w:r>
              <w:rPr>
                <w:rFonts w:hint="eastAsia" w:ascii="宋体" w:hAnsi="宋体" w:cs="宋体"/>
                <w:color w:val="auto"/>
                <w:szCs w:val="21"/>
                <w:highlight w:val="none"/>
                <w:u w:val="single"/>
              </w:rPr>
              <w:t>18</w:t>
            </w:r>
            <w:r>
              <w:rPr>
                <w:rFonts w:hint="eastAsia" w:ascii="宋体" w:hAnsi="宋体" w:cs="宋体"/>
                <w:color w:val="auto"/>
                <w:szCs w:val="21"/>
                <w:highlight w:val="none"/>
              </w:rPr>
              <w:t>时</w:t>
            </w:r>
            <w:r>
              <w:rPr>
                <w:rFonts w:hint="eastAsia" w:ascii="宋体" w:hAnsi="宋体" w:cs="宋体"/>
                <w:color w:val="auto"/>
                <w:szCs w:val="21"/>
                <w:highlight w:val="none"/>
                <w:u w:val="single"/>
              </w:rPr>
              <w:t>00</w:t>
            </w:r>
            <w:r>
              <w:rPr>
                <w:rFonts w:hint="eastAsia" w:ascii="宋体" w:hAnsi="宋体" w:cs="宋体"/>
                <w:color w:val="auto"/>
                <w:szCs w:val="21"/>
                <w:highlight w:val="none"/>
              </w:rPr>
              <w:t>分。</w:t>
            </w:r>
          </w:p>
        </w:tc>
      </w:tr>
      <w:tr w14:paraId="5F76D7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675" w:type="dxa"/>
            <w:tcBorders>
              <w:top w:val="nil"/>
              <w:left w:val="single" w:color="auto" w:sz="4" w:space="0"/>
              <w:bottom w:val="single" w:color="auto" w:sz="4" w:space="0"/>
              <w:right w:val="single" w:color="auto" w:sz="4" w:space="0"/>
            </w:tcBorders>
            <w:vAlign w:val="center"/>
          </w:tcPr>
          <w:p w14:paraId="5EEBEF73">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38.3.1</w:t>
            </w:r>
          </w:p>
        </w:tc>
        <w:tc>
          <w:tcPr>
            <w:tcW w:w="2268" w:type="dxa"/>
            <w:tcBorders>
              <w:top w:val="single" w:color="auto" w:sz="4" w:space="0"/>
              <w:left w:val="single" w:color="auto" w:sz="4" w:space="0"/>
              <w:bottom w:val="single" w:color="auto" w:sz="4" w:space="0"/>
              <w:right w:val="single" w:color="auto" w:sz="4" w:space="0"/>
            </w:tcBorders>
            <w:vAlign w:val="center"/>
          </w:tcPr>
          <w:p w14:paraId="048000C1">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投诉受理方式</w:t>
            </w:r>
          </w:p>
        </w:tc>
        <w:tc>
          <w:tcPr>
            <w:tcW w:w="7297" w:type="dxa"/>
            <w:tcBorders>
              <w:top w:val="single" w:color="auto" w:sz="4" w:space="0"/>
              <w:left w:val="single" w:color="auto" w:sz="4" w:space="0"/>
              <w:bottom w:val="single" w:color="auto" w:sz="4" w:space="0"/>
              <w:right w:val="single" w:color="auto" w:sz="4" w:space="0"/>
            </w:tcBorders>
            <w:vAlign w:val="center"/>
          </w:tcPr>
          <w:p w14:paraId="60C7B802">
            <w:pPr>
              <w:shd w:val="clear" w:color="auto" w:fill="FFFFFF" w:themeFill="background1"/>
              <w:snapToGrid w:val="0"/>
              <w:spacing w:line="380" w:lineRule="exact"/>
              <w:rPr>
                <w:rFonts w:ascii="宋体" w:hAnsi="宋体" w:cs="宋体"/>
                <w:color w:val="auto"/>
                <w:highlight w:val="none"/>
              </w:rPr>
            </w:pPr>
            <w:r>
              <w:rPr>
                <w:rFonts w:hint="eastAsia" w:ascii="宋体" w:hAnsi="宋体" w:cs="宋体"/>
                <w:color w:val="auto"/>
                <w:szCs w:val="21"/>
                <w:highlight w:val="none"/>
              </w:rPr>
              <w:t>1、受理方式：纸质方式受理，投诉书正、副本（经过质疑的事项才可投诉）。2、通讯</w:t>
            </w:r>
            <w:r>
              <w:rPr>
                <w:rFonts w:hint="eastAsia" w:ascii="宋体" w:hAnsi="宋体" w:cs="宋体"/>
                <w:color w:val="auto"/>
                <w:highlight w:val="none"/>
              </w:rPr>
              <w:t>方式</w:t>
            </w:r>
            <w:bookmarkStart w:id="106" w:name="PO_3000001867_PM038"/>
          </w:p>
          <w:p w14:paraId="1B1A45EA">
            <w:pPr>
              <w:shd w:val="clear" w:color="auto" w:fill="FFFFFF" w:themeFill="background1"/>
              <w:snapToGrid w:val="0"/>
              <w:spacing w:line="380" w:lineRule="exact"/>
              <w:rPr>
                <w:rFonts w:ascii="宋体" w:hAnsi="宋体" w:cs="宋体"/>
                <w:color w:val="auto"/>
                <w:highlight w:val="none"/>
              </w:rPr>
            </w:pPr>
            <w:r>
              <w:rPr>
                <w:rFonts w:hint="eastAsia" w:ascii="宋体" w:hAnsi="宋体" w:cs="宋体"/>
                <w:color w:val="auto"/>
                <w:highlight w:val="none"/>
              </w:rPr>
              <w:t>名称：</w:t>
            </w:r>
            <w:bookmarkStart w:id="107" w:name="PO_3000001867_PM036"/>
            <w:r>
              <w:rPr>
                <w:rFonts w:hint="eastAsia" w:ascii="宋体" w:hAnsi="宋体" w:cs="宋体"/>
                <w:color w:val="auto"/>
                <w:highlight w:val="none"/>
              </w:rPr>
              <w:t xml:space="preserve">广西壮族自治区财政厅政府采购监督管理处 </w:t>
            </w:r>
            <w:bookmarkEnd w:id="107"/>
            <w:r>
              <w:rPr>
                <w:rFonts w:hint="eastAsia" w:ascii="宋体" w:hAnsi="宋体" w:cs="宋体"/>
                <w:color w:val="auto"/>
                <w:highlight w:val="none"/>
              </w:rPr>
              <w:t xml:space="preserve"> </w:t>
            </w:r>
          </w:p>
          <w:p w14:paraId="5C44D9DA">
            <w:pPr>
              <w:shd w:val="clear" w:color="auto" w:fill="FFFFFF" w:themeFill="background1"/>
              <w:snapToGrid w:val="0"/>
              <w:spacing w:line="380" w:lineRule="exact"/>
              <w:rPr>
                <w:rFonts w:ascii="宋体" w:hAnsi="宋体" w:cs="宋体"/>
                <w:color w:val="auto"/>
                <w:highlight w:val="none"/>
              </w:rPr>
            </w:pPr>
            <w:r>
              <w:rPr>
                <w:rFonts w:hint="eastAsia" w:ascii="宋体" w:hAnsi="宋体" w:cs="宋体"/>
                <w:color w:val="auto"/>
                <w:highlight w:val="none"/>
              </w:rPr>
              <w:t>地址：</w:t>
            </w:r>
            <w:bookmarkStart w:id="108" w:name="PO_3000001867_PM039"/>
            <w:r>
              <w:rPr>
                <w:rFonts w:hint="eastAsia" w:ascii="宋体" w:hAnsi="宋体" w:cs="宋体"/>
                <w:color w:val="auto"/>
                <w:highlight w:val="none"/>
              </w:rPr>
              <w:t xml:space="preserve">南宁市桃源路69号广西财政大厦7楼 </w:t>
            </w:r>
            <w:bookmarkEnd w:id="108"/>
            <w:r>
              <w:rPr>
                <w:rFonts w:hint="eastAsia" w:ascii="宋体" w:hAnsi="宋体" w:cs="宋体"/>
                <w:color w:val="auto"/>
                <w:highlight w:val="none"/>
              </w:rPr>
              <w:t xml:space="preserve"> </w:t>
            </w:r>
          </w:p>
          <w:p w14:paraId="6679E47F">
            <w:pPr>
              <w:shd w:val="clear" w:color="auto" w:fill="FFFFFF" w:themeFill="background1"/>
              <w:snapToGrid w:val="0"/>
              <w:spacing w:line="380" w:lineRule="exact"/>
              <w:rPr>
                <w:rFonts w:ascii="宋体" w:hAnsi="宋体" w:cs="宋体"/>
                <w:color w:val="auto"/>
                <w:szCs w:val="21"/>
                <w:highlight w:val="none"/>
              </w:rPr>
            </w:pPr>
            <w:r>
              <w:rPr>
                <w:rFonts w:hint="eastAsia" w:ascii="宋体" w:hAnsi="宋体" w:cs="宋体"/>
                <w:color w:val="auto"/>
                <w:highlight w:val="none"/>
              </w:rPr>
              <w:t xml:space="preserve">联系电话：0771-2189091 </w:t>
            </w:r>
            <w:bookmarkEnd w:id="106"/>
          </w:p>
        </w:tc>
      </w:tr>
      <w:tr w14:paraId="3216B3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6" w:hRule="atLeast"/>
          <w:jc w:val="center"/>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2FB12FF9">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40</w:t>
            </w:r>
          </w:p>
        </w:tc>
        <w:tc>
          <w:tcPr>
            <w:tcW w:w="2268" w:type="dxa"/>
            <w:tcBorders>
              <w:top w:val="single" w:color="auto" w:sz="4" w:space="0"/>
              <w:left w:val="single" w:color="auto" w:sz="4" w:space="0"/>
              <w:bottom w:val="single" w:color="auto" w:sz="4" w:space="0"/>
              <w:right w:val="single" w:color="auto" w:sz="4" w:space="0"/>
            </w:tcBorders>
            <w:vAlign w:val="center"/>
          </w:tcPr>
          <w:p w14:paraId="593C751D">
            <w:pPr>
              <w:shd w:val="clear" w:color="auto" w:fill="FFFFFF" w:themeFill="background1"/>
              <w:spacing w:line="380" w:lineRule="exact"/>
              <w:rPr>
                <w:rFonts w:ascii="宋体" w:hAnsi="宋体" w:cs="宋体"/>
                <w:color w:val="auto"/>
                <w:szCs w:val="21"/>
                <w:highlight w:val="none"/>
              </w:rPr>
            </w:pPr>
            <w:bookmarkStart w:id="109" w:name="_41"/>
            <w:bookmarkEnd w:id="109"/>
            <w:bookmarkStart w:id="110" w:name="_42"/>
            <w:bookmarkEnd w:id="110"/>
            <w:r>
              <w:rPr>
                <w:rFonts w:hint="eastAsia" w:ascii="宋体" w:hAnsi="宋体" w:cs="宋体"/>
                <w:color w:val="auto"/>
                <w:szCs w:val="21"/>
                <w:highlight w:val="none"/>
              </w:rPr>
              <w:t>采购代理服务费支付方式</w:t>
            </w:r>
          </w:p>
        </w:tc>
        <w:tc>
          <w:tcPr>
            <w:tcW w:w="7297" w:type="dxa"/>
            <w:tcBorders>
              <w:top w:val="single" w:color="auto" w:sz="4" w:space="0"/>
              <w:left w:val="single" w:color="auto" w:sz="4" w:space="0"/>
              <w:bottom w:val="single" w:color="auto" w:sz="4" w:space="0"/>
              <w:right w:val="single" w:color="auto" w:sz="4" w:space="0"/>
            </w:tcBorders>
            <w:vAlign w:val="center"/>
          </w:tcPr>
          <w:p w14:paraId="379FFB94">
            <w:pPr>
              <w:pStyle w:val="14"/>
              <w:shd w:val="clear" w:color="auto" w:fill="FFFFFF" w:themeFill="background1"/>
              <w:snapToGrid w:val="0"/>
              <w:spacing w:line="380" w:lineRule="exact"/>
              <w:rPr>
                <w:rFonts w:hAnsi="宋体" w:cs="宋体"/>
                <w:color w:val="auto"/>
                <w:szCs w:val="21"/>
                <w:highlight w:val="none"/>
              </w:rPr>
            </w:pPr>
            <w:r>
              <w:rPr>
                <w:rFonts w:hint="eastAsia" w:hAnsi="宋体" w:cs="宋体"/>
                <w:color w:val="auto"/>
                <w:szCs w:val="21"/>
                <w:highlight w:val="none"/>
              </w:rPr>
              <w:t>☑ 本项目采购代理服务费由</w:t>
            </w:r>
            <w:r>
              <w:rPr>
                <w:rFonts w:hint="eastAsia" w:hAnsi="宋体" w:cs="宋体"/>
                <w:color w:val="auto"/>
                <w:szCs w:val="21"/>
                <w:highlight w:val="none"/>
                <w:u w:val="single"/>
              </w:rPr>
              <w:t>中标人</w:t>
            </w:r>
            <w:r>
              <w:rPr>
                <w:rFonts w:hint="eastAsia" w:hAnsi="宋体" w:cs="宋体"/>
                <w:color w:val="auto"/>
                <w:highlight w:val="none"/>
              </w:rPr>
              <w:t>在签订合同前，以银行转账、电汇等方式一次性向采购代理机构支付</w:t>
            </w:r>
            <w:r>
              <w:rPr>
                <w:rFonts w:hint="eastAsia" w:hAnsi="宋体" w:cs="宋体"/>
                <w:color w:val="auto"/>
                <w:szCs w:val="21"/>
                <w:highlight w:val="none"/>
              </w:rPr>
              <w:t>。</w:t>
            </w:r>
          </w:p>
          <w:p w14:paraId="5F72893A">
            <w:pPr>
              <w:pStyle w:val="14"/>
              <w:shd w:val="clear" w:color="auto" w:fill="FFFFFF" w:themeFill="background1"/>
              <w:snapToGrid w:val="0"/>
              <w:spacing w:line="380" w:lineRule="exact"/>
              <w:rPr>
                <w:rFonts w:hAnsi="宋体" w:cs="宋体"/>
                <w:color w:val="auto"/>
                <w:szCs w:val="21"/>
                <w:highlight w:val="none"/>
              </w:rPr>
            </w:pPr>
            <w:r>
              <w:rPr>
                <w:rFonts w:hint="eastAsia" w:hAnsi="宋体" w:cs="宋体"/>
                <w:color w:val="auto"/>
                <w:szCs w:val="21"/>
                <w:highlight w:val="none"/>
              </w:rPr>
              <w:t>□采购人支付</w:t>
            </w:r>
            <w:r>
              <w:rPr>
                <w:rFonts w:hint="eastAsia" w:hAnsi="宋体" w:cs="宋体"/>
                <w:color w:val="auto"/>
                <w:highlight w:val="none"/>
              </w:rPr>
              <w:t>：</w:t>
            </w:r>
            <w:r>
              <w:rPr>
                <w:rFonts w:hint="eastAsia" w:hAnsi="宋体" w:cs="宋体"/>
                <w:i/>
                <w:iCs/>
                <w:color w:val="auto"/>
                <w:highlight w:val="none"/>
                <w:u w:val="single"/>
              </w:rPr>
              <w:t xml:space="preserve">       </w:t>
            </w:r>
          </w:p>
          <w:p w14:paraId="12E2D682">
            <w:pPr>
              <w:pStyle w:val="14"/>
              <w:shd w:val="clear" w:color="auto" w:fill="FFFFFF" w:themeFill="background1"/>
              <w:snapToGrid w:val="0"/>
              <w:spacing w:line="380" w:lineRule="exact"/>
              <w:rPr>
                <w:rFonts w:hAnsi="宋体" w:cs="宋体"/>
                <w:color w:val="auto"/>
                <w:szCs w:val="21"/>
                <w:highlight w:val="none"/>
              </w:rPr>
            </w:pPr>
            <w:r>
              <w:rPr>
                <w:rFonts w:hint="eastAsia" w:hAnsi="宋体" w:cs="宋体"/>
                <w:color w:val="auto"/>
                <w:szCs w:val="21"/>
                <w:highlight w:val="none"/>
              </w:rPr>
              <w:t>□本项目不收取采购代理服务费。</w:t>
            </w:r>
          </w:p>
        </w:tc>
      </w:tr>
      <w:tr w14:paraId="7A7588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4"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254AC4A2">
            <w:pPr>
              <w:widowControl/>
              <w:shd w:val="clear" w:color="auto" w:fill="FFFFFF" w:themeFill="background1"/>
              <w:spacing w:line="380" w:lineRule="exact"/>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3777F0C2">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采购代理费收取标准</w:t>
            </w:r>
          </w:p>
        </w:tc>
        <w:tc>
          <w:tcPr>
            <w:tcW w:w="7297" w:type="dxa"/>
            <w:tcBorders>
              <w:top w:val="single" w:color="auto" w:sz="4" w:space="0"/>
              <w:left w:val="single" w:color="auto" w:sz="4" w:space="0"/>
              <w:bottom w:val="single" w:color="auto" w:sz="4" w:space="0"/>
              <w:right w:val="single" w:color="auto" w:sz="4" w:space="0"/>
            </w:tcBorders>
            <w:vAlign w:val="center"/>
          </w:tcPr>
          <w:p w14:paraId="32608073">
            <w:pPr>
              <w:shd w:val="clear" w:color="auto" w:fill="FFFFFF" w:themeFill="background1"/>
              <w:snapToGrid w:val="0"/>
              <w:spacing w:line="380" w:lineRule="exact"/>
              <w:rPr>
                <w:rFonts w:ascii="宋体" w:hAnsi="宋体" w:cs="宋体"/>
                <w:color w:val="auto"/>
                <w:szCs w:val="20"/>
                <w:highlight w:val="none"/>
              </w:rPr>
            </w:pPr>
            <w:r>
              <w:rPr>
                <w:rFonts w:hint="eastAsia" w:ascii="宋体" w:hAnsi="宋体" w:cs="宋体"/>
                <w:color w:val="auto"/>
                <w:szCs w:val="20"/>
                <w:highlight w:val="none"/>
              </w:rPr>
              <w:t>☑ 以</w:t>
            </w:r>
            <w:r>
              <w:rPr>
                <w:rFonts w:hint="eastAsia" w:ascii="宋体" w:hAnsi="宋体" w:cs="宋体"/>
                <w:color w:val="auto"/>
                <w:kern w:val="0"/>
                <w:szCs w:val="21"/>
                <w:highlight w:val="none"/>
              </w:rPr>
              <w:t>项目</w:t>
            </w:r>
            <w:r>
              <w:rPr>
                <w:rFonts w:hint="eastAsia" w:ascii="宋体" w:hAnsi="宋体" w:cs="宋体"/>
                <w:color w:val="auto"/>
                <w:szCs w:val="20"/>
                <w:highlight w:val="none"/>
              </w:rPr>
              <w:t>（</w:t>
            </w:r>
            <w:r>
              <w:rPr>
                <w:rFonts w:hint="eastAsia" w:ascii="宋体" w:hAnsi="宋体" w:cs="宋体"/>
                <w:color w:val="auto"/>
                <w:szCs w:val="20"/>
                <w:highlight w:val="none"/>
                <w:lang w:eastAsia="zh-CN"/>
              </w:rPr>
              <w:t>□</w:t>
            </w:r>
            <w:r>
              <w:rPr>
                <w:rFonts w:hint="eastAsia" w:ascii="宋体" w:hAnsi="宋体" w:cs="宋体"/>
                <w:color w:val="auto"/>
                <w:szCs w:val="20"/>
                <w:highlight w:val="none"/>
              </w:rPr>
              <w:t>中标金额/</w:t>
            </w:r>
            <w:r>
              <w:rPr>
                <w:rFonts w:hint="eastAsia" w:ascii="宋体" w:hAnsi="宋体" w:cs="宋体"/>
                <w:color w:val="auto"/>
                <w:szCs w:val="20"/>
                <w:highlight w:val="none"/>
                <w:lang w:eastAsia="zh-CN"/>
              </w:rPr>
              <w:t>☑</w:t>
            </w:r>
            <w:r>
              <w:rPr>
                <w:rFonts w:hint="eastAsia" w:ascii="宋体" w:hAnsi="宋体" w:cs="宋体"/>
                <w:color w:val="auto"/>
                <w:szCs w:val="20"/>
                <w:highlight w:val="none"/>
              </w:rPr>
              <w:t>采购预算/□暂定中标金额/□其他</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）为计费额，按本须知正文第40.2条规定的收费计算标准（服务类）采用差额定率累进法计算出收费基准价格，采购代理收费以（</w:t>
            </w:r>
            <w:r>
              <w:rPr>
                <w:rFonts w:hint="eastAsia" w:ascii="宋体" w:hAnsi="宋体" w:cs="宋体"/>
                <w:color w:val="auto"/>
                <w:szCs w:val="20"/>
                <w:highlight w:val="none"/>
                <w:lang w:eastAsia="zh-CN"/>
              </w:rPr>
              <w:t>□</w:t>
            </w:r>
            <w:r>
              <w:rPr>
                <w:rFonts w:hint="eastAsia" w:ascii="宋体" w:hAnsi="宋体" w:cs="宋体"/>
                <w:color w:val="auto"/>
                <w:szCs w:val="20"/>
                <w:highlight w:val="none"/>
              </w:rPr>
              <w:t>收费基准价格/</w:t>
            </w:r>
            <w:r>
              <w:rPr>
                <w:rFonts w:hint="eastAsia" w:ascii="宋体" w:hAnsi="宋体" w:cs="宋体"/>
                <w:color w:val="auto"/>
                <w:szCs w:val="20"/>
                <w:highlight w:val="none"/>
                <w:lang w:eastAsia="zh-CN"/>
              </w:rPr>
              <w:t>☑</w:t>
            </w:r>
            <w:r>
              <w:rPr>
                <w:rFonts w:hint="eastAsia" w:ascii="宋体" w:hAnsi="宋体" w:cs="宋体"/>
                <w:color w:val="auto"/>
                <w:szCs w:val="20"/>
                <w:highlight w:val="none"/>
              </w:rPr>
              <w:t>收费基准价格下浮</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u w:val="single"/>
                <w:lang w:val="en-US" w:eastAsia="zh-CN"/>
              </w:rPr>
              <w:t>20</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/□收费基准价格上浮</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）收取。</w:t>
            </w:r>
          </w:p>
          <w:p w14:paraId="4200DB0B">
            <w:pPr>
              <w:pStyle w:val="14"/>
              <w:shd w:val="clear" w:color="auto" w:fill="FFFFFF" w:themeFill="background1"/>
              <w:snapToGrid w:val="0"/>
              <w:spacing w:line="380" w:lineRule="exact"/>
              <w:rPr>
                <w:rFonts w:hAnsi="宋体" w:cs="宋体"/>
                <w:color w:val="auto"/>
                <w:szCs w:val="21"/>
                <w:highlight w:val="none"/>
                <w:u w:val="single"/>
              </w:rPr>
            </w:pPr>
            <w:r>
              <w:rPr>
                <w:rFonts w:hint="eastAsia" w:hAnsi="宋体" w:cs="宋体"/>
                <w:color w:val="auto"/>
                <w:highlight w:val="none"/>
              </w:rPr>
              <w:t>□固定采购代理收费：</w:t>
            </w:r>
            <w:r>
              <w:rPr>
                <w:rFonts w:hint="eastAsia" w:hAnsi="宋体" w:cs="宋体"/>
                <w:color w:val="auto"/>
                <w:highlight w:val="none"/>
                <w:u w:val="single"/>
              </w:rPr>
              <w:t xml:space="preserve">           。</w:t>
            </w:r>
          </w:p>
        </w:tc>
      </w:tr>
      <w:tr w14:paraId="71EA18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9"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14D757D7">
            <w:pPr>
              <w:widowControl/>
              <w:shd w:val="clear" w:color="auto" w:fill="FFFFFF" w:themeFill="background1"/>
              <w:spacing w:line="380" w:lineRule="exact"/>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384BD954">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采购代理服务费收款账户信息</w:t>
            </w:r>
          </w:p>
        </w:tc>
        <w:tc>
          <w:tcPr>
            <w:tcW w:w="7297" w:type="dxa"/>
            <w:tcBorders>
              <w:top w:val="single" w:color="auto" w:sz="4" w:space="0"/>
              <w:left w:val="single" w:color="auto" w:sz="4" w:space="0"/>
              <w:bottom w:val="single" w:color="auto" w:sz="4" w:space="0"/>
              <w:right w:val="single" w:color="auto" w:sz="4" w:space="0"/>
            </w:tcBorders>
            <w:vAlign w:val="center"/>
          </w:tcPr>
          <w:p w14:paraId="11A76744">
            <w:pPr>
              <w:pStyle w:val="14"/>
              <w:shd w:val="clear" w:color="auto" w:fill="FFFFFF" w:themeFill="background1"/>
              <w:snapToGrid w:val="0"/>
              <w:spacing w:line="380" w:lineRule="exact"/>
              <w:rPr>
                <w:rFonts w:hAnsi="宋体" w:cs="宋体"/>
                <w:color w:val="auto"/>
                <w:szCs w:val="21"/>
                <w:highlight w:val="none"/>
              </w:rPr>
            </w:pPr>
            <w:r>
              <w:rPr>
                <w:rFonts w:hint="eastAsia" w:hAnsi="宋体" w:cs="宋体"/>
                <w:color w:val="auto"/>
                <w:szCs w:val="21"/>
                <w:highlight w:val="none"/>
              </w:rPr>
              <w:t>开户名称：广西科联招标中心有限公司</w:t>
            </w:r>
          </w:p>
          <w:p w14:paraId="3E534F1E">
            <w:pPr>
              <w:pStyle w:val="14"/>
              <w:shd w:val="clear" w:color="auto" w:fill="FFFFFF" w:themeFill="background1"/>
              <w:snapToGrid w:val="0"/>
              <w:spacing w:line="380" w:lineRule="exact"/>
              <w:rPr>
                <w:rFonts w:hAnsi="宋体" w:cs="宋体"/>
                <w:color w:val="auto"/>
                <w:szCs w:val="21"/>
                <w:highlight w:val="none"/>
              </w:rPr>
            </w:pPr>
            <w:r>
              <w:rPr>
                <w:rFonts w:hint="eastAsia" w:hAnsi="宋体" w:cs="宋体"/>
                <w:color w:val="auto"/>
                <w:szCs w:val="21"/>
                <w:highlight w:val="none"/>
              </w:rPr>
              <w:t>开户银行：中国工商银行南宁市高新科技支行</w:t>
            </w:r>
          </w:p>
          <w:p w14:paraId="74FF33A1">
            <w:pPr>
              <w:pStyle w:val="14"/>
              <w:shd w:val="clear" w:color="auto" w:fill="FFFFFF" w:themeFill="background1"/>
              <w:snapToGrid w:val="0"/>
              <w:spacing w:line="380" w:lineRule="exact"/>
              <w:rPr>
                <w:rFonts w:hAnsi="宋体" w:cs="宋体"/>
                <w:color w:val="auto"/>
                <w:szCs w:val="21"/>
                <w:highlight w:val="none"/>
              </w:rPr>
            </w:pPr>
            <w:r>
              <w:rPr>
                <w:rFonts w:hint="eastAsia" w:hAnsi="宋体" w:cs="宋体"/>
                <w:color w:val="auto"/>
                <w:szCs w:val="21"/>
                <w:highlight w:val="none"/>
              </w:rPr>
              <w:t>银行账号：2102111229300032105</w:t>
            </w:r>
          </w:p>
          <w:p w14:paraId="003D3E14">
            <w:pPr>
              <w:pStyle w:val="14"/>
              <w:shd w:val="clear" w:color="auto" w:fill="FFFFFF" w:themeFill="background1"/>
              <w:snapToGrid w:val="0"/>
              <w:spacing w:line="380" w:lineRule="exact"/>
              <w:rPr>
                <w:rFonts w:hAnsi="宋体" w:cs="宋体"/>
                <w:color w:val="auto"/>
                <w:szCs w:val="21"/>
                <w:highlight w:val="none"/>
              </w:rPr>
            </w:pPr>
            <w:r>
              <w:rPr>
                <w:rFonts w:hint="eastAsia" w:hAnsi="宋体" w:cs="宋体"/>
                <w:color w:val="auto"/>
                <w:szCs w:val="21"/>
                <w:highlight w:val="none"/>
              </w:rPr>
              <w:t>开户行行号：10261101110</w:t>
            </w:r>
          </w:p>
        </w:tc>
      </w:tr>
      <w:tr w14:paraId="7BFA80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4098D477">
            <w:pPr>
              <w:shd w:val="clear" w:color="auto" w:fill="FFFFFF" w:themeFill="background1"/>
              <w:snapToGrid w:val="0"/>
              <w:spacing w:line="380" w:lineRule="exact"/>
              <w:jc w:val="center"/>
              <w:rPr>
                <w:rFonts w:ascii="宋体" w:hAnsi="宋体" w:cs="宋体"/>
                <w:color w:val="auto"/>
                <w:szCs w:val="21"/>
                <w:highlight w:val="none"/>
              </w:rPr>
            </w:pPr>
            <w:r>
              <w:rPr>
                <w:rFonts w:hint="eastAsia" w:ascii="宋体" w:hAnsi="宋体" w:cs="宋体"/>
                <w:color w:val="auto"/>
                <w:szCs w:val="21"/>
                <w:highlight w:val="none"/>
              </w:rPr>
              <w:t>41.1</w:t>
            </w:r>
          </w:p>
        </w:tc>
        <w:tc>
          <w:tcPr>
            <w:tcW w:w="2268" w:type="dxa"/>
            <w:tcBorders>
              <w:top w:val="single" w:color="auto" w:sz="4" w:space="0"/>
              <w:left w:val="single" w:color="auto" w:sz="4" w:space="0"/>
              <w:bottom w:val="single" w:color="auto" w:sz="4" w:space="0"/>
              <w:right w:val="single" w:color="auto" w:sz="4" w:space="0"/>
            </w:tcBorders>
            <w:vAlign w:val="center"/>
          </w:tcPr>
          <w:p w14:paraId="3341A8EC">
            <w:pPr>
              <w:shd w:val="clear" w:color="auto" w:fill="FFFFFF" w:themeFill="background1"/>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解释</w:t>
            </w:r>
          </w:p>
        </w:tc>
        <w:tc>
          <w:tcPr>
            <w:tcW w:w="7297" w:type="dxa"/>
            <w:tcBorders>
              <w:top w:val="single" w:color="auto" w:sz="4" w:space="0"/>
              <w:left w:val="single" w:color="auto" w:sz="4" w:space="0"/>
              <w:bottom w:val="single" w:color="auto" w:sz="4" w:space="0"/>
              <w:right w:val="single" w:color="auto" w:sz="4" w:space="0"/>
            </w:tcBorders>
            <w:vAlign w:val="center"/>
          </w:tcPr>
          <w:p w14:paraId="18B486C7">
            <w:pPr>
              <w:shd w:val="clear" w:color="auto" w:fill="FFFFFF" w:themeFill="background1"/>
              <w:snapToGrid w:val="0"/>
              <w:spacing w:line="380" w:lineRule="exact"/>
              <w:rPr>
                <w:rFonts w:ascii="宋体" w:hAnsi="宋体" w:cs="宋体"/>
                <w:b/>
                <w:color w:val="auto"/>
                <w:szCs w:val="21"/>
                <w:highlight w:val="none"/>
              </w:rPr>
            </w:pPr>
            <w:r>
              <w:rPr>
                <w:rFonts w:hint="eastAsia" w:ascii="宋体" w:hAnsi="宋体" w:cs="宋体"/>
                <w:b/>
                <w:color w:val="auto"/>
                <w:szCs w:val="21"/>
                <w:highlight w:val="none"/>
              </w:rPr>
              <w:t>解释：</w:t>
            </w:r>
            <w:r>
              <w:rPr>
                <w:rFonts w:hint="eastAsia" w:ascii="宋体" w:hAnsi="宋体" w:cs="宋体"/>
                <w:color w:val="auto"/>
                <w:szCs w:val="21"/>
                <w:highlight w:val="none"/>
              </w:rPr>
              <w:t>构成本招标文件的各个组成文件应互为解释，互为说明；除招标文件中有特别规定外，仅适用于招标投标阶段的规定，按更正公告（澄清公告）、招标公告、采购需求、投标人须知、评标方法和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cs="宋体"/>
                <w:b/>
                <w:color w:val="auto"/>
                <w:szCs w:val="21"/>
                <w:highlight w:val="none"/>
              </w:rPr>
              <w:t>，由采购人或者采购代理机构负责解释。</w:t>
            </w:r>
          </w:p>
          <w:p w14:paraId="50289FF4">
            <w:pPr>
              <w:shd w:val="clear" w:color="auto" w:fill="FFFFFF" w:themeFill="background1"/>
              <w:snapToGrid w:val="0"/>
              <w:spacing w:line="380" w:lineRule="exact"/>
              <w:rPr>
                <w:rFonts w:ascii="宋体" w:hAnsi="宋体" w:cs="宋体"/>
                <w:b/>
                <w:color w:val="auto"/>
                <w:szCs w:val="21"/>
                <w:highlight w:val="none"/>
              </w:rPr>
            </w:pPr>
            <w:r>
              <w:rPr>
                <w:rFonts w:hint="eastAsia" w:ascii="宋体" w:hAnsi="宋体" w:cs="宋体"/>
                <w:b/>
                <w:color w:val="auto"/>
                <w:szCs w:val="21"/>
                <w:highlight w:val="none"/>
              </w:rPr>
              <w:t>法律责任：</w:t>
            </w:r>
          </w:p>
          <w:p w14:paraId="226E7002">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本采购文件根据《中华人民共和国政府采购法》、《中华人民共和国民法典》、《中华人民共和国政府采购法实施条例》、《政府采购货物和服务招标投标管理办法》等有关法律、法规编制，参与本项目的各政府采购当事人依法享有上述法律法规所赋予的权利与义务。</w:t>
            </w:r>
          </w:p>
        </w:tc>
      </w:tr>
      <w:tr w14:paraId="559D8B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3AAA0D39">
            <w:pPr>
              <w:shd w:val="clear" w:color="auto" w:fill="FFFFFF" w:themeFill="background1"/>
              <w:snapToGrid w:val="0"/>
              <w:spacing w:line="380" w:lineRule="exact"/>
              <w:jc w:val="center"/>
              <w:rPr>
                <w:rFonts w:ascii="宋体" w:hAnsi="宋体" w:cs="宋体"/>
                <w:color w:val="auto"/>
                <w:szCs w:val="21"/>
                <w:highlight w:val="none"/>
              </w:rPr>
            </w:pPr>
            <w:r>
              <w:rPr>
                <w:rFonts w:hint="eastAsia" w:ascii="宋体" w:hAnsi="宋体" w:cs="宋体"/>
                <w:color w:val="auto"/>
                <w:szCs w:val="21"/>
                <w:highlight w:val="none"/>
              </w:rPr>
              <w:t>41.2</w:t>
            </w:r>
          </w:p>
        </w:tc>
        <w:tc>
          <w:tcPr>
            <w:tcW w:w="2268" w:type="dxa"/>
            <w:tcBorders>
              <w:top w:val="single" w:color="auto" w:sz="4" w:space="0"/>
              <w:left w:val="single" w:color="auto" w:sz="4" w:space="0"/>
              <w:bottom w:val="single" w:color="auto" w:sz="4" w:space="0"/>
              <w:right w:val="single" w:color="auto" w:sz="4" w:space="0"/>
            </w:tcBorders>
            <w:vAlign w:val="center"/>
          </w:tcPr>
          <w:p w14:paraId="48CECDB3">
            <w:pPr>
              <w:shd w:val="clear" w:color="auto" w:fill="FFFFFF" w:themeFill="background1"/>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其他释义</w:t>
            </w:r>
          </w:p>
        </w:tc>
        <w:tc>
          <w:tcPr>
            <w:tcW w:w="7297" w:type="dxa"/>
            <w:tcBorders>
              <w:top w:val="single" w:color="auto" w:sz="4" w:space="0"/>
              <w:left w:val="single" w:color="auto" w:sz="4" w:space="0"/>
              <w:bottom w:val="single" w:color="auto" w:sz="4" w:space="0"/>
              <w:right w:val="single" w:color="auto" w:sz="4" w:space="0"/>
            </w:tcBorders>
            <w:vAlign w:val="center"/>
          </w:tcPr>
          <w:p w14:paraId="2C9A9A4A">
            <w:pPr>
              <w:pStyle w:val="10"/>
              <w:shd w:val="clear" w:color="auto" w:fill="FFFFFF" w:themeFill="background1"/>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本招标文件中描述投标人的“公章”是指根据我国对公章的管理规定，用投标人法定主体行为名称制作的实物印章或投标人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14:paraId="4061A346">
            <w:pPr>
              <w:pStyle w:val="10"/>
              <w:shd w:val="clear" w:color="auto" w:fill="FFFFFF" w:themeFill="background1"/>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2、本招标文件中描述投标人的“签字”是指投标人通过指定电子化政府采购平台办理数字证书（CA认证）获得的以投标人法定代表人或者委托代理人姓名制作的电子印章或手写签字。</w:t>
            </w:r>
          </w:p>
          <w:p w14:paraId="0A2D90F8">
            <w:pPr>
              <w:pStyle w:val="10"/>
              <w:shd w:val="clear" w:color="auto" w:fill="FFFFFF" w:themeFill="background1"/>
              <w:tabs>
                <w:tab w:val="center" w:pos="4153"/>
                <w:tab w:val="right" w:pos="8306"/>
              </w:tabs>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本招标文件所称的“电子签章”“电子签名”，是指经广西政府采购云平台认可的CA认证的电子签名数据为表现形式的印章，可用于签署电子投标文件，电子印章与实物印章具有同等法律效力，不因其采用电子化表现形式而否定其法律效力。</w:t>
            </w:r>
          </w:p>
          <w:p w14:paraId="353C09B9">
            <w:pPr>
              <w:pStyle w:val="10"/>
              <w:shd w:val="clear" w:color="auto" w:fill="FFFFFF" w:themeFill="background1"/>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06AA259B">
            <w:pPr>
              <w:pStyle w:val="10"/>
              <w:shd w:val="clear" w:color="auto" w:fill="FFFFFF" w:themeFill="background1"/>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5、自然人投标的，招标文件规定盖公章处由自然人摁手指指印。</w:t>
            </w:r>
          </w:p>
          <w:p w14:paraId="26DDA2AE">
            <w:pPr>
              <w:shd w:val="clear" w:color="auto" w:fill="FFFFFF" w:themeFill="background1"/>
              <w:spacing w:line="380" w:lineRule="exact"/>
              <w:jc w:val="left"/>
              <w:rPr>
                <w:rFonts w:ascii="宋体" w:hAnsi="宋体" w:cs="宋体"/>
                <w:color w:val="auto"/>
                <w:szCs w:val="21"/>
                <w:highlight w:val="none"/>
              </w:rPr>
            </w:pPr>
            <w:r>
              <w:rPr>
                <w:rFonts w:hint="eastAsia" w:ascii="宋体" w:hAnsi="宋体" w:cs="宋体"/>
                <w:color w:val="auto"/>
                <w:szCs w:val="21"/>
                <w:highlight w:val="none"/>
              </w:rPr>
              <w:t xml:space="preserve">    6、本招标文件所称的“以上”“以下”“以内”“届满”，包括本数；所称的“不满”“超过”“以外”，不包括本数。</w:t>
            </w:r>
          </w:p>
        </w:tc>
      </w:tr>
    </w:tbl>
    <w:p w14:paraId="04530D36">
      <w:pPr>
        <w:widowControl/>
        <w:shd w:val="clear" w:color="auto" w:fill="FFFFFF" w:themeFill="background1"/>
        <w:spacing w:line="412" w:lineRule="auto"/>
        <w:jc w:val="left"/>
        <w:rPr>
          <w:rFonts w:ascii="宋体" w:hAnsi="宋体" w:cs="宋体"/>
          <w:b/>
          <w:bCs/>
          <w:color w:val="auto"/>
          <w:sz w:val="32"/>
          <w:szCs w:val="32"/>
          <w:highlight w:val="none"/>
        </w:rPr>
        <w:sectPr>
          <w:footerReference r:id="rId6" w:type="first"/>
          <w:footerReference r:id="rId5" w:type="default"/>
          <w:pgSz w:w="11905" w:h="16838"/>
          <w:pgMar w:top="1134" w:right="1134" w:bottom="1134" w:left="1134" w:header="850" w:footer="850" w:gutter="0"/>
          <w:pgNumType w:fmt="decimal"/>
          <w:cols w:space="0" w:num="1"/>
          <w:docGrid w:linePitch="331" w:charSpace="0"/>
        </w:sectPr>
      </w:pPr>
    </w:p>
    <w:p w14:paraId="523A613C">
      <w:pPr>
        <w:pStyle w:val="4"/>
        <w:shd w:val="clear" w:color="auto" w:fill="FFFFFF" w:themeFill="background1"/>
        <w:jc w:val="center"/>
        <w:rPr>
          <w:rFonts w:ascii="宋体" w:hAnsi="宋体" w:eastAsia="宋体" w:cs="宋体"/>
          <w:color w:val="auto"/>
          <w:highlight w:val="none"/>
        </w:rPr>
      </w:pPr>
      <w:bookmarkStart w:id="111" w:name="_Toc453"/>
      <w:bookmarkStart w:id="112" w:name="_Toc24313"/>
      <w:bookmarkStart w:id="113" w:name="_Toc11336"/>
      <w:bookmarkStart w:id="114" w:name="_Toc29311"/>
      <w:bookmarkStart w:id="115" w:name="_Toc7784"/>
      <w:bookmarkStart w:id="116" w:name="_Toc30841"/>
      <w:bookmarkStart w:id="117" w:name="_Toc8807"/>
      <w:bookmarkStart w:id="118" w:name="_Toc13813"/>
      <w:bookmarkStart w:id="119" w:name="_Toc25117"/>
      <w:bookmarkStart w:id="120" w:name="_Toc1030"/>
      <w:r>
        <w:rPr>
          <w:rFonts w:hint="eastAsia" w:ascii="宋体" w:hAnsi="宋体" w:eastAsia="宋体" w:cs="宋体"/>
          <w:color w:val="auto"/>
          <w:highlight w:val="none"/>
        </w:rPr>
        <w:t>第二节 投标人须知正文</w:t>
      </w:r>
      <w:bookmarkEnd w:id="111"/>
      <w:bookmarkEnd w:id="112"/>
      <w:bookmarkEnd w:id="113"/>
      <w:bookmarkEnd w:id="114"/>
      <w:bookmarkEnd w:id="115"/>
      <w:bookmarkEnd w:id="116"/>
      <w:bookmarkEnd w:id="117"/>
      <w:bookmarkEnd w:id="118"/>
      <w:bookmarkEnd w:id="119"/>
      <w:bookmarkEnd w:id="120"/>
    </w:p>
    <w:p w14:paraId="1C62B152">
      <w:pPr>
        <w:pStyle w:val="5"/>
        <w:keepNext w:val="0"/>
        <w:keepLines w:val="0"/>
        <w:shd w:val="clear" w:color="auto" w:fill="FFFFFF" w:themeFill="background1"/>
        <w:spacing w:line="400" w:lineRule="exact"/>
        <w:jc w:val="center"/>
        <w:rPr>
          <w:rFonts w:ascii="宋体" w:hAnsi="宋体" w:cs="宋体"/>
          <w:color w:val="auto"/>
          <w:highlight w:val="none"/>
        </w:rPr>
      </w:pPr>
      <w:bookmarkStart w:id="121" w:name="_Toc30794"/>
      <w:bookmarkStart w:id="122" w:name="_Toc3522"/>
      <w:bookmarkStart w:id="123" w:name="_Toc3607"/>
      <w:bookmarkStart w:id="124" w:name="_Toc18594"/>
      <w:bookmarkStart w:id="125" w:name="_Toc19454"/>
      <w:bookmarkStart w:id="126" w:name="_Toc22266"/>
      <w:bookmarkStart w:id="127" w:name="_Toc21176"/>
      <w:bookmarkStart w:id="128" w:name="_Toc15523"/>
      <w:bookmarkStart w:id="129" w:name="_Toc6594"/>
      <w:bookmarkStart w:id="130" w:name="_Toc28360"/>
      <w:r>
        <w:rPr>
          <w:rFonts w:hint="eastAsia" w:ascii="宋体" w:hAnsi="宋体" w:cs="宋体"/>
          <w:color w:val="auto"/>
          <w:highlight w:val="none"/>
        </w:rPr>
        <w:t>一、总  则</w:t>
      </w:r>
      <w:bookmarkEnd w:id="121"/>
      <w:bookmarkEnd w:id="122"/>
      <w:bookmarkEnd w:id="123"/>
      <w:bookmarkEnd w:id="124"/>
      <w:bookmarkEnd w:id="125"/>
      <w:bookmarkEnd w:id="126"/>
      <w:bookmarkEnd w:id="127"/>
      <w:bookmarkEnd w:id="128"/>
      <w:bookmarkEnd w:id="129"/>
      <w:bookmarkEnd w:id="130"/>
    </w:p>
    <w:p w14:paraId="2481D6CA">
      <w:pPr>
        <w:shd w:val="clear" w:color="auto" w:fill="FFFFFF" w:themeFill="background1"/>
        <w:spacing w:line="360" w:lineRule="auto"/>
        <w:ind w:firstLine="480" w:firstLineChars="200"/>
        <w:rPr>
          <w:rFonts w:ascii="宋体" w:hAnsi="宋体" w:cs="宋体"/>
          <w:color w:val="auto"/>
          <w:sz w:val="24"/>
          <w:highlight w:val="none"/>
        </w:rPr>
      </w:pPr>
      <w:bookmarkStart w:id="131" w:name="_Toc254970668"/>
      <w:bookmarkStart w:id="132" w:name="_Toc254970527"/>
      <w:r>
        <w:rPr>
          <w:rFonts w:hint="eastAsia" w:ascii="宋体" w:hAnsi="宋体" w:cs="宋体"/>
          <w:color w:val="auto"/>
          <w:sz w:val="24"/>
          <w:highlight w:val="none"/>
        </w:rPr>
        <w:t>1.适用范围</w:t>
      </w:r>
      <w:bookmarkEnd w:id="131"/>
      <w:bookmarkEnd w:id="132"/>
    </w:p>
    <w:p w14:paraId="7245B8A2">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22B1FAD7">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14:paraId="545F735D">
      <w:pPr>
        <w:shd w:val="clear" w:color="auto" w:fill="FFFFFF" w:themeFill="background1"/>
        <w:spacing w:line="360" w:lineRule="auto"/>
        <w:ind w:firstLine="480" w:firstLineChars="200"/>
        <w:rPr>
          <w:rFonts w:ascii="宋体" w:hAnsi="宋体" w:cs="宋体"/>
          <w:color w:val="auto"/>
          <w:sz w:val="24"/>
          <w:highlight w:val="none"/>
        </w:rPr>
      </w:pPr>
      <w:bookmarkStart w:id="133" w:name="_Toc254970669"/>
      <w:bookmarkStart w:id="134" w:name="_Toc254970528"/>
      <w:r>
        <w:rPr>
          <w:rFonts w:hint="eastAsia" w:ascii="宋体" w:hAnsi="宋体" w:cs="宋体"/>
          <w:color w:val="auto"/>
          <w:sz w:val="24"/>
          <w:highlight w:val="none"/>
        </w:rPr>
        <w:t>2.定义</w:t>
      </w:r>
      <w:bookmarkEnd w:id="133"/>
      <w:bookmarkEnd w:id="134"/>
    </w:p>
    <w:p w14:paraId="6C70C6E6">
      <w:pPr>
        <w:shd w:val="clear" w:color="auto" w:fill="FFFFFF" w:themeFill="background1"/>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2.1“采购人”是指依法进行政府采购的国家机关、事业单位、团体组织。</w:t>
      </w:r>
    </w:p>
    <w:p w14:paraId="2F9C45DA">
      <w:pPr>
        <w:shd w:val="clear" w:color="auto" w:fill="FFFFFF" w:themeFill="background1"/>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2.2“采购代理机构” 指政府采购集中采购机构和集中采购机构以外的采购代理机构。</w:t>
      </w:r>
    </w:p>
    <w:p w14:paraId="25106E1E">
      <w:pPr>
        <w:shd w:val="clear" w:color="auto" w:fill="FFFFFF" w:themeFill="background1"/>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2.3“供应商”是指向采购人提供货物、工程或者服务的法人、其他组织或者自然人。</w:t>
      </w:r>
    </w:p>
    <w:p w14:paraId="02B6F366">
      <w:pPr>
        <w:shd w:val="clear" w:color="auto" w:fill="FFFFFF" w:themeFill="background1"/>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2.4“投标人”是指响应招标、参加投标竞争的法人、非法人组织或者自然人。</w:t>
      </w:r>
    </w:p>
    <w:p w14:paraId="45E4D71A">
      <w:pPr>
        <w:shd w:val="clear" w:color="auto" w:fill="FFFFFF" w:themeFill="background1"/>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2.5“服务”是指除货物和工程以外的其他政府采购对象。</w:t>
      </w:r>
    </w:p>
    <w:p w14:paraId="5A2BE6D3">
      <w:pPr>
        <w:shd w:val="clear" w:color="auto" w:fill="FFFFFF" w:themeFill="background1"/>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2.6“书面形式”是指合同书、信件和数据电文（包括电报、电传、传真、短信、电子数据交换和电子邮件）等可以有形地表现所载内容的形式。</w:t>
      </w:r>
    </w:p>
    <w:p w14:paraId="6004E9E3">
      <w:pPr>
        <w:shd w:val="clear" w:color="auto" w:fill="FFFFFF" w:themeFill="background1"/>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2.7“实质性要求”是指招标文件中已经指明不满足则投标无效的条款，或者不能负偏离的条款，或者采购需求中带“</w:t>
      </w:r>
      <w:r>
        <w:rPr>
          <w:rFonts w:hint="eastAsia" w:ascii="宋体" w:hAnsi="宋体" w:cs="宋体"/>
          <w:b/>
          <w:bCs/>
          <w:color w:val="auto"/>
          <w:szCs w:val="21"/>
          <w:highlight w:val="none"/>
        </w:rPr>
        <w:t>▲</w:t>
      </w:r>
      <w:r>
        <w:rPr>
          <w:rFonts w:hint="eastAsia" w:ascii="宋体" w:hAnsi="宋体" w:cs="宋体"/>
          <w:b/>
          <w:color w:val="auto"/>
          <w:szCs w:val="21"/>
          <w:highlight w:val="none"/>
        </w:rPr>
        <w:t>”的条款。</w:t>
      </w:r>
    </w:p>
    <w:p w14:paraId="4C161231">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2.8“正偏离”，是指投标文件对招标文件“采购需求”中有关条款作出的响应优于条款要求并有利于采购人的情形。</w:t>
      </w:r>
    </w:p>
    <w:p w14:paraId="1EEE849B">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2.9“负偏离”，是指投标文件对招标文件“采购需求”中有关条款作出的响应不满足条款要求，导致采购人要求不能得到满足的情形。</w:t>
      </w:r>
    </w:p>
    <w:p w14:paraId="383F88F9">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bookmarkStart w:id="135" w:name="_Toc254970529"/>
      <w:bookmarkStart w:id="136" w:name="_Toc254970670"/>
    </w:p>
    <w:p w14:paraId="31AF6E0B">
      <w:pPr>
        <w:shd w:val="clear" w:color="auto" w:fill="FFFFFF" w:themeFill="background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bookmarkEnd w:id="135"/>
      <w:bookmarkEnd w:id="136"/>
      <w:r>
        <w:rPr>
          <w:rFonts w:hint="eastAsia" w:ascii="宋体" w:hAnsi="宋体" w:cs="宋体"/>
          <w:color w:val="auto"/>
          <w:sz w:val="24"/>
          <w:highlight w:val="none"/>
        </w:rPr>
        <w:t>投标人的资格要求</w:t>
      </w:r>
    </w:p>
    <w:p w14:paraId="5826FFDF">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投标人的资格要求详见“招标公告”。</w:t>
      </w:r>
    </w:p>
    <w:p w14:paraId="4F490269">
      <w:pPr>
        <w:shd w:val="clear" w:color="auto" w:fill="FFFFFF" w:themeFill="background1"/>
        <w:spacing w:line="360" w:lineRule="auto"/>
        <w:ind w:firstLine="480" w:firstLineChars="200"/>
        <w:rPr>
          <w:rFonts w:ascii="宋体" w:hAnsi="宋体" w:cs="宋体"/>
          <w:color w:val="auto"/>
          <w:sz w:val="24"/>
          <w:highlight w:val="none"/>
        </w:rPr>
      </w:pPr>
      <w:bookmarkStart w:id="137" w:name="_Toc254970530"/>
      <w:bookmarkStart w:id="138" w:name="_Toc254970671"/>
      <w:r>
        <w:rPr>
          <w:rFonts w:hint="eastAsia" w:ascii="宋体" w:hAnsi="宋体" w:cs="宋体"/>
          <w:color w:val="auto"/>
          <w:sz w:val="24"/>
          <w:highlight w:val="none"/>
        </w:rPr>
        <w:t>4.投标委托</w:t>
      </w:r>
      <w:bookmarkEnd w:id="137"/>
      <w:bookmarkEnd w:id="138"/>
    </w:p>
    <w:p w14:paraId="04C86DDA">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投标人代表参加投标活动过程中必须携带个人有效身份证件。如投标人代表不是法定代表人，须持有法定代表人授权委托书（按第六章要求格式填写）。</w:t>
      </w:r>
    </w:p>
    <w:p w14:paraId="670AF8D1">
      <w:pPr>
        <w:shd w:val="clear" w:color="auto" w:fill="FFFFFF" w:themeFill="background1"/>
        <w:spacing w:line="360" w:lineRule="auto"/>
        <w:ind w:firstLine="480" w:firstLineChars="200"/>
        <w:rPr>
          <w:rFonts w:ascii="宋体" w:hAnsi="宋体" w:cs="宋体"/>
          <w:color w:val="auto"/>
          <w:sz w:val="24"/>
          <w:highlight w:val="none"/>
        </w:rPr>
      </w:pPr>
      <w:bookmarkStart w:id="139" w:name="_5.投标费用"/>
      <w:bookmarkEnd w:id="139"/>
      <w:bookmarkStart w:id="140" w:name="_Toc254970531"/>
      <w:bookmarkStart w:id="141" w:name="_Toc254970672"/>
      <w:r>
        <w:rPr>
          <w:rFonts w:hint="eastAsia" w:ascii="宋体" w:hAnsi="宋体" w:cs="宋体"/>
          <w:color w:val="auto"/>
          <w:sz w:val="24"/>
          <w:highlight w:val="none"/>
        </w:rPr>
        <w:t>5.投标费用</w:t>
      </w:r>
      <w:bookmarkEnd w:id="140"/>
      <w:bookmarkEnd w:id="141"/>
    </w:p>
    <w:p w14:paraId="016EF206">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投标费用：投标人应承担参与本次采购活动有关的所有费用，包括但不限于勘查现场、编制投标文件、参加澄清说明、签订合同等，不论投标结果如何，均应自行承担。</w:t>
      </w:r>
    </w:p>
    <w:p w14:paraId="469137E7">
      <w:pPr>
        <w:shd w:val="clear" w:color="auto" w:fill="FFFFFF" w:themeFill="background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6.联合体投标</w:t>
      </w:r>
    </w:p>
    <w:p w14:paraId="6DF922E5">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6.1本项目是否接受联合体投标，详见“投标人须知前附表”。</w:t>
      </w:r>
    </w:p>
    <w:p w14:paraId="312D3E8D">
      <w:pPr>
        <w:shd w:val="clear" w:color="auto" w:fill="FFFFFF" w:themeFill="background1"/>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6.2如接受联合体投标，联合体投标要求详见“投标人须知前附表”。</w:t>
      </w:r>
    </w:p>
    <w:p w14:paraId="1DDB4EDE">
      <w:pPr>
        <w:shd w:val="clear" w:color="auto" w:fill="FFFFFF" w:themeFill="background1"/>
        <w:spacing w:line="360" w:lineRule="auto"/>
        <w:ind w:firstLine="420" w:firstLineChars="200"/>
        <w:rPr>
          <w:rFonts w:ascii="宋体" w:hAnsi="宋体" w:cs="宋体"/>
          <w:bCs/>
          <w:color w:val="auto"/>
          <w:sz w:val="24"/>
          <w:szCs w:val="21"/>
          <w:highlight w:val="none"/>
          <w:shd w:val="clear" w:color="auto" w:fill="FFFFFF"/>
        </w:rPr>
      </w:pPr>
      <w:r>
        <w:rPr>
          <w:rFonts w:hint="eastAsia" w:ascii="宋体" w:hAnsi="宋体" w:cs="宋体"/>
          <w:bCs/>
          <w:color w:val="auto"/>
          <w:szCs w:val="21"/>
          <w:highlight w:val="none"/>
        </w:rPr>
        <w:t>6.3根据《政府采购促进中小企业发展管理办法》（财库[2020]46号）第九条、</w:t>
      </w:r>
      <w:r>
        <w:rPr>
          <w:rFonts w:hint="eastAsia" w:ascii="宋体" w:hAnsi="宋体" w:cs="宋体"/>
          <w:color w:val="auto"/>
          <w:highlight w:val="none"/>
        </w:rPr>
        <w:t>《广西壮族自治区财政厅关于贯彻落实政府采购支持中小企业发展政策的通知》（桂财采〔2022〕31号）</w:t>
      </w:r>
      <w:r>
        <w:rPr>
          <w:rFonts w:hint="eastAsia" w:ascii="宋体" w:hAnsi="宋体" w:cs="宋体"/>
          <w:bCs/>
          <w:color w:val="auto"/>
          <w:szCs w:val="21"/>
          <w:highlight w:val="none"/>
        </w:rPr>
        <w:t>规定，接受大中型企业与小微企业组成联合体的采购项目，对于联合协议约定小微企业的合同份额占到合同总金额30%以上的，采购人、采购代理机构应当对联合体的报价给予4%-6%的扣除，用扣除后的价格参加评审。组成联合体的小微企业与联合体内其他企业、分包企业之间存在直接控股、管理关系的，不享受价格扣除优惠政策。</w:t>
      </w:r>
    </w:p>
    <w:p w14:paraId="620EA4F7">
      <w:pPr>
        <w:shd w:val="clear" w:color="auto" w:fill="FFFFFF" w:themeFill="background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7.转包与分包             </w:t>
      </w:r>
    </w:p>
    <w:p w14:paraId="0EC5AF99">
      <w:pPr>
        <w:shd w:val="clear" w:color="auto" w:fill="FFFFFF" w:themeFill="background1"/>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7.1 本项目不允许转包。</w:t>
      </w:r>
    </w:p>
    <w:p w14:paraId="1CA5B3C9">
      <w:pPr>
        <w:shd w:val="clear" w:color="auto" w:fill="FFFFFF" w:themeFill="background1"/>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7.2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436C2C4A">
      <w:pPr>
        <w:shd w:val="clear" w:color="auto" w:fill="FFFFFF" w:themeFill="background1"/>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7.3</w:t>
      </w:r>
      <w:r>
        <w:rPr>
          <w:rFonts w:ascii="宋体" w:hAnsi="宋体"/>
          <w:color w:val="auto"/>
          <w:szCs w:val="21"/>
          <w:highlight w:val="none"/>
        </w:rPr>
        <w:t>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根据《政府采购促进中小企业发展管理办法》（财库[2020]46号）第九条</w:t>
      </w:r>
      <w:r>
        <w:rPr>
          <w:rFonts w:hint="eastAsia" w:ascii="宋体" w:hAnsi="宋体"/>
          <w:color w:val="auto"/>
          <w:szCs w:val="21"/>
          <w:highlight w:val="none"/>
        </w:rPr>
        <w:t>及《广西壮族自治区财政厅关于进一步发挥政府采购政策功能促进企业发展的通知》（桂财采〔</w:t>
      </w:r>
      <w:r>
        <w:rPr>
          <w:rFonts w:ascii="宋体" w:hAnsi="宋体"/>
          <w:color w:val="auto"/>
          <w:szCs w:val="21"/>
          <w:highlight w:val="none"/>
        </w:rPr>
        <w:t>2022〕30号）规定，允许大中型企业向一家或者多家小微企业分包的采购项目，对于分包意向协议约定小微企业的合同份额占到合同总金额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w:t>
      </w:r>
      <w:r>
        <w:rPr>
          <w:rFonts w:hint="eastAsia" w:ascii="宋体" w:hAnsi="宋体"/>
          <w:color w:val="auto"/>
          <w:szCs w:val="21"/>
          <w:highlight w:val="none"/>
        </w:rPr>
        <w:t>。接受分包的小微企业与分包企业之间存在直接控股、管理关系的，不享受价格扣除优惠政策。【本项目本次项目采用固定价格采购项目，固定经费为人民币</w:t>
      </w:r>
      <w:r>
        <w:rPr>
          <w:rFonts w:ascii="宋体" w:hAnsi="宋体"/>
          <w:color w:val="auto"/>
          <w:szCs w:val="21"/>
          <w:highlight w:val="none"/>
        </w:rPr>
        <w:t>600万元整，依据《政府采购货物和服务招标投标管理办法》（财政部令第87号）第五十五条，本次项目价格不列为评审因素】</w:t>
      </w:r>
      <w:r>
        <w:rPr>
          <w:rFonts w:hint="eastAsia" w:ascii="宋体" w:hAnsi="宋体" w:cs="宋体"/>
          <w:bCs/>
          <w:color w:val="auto"/>
          <w:szCs w:val="21"/>
          <w:highlight w:val="none"/>
        </w:rPr>
        <w:t>。</w:t>
      </w:r>
    </w:p>
    <w:p w14:paraId="11603E54">
      <w:pPr>
        <w:shd w:val="clear" w:color="auto" w:fill="FFFFFF" w:themeFill="background1"/>
        <w:spacing w:line="360" w:lineRule="auto"/>
        <w:ind w:firstLine="420" w:firstLineChars="200"/>
        <w:rPr>
          <w:rFonts w:ascii="宋体" w:hAnsi="宋体" w:cs="宋体"/>
          <w:bCs/>
          <w:color w:val="auto"/>
          <w:szCs w:val="21"/>
          <w:highlight w:val="none"/>
        </w:rPr>
      </w:pPr>
      <w:r>
        <w:rPr>
          <w:rFonts w:hint="eastAsia" w:ascii="宋体" w:hAnsi="宋体"/>
          <w:b w:val="0"/>
          <w:color w:val="auto"/>
          <w:sz w:val="21"/>
          <w:szCs w:val="21"/>
          <w:highlight w:val="none"/>
        </w:rPr>
        <w:t>7.3投标人根据招标文件的规定和采购项目的实际情况，拟在中标后将中标项目的非主体、非关键性工作分包的，应当在投标文件中载明分包承担主体，分包承担主体应当具备相应资质条件且不得再次分包。</w:t>
      </w:r>
    </w:p>
    <w:p w14:paraId="77D51277">
      <w:pPr>
        <w:shd w:val="clear" w:color="auto" w:fill="FFFFFF" w:themeFill="background1"/>
        <w:spacing w:line="360" w:lineRule="auto"/>
        <w:ind w:firstLine="480" w:firstLineChars="200"/>
        <w:rPr>
          <w:rFonts w:ascii="宋体" w:hAnsi="宋体" w:cs="宋体"/>
          <w:color w:val="auto"/>
          <w:sz w:val="24"/>
          <w:highlight w:val="none"/>
        </w:rPr>
      </w:pPr>
      <w:bookmarkStart w:id="142" w:name="_Toc254970673"/>
      <w:bookmarkStart w:id="143" w:name="_Toc254970532"/>
      <w:r>
        <w:rPr>
          <w:rFonts w:hint="eastAsia" w:ascii="宋体" w:hAnsi="宋体" w:cs="宋体"/>
          <w:color w:val="auto"/>
          <w:sz w:val="24"/>
          <w:highlight w:val="none"/>
        </w:rPr>
        <w:t>8.特别说明：</w:t>
      </w:r>
      <w:bookmarkEnd w:id="142"/>
      <w:bookmarkEnd w:id="143"/>
      <w:bookmarkStart w:id="144" w:name="_8.1提供相同品牌产品且通过资格审查、符合性审查的不同投标人参加同一合"/>
      <w:bookmarkEnd w:id="144"/>
    </w:p>
    <w:p w14:paraId="16A57D2A">
      <w:pPr>
        <w:shd w:val="clear" w:color="auto" w:fill="FFFFFF" w:themeFill="background1"/>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8.1如果本招标文件要求投标人提供资格、信誉、荣誉、业绩与企业认证等材料的，则投标人所提供的以上材料必须为该投标人所拥有。</w:t>
      </w:r>
    </w:p>
    <w:p w14:paraId="166D569A">
      <w:pPr>
        <w:shd w:val="clear" w:color="auto" w:fill="FFFFFF" w:themeFill="background1"/>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8.2投标人应仔细阅读招标文件的所有内容，按照招标文件的要求提交投标文件，并对所提供的全部资料的真实性承担法律责任。</w:t>
      </w:r>
    </w:p>
    <w:p w14:paraId="68A47C10">
      <w:pPr>
        <w:shd w:val="clear" w:color="auto" w:fill="FFFFFF" w:themeFill="background1"/>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14:paraId="12C86766">
      <w:pPr>
        <w:shd w:val="clear" w:color="auto" w:fill="FFFFFF" w:themeFill="background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9.回避与串通投标</w:t>
      </w:r>
    </w:p>
    <w:p w14:paraId="40296B18">
      <w:pPr>
        <w:shd w:val="clear" w:color="auto" w:fill="FFFFFF" w:themeFill="background1"/>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9.1在政府采购活动中，采购人员及相关人员与供应商有下列利害关系之一的，应当回避：</w:t>
      </w:r>
    </w:p>
    <w:p w14:paraId="33169795">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（1）参加采购活动前3年内与供应商存在劳动关系；</w:t>
      </w:r>
    </w:p>
    <w:p w14:paraId="5F9ED622">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（2）参加采购活动前3年内担任供应商的董事、监事；</w:t>
      </w:r>
    </w:p>
    <w:p w14:paraId="134CA97B">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（3）参加采购活动前3年内是供应商的控股股东或者实际控制人；</w:t>
      </w:r>
    </w:p>
    <w:p w14:paraId="3BD895E7">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（4）与供应商的法定代表人或者负责人有夫妻、直系血亲、三代以内旁系血亲或者近姻亲关系；</w:t>
      </w:r>
    </w:p>
    <w:p w14:paraId="5768FF46">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（5）与供应商有其他可能影响政府采购活动公平、公正进行的关系。</w:t>
      </w:r>
    </w:p>
    <w:p w14:paraId="63C81371">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3D758B6C">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9.2有下列情形之一的视为投标人相互串通投标，投标文件将被视为无效：</w:t>
      </w:r>
    </w:p>
    <w:p w14:paraId="01B4CDBA">
      <w:pPr>
        <w:shd w:val="clear" w:color="auto" w:fill="FFFFFF" w:themeFill="background1"/>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（1）不同投标人的投标文件由同一单位或者个人编制；或者不同投标人报名的IP地址一致的；</w:t>
      </w:r>
    </w:p>
    <w:p w14:paraId="298AAA94">
      <w:pPr>
        <w:shd w:val="clear" w:color="auto" w:fill="FFFFFF" w:themeFill="background1"/>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（2）不同投标人委托同一单位或者个人办理投标事宜；</w:t>
      </w:r>
    </w:p>
    <w:p w14:paraId="48381B4D">
      <w:pPr>
        <w:shd w:val="clear" w:color="auto" w:fill="FFFFFF" w:themeFill="background1"/>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（3）不同的投标人的投标文件载明的项目管理员为同一个人；</w:t>
      </w:r>
    </w:p>
    <w:p w14:paraId="3E91C266">
      <w:pPr>
        <w:shd w:val="clear" w:color="auto" w:fill="FFFFFF" w:themeFill="background1"/>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（4）不同投标人的电子投标文件异常一致或者投标报价呈规律性差异；</w:t>
      </w:r>
    </w:p>
    <w:p w14:paraId="547513E9">
      <w:pPr>
        <w:shd w:val="clear" w:color="auto" w:fill="FFFFFF" w:themeFill="background1"/>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（5）不同投标人的投标文件相互混装；</w:t>
      </w:r>
    </w:p>
    <w:p w14:paraId="050945E4">
      <w:pPr>
        <w:shd w:val="clear" w:color="auto" w:fill="FFFFFF" w:themeFill="background1"/>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（6）不同投标人的投标保证金从同一单位或者个人账户转出。</w:t>
      </w:r>
    </w:p>
    <w:p w14:paraId="14724023">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9.3供应商有下列情形之一的，属于恶意串通行为，将报同级监督管理部门：</w:t>
      </w:r>
    </w:p>
    <w:p w14:paraId="6C901D63">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（1）供应商直接或者间接从采购人或者采购代理机构处获得其他供应商的相关信息并修改其投标文件；</w:t>
      </w:r>
    </w:p>
    <w:p w14:paraId="15D51EF0">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（2）供应商按照采购人或者采购代理机构的授意撤换、修改投标文件；</w:t>
      </w:r>
    </w:p>
    <w:p w14:paraId="43876D0A">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（3）供应商之间协商报价、技术方案等投标文件的实质性内容；</w:t>
      </w:r>
    </w:p>
    <w:p w14:paraId="714BA8D3">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（4）属于同一集团、协会、商会等组织成员的供应商按照该组织要求协同参加政府采购活动；</w:t>
      </w:r>
    </w:p>
    <w:p w14:paraId="3EB006AF">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（5）供应商之间事先约定一致抬高或者压低投标报价，或者在招标项目中事先约定轮流以高价位或者低价位中标，或者事先约定由某一特定供应商中标，然后再参加投标；</w:t>
      </w:r>
    </w:p>
    <w:p w14:paraId="3B18AF11">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（6）供应商之间商定部分供应商放弃参加政府采购活动或者放弃中标；</w:t>
      </w:r>
    </w:p>
    <w:p w14:paraId="56FAA66E">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（7）供应商与采购人或者采购代理机构之间、供应商相互之间，为谋求特定供应商中标或者排斥其他供应商的其他串通行为。</w:t>
      </w:r>
    </w:p>
    <w:p w14:paraId="257822C9">
      <w:pPr>
        <w:pStyle w:val="14"/>
        <w:shd w:val="clear" w:color="auto" w:fill="FFFFFF" w:themeFill="background1"/>
        <w:snapToGrid w:val="0"/>
        <w:spacing w:line="360" w:lineRule="auto"/>
        <w:ind w:left="2" w:leftChars="1" w:firstLine="422" w:firstLineChars="200"/>
        <w:rPr>
          <w:rFonts w:hAnsi="宋体" w:cs="宋体"/>
          <w:b/>
          <w:color w:val="auto"/>
          <w:highlight w:val="none"/>
        </w:rPr>
      </w:pPr>
    </w:p>
    <w:p w14:paraId="5E39110A">
      <w:pPr>
        <w:pStyle w:val="5"/>
        <w:keepNext w:val="0"/>
        <w:keepLines w:val="0"/>
        <w:shd w:val="clear" w:color="auto" w:fill="FFFFFF" w:themeFill="background1"/>
        <w:spacing w:line="400" w:lineRule="exact"/>
        <w:jc w:val="center"/>
        <w:rPr>
          <w:rFonts w:ascii="宋体" w:hAnsi="宋体" w:cs="宋体"/>
          <w:color w:val="auto"/>
          <w:highlight w:val="none"/>
        </w:rPr>
      </w:pPr>
      <w:bookmarkStart w:id="145" w:name="_Toc11054"/>
      <w:bookmarkStart w:id="146" w:name="_Toc18580"/>
      <w:bookmarkStart w:id="147" w:name="_Toc22911"/>
      <w:bookmarkStart w:id="148" w:name="_Toc19016"/>
      <w:bookmarkStart w:id="149" w:name="_Toc6920"/>
      <w:bookmarkStart w:id="150" w:name="_Toc254970534"/>
      <w:bookmarkStart w:id="151" w:name="_Toc9988"/>
      <w:bookmarkStart w:id="152" w:name="_Toc10320"/>
      <w:bookmarkStart w:id="153" w:name="_Toc128"/>
      <w:bookmarkStart w:id="154" w:name="_Toc17855"/>
      <w:bookmarkStart w:id="155" w:name="_Toc25104"/>
      <w:bookmarkStart w:id="156" w:name="_Toc254970675"/>
      <w:r>
        <w:rPr>
          <w:rFonts w:hint="eastAsia" w:ascii="宋体" w:hAnsi="宋体" w:cs="宋体"/>
          <w:color w:val="auto"/>
          <w:highlight w:val="none"/>
        </w:rPr>
        <w:t>二、招标文件</w:t>
      </w:r>
      <w:bookmarkEnd w:id="145"/>
      <w:bookmarkEnd w:id="146"/>
      <w:bookmarkEnd w:id="147"/>
      <w:bookmarkEnd w:id="148"/>
      <w:bookmarkEnd w:id="149"/>
      <w:bookmarkEnd w:id="150"/>
      <w:bookmarkEnd w:id="151"/>
      <w:bookmarkEnd w:id="152"/>
      <w:bookmarkEnd w:id="153"/>
      <w:bookmarkEnd w:id="154"/>
      <w:bookmarkEnd w:id="155"/>
      <w:bookmarkEnd w:id="156"/>
    </w:p>
    <w:p w14:paraId="4C41B754">
      <w:pPr>
        <w:shd w:val="clear" w:color="auto" w:fill="FFFFFF" w:themeFill="background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10.招标文件的组成</w:t>
      </w:r>
    </w:p>
    <w:p w14:paraId="597821A7">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第一章 招标公告；</w:t>
      </w:r>
    </w:p>
    <w:p w14:paraId="0E39B19E">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第二章 采购需求； </w:t>
      </w:r>
    </w:p>
    <w:p w14:paraId="4650315F">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第三章 投标人须知；</w:t>
      </w:r>
    </w:p>
    <w:p w14:paraId="52915FEF">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第四章 评标方法和评标标准；</w:t>
      </w:r>
    </w:p>
    <w:p w14:paraId="4BA8ED70">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第五章 拟签订的合同文本；</w:t>
      </w:r>
    </w:p>
    <w:p w14:paraId="37185AFE">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第六章 投标文件格式；</w:t>
      </w:r>
    </w:p>
    <w:p w14:paraId="657202FA">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第七章 质疑、投诉材料格式</w:t>
      </w:r>
    </w:p>
    <w:p w14:paraId="703F8D11">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根据本章第11.1项的规定对招标文件所做的澄清、修改，构成招标文件的组成部分。当招标文件与招标文件的澄清和修改就同一内容的表述不一致时，以最后澄清或修改公告为准。</w:t>
      </w:r>
    </w:p>
    <w:p w14:paraId="6AA04FB0">
      <w:pPr>
        <w:shd w:val="clear" w:color="auto" w:fill="FFFFFF" w:themeFill="background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11.招标文件的澄清、修改 、现场考察和答疑会</w:t>
      </w:r>
    </w:p>
    <w:p w14:paraId="1217E531">
      <w:pPr>
        <w:shd w:val="clear" w:color="auto" w:fill="FFFFFF" w:themeFill="background1"/>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 11.1采购人或者采购代理机构可以对已发出的招标文件进行必要的澄清或者修改，但不得改变采购标的和资格条件。澄清或者修改应当在原招标公告发布媒体上发布澄清公告。澄清或者修改的内容为招标文件的组成部分。</w:t>
      </w:r>
    </w:p>
    <w:p w14:paraId="0D812687">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11.2 投标人应认真审阅本招标文件，如有疑问，或发现其中有误或有要求不合理的，应在投标人须知前附表规定的</w:t>
      </w:r>
      <w:r>
        <w:rPr>
          <w:rFonts w:hint="eastAsia" w:ascii="宋体" w:hAnsi="宋体" w:cs="宋体"/>
          <w:color w:val="auto"/>
          <w:kern w:val="0"/>
          <w:szCs w:val="21"/>
          <w:highlight w:val="none"/>
        </w:rPr>
        <w:t>投标截止时间</w:t>
      </w:r>
      <w:r>
        <w:rPr>
          <w:rFonts w:hint="eastAsia" w:ascii="宋体" w:hAnsi="宋体" w:cs="宋体"/>
          <w:color w:val="auto"/>
          <w:highlight w:val="none"/>
        </w:rPr>
        <w:t>前以书面形式要求采购人或采购代理机构对招标文件予以澄清；否则，由此产生的后果由投标人自行负责。</w:t>
      </w:r>
    </w:p>
    <w:p w14:paraId="6135A00A">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cs="宋体"/>
          <w:color w:val="auto"/>
          <w:szCs w:val="21"/>
          <w:highlight w:val="none"/>
        </w:rPr>
        <w:t>投标人须知前附表”</w:t>
      </w:r>
      <w:r>
        <w:rPr>
          <w:rFonts w:hint="eastAsia" w:ascii="宋体" w:hAnsi="宋体" w:cs="宋体"/>
          <w:color w:val="auto"/>
          <w:highlight w:val="none"/>
        </w:rPr>
        <w:t>规定的政府采购信息发布媒体上发布更正公告及平台短信通知)所有获取招标文件的潜在投标人；不足15日的，采购人或者采购代理机构应当顺延提交投标文件的截止时间。发出的澄清或者修改不影响投标文件编制的也应在截标前3日发出。澄清或者更正公告在招标公告发布媒体上发布，一经发布，视作已以书面形式通知所有获取招标文件的潜在投标人，不再另行通知，所有潜在投标人应密切关注招标公告发布媒体，因未能及时获知，由此产生的后果均应自行承担。</w:t>
      </w:r>
    </w:p>
    <w:p w14:paraId="0A76D825">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11.4 采购人和采购代理机构可以视采购具体情况，变更投标截止时间和开标时间，将变更时间将在“</w:t>
      </w:r>
      <w:r>
        <w:rPr>
          <w:rFonts w:hint="eastAsia" w:ascii="宋体" w:hAnsi="宋体" w:cs="宋体"/>
          <w:color w:val="auto"/>
          <w:szCs w:val="21"/>
          <w:highlight w:val="none"/>
        </w:rPr>
        <w:t>投标人须知前附表”</w:t>
      </w:r>
      <w:r>
        <w:rPr>
          <w:rFonts w:hint="eastAsia" w:ascii="宋体" w:hAnsi="宋体" w:cs="宋体"/>
          <w:color w:val="auto"/>
          <w:kern w:val="0"/>
          <w:szCs w:val="21"/>
          <w:highlight w:val="none"/>
        </w:rPr>
        <w:t>规定的政府采购信息发布媒体上</w:t>
      </w:r>
      <w:r>
        <w:rPr>
          <w:rFonts w:hint="eastAsia" w:ascii="宋体" w:hAnsi="宋体" w:cs="宋体"/>
          <w:color w:val="auto"/>
          <w:highlight w:val="none"/>
        </w:rPr>
        <w:t>发布更正公告。</w:t>
      </w:r>
    </w:p>
    <w:p w14:paraId="1401185C">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11.</w:t>
      </w:r>
      <w:bookmarkStart w:id="157" w:name="_Hlk53134511"/>
      <w:r>
        <w:rPr>
          <w:rFonts w:hint="eastAsia" w:ascii="宋体" w:hAnsi="宋体" w:cs="宋体"/>
          <w:color w:val="auto"/>
          <w:highlight w:val="none"/>
        </w:rPr>
        <w:t>5采购人或者采购代理机构可以在招标文件提供期限截止后，组织已获取招标文件的潜在投标人现场考察或者召开开标前答疑会，具体详见“投标人须知前附表”。</w:t>
      </w:r>
    </w:p>
    <w:bookmarkEnd w:id="157"/>
    <w:p w14:paraId="75364899">
      <w:pPr>
        <w:pStyle w:val="5"/>
        <w:keepNext w:val="0"/>
        <w:keepLines w:val="0"/>
        <w:shd w:val="clear" w:color="auto" w:fill="FFFFFF" w:themeFill="background1"/>
        <w:spacing w:line="400" w:lineRule="exact"/>
        <w:jc w:val="center"/>
        <w:rPr>
          <w:rFonts w:ascii="宋体" w:hAnsi="宋体" w:cs="宋体"/>
          <w:color w:val="auto"/>
          <w:highlight w:val="none"/>
        </w:rPr>
      </w:pPr>
      <w:bookmarkStart w:id="158" w:name="_Toc7841"/>
      <w:bookmarkStart w:id="159" w:name="_Toc254970535"/>
      <w:bookmarkStart w:id="160" w:name="_Toc28419"/>
      <w:bookmarkStart w:id="161" w:name="_Toc27367"/>
      <w:bookmarkStart w:id="162" w:name="_Toc16623"/>
      <w:bookmarkStart w:id="163" w:name="_Toc2635"/>
      <w:bookmarkStart w:id="164" w:name="_Toc20"/>
      <w:bookmarkStart w:id="165" w:name="_Toc24872"/>
      <w:bookmarkStart w:id="166" w:name="_Toc254970676"/>
      <w:bookmarkStart w:id="167" w:name="_Toc32154"/>
      <w:bookmarkStart w:id="168" w:name="_Toc32499"/>
      <w:bookmarkStart w:id="169" w:name="_Toc12080"/>
    </w:p>
    <w:p w14:paraId="77AE47EF">
      <w:pPr>
        <w:pStyle w:val="5"/>
        <w:keepNext w:val="0"/>
        <w:keepLines w:val="0"/>
        <w:shd w:val="clear" w:color="auto" w:fill="FFFFFF" w:themeFill="background1"/>
        <w:spacing w:line="400" w:lineRule="exact"/>
        <w:jc w:val="center"/>
        <w:rPr>
          <w:rFonts w:ascii="宋体" w:hAnsi="宋体" w:cs="宋体"/>
          <w:color w:val="auto"/>
          <w:highlight w:val="none"/>
        </w:rPr>
      </w:pPr>
      <w:r>
        <w:rPr>
          <w:rFonts w:hint="eastAsia" w:ascii="宋体" w:hAnsi="宋体" w:cs="宋体"/>
          <w:color w:val="auto"/>
          <w:highlight w:val="none"/>
        </w:rPr>
        <w:t>三、投标文件的编制</w:t>
      </w:r>
      <w:bookmarkEnd w:id="158"/>
      <w:bookmarkEnd w:id="159"/>
      <w:bookmarkEnd w:id="160"/>
      <w:bookmarkEnd w:id="161"/>
      <w:bookmarkEnd w:id="162"/>
      <w:bookmarkEnd w:id="163"/>
      <w:bookmarkEnd w:id="164"/>
      <w:bookmarkEnd w:id="165"/>
      <w:bookmarkEnd w:id="166"/>
      <w:bookmarkEnd w:id="167"/>
      <w:bookmarkEnd w:id="168"/>
      <w:bookmarkEnd w:id="169"/>
    </w:p>
    <w:p w14:paraId="4040B44C">
      <w:pPr>
        <w:shd w:val="clear" w:color="auto" w:fill="FFFFFF" w:themeFill="background1"/>
        <w:spacing w:line="360" w:lineRule="auto"/>
        <w:ind w:firstLine="480" w:firstLineChars="200"/>
        <w:rPr>
          <w:rFonts w:ascii="宋体" w:hAnsi="宋体" w:cs="宋体"/>
          <w:color w:val="auto"/>
          <w:sz w:val="24"/>
          <w:highlight w:val="none"/>
        </w:rPr>
      </w:pPr>
      <w:bookmarkStart w:id="170" w:name="_Toc254970536"/>
      <w:bookmarkStart w:id="171" w:name="_Toc254970677"/>
      <w:r>
        <w:rPr>
          <w:rFonts w:hint="eastAsia" w:ascii="宋体" w:hAnsi="宋体" w:cs="宋体"/>
          <w:color w:val="auto"/>
          <w:sz w:val="24"/>
          <w:highlight w:val="none"/>
        </w:rPr>
        <w:t>12.投标文件的编制原则</w:t>
      </w:r>
    </w:p>
    <w:p w14:paraId="7BE8041C">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投标人必须按照招标文件的要求编制投标文件。投标文件必须对招标文件提出的要求和条件作出明确响应。</w:t>
      </w:r>
    </w:p>
    <w:p w14:paraId="59B58775">
      <w:pPr>
        <w:shd w:val="clear" w:color="auto" w:fill="FFFFFF" w:themeFill="background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13.投标文件的组成</w:t>
      </w:r>
      <w:bookmarkEnd w:id="170"/>
      <w:bookmarkEnd w:id="171"/>
    </w:p>
    <w:p w14:paraId="1D0B5385">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13.1投标文件由报价文件、资格证明文件、商务文件、技术文件四部分组成。</w:t>
      </w:r>
    </w:p>
    <w:p w14:paraId="49A88937">
      <w:pPr>
        <w:shd w:val="clear" w:color="auto" w:fill="FFFFFF" w:themeFill="background1"/>
        <w:spacing w:line="360" w:lineRule="auto"/>
        <w:ind w:firstLine="420" w:firstLineChars="200"/>
        <w:rPr>
          <w:rFonts w:ascii="宋体" w:hAnsi="宋体" w:cs="宋体"/>
          <w:bCs/>
          <w:color w:val="auto"/>
          <w:szCs w:val="21"/>
          <w:highlight w:val="none"/>
        </w:rPr>
      </w:pPr>
      <w:bookmarkStart w:id="172" w:name="_13.2资格证明文件：具体材料见“投标人须知前附表”。"/>
      <w:bookmarkEnd w:id="172"/>
      <w:bookmarkStart w:id="173" w:name="_13.1报价文件:_具体材料见“投标人须知前附表”。"/>
      <w:bookmarkEnd w:id="173"/>
      <w:r>
        <w:rPr>
          <w:rFonts w:hint="eastAsia" w:ascii="宋体" w:hAnsi="宋体" w:cs="宋体"/>
          <w:bCs/>
          <w:color w:val="auto"/>
          <w:szCs w:val="21"/>
          <w:highlight w:val="none"/>
        </w:rPr>
        <w:t>（1）资格证明文件：具体材料见“投标人须知前附表”。</w:t>
      </w:r>
    </w:p>
    <w:p w14:paraId="5122C2F1">
      <w:pPr>
        <w:shd w:val="clear" w:color="auto" w:fill="FFFFFF" w:themeFill="background1"/>
        <w:spacing w:line="360" w:lineRule="auto"/>
        <w:ind w:firstLine="420" w:firstLineChars="200"/>
        <w:rPr>
          <w:rFonts w:ascii="宋体" w:hAnsi="宋体" w:cs="宋体"/>
          <w:bCs/>
          <w:color w:val="auto"/>
          <w:szCs w:val="21"/>
          <w:highlight w:val="none"/>
        </w:rPr>
      </w:pPr>
      <w:bookmarkStart w:id="174" w:name="_13.3商务文件:_具体材料见“投标人须知前附表”。"/>
      <w:bookmarkEnd w:id="174"/>
      <w:r>
        <w:rPr>
          <w:rFonts w:hint="eastAsia" w:ascii="宋体" w:hAnsi="宋体" w:cs="宋体"/>
          <w:bCs/>
          <w:color w:val="auto"/>
          <w:szCs w:val="21"/>
          <w:highlight w:val="none"/>
        </w:rPr>
        <w:t>（2）商务文件：具体材料见“投标人须知前附表”。</w:t>
      </w:r>
    </w:p>
    <w:p w14:paraId="2087B681">
      <w:pPr>
        <w:shd w:val="clear" w:color="auto" w:fill="FFFFFF" w:themeFill="background1"/>
        <w:spacing w:line="360" w:lineRule="auto"/>
        <w:ind w:firstLine="420" w:firstLineChars="200"/>
        <w:rPr>
          <w:rFonts w:ascii="宋体" w:hAnsi="宋体" w:cs="宋体"/>
          <w:bCs/>
          <w:color w:val="auto"/>
          <w:szCs w:val="21"/>
          <w:highlight w:val="none"/>
        </w:rPr>
      </w:pPr>
      <w:bookmarkStart w:id="175" w:name="_13.4技术文件：具体材料见“投标人须知前附表”。"/>
      <w:bookmarkEnd w:id="175"/>
      <w:r>
        <w:rPr>
          <w:rFonts w:hint="eastAsia" w:ascii="宋体" w:hAnsi="宋体" w:cs="宋体"/>
          <w:bCs/>
          <w:color w:val="auto"/>
          <w:szCs w:val="21"/>
          <w:highlight w:val="none"/>
        </w:rPr>
        <w:t xml:space="preserve">（3）技术文件：具体材料见“投标人须知前附表”。 </w:t>
      </w:r>
    </w:p>
    <w:p w14:paraId="440E3B33">
      <w:pPr>
        <w:shd w:val="clear" w:color="auto" w:fill="FFFFFF" w:themeFill="background1"/>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（4）报价文件： 具体材料见“投标人须知前附表”。</w:t>
      </w:r>
    </w:p>
    <w:p w14:paraId="5865204D">
      <w:pPr>
        <w:shd w:val="clear" w:color="auto" w:fill="FFFFFF" w:themeFill="background1"/>
        <w:spacing w:line="360" w:lineRule="auto"/>
        <w:ind w:firstLine="420" w:firstLineChars="200"/>
        <w:rPr>
          <w:rFonts w:ascii="宋体" w:hAnsi="宋体" w:cs="宋体"/>
          <w:bCs/>
          <w:color w:val="auto"/>
          <w:szCs w:val="21"/>
          <w:highlight w:val="none"/>
        </w:rPr>
      </w:pPr>
      <w:bookmarkStart w:id="176" w:name="_13.5投标文件电子版：具体材料见“投标人须知前附表”。"/>
      <w:bookmarkEnd w:id="176"/>
      <w:r>
        <w:rPr>
          <w:rFonts w:hint="eastAsia" w:ascii="宋体" w:hAnsi="宋体" w:cs="宋体"/>
          <w:bCs/>
          <w:color w:val="auto"/>
          <w:szCs w:val="21"/>
          <w:highlight w:val="none"/>
        </w:rPr>
        <w:t>13.2投标文件电子版：具体要求见本节19.投标文件编制。</w:t>
      </w:r>
    </w:p>
    <w:p w14:paraId="28E6545B">
      <w:pPr>
        <w:shd w:val="clear" w:color="auto" w:fill="FFFFFF" w:themeFill="background1"/>
        <w:spacing w:line="360" w:lineRule="auto"/>
        <w:ind w:firstLine="480" w:firstLineChars="200"/>
        <w:rPr>
          <w:rFonts w:ascii="宋体" w:hAnsi="宋体" w:cs="宋体"/>
          <w:color w:val="auto"/>
          <w:sz w:val="24"/>
          <w:highlight w:val="none"/>
        </w:rPr>
      </w:pPr>
      <w:bookmarkStart w:id="177" w:name="_Toc254970678"/>
      <w:bookmarkStart w:id="178" w:name="_Toc254970537"/>
      <w:r>
        <w:rPr>
          <w:rFonts w:hint="eastAsia" w:ascii="宋体" w:hAnsi="宋体" w:cs="宋体"/>
          <w:color w:val="auto"/>
          <w:sz w:val="24"/>
          <w:highlight w:val="none"/>
        </w:rPr>
        <w:t>14.投标文件的语言及计量</w:t>
      </w:r>
      <w:bookmarkEnd w:id="177"/>
      <w:bookmarkEnd w:id="178"/>
    </w:p>
    <w:p w14:paraId="7B008763">
      <w:pPr>
        <w:shd w:val="clear" w:color="auto" w:fill="FFFFFF" w:themeFill="background1"/>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14.1语言文字</w:t>
      </w:r>
    </w:p>
    <w:p w14:paraId="3E82911B">
      <w:pPr>
        <w:shd w:val="clear" w:color="auto" w:fill="FFFFFF" w:themeFill="background1"/>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52A9D5A8">
      <w:pPr>
        <w:shd w:val="clear" w:color="auto" w:fill="FFFFFF" w:themeFill="background1"/>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14.2投标计量单位</w:t>
      </w:r>
    </w:p>
    <w:p w14:paraId="44266B42">
      <w:pPr>
        <w:shd w:val="clear" w:color="auto" w:fill="FFFFFF" w:themeFill="background1"/>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招标文件已有明确规定的，使用招标文件规定的计量单位；招标文件没有规定的，应采用中华人民共和国法定计量单位，货币种类为人民币，否则视同未响应。</w:t>
      </w:r>
    </w:p>
    <w:p w14:paraId="4A5AD44D">
      <w:pPr>
        <w:shd w:val="clear" w:color="auto" w:fill="FFFFFF" w:themeFill="background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w:t>
      </w:r>
      <w:r>
        <w:rPr>
          <w:rFonts w:hint="eastAsia" w:ascii="黑体" w:hAnsi="黑体" w:eastAsia="黑体"/>
          <w:color w:val="auto"/>
          <w:sz w:val="24"/>
          <w:highlight w:val="none"/>
        </w:rPr>
        <w:t>投标文件提交的风险</w:t>
      </w:r>
    </w:p>
    <w:p w14:paraId="2B95813F">
      <w:pPr>
        <w:shd w:val="clear" w:color="auto" w:fill="FFFFFF" w:themeFill="background1"/>
        <w:spacing w:line="360" w:lineRule="auto"/>
        <w:ind w:firstLine="420" w:firstLineChars="200"/>
        <w:rPr>
          <w:rFonts w:ascii="宋体" w:hAnsi="宋体" w:cs="宋体"/>
          <w:b/>
          <w:bCs/>
          <w:color w:val="auto"/>
          <w:highlight w:val="none"/>
        </w:rPr>
      </w:pPr>
      <w:r>
        <w:rPr>
          <w:rFonts w:hint="eastAsia" w:hAnsi="宋体"/>
          <w:color w:val="auto"/>
          <w:highlight w:val="none"/>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投标人没有按照招标文件要求提供全部资料，或者投标人没有对招标文件作出实质性响应是投标人的风险，可能导致其投标被拒绝。</w:t>
      </w:r>
    </w:p>
    <w:p w14:paraId="6951EB74">
      <w:pPr>
        <w:shd w:val="clear" w:color="auto" w:fill="FFFFFF" w:themeFill="background1"/>
        <w:spacing w:line="360" w:lineRule="auto"/>
        <w:ind w:firstLine="480" w:firstLineChars="200"/>
        <w:rPr>
          <w:rFonts w:ascii="宋体" w:hAnsi="宋体" w:cs="宋体"/>
          <w:color w:val="auto"/>
          <w:sz w:val="24"/>
          <w:highlight w:val="none"/>
        </w:rPr>
      </w:pPr>
      <w:bookmarkStart w:id="179" w:name="_Toc254970538"/>
      <w:bookmarkStart w:id="180" w:name="_Toc254970679"/>
      <w:r>
        <w:rPr>
          <w:rFonts w:hint="eastAsia" w:ascii="宋体" w:hAnsi="宋体" w:cs="宋体"/>
          <w:color w:val="auto"/>
          <w:sz w:val="24"/>
          <w:highlight w:val="none"/>
        </w:rPr>
        <w:t>16.投标报价</w:t>
      </w:r>
      <w:bookmarkEnd w:id="179"/>
      <w:bookmarkEnd w:id="180"/>
    </w:p>
    <w:p w14:paraId="0ADDB522">
      <w:pPr>
        <w:shd w:val="clear" w:color="auto" w:fill="FFFFFF" w:themeFill="background1"/>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16.1投标报价应</w:t>
      </w:r>
      <w:r>
        <w:rPr>
          <w:rFonts w:hint="eastAsia" w:ascii="宋体" w:hAnsi="宋体" w:cs="宋体"/>
          <w:bCs/>
          <w:color w:val="auto"/>
          <w:szCs w:val="20"/>
          <w:highlight w:val="none"/>
        </w:rPr>
        <w:t>按“第六章　投标文件格式”中“开标一览表”格式填写。</w:t>
      </w:r>
    </w:p>
    <w:p w14:paraId="27259B94">
      <w:pPr>
        <w:shd w:val="clear" w:color="auto" w:fill="FFFFFF" w:themeFill="background1"/>
        <w:spacing w:line="360" w:lineRule="auto"/>
        <w:ind w:firstLine="420" w:firstLineChars="200"/>
        <w:rPr>
          <w:rFonts w:ascii="宋体" w:hAnsi="宋体" w:cs="宋体"/>
          <w:bCs/>
          <w:color w:val="auto"/>
          <w:szCs w:val="21"/>
          <w:highlight w:val="none"/>
        </w:rPr>
      </w:pPr>
      <w:bookmarkStart w:id="181" w:name="_16.2投标报价具体定义见投标人须知前附表。"/>
      <w:bookmarkEnd w:id="181"/>
      <w:r>
        <w:rPr>
          <w:rFonts w:hint="eastAsia" w:ascii="宋体" w:hAnsi="宋体" w:cs="宋体"/>
          <w:bCs/>
          <w:color w:val="auto"/>
          <w:szCs w:val="21"/>
          <w:highlight w:val="none"/>
        </w:rPr>
        <w:t>16.2投标报价具体包括内容详见“投标人须知前附表”。</w:t>
      </w:r>
    </w:p>
    <w:p w14:paraId="58E49531">
      <w:pPr>
        <w:shd w:val="clear" w:color="auto" w:fill="FFFFFF" w:themeFill="background1"/>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16.3投标人必须就所投项目/每个分标的全部内容分别作完整唯一总价报价，不得存在漏项报价；投标人必须就所投项目/分标的单项内容作唯一报价。</w:t>
      </w:r>
    </w:p>
    <w:p w14:paraId="425F256F">
      <w:pPr>
        <w:shd w:val="clear" w:color="auto" w:fill="FFFFFF" w:themeFill="background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17.投标有效期</w:t>
      </w:r>
    </w:p>
    <w:p w14:paraId="1DFFBAE8">
      <w:pPr>
        <w:shd w:val="clear" w:color="auto" w:fill="FFFFFF" w:themeFill="background1"/>
        <w:spacing w:line="360" w:lineRule="auto"/>
        <w:ind w:firstLine="420" w:firstLineChars="200"/>
        <w:rPr>
          <w:rFonts w:ascii="宋体" w:hAnsi="宋体" w:cs="宋体"/>
          <w:bCs/>
          <w:color w:val="auto"/>
          <w:szCs w:val="21"/>
          <w:highlight w:val="none"/>
        </w:rPr>
      </w:pPr>
      <w:bookmarkStart w:id="182" w:name="_17.1投标有效期应按“投标人须知中的前附表”规定的期限。"/>
      <w:bookmarkEnd w:id="182"/>
      <w:r>
        <w:rPr>
          <w:rFonts w:hint="eastAsia" w:ascii="宋体" w:hAnsi="宋体" w:cs="宋体"/>
          <w:bCs/>
          <w:color w:val="auto"/>
          <w:szCs w:val="21"/>
          <w:highlight w:val="none"/>
        </w:rPr>
        <w:t>17.1投标有效期是指为保证采购人有足够的时间在开标后完成评标、定标、合同签订等工作而要求投标人提交的投标文件在一定时间内保持有效的期限。</w:t>
      </w:r>
    </w:p>
    <w:p w14:paraId="7D80AB1B">
      <w:pPr>
        <w:shd w:val="clear" w:color="auto" w:fill="FFFFFF" w:themeFill="background1"/>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17.2</w:t>
      </w:r>
      <w:bookmarkStart w:id="183" w:name="_Toc254970540"/>
      <w:bookmarkStart w:id="184" w:name="_Toc254970681"/>
      <w:r>
        <w:rPr>
          <w:rFonts w:hint="eastAsia" w:ascii="宋体" w:hAnsi="宋体" w:cs="宋体"/>
          <w:bCs/>
          <w:color w:val="auto"/>
          <w:szCs w:val="21"/>
          <w:highlight w:val="none"/>
        </w:rPr>
        <w:t xml:space="preserve"> 投标有效期应按规定的期限作出承诺，具体详见“投标人须知前附表”。</w:t>
      </w:r>
    </w:p>
    <w:p w14:paraId="2E3F7107">
      <w:pPr>
        <w:shd w:val="clear" w:color="auto" w:fill="FFFFFF" w:themeFill="background1"/>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17.3投标人的投标文件在投标有效期内均保持有效。</w:t>
      </w:r>
      <w:bookmarkEnd w:id="183"/>
      <w:bookmarkEnd w:id="184"/>
    </w:p>
    <w:p w14:paraId="5851CBFD">
      <w:pPr>
        <w:shd w:val="clear" w:color="auto" w:fill="FFFFFF" w:themeFill="background1"/>
        <w:spacing w:line="360" w:lineRule="auto"/>
        <w:ind w:firstLine="480" w:firstLineChars="200"/>
        <w:rPr>
          <w:rFonts w:ascii="宋体" w:hAnsi="宋体" w:cs="宋体"/>
          <w:color w:val="auto"/>
          <w:sz w:val="24"/>
          <w:highlight w:val="none"/>
        </w:rPr>
      </w:pPr>
      <w:bookmarkStart w:id="185" w:name="_18.投标保证金"/>
      <w:bookmarkEnd w:id="185"/>
      <w:bookmarkStart w:id="186" w:name="_Toc254970541"/>
      <w:bookmarkStart w:id="187" w:name="_Toc254970682"/>
      <w:r>
        <w:rPr>
          <w:rFonts w:hint="eastAsia" w:ascii="宋体" w:hAnsi="宋体" w:cs="宋体"/>
          <w:color w:val="auto"/>
          <w:sz w:val="24"/>
          <w:highlight w:val="none"/>
        </w:rPr>
        <w:t>18.投标保证金</w:t>
      </w:r>
      <w:bookmarkEnd w:id="186"/>
      <w:bookmarkEnd w:id="187"/>
    </w:p>
    <w:p w14:paraId="3578D7C5">
      <w:pPr>
        <w:pStyle w:val="7"/>
        <w:keepNext w:val="0"/>
        <w:keepLines w:val="0"/>
        <w:shd w:val="clear" w:color="auto" w:fill="FFFFFF" w:themeFill="background1"/>
        <w:spacing w:before="0" w:after="0" w:line="360" w:lineRule="auto"/>
        <w:ind w:left="420" w:leftChars="200"/>
        <w:rPr>
          <w:rFonts w:ascii="宋体" w:hAnsi="宋体" w:cs="宋体"/>
          <w:b w:val="0"/>
          <w:color w:val="auto"/>
          <w:sz w:val="21"/>
          <w:szCs w:val="21"/>
          <w:highlight w:val="none"/>
        </w:rPr>
      </w:pPr>
      <w:bookmarkStart w:id="188" w:name="_Toc254970542"/>
      <w:bookmarkStart w:id="189" w:name="_Toc254970683"/>
      <w:r>
        <w:rPr>
          <w:rFonts w:hint="eastAsia" w:ascii="宋体" w:hAnsi="宋体" w:cs="宋体"/>
          <w:b w:val="0"/>
          <w:color w:val="auto"/>
          <w:sz w:val="21"/>
          <w:szCs w:val="21"/>
          <w:highlight w:val="none"/>
        </w:rPr>
        <w:t>18.1投标人须按“投标人须知前附表” 的规定提交投标保证金。</w:t>
      </w:r>
    </w:p>
    <w:p w14:paraId="0D8D41F7">
      <w:pPr>
        <w:pStyle w:val="7"/>
        <w:keepNext w:val="0"/>
        <w:keepLines w:val="0"/>
        <w:shd w:val="clear" w:color="auto" w:fill="FFFFFF" w:themeFill="background1"/>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18.2投标保证金的退还</w:t>
      </w:r>
    </w:p>
    <w:p w14:paraId="238477A1">
      <w:pPr>
        <w:pStyle w:val="7"/>
        <w:keepNext w:val="0"/>
        <w:keepLines w:val="0"/>
        <w:shd w:val="clear" w:color="auto" w:fill="FFFFFF" w:themeFill="background1"/>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18.2.1未中标人的投标保证金自中标通知书发出之日起5个工作日内退还，退还方式如下：</w:t>
      </w:r>
    </w:p>
    <w:p w14:paraId="1532FB65">
      <w:pPr>
        <w:pStyle w:val="7"/>
        <w:keepNext w:val="0"/>
        <w:keepLines w:val="0"/>
        <w:shd w:val="clear" w:color="auto" w:fill="FFFFFF" w:themeFill="background1"/>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（1）采用银行转账方式的，以转账方式退回到投标人银行账户。</w:t>
      </w:r>
    </w:p>
    <w:p w14:paraId="16ED121C">
      <w:pPr>
        <w:pStyle w:val="8"/>
        <w:shd w:val="clear" w:color="auto" w:fill="FFFFFF" w:themeFill="background1"/>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 xml:space="preserve">（2）采用支票、汇票、本票或者金融机构、担保机构出具的保函等方式的，由投标人代表持相关授权证明材料至采购代理机构办理支票、汇票、本票或者金融机构、担保机构出具的保函等原件退还手续。 </w:t>
      </w:r>
    </w:p>
    <w:p w14:paraId="6F2D2F23">
      <w:pPr>
        <w:pStyle w:val="7"/>
        <w:keepNext w:val="0"/>
        <w:keepLines w:val="0"/>
        <w:shd w:val="clear" w:color="auto" w:fill="FFFFFF" w:themeFill="background1"/>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18.2.2中标人的投标保证金自采购合同签订之日起5个工作日内退还，退还方式同本须知正文第18.2.1，或者转为中标人的履约保证金。 </w:t>
      </w:r>
    </w:p>
    <w:p w14:paraId="023BCA33">
      <w:pPr>
        <w:pStyle w:val="7"/>
        <w:keepNext w:val="0"/>
        <w:keepLines w:val="0"/>
        <w:shd w:val="clear" w:color="auto" w:fill="FFFFFF" w:themeFill="background1"/>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18.3除逾期退还投标保证金和终止招标的情形以外，投标保证金不计息。</w:t>
      </w:r>
    </w:p>
    <w:p w14:paraId="3E2E8E6C">
      <w:pPr>
        <w:pStyle w:val="7"/>
        <w:keepNext w:val="0"/>
        <w:keepLines w:val="0"/>
        <w:shd w:val="clear" w:color="auto" w:fill="FFFFFF" w:themeFill="background1"/>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18.4投标人有下列情形之一的，投标保证金将不予退还： </w:t>
      </w:r>
    </w:p>
    <w:p w14:paraId="6D34B9FC">
      <w:pPr>
        <w:shd w:val="clear" w:color="auto" w:fill="FFFFFF" w:themeFill="background1"/>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（1）投标人在投标有效期内撤销投标文件的；</w:t>
      </w:r>
    </w:p>
    <w:p w14:paraId="4BA99A1C">
      <w:pPr>
        <w:shd w:val="clear" w:color="auto" w:fill="FFFFFF" w:themeFill="background1"/>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（2）未按规定提交履约保证金的；</w:t>
      </w:r>
    </w:p>
    <w:p w14:paraId="624B2290">
      <w:pPr>
        <w:shd w:val="clear" w:color="auto" w:fill="FFFFFF" w:themeFill="background1"/>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（3）投标人在投标过程中弄虚作假，提供虚假材料的；</w:t>
      </w:r>
    </w:p>
    <w:p w14:paraId="1819C05E">
      <w:pPr>
        <w:shd w:val="clear" w:color="auto" w:fill="FFFFFF" w:themeFill="background1"/>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（4）中标人无正当理由不与采购人签订合同的；</w:t>
      </w:r>
    </w:p>
    <w:p w14:paraId="1A183485">
      <w:pPr>
        <w:shd w:val="clear" w:color="auto" w:fill="FFFFFF" w:themeFill="background1"/>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（5）投标人出现本章第9.2、9.3情形的；</w:t>
      </w:r>
    </w:p>
    <w:p w14:paraId="3CB67E1A">
      <w:pPr>
        <w:shd w:val="clear" w:color="auto" w:fill="FFFFFF" w:themeFill="background1"/>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（6）其他严重扰乱招投标程序的。</w:t>
      </w:r>
    </w:p>
    <w:p w14:paraId="210576DA">
      <w:pPr>
        <w:shd w:val="clear" w:color="auto" w:fill="FFFFFF" w:themeFill="background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19.投标文件的</w:t>
      </w:r>
      <w:bookmarkEnd w:id="188"/>
      <w:bookmarkEnd w:id="189"/>
      <w:r>
        <w:rPr>
          <w:rFonts w:hint="eastAsia" w:ascii="宋体" w:hAnsi="宋体" w:cs="宋体"/>
          <w:color w:val="auto"/>
          <w:sz w:val="24"/>
          <w:highlight w:val="none"/>
        </w:rPr>
        <w:t>编制</w:t>
      </w:r>
    </w:p>
    <w:p w14:paraId="3AEC112B">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19.1投标文件编制要求详见“投标人须知前附表”。投标人应按本招标文件规定的格式和顺序编制投标文件并标注页码，投标文件内容不完整、编排混乱导致投标文件被误读、漏读或者查找不到相关内容的，由此引发的后果由投标人承担。</w:t>
      </w:r>
      <w:bookmarkStart w:id="190" w:name="_19.2投标文件应按报价文件、资格证明文件、商务文件、技术文件分别编制"/>
      <w:bookmarkEnd w:id="190"/>
      <w:r>
        <w:rPr>
          <w:rFonts w:hint="eastAsia" w:ascii="宋体" w:hAnsi="宋体" w:cs="宋体"/>
          <w:color w:val="auto"/>
          <w:szCs w:val="21"/>
          <w:highlight w:val="none"/>
        </w:rPr>
        <w:t xml:space="preserve"> </w:t>
      </w:r>
    </w:p>
    <w:p w14:paraId="22ABC903">
      <w:pPr>
        <w:pStyle w:val="38"/>
        <w:shd w:val="clear" w:color="auto" w:fill="FFFFFF" w:themeFill="background1"/>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19.2投标文件按照招标文件第六章格式要求进行签署、盖章。投标人的投标文件未按照招标文件要求签署、盖章的，</w:t>
      </w:r>
      <w:r>
        <w:rPr>
          <w:rFonts w:hint="eastAsia" w:ascii="宋体" w:hAnsi="宋体" w:cs="宋体"/>
          <w:b/>
          <w:color w:val="auto"/>
          <w:sz w:val="21"/>
          <w:szCs w:val="21"/>
          <w:highlight w:val="none"/>
        </w:rPr>
        <w:t>其投标无效。</w:t>
      </w:r>
    </w:p>
    <w:p w14:paraId="2BA5C1C4">
      <w:pPr>
        <w:pStyle w:val="38"/>
        <w:shd w:val="clear" w:color="auto" w:fill="FFFFFF" w:themeFill="background1"/>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19.3为确保网上操作合法、有效和安全，投标人应当在投标截止时间前完成在广西政府采购云平台的身份认证，确保在电子投标过程中能够对相关数据电文进行加密和使用电子签名。</w:t>
      </w:r>
    </w:p>
    <w:p w14:paraId="75DCEDF8">
      <w:pPr>
        <w:shd w:val="clear" w:color="auto" w:fill="FFFFFF" w:themeFill="background1"/>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19.4投标文件中标注的投标人名称应与主体资格证明（如营业执照、事业单位法人证书、执业许可证、自然人身份证等）及公章一致，</w:t>
      </w:r>
      <w:r>
        <w:rPr>
          <w:rFonts w:hint="eastAsia" w:ascii="宋体" w:hAnsi="宋体" w:cs="宋体"/>
          <w:color w:val="auto"/>
          <w:szCs w:val="21"/>
          <w:highlight w:val="none"/>
        </w:rPr>
        <w:t>否则作无效投标处理</w:t>
      </w:r>
      <w:r>
        <w:rPr>
          <w:rFonts w:hint="eastAsia" w:ascii="宋体" w:hAnsi="宋体" w:cs="宋体"/>
          <w:b/>
          <w:color w:val="auto"/>
          <w:szCs w:val="21"/>
          <w:highlight w:val="none"/>
        </w:rPr>
        <w:t>。</w:t>
      </w:r>
    </w:p>
    <w:p w14:paraId="683A729B">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19.5投标文件应避免涂改、行间插字或者删除。</w:t>
      </w:r>
    </w:p>
    <w:p w14:paraId="613D9A55">
      <w:pPr>
        <w:shd w:val="clear" w:color="auto" w:fill="FFFFFF" w:themeFill="background1"/>
        <w:spacing w:line="360" w:lineRule="auto"/>
        <w:ind w:firstLine="525" w:firstLineChars="250"/>
        <w:rPr>
          <w:rFonts w:ascii="宋体" w:hAnsi="宋体" w:cs="宋体"/>
          <w:color w:val="auto"/>
          <w:highlight w:val="none"/>
        </w:rPr>
      </w:pPr>
      <w:r>
        <w:rPr>
          <w:rFonts w:hint="eastAsia" w:ascii="宋体" w:hAnsi="宋体" w:cs="宋体"/>
          <w:color w:val="auto"/>
          <w:highlight w:val="none"/>
        </w:rPr>
        <w:t>19.6 对招标文件的实质性要求和条件作出响应是指投标人必须对招标文件中标注为实质性要求和条件的</w:t>
      </w:r>
      <w:r>
        <w:rPr>
          <w:rFonts w:hint="eastAsia" w:ascii="宋体" w:hAnsi="宋体" w:cs="宋体"/>
          <w:color w:val="auto"/>
          <w:szCs w:val="21"/>
          <w:highlight w:val="none"/>
        </w:rPr>
        <w:t>服务内容及要求</w:t>
      </w:r>
      <w:r>
        <w:rPr>
          <w:rFonts w:hint="eastAsia" w:ascii="宋体" w:hAnsi="宋体" w:cs="宋体"/>
          <w:color w:val="auto"/>
          <w:highlight w:val="none"/>
        </w:rPr>
        <w:t>、商务条款及其它内容</w:t>
      </w:r>
      <w:r>
        <w:rPr>
          <w:rFonts w:hint="eastAsia" w:ascii="宋体" w:hAnsi="宋体" w:cs="宋体"/>
          <w:b/>
          <w:color w:val="auto"/>
          <w:highlight w:val="none"/>
        </w:rPr>
        <w:t>作出满足或者优于原要求和条件的承诺</w:t>
      </w:r>
      <w:r>
        <w:rPr>
          <w:rFonts w:hint="eastAsia" w:ascii="宋体" w:hAnsi="宋体" w:cs="宋体"/>
          <w:color w:val="auto"/>
          <w:highlight w:val="none"/>
        </w:rPr>
        <w:t>。</w:t>
      </w:r>
    </w:p>
    <w:p w14:paraId="305F9CBF">
      <w:pPr>
        <w:shd w:val="clear" w:color="auto" w:fill="FFFFFF" w:themeFill="background1"/>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19.7本项目为全流程电子化项目，异常情况见“第二节 投标人须知正文”中“四、24.2开标程序。</w:t>
      </w:r>
    </w:p>
    <w:p w14:paraId="70495691">
      <w:pPr>
        <w:shd w:val="clear" w:color="auto" w:fill="FFFFFF" w:themeFill="background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20.备份投标文件</w:t>
      </w:r>
    </w:p>
    <w:p w14:paraId="5C88E3CE">
      <w:pPr>
        <w:shd w:val="clear" w:color="auto" w:fill="FFFFFF" w:themeFill="background1"/>
        <w:spacing w:line="360" w:lineRule="auto"/>
        <w:ind w:firstLine="420" w:firstLineChars="200"/>
        <w:rPr>
          <w:rFonts w:ascii="宋体" w:hAnsi="宋体" w:cs="宋体"/>
          <w:color w:val="auto"/>
          <w:sz w:val="24"/>
          <w:highlight w:val="none"/>
        </w:rPr>
      </w:pPr>
      <w:r>
        <w:rPr>
          <w:rFonts w:hint="eastAsia" w:ascii="宋体" w:hAnsi="宋体" w:cs="宋体"/>
          <w:bCs/>
          <w:color w:val="auto"/>
          <w:szCs w:val="21"/>
          <w:highlight w:val="none"/>
        </w:rPr>
        <w:t>详见在“投标人须知前附表”。</w:t>
      </w:r>
    </w:p>
    <w:p w14:paraId="096F0863">
      <w:pPr>
        <w:shd w:val="clear" w:color="auto" w:fill="FFFFFF" w:themeFill="background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21.投标文件的提交</w:t>
      </w:r>
    </w:p>
    <w:p w14:paraId="4E25B407">
      <w:pPr>
        <w:shd w:val="clear" w:color="auto" w:fill="FFFFFF" w:themeFill="background1"/>
        <w:spacing w:line="360" w:lineRule="auto"/>
        <w:ind w:firstLine="420" w:firstLineChars="200"/>
        <w:rPr>
          <w:rFonts w:hAnsi="宋体"/>
          <w:b/>
          <w:color w:val="auto"/>
          <w:highlight w:val="none"/>
        </w:rPr>
      </w:pPr>
      <w:bookmarkStart w:id="191" w:name="_21.1投标人必须在“投标人须知中的前附表”规定的投标文件接收时间和投"/>
      <w:bookmarkEnd w:id="191"/>
      <w:r>
        <w:rPr>
          <w:rFonts w:hint="eastAsia" w:ascii="宋体" w:hAnsi="宋体" w:cs="宋体"/>
          <w:bCs/>
          <w:color w:val="auto"/>
          <w:szCs w:val="21"/>
          <w:highlight w:val="none"/>
        </w:rPr>
        <w:t>21.1</w:t>
      </w:r>
      <w:r>
        <w:rPr>
          <w:rFonts w:hint="eastAsia" w:hAnsi="宋体"/>
          <w:bCs/>
          <w:color w:val="auto"/>
          <w:szCs w:val="21"/>
          <w:highlight w:val="none"/>
        </w:rPr>
        <w:t>投标人必须在“投标人须知前附表”规定的投标文件接收时间和投标地点提交电子版投标文件。电子投标文件应在制作完成后，在投标截止时间前通过有效数字证书（</w:t>
      </w:r>
      <w:r>
        <w:rPr>
          <w:rFonts w:hAnsi="宋体"/>
          <w:bCs/>
          <w:color w:val="auto"/>
          <w:szCs w:val="21"/>
          <w:highlight w:val="none"/>
        </w:rPr>
        <w:t>CA</w:t>
      </w:r>
      <w:r>
        <w:rPr>
          <w:rFonts w:hint="eastAsia" w:hAnsi="宋体"/>
          <w:bCs/>
          <w:color w:val="auto"/>
          <w:szCs w:val="21"/>
          <w:highlight w:val="none"/>
        </w:rPr>
        <w:t>认证锁）进行电子签章、加密，然后通过网络将加密的电子投标文件递交至广西政府采购云平台。</w:t>
      </w:r>
      <w:r>
        <w:rPr>
          <w:rFonts w:hAnsi="宋体"/>
          <w:bCs/>
          <w:color w:val="auto"/>
          <w:szCs w:val="21"/>
          <w:highlight w:val="none"/>
        </w:rPr>
        <w:t xml:space="preserve"> </w:t>
      </w:r>
      <w:r>
        <w:rPr>
          <w:rFonts w:hAnsi="宋体"/>
          <w:b/>
          <w:color w:val="auto"/>
          <w:highlight w:val="none"/>
        </w:rPr>
        <w:t xml:space="preserve"> </w:t>
      </w:r>
    </w:p>
    <w:p w14:paraId="01DC4531">
      <w:pPr>
        <w:shd w:val="clear" w:color="auto" w:fill="FFFFFF" w:themeFill="background1"/>
        <w:spacing w:line="360" w:lineRule="auto"/>
        <w:ind w:firstLine="422" w:firstLineChars="200"/>
        <w:rPr>
          <w:rFonts w:ascii="宋体" w:hAnsi="宋体"/>
          <w:b/>
          <w:color w:val="auto"/>
          <w:szCs w:val="20"/>
          <w:highlight w:val="none"/>
        </w:rPr>
      </w:pPr>
      <w:r>
        <w:rPr>
          <w:rFonts w:hint="eastAsia" w:ascii="宋体" w:hAnsi="宋体"/>
          <w:b/>
          <w:color w:val="auto"/>
          <w:szCs w:val="21"/>
          <w:highlight w:val="none"/>
        </w:rPr>
        <w:t>21.2未在规定时间内提交或者未按照招标文件要求密封或者标记的电子投标文件，广西政府采购云平台将拒收。</w:t>
      </w:r>
    </w:p>
    <w:p w14:paraId="41F0FD86">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21.3电子版投标文件提交方式见“招标公告”。</w:t>
      </w:r>
    </w:p>
    <w:p w14:paraId="515E4FB5">
      <w:pPr>
        <w:shd w:val="clear" w:color="auto" w:fill="FFFFFF" w:themeFill="background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投标文件的补充、修改、撤回</w:t>
      </w:r>
      <w:bookmarkStart w:id="192" w:name="_Toc254970684"/>
      <w:bookmarkStart w:id="193" w:name="_Toc254970543"/>
    </w:p>
    <w:p w14:paraId="73444C05">
      <w:pPr>
        <w:shd w:val="clear" w:color="auto" w:fill="FFFFFF" w:themeFill="background1"/>
        <w:spacing w:line="360" w:lineRule="auto"/>
        <w:ind w:firstLine="420" w:firstLineChars="200"/>
        <w:rPr>
          <w:rFonts w:ascii="宋体" w:hAnsi="宋体" w:cs="宋体"/>
          <w:color w:val="auto"/>
          <w:sz w:val="24"/>
          <w:highlight w:val="none"/>
        </w:rPr>
      </w:pPr>
      <w:r>
        <w:rPr>
          <w:rFonts w:hint="eastAsia" w:ascii="宋体" w:hAnsi="宋体" w:cs="宋体"/>
          <w:color w:val="auto"/>
          <w:szCs w:val="21"/>
          <w:highlight w:val="none"/>
        </w:rPr>
        <w:t>22.1 投标人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提交的投标文件，广西政府采购云平台将拒收。</w:t>
      </w:r>
    </w:p>
    <w:p w14:paraId="1D257200">
      <w:pPr>
        <w:pStyle w:val="38"/>
        <w:shd w:val="clear" w:color="auto" w:fill="FFFFFF" w:themeFill="background1"/>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22.2广西政府采购云平台收到投标文件，将妥善保存并即时向投标人发出确认回执通知。在投标截止时间前，除投标人补充、修改或者撤回投标文件外，任何单位和个人不得解密或提取投标文件。</w:t>
      </w:r>
    </w:p>
    <w:bookmarkEnd w:id="192"/>
    <w:bookmarkEnd w:id="193"/>
    <w:p w14:paraId="167F7EF5">
      <w:pPr>
        <w:pStyle w:val="11"/>
        <w:shd w:val="clear" w:color="auto" w:fill="FFFFFF" w:themeFill="background1"/>
        <w:snapToGrid w:val="0"/>
        <w:spacing w:line="400" w:lineRule="exact"/>
        <w:ind w:firstLine="739"/>
        <w:rPr>
          <w:rFonts w:hAnsi="宋体" w:cs="宋体"/>
          <w:snapToGrid w:val="0"/>
          <w:color w:val="auto"/>
          <w:sz w:val="21"/>
          <w:szCs w:val="21"/>
          <w:highlight w:val="none"/>
        </w:rPr>
      </w:pPr>
    </w:p>
    <w:p w14:paraId="0E0036B7">
      <w:pPr>
        <w:pStyle w:val="5"/>
        <w:keepNext w:val="0"/>
        <w:keepLines w:val="0"/>
        <w:shd w:val="clear" w:color="auto" w:fill="FFFFFF" w:themeFill="background1"/>
        <w:spacing w:line="400" w:lineRule="exact"/>
        <w:jc w:val="center"/>
        <w:rPr>
          <w:rFonts w:ascii="宋体" w:hAnsi="宋体" w:cs="宋体"/>
          <w:color w:val="auto"/>
          <w:highlight w:val="none"/>
        </w:rPr>
      </w:pPr>
      <w:bookmarkStart w:id="194" w:name="_Toc12790"/>
      <w:bookmarkStart w:id="195" w:name="_Toc14091"/>
      <w:bookmarkStart w:id="196" w:name="_Toc1356"/>
      <w:bookmarkStart w:id="197" w:name="_Toc810"/>
      <w:bookmarkStart w:id="198" w:name="_Toc254970544"/>
      <w:bookmarkStart w:id="199" w:name="_Toc27037"/>
      <w:bookmarkStart w:id="200" w:name="_Toc2573"/>
      <w:bookmarkStart w:id="201" w:name="_Toc22661"/>
      <w:bookmarkStart w:id="202" w:name="_Toc254970685"/>
      <w:bookmarkStart w:id="203" w:name="_Toc1586"/>
      <w:bookmarkStart w:id="204" w:name="_Toc13250"/>
      <w:bookmarkStart w:id="205" w:name="_Toc32494"/>
      <w:r>
        <w:rPr>
          <w:rFonts w:hint="eastAsia" w:ascii="宋体" w:hAnsi="宋体" w:cs="宋体"/>
          <w:color w:val="auto"/>
          <w:highlight w:val="none"/>
        </w:rPr>
        <w:t>四、开    标</w:t>
      </w:r>
      <w:bookmarkEnd w:id="194"/>
      <w:bookmarkEnd w:id="195"/>
      <w:bookmarkEnd w:id="196"/>
      <w:bookmarkEnd w:id="197"/>
      <w:bookmarkEnd w:id="198"/>
      <w:bookmarkEnd w:id="199"/>
      <w:bookmarkEnd w:id="200"/>
      <w:bookmarkEnd w:id="201"/>
      <w:bookmarkEnd w:id="202"/>
      <w:bookmarkEnd w:id="203"/>
      <w:bookmarkEnd w:id="204"/>
      <w:bookmarkEnd w:id="205"/>
    </w:p>
    <w:p w14:paraId="0770E22C">
      <w:pPr>
        <w:shd w:val="clear" w:color="auto" w:fill="FFFFFF" w:themeFill="background1"/>
        <w:spacing w:line="360" w:lineRule="auto"/>
        <w:ind w:firstLine="480" w:firstLineChars="200"/>
        <w:rPr>
          <w:rFonts w:ascii="宋体" w:hAnsi="宋体" w:cs="宋体"/>
          <w:color w:val="auto"/>
          <w:sz w:val="24"/>
          <w:highlight w:val="none"/>
        </w:rPr>
      </w:pPr>
      <w:bookmarkStart w:id="206" w:name="_23.开标时间和地点"/>
      <w:bookmarkEnd w:id="206"/>
      <w:r>
        <w:rPr>
          <w:rFonts w:hint="eastAsia" w:ascii="宋体" w:hAnsi="宋体" w:cs="宋体"/>
          <w:color w:val="auto"/>
          <w:sz w:val="24"/>
          <w:highlight w:val="none"/>
        </w:rPr>
        <w:t>23.开标时间和地点</w:t>
      </w:r>
    </w:p>
    <w:p w14:paraId="6CCA0CFD">
      <w:pPr>
        <w:shd w:val="clear" w:color="auto" w:fill="FFFFFF" w:themeFill="background1"/>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23.1开标时间及地点详见“投标人须知前附表”</w:t>
      </w:r>
    </w:p>
    <w:p w14:paraId="3F76F33F">
      <w:pPr>
        <w:shd w:val="clear" w:color="auto" w:fill="FFFFFF" w:themeFill="background1"/>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23.2如</w:t>
      </w:r>
      <w:r>
        <w:rPr>
          <w:rFonts w:hint="eastAsia" w:ascii="宋体" w:hAnsi="宋体" w:cs="宋体"/>
          <w:bCs/>
          <w:color w:val="auto"/>
          <w:highlight w:val="none"/>
        </w:rPr>
        <w:t>投标人成功解密投标文件，但未在广西政府采购云平台电子开标大厅参加开标的，视同认可开标过程和结果，</w:t>
      </w:r>
      <w:r>
        <w:rPr>
          <w:rFonts w:hint="eastAsia" w:ascii="宋体" w:hAnsi="宋体" w:cs="宋体"/>
          <w:color w:val="auto"/>
          <w:highlight w:val="none"/>
        </w:rPr>
        <w:t>由此产生的后果由投标人自行负责。 投标人不足3家的，不得开标。</w:t>
      </w:r>
    </w:p>
    <w:p w14:paraId="0E95CD60">
      <w:pPr>
        <w:shd w:val="clear" w:color="auto" w:fill="FFFFFF" w:themeFill="background1"/>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24.开标程序</w:t>
      </w:r>
    </w:p>
    <w:p w14:paraId="4E275904">
      <w:pPr>
        <w:shd w:val="clear" w:color="auto" w:fill="FFFFFF" w:themeFill="background1"/>
        <w:autoSpaceDE w:val="0"/>
        <w:autoSpaceDN w:val="0"/>
        <w:adjustRightInd w:val="0"/>
        <w:spacing w:line="440" w:lineRule="exact"/>
        <w:ind w:firstLine="420" w:firstLineChars="200"/>
        <w:rPr>
          <w:rFonts w:ascii="宋体" w:hAnsi="宋体" w:cs="宋体"/>
          <w:color w:val="auto"/>
          <w:kern w:val="0"/>
          <w:szCs w:val="21"/>
          <w:highlight w:val="none"/>
        </w:rPr>
      </w:pPr>
      <w:r>
        <w:rPr>
          <w:rFonts w:hint="eastAsia" w:ascii="宋体" w:hAnsi="宋体" w:cs="宋体"/>
          <w:bCs/>
          <w:color w:val="auto"/>
          <w:szCs w:val="21"/>
          <w:highlight w:val="none"/>
        </w:rPr>
        <w:t>24.1</w:t>
      </w:r>
      <w:r>
        <w:rPr>
          <w:rFonts w:hint="eastAsia" w:ascii="宋体" w:hAnsi="宋体" w:cs="宋体"/>
          <w:color w:val="auto"/>
          <w:kern w:val="0"/>
          <w:szCs w:val="21"/>
          <w:highlight w:val="none"/>
        </w:rPr>
        <w:t>开标形式：</w:t>
      </w:r>
    </w:p>
    <w:p w14:paraId="5400BE49">
      <w:pPr>
        <w:shd w:val="clear" w:color="auto" w:fill="FFFFFF" w:themeFill="background1"/>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color w:val="auto"/>
          <w:szCs w:val="21"/>
          <w:highlight w:val="none"/>
        </w:rPr>
        <w:t>（1）</w:t>
      </w:r>
      <w:r>
        <w:rPr>
          <w:rFonts w:hint="eastAsia" w:ascii="宋体" w:hAnsi="宋体"/>
          <w:bCs/>
          <w:color w:val="auto"/>
          <w:szCs w:val="21"/>
          <w:highlight w:val="none"/>
        </w:rPr>
        <w:t>开标的准备工作由采购代理机构负责落实，采购代理机构必须基于广西政府采购云平台依法抽取评审专家，如采购代理机构未按规定抽取专家的，视为本次开评标无效，应当重新采购；</w:t>
      </w:r>
    </w:p>
    <w:p w14:paraId="5E9993E3">
      <w:pPr>
        <w:shd w:val="clear" w:color="auto" w:fill="FFFFFF" w:themeFill="background1"/>
        <w:autoSpaceDE w:val="0"/>
        <w:autoSpaceDN w:val="0"/>
        <w:adjustRightInd w:val="0"/>
        <w:spacing w:line="440" w:lineRule="exact"/>
        <w:ind w:firstLine="420" w:firstLineChars="200"/>
        <w:rPr>
          <w:rFonts w:ascii="宋体" w:hAnsi="宋体" w:cs="宋体"/>
          <w:bCs/>
          <w:color w:val="auto"/>
          <w:szCs w:val="21"/>
          <w:highlight w:val="none"/>
        </w:rPr>
      </w:pPr>
      <w:r>
        <w:rPr>
          <w:rFonts w:hint="eastAsia" w:ascii="宋体" w:hAnsi="宋体"/>
          <w:bCs/>
          <w:color w:val="auto"/>
          <w:szCs w:val="21"/>
          <w:highlight w:val="none"/>
        </w:rPr>
        <w:t>（2）采购代理机构将按照招标文件规定的时间通过广西政府采购云平台组织线上开标活动、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45F81DF5">
      <w:pPr>
        <w:shd w:val="clear" w:color="auto" w:fill="FFFFFF" w:themeFill="background1"/>
        <w:autoSpaceDE w:val="0"/>
        <w:autoSpaceDN w:val="0"/>
        <w:adjustRightInd w:val="0"/>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24.2开标程序：</w:t>
      </w:r>
    </w:p>
    <w:p w14:paraId="4F4EEA9C">
      <w:pPr>
        <w:pStyle w:val="14"/>
        <w:numPr>
          <w:ilvl w:val="0"/>
          <w:numId w:val="1"/>
        </w:numPr>
        <w:shd w:val="clear" w:color="auto" w:fill="FFFFFF" w:themeFill="background1"/>
        <w:snapToGrid w:val="0"/>
        <w:spacing w:line="440" w:lineRule="exact"/>
        <w:ind w:firstLine="422" w:firstLineChars="200"/>
        <w:rPr>
          <w:rFonts w:hAnsi="宋体"/>
          <w:b/>
          <w:color w:val="auto"/>
          <w:szCs w:val="21"/>
          <w:highlight w:val="none"/>
        </w:rPr>
      </w:pPr>
      <w:r>
        <w:rPr>
          <w:rFonts w:hint="eastAsia" w:hAnsi="宋体"/>
          <w:b/>
          <w:color w:val="auto"/>
          <w:szCs w:val="21"/>
          <w:highlight w:val="none"/>
        </w:rPr>
        <w:t>解密电子投标文件。广西政府采购云平台</w:t>
      </w:r>
      <w:r>
        <w:rPr>
          <w:rFonts w:hint="eastAsia" w:hAnsi="宋体" w:cs="仿宋_GB2312"/>
          <w:color w:val="auto"/>
          <w:szCs w:val="21"/>
          <w:highlight w:val="none"/>
        </w:rPr>
        <w:t>按开标时间自动提取所有投标文件。采购代理机构依托广西政府采购云平台</w:t>
      </w:r>
      <w:r>
        <w:rPr>
          <w:rFonts w:hint="eastAsia" w:hAnsi="宋体"/>
          <w:color w:val="auto"/>
          <w:szCs w:val="21"/>
          <w:highlight w:val="none"/>
        </w:rPr>
        <w:t>向各投标人发出电子加密投标文件【开始解密】通知，由投标人在规定的时间内自行将投标文件在线解密。投标人的法定代表人或其委托代理人</w:t>
      </w:r>
      <w:r>
        <w:rPr>
          <w:rFonts w:hint="eastAsia" w:hAnsi="宋体"/>
          <w:b/>
          <w:color w:val="auto"/>
          <w:szCs w:val="21"/>
          <w:highlight w:val="none"/>
        </w:rPr>
        <w:t>须携带加密时所用的CA锁准时登录到广西政府采购云平台电子开标大厅签到并对电子投标文件在线解密</w:t>
      </w:r>
      <w:r>
        <w:rPr>
          <w:rFonts w:hint="eastAsia" w:hAnsi="宋体"/>
          <w:color w:val="auto"/>
          <w:szCs w:val="21"/>
          <w:highlight w:val="none"/>
        </w:rPr>
        <w:t>。</w:t>
      </w:r>
      <w:r>
        <w:rPr>
          <w:rFonts w:hint="eastAsia" w:hAnsi="宋体"/>
          <w:b/>
          <w:bCs/>
          <w:color w:val="auto"/>
          <w:szCs w:val="21"/>
          <w:highlight w:val="none"/>
        </w:rPr>
        <w:t>投标文件未按时解密的，</w:t>
      </w:r>
      <w:r>
        <w:rPr>
          <w:rFonts w:hint="eastAsia" w:hAnsi="宋体"/>
          <w:b/>
          <w:color w:val="auto"/>
          <w:szCs w:val="21"/>
          <w:highlight w:val="none"/>
        </w:rPr>
        <w:t>均视为无效投标。</w:t>
      </w:r>
    </w:p>
    <w:p w14:paraId="29559336">
      <w:pPr>
        <w:pStyle w:val="14"/>
        <w:shd w:val="clear" w:color="auto" w:fill="FFFFFF" w:themeFill="background1"/>
        <w:snapToGrid w:val="0"/>
        <w:spacing w:line="440" w:lineRule="exact"/>
        <w:rPr>
          <w:rFonts w:hAnsi="宋体"/>
          <w:color w:val="auto"/>
          <w:szCs w:val="21"/>
          <w:highlight w:val="none"/>
        </w:rPr>
      </w:pPr>
      <w:r>
        <w:rPr>
          <w:rFonts w:hint="eastAsia" w:hAnsi="宋体"/>
          <w:color w:val="auto"/>
          <w:szCs w:val="21"/>
          <w:highlight w:val="none"/>
        </w:rPr>
        <w:t>（解密</w:t>
      </w:r>
      <w:r>
        <w:rPr>
          <w:rFonts w:hint="eastAsia" w:hAnsi="宋体"/>
          <w:bCs/>
          <w:color w:val="auto"/>
          <w:szCs w:val="21"/>
          <w:highlight w:val="none"/>
        </w:rPr>
        <w:t>异常情况处理：详见本章</w:t>
      </w:r>
      <w:r>
        <w:rPr>
          <w:rFonts w:hint="eastAsia" w:hAnsi="宋体"/>
          <w:color w:val="auto"/>
          <w:highlight w:val="none"/>
        </w:rPr>
        <w:t>29.3 电子交易活动的中止。</w:t>
      </w:r>
      <w:r>
        <w:rPr>
          <w:rFonts w:hint="eastAsia" w:hAnsi="宋体"/>
          <w:color w:val="auto"/>
          <w:szCs w:val="21"/>
          <w:highlight w:val="none"/>
        </w:rPr>
        <w:t>）</w:t>
      </w:r>
    </w:p>
    <w:p w14:paraId="181A6BAB">
      <w:pPr>
        <w:pStyle w:val="14"/>
        <w:numPr>
          <w:ilvl w:val="0"/>
          <w:numId w:val="1"/>
        </w:numPr>
        <w:shd w:val="clear" w:color="auto" w:fill="FFFFFF" w:themeFill="background1"/>
        <w:snapToGrid w:val="0"/>
        <w:spacing w:line="440" w:lineRule="exact"/>
        <w:ind w:firstLine="422" w:firstLineChars="200"/>
        <w:rPr>
          <w:rFonts w:hAnsi="宋体"/>
          <w:color w:val="auto"/>
          <w:szCs w:val="21"/>
          <w:highlight w:val="none"/>
        </w:rPr>
      </w:pPr>
      <w:r>
        <w:rPr>
          <w:rFonts w:hint="eastAsia" w:hAnsi="宋体"/>
          <w:b/>
          <w:color w:val="auto"/>
          <w:szCs w:val="21"/>
          <w:highlight w:val="none"/>
        </w:rPr>
        <w:t>电子唱标。</w:t>
      </w:r>
      <w:r>
        <w:rPr>
          <w:rFonts w:hint="eastAsia" w:hAnsi="宋体"/>
          <w:color w:val="auto"/>
          <w:szCs w:val="21"/>
          <w:highlight w:val="none"/>
        </w:rPr>
        <w:t>投标文件解密结束，各投标人报价均在广西政府采购云平台远程不见面开标大厅展示；</w:t>
      </w:r>
    </w:p>
    <w:p w14:paraId="0E445058">
      <w:pPr>
        <w:pStyle w:val="14"/>
        <w:numPr>
          <w:ilvl w:val="0"/>
          <w:numId w:val="1"/>
        </w:numPr>
        <w:shd w:val="clear" w:color="auto" w:fill="FFFFFF" w:themeFill="background1"/>
        <w:snapToGrid w:val="0"/>
        <w:spacing w:line="440" w:lineRule="exact"/>
        <w:ind w:firstLine="420" w:firstLineChars="200"/>
        <w:rPr>
          <w:rFonts w:hAnsi="宋体"/>
          <w:bCs/>
          <w:color w:val="auto"/>
          <w:szCs w:val="21"/>
          <w:highlight w:val="none"/>
        </w:rPr>
      </w:pPr>
      <w:r>
        <w:rPr>
          <w:rFonts w:hint="eastAsia" w:hAnsi="宋体"/>
          <w:bCs/>
          <w:color w:val="auto"/>
          <w:szCs w:val="21"/>
          <w:highlight w:val="none"/>
        </w:rPr>
        <w:t>开标过程由采购代理机构如实记录，并电子留痕，由参加电子开标的各投标人代表对电子开标记录在开标记录公布后15分钟内进行当场校核及勘误，并线上确认，未确认的视同认可开标结果。</w:t>
      </w:r>
    </w:p>
    <w:p w14:paraId="4E8BD61C">
      <w:pPr>
        <w:pStyle w:val="14"/>
        <w:numPr>
          <w:ilvl w:val="0"/>
          <w:numId w:val="1"/>
        </w:numPr>
        <w:shd w:val="clear" w:color="auto" w:fill="FFFFFF" w:themeFill="background1"/>
        <w:snapToGrid w:val="0"/>
        <w:spacing w:line="440" w:lineRule="exact"/>
        <w:ind w:firstLine="420" w:firstLineChars="200"/>
        <w:rPr>
          <w:rFonts w:hAnsi="宋体"/>
          <w:bCs/>
          <w:color w:val="auto"/>
          <w:szCs w:val="21"/>
          <w:highlight w:val="none"/>
        </w:rPr>
      </w:pPr>
      <w:r>
        <w:rPr>
          <w:rFonts w:hint="eastAsia" w:hAnsi="宋体"/>
          <w:bCs/>
          <w:color w:val="auto"/>
          <w:szCs w:val="21"/>
          <w:highlight w:val="none"/>
        </w:rPr>
        <w:t>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428BDDA0">
      <w:pPr>
        <w:pStyle w:val="14"/>
        <w:numPr>
          <w:ilvl w:val="0"/>
          <w:numId w:val="1"/>
        </w:numPr>
        <w:shd w:val="clear" w:color="auto" w:fill="FFFFFF" w:themeFill="background1"/>
        <w:snapToGrid w:val="0"/>
        <w:spacing w:line="440" w:lineRule="exact"/>
        <w:ind w:firstLine="420" w:firstLineChars="200"/>
        <w:rPr>
          <w:rFonts w:hAnsi="宋体"/>
          <w:bCs/>
          <w:color w:val="auto"/>
          <w:szCs w:val="21"/>
          <w:highlight w:val="none"/>
        </w:rPr>
      </w:pPr>
      <w:r>
        <w:rPr>
          <w:rFonts w:hint="eastAsia" w:hAnsi="宋体"/>
          <w:bCs/>
          <w:color w:val="auto"/>
          <w:szCs w:val="21"/>
          <w:highlight w:val="none"/>
        </w:rPr>
        <w:t>开标结束。</w:t>
      </w:r>
    </w:p>
    <w:p w14:paraId="0B0FA4D5">
      <w:pPr>
        <w:pStyle w:val="14"/>
        <w:shd w:val="clear" w:color="auto" w:fill="FFFFFF" w:themeFill="background1"/>
        <w:snapToGrid w:val="0"/>
        <w:spacing w:line="440" w:lineRule="exact"/>
        <w:ind w:firstLine="422" w:firstLineChars="200"/>
        <w:rPr>
          <w:rFonts w:hAnsi="宋体" w:cs="宋体"/>
          <w:color w:val="auto"/>
          <w:szCs w:val="21"/>
          <w:highlight w:val="none"/>
        </w:rPr>
      </w:pPr>
      <w:r>
        <w:rPr>
          <w:rFonts w:hint="eastAsia" w:hAnsi="宋体"/>
          <w:b/>
          <w:bCs/>
          <w:color w:val="auto"/>
          <w:szCs w:val="21"/>
          <w:highlight w:val="none"/>
        </w:rPr>
        <w:t>特别说明：</w:t>
      </w:r>
      <w:r>
        <w:rPr>
          <w:rFonts w:hint="eastAsia" w:hAnsi="宋体"/>
          <w:color w:val="auto"/>
          <w:szCs w:val="21"/>
          <w:highlight w:val="none"/>
        </w:rPr>
        <w:t>如遇广西政府采购云平台电子化开标或评审程序调整的，按调整后执行。</w:t>
      </w:r>
    </w:p>
    <w:p w14:paraId="42E64260">
      <w:pPr>
        <w:pStyle w:val="14"/>
        <w:shd w:val="clear" w:color="auto" w:fill="FFFFFF" w:themeFill="background1"/>
        <w:snapToGrid w:val="0"/>
        <w:spacing w:line="400" w:lineRule="exact"/>
        <w:ind w:left="689" w:leftChars="228" w:hanging="210" w:hangingChars="100"/>
        <w:rPr>
          <w:rFonts w:hAnsi="宋体" w:cs="宋体"/>
          <w:color w:val="auto"/>
          <w:highlight w:val="none"/>
        </w:rPr>
      </w:pPr>
    </w:p>
    <w:p w14:paraId="2AE7CB5D">
      <w:pPr>
        <w:pStyle w:val="5"/>
        <w:keepNext w:val="0"/>
        <w:keepLines w:val="0"/>
        <w:shd w:val="clear" w:color="auto" w:fill="FFFFFF" w:themeFill="background1"/>
        <w:spacing w:line="400" w:lineRule="exact"/>
        <w:jc w:val="center"/>
        <w:rPr>
          <w:rFonts w:ascii="宋体" w:hAnsi="宋体" w:cs="宋体"/>
          <w:color w:val="auto"/>
          <w:highlight w:val="none"/>
        </w:rPr>
      </w:pPr>
      <w:bookmarkStart w:id="207" w:name="_Toc1489"/>
      <w:bookmarkStart w:id="208" w:name="_Toc6866"/>
      <w:bookmarkStart w:id="209" w:name="_Toc19053"/>
      <w:bookmarkStart w:id="210" w:name="_Toc8919"/>
      <w:bookmarkStart w:id="211" w:name="_Toc29189"/>
      <w:bookmarkStart w:id="212" w:name="_Toc2575"/>
      <w:bookmarkStart w:id="213" w:name="_Toc23512"/>
      <w:bookmarkStart w:id="214" w:name="_Toc22509"/>
      <w:bookmarkStart w:id="215" w:name="_Toc25053"/>
      <w:bookmarkStart w:id="216" w:name="_Toc31994"/>
      <w:r>
        <w:rPr>
          <w:rFonts w:hint="eastAsia" w:ascii="宋体" w:hAnsi="宋体" w:cs="宋体"/>
          <w:color w:val="auto"/>
          <w:highlight w:val="none"/>
        </w:rPr>
        <w:t>五、资格审查</w:t>
      </w:r>
      <w:bookmarkEnd w:id="207"/>
      <w:bookmarkEnd w:id="208"/>
      <w:bookmarkEnd w:id="209"/>
      <w:bookmarkEnd w:id="210"/>
      <w:bookmarkEnd w:id="211"/>
      <w:bookmarkEnd w:id="212"/>
      <w:bookmarkEnd w:id="213"/>
      <w:bookmarkEnd w:id="214"/>
      <w:bookmarkEnd w:id="215"/>
      <w:bookmarkEnd w:id="216"/>
    </w:p>
    <w:p w14:paraId="6571E4E6">
      <w:pPr>
        <w:pStyle w:val="7"/>
        <w:keepNext w:val="0"/>
        <w:keepLines w:val="0"/>
        <w:shd w:val="clear" w:color="auto" w:fill="FFFFFF" w:themeFill="background1"/>
        <w:spacing w:before="0" w:after="0" w:line="360" w:lineRule="auto"/>
        <w:ind w:firstLine="480" w:firstLineChars="200"/>
        <w:rPr>
          <w:rFonts w:ascii="宋体" w:hAnsi="宋体" w:cs="宋体"/>
          <w:b w:val="0"/>
          <w:bCs w:val="0"/>
          <w:color w:val="auto"/>
          <w:sz w:val="24"/>
          <w:highlight w:val="none"/>
        </w:rPr>
      </w:pPr>
      <w:r>
        <w:rPr>
          <w:rFonts w:hint="eastAsia" w:ascii="宋体" w:hAnsi="宋体" w:cs="宋体"/>
          <w:b w:val="0"/>
          <w:bCs w:val="0"/>
          <w:color w:val="auto"/>
          <w:sz w:val="24"/>
          <w:highlight w:val="none"/>
        </w:rPr>
        <w:t>25.资格审查</w:t>
      </w:r>
    </w:p>
    <w:p w14:paraId="64C10567">
      <w:pPr>
        <w:shd w:val="clear" w:color="auto" w:fill="FFFFFF" w:themeFill="background1"/>
        <w:spacing w:line="360" w:lineRule="auto"/>
        <w:ind w:firstLine="422" w:firstLineChars="200"/>
        <w:rPr>
          <w:rFonts w:ascii="宋体" w:hAnsi="宋体" w:cs="宋体"/>
          <w:b/>
          <w:bCs/>
          <w:color w:val="auto"/>
          <w:szCs w:val="20"/>
          <w:highlight w:val="none"/>
        </w:rPr>
      </w:pPr>
      <w:r>
        <w:rPr>
          <w:rFonts w:hint="eastAsia" w:ascii="宋体" w:hAnsi="宋体" w:cs="宋体"/>
          <w:b/>
          <w:bCs/>
          <w:color w:val="auto"/>
          <w:szCs w:val="20"/>
          <w:highlight w:val="none"/>
        </w:rPr>
        <w:t>25.1开标结束后，采购人或采购代理机构依法通过电子投标文件对投标人的资格进行线上审查。</w:t>
      </w:r>
    </w:p>
    <w:p w14:paraId="4912F6B3">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25.2资格审查标准为本“招标文件”中“投标人须知前附表”13.1点载明对投标人资格要求的条件。本项目资格审查采用合格制，凡符合招标文件规定的投标人资格要求的投标人均通过资格审查。</w:t>
      </w:r>
    </w:p>
    <w:p w14:paraId="7EF251F0">
      <w:pPr>
        <w:shd w:val="clear" w:color="auto" w:fill="FFFFFF" w:themeFill="background1"/>
        <w:spacing w:line="360" w:lineRule="auto"/>
        <w:ind w:firstLine="422" w:firstLineChars="200"/>
        <w:rPr>
          <w:rFonts w:ascii="宋体" w:hAnsi="宋体" w:cs="宋体"/>
          <w:b/>
          <w:bCs/>
          <w:color w:val="auto"/>
          <w:szCs w:val="20"/>
          <w:highlight w:val="none"/>
        </w:rPr>
      </w:pPr>
      <w:bookmarkStart w:id="217" w:name="_25.3_投标人有下列情形之一的，资格审查不通过而导致其投标无效："/>
      <w:bookmarkEnd w:id="217"/>
      <w:r>
        <w:rPr>
          <w:rFonts w:hint="eastAsia" w:ascii="宋体" w:hAnsi="宋体" w:cs="宋体"/>
          <w:b/>
          <w:bCs/>
          <w:color w:val="auto"/>
          <w:szCs w:val="20"/>
          <w:highlight w:val="none"/>
        </w:rPr>
        <w:t>25.3投标人有下列情形之一的，资格审查不通过，作无效投标处理：</w:t>
      </w:r>
    </w:p>
    <w:p w14:paraId="3E5EA7D2">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（1）不具备招标文件中规定的资格要求的；（注：其中信用查询规则见“投标人须知前附表”，广西政府采购云平台已与“信用中国”平台做接口，采购人或者采购代理机构可直接在线查询）</w:t>
      </w:r>
    </w:p>
    <w:p w14:paraId="124138A7">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（2）投标文件未提供任一项“投标人须知前附表”资格证明文件规定的“必须提供”的文件资料的；</w:t>
      </w:r>
    </w:p>
    <w:p w14:paraId="0C681C2D">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（3）投标文件提供的资格证明文件出现任一项不符合“投标人须知前附表”资格证明文件规定的“必须提供”的文件资料要求或者无效的。</w:t>
      </w:r>
    </w:p>
    <w:p w14:paraId="3B191689">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（4）同一合同项下的不同供应商，单位负责人为同一人或者存在直接控股、管理关系的；为本项目提供过整体设计、规范编制或者项目管理、监理、检测等服务的。</w:t>
      </w:r>
    </w:p>
    <w:p w14:paraId="6C0E0E5D">
      <w:pPr>
        <w:shd w:val="clear" w:color="auto" w:fill="FFFFFF" w:themeFill="background1"/>
        <w:spacing w:line="360" w:lineRule="auto"/>
        <w:ind w:firstLine="420" w:firstLineChars="200"/>
        <w:rPr>
          <w:rFonts w:hint="eastAsia" w:ascii="宋体" w:hAnsi="宋体" w:cs="宋体"/>
          <w:color w:val="auto"/>
          <w:szCs w:val="20"/>
          <w:highlight w:val="none"/>
        </w:rPr>
      </w:pPr>
      <w:r>
        <w:rPr>
          <w:rFonts w:hint="eastAsia" w:ascii="宋体" w:hAnsi="宋体" w:cs="宋体"/>
          <w:color w:val="auto"/>
          <w:szCs w:val="20"/>
          <w:highlight w:val="none"/>
        </w:rPr>
        <w:t>25.4资格审查的合格投标人不足3家的，不得评标。</w:t>
      </w:r>
    </w:p>
    <w:p w14:paraId="733F7A69">
      <w:pPr>
        <w:pStyle w:val="2"/>
        <w:rPr>
          <w:color w:val="auto"/>
          <w:highlight w:val="none"/>
        </w:rPr>
      </w:pPr>
    </w:p>
    <w:p w14:paraId="42F56220">
      <w:pPr>
        <w:pStyle w:val="5"/>
        <w:keepNext w:val="0"/>
        <w:keepLines w:val="0"/>
        <w:shd w:val="clear" w:color="auto" w:fill="FFFFFF" w:themeFill="background1"/>
        <w:spacing w:line="360" w:lineRule="auto"/>
        <w:jc w:val="center"/>
        <w:rPr>
          <w:rFonts w:ascii="宋体" w:hAnsi="宋体" w:cs="宋体"/>
          <w:color w:val="auto"/>
          <w:highlight w:val="none"/>
        </w:rPr>
      </w:pPr>
      <w:bookmarkStart w:id="218" w:name="_Toc2770"/>
      <w:bookmarkStart w:id="219" w:name="_Toc15749"/>
      <w:bookmarkStart w:id="220" w:name="_Toc1454"/>
      <w:bookmarkStart w:id="221" w:name="_Toc21152"/>
      <w:bookmarkStart w:id="222" w:name="_Toc20446"/>
      <w:bookmarkStart w:id="223" w:name="_Toc29412"/>
      <w:bookmarkStart w:id="224" w:name="_Toc3548"/>
      <w:bookmarkStart w:id="225" w:name="_Toc19035"/>
      <w:bookmarkStart w:id="226" w:name="_Toc20983"/>
      <w:bookmarkStart w:id="227" w:name="_Toc11169"/>
      <w:r>
        <w:rPr>
          <w:rFonts w:hint="eastAsia" w:ascii="宋体" w:hAnsi="宋体" w:cs="宋体"/>
          <w:color w:val="auto"/>
          <w:highlight w:val="none"/>
        </w:rPr>
        <w:t>六、评   标</w:t>
      </w:r>
      <w:bookmarkEnd w:id="218"/>
      <w:bookmarkEnd w:id="219"/>
      <w:bookmarkEnd w:id="220"/>
      <w:bookmarkEnd w:id="221"/>
      <w:bookmarkEnd w:id="222"/>
      <w:bookmarkEnd w:id="223"/>
      <w:bookmarkEnd w:id="224"/>
      <w:bookmarkEnd w:id="225"/>
      <w:bookmarkEnd w:id="226"/>
      <w:bookmarkEnd w:id="227"/>
    </w:p>
    <w:p w14:paraId="05AE7437">
      <w:pPr>
        <w:shd w:val="clear" w:color="auto" w:fill="FFFFFF" w:themeFill="background1"/>
        <w:spacing w:line="360" w:lineRule="auto"/>
        <w:ind w:firstLine="480" w:firstLineChars="200"/>
        <w:rPr>
          <w:rFonts w:ascii="宋体" w:hAnsi="宋体" w:cs="宋体"/>
          <w:color w:val="auto"/>
          <w:sz w:val="24"/>
          <w:highlight w:val="none"/>
        </w:rPr>
      </w:pPr>
      <w:bookmarkStart w:id="228" w:name="_26.组建评标委员会"/>
      <w:bookmarkEnd w:id="228"/>
      <w:r>
        <w:rPr>
          <w:rFonts w:hint="eastAsia" w:ascii="宋体" w:hAnsi="宋体" w:cs="宋体"/>
          <w:color w:val="auto"/>
          <w:sz w:val="24"/>
          <w:highlight w:val="none"/>
        </w:rPr>
        <w:t>26.组建评标委员会</w:t>
      </w:r>
    </w:p>
    <w:p w14:paraId="3FB5D7AC">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评标委员会由采购人代表和评审专家组成，人数为5人以上单数，其中评审专家不得少于成员总数的三分之二。</w:t>
      </w:r>
    </w:p>
    <w:p w14:paraId="71F736D0">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参加过采购项目前期咨询论证的专家，不得参加该采购项目的评审活动。</w:t>
      </w:r>
    </w:p>
    <w:p w14:paraId="306CBE7D">
      <w:pPr>
        <w:shd w:val="clear" w:color="auto" w:fill="FFFFFF" w:themeFill="background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27.评标的依据</w:t>
      </w:r>
    </w:p>
    <w:p w14:paraId="19566B8A">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评标委员会以招标文件为依据对投标文件进行评审，“第四章 评标方法和评标标准”没有规定的方法、评审因素和标准，不作为评标依据。</w:t>
      </w:r>
    </w:p>
    <w:p w14:paraId="731089E6">
      <w:pPr>
        <w:shd w:val="clear" w:color="auto" w:fill="FFFFFF" w:themeFill="background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28.评标原则</w:t>
      </w:r>
    </w:p>
    <w:p w14:paraId="6A6E4BFE">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3B12DA3E">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28.2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3CA000E5">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28.3评标过程的监控。本项目电子评标过程实行网上留痕、全程录音、录像监控，投标人在评标过程中所进行的试图影响评标结果的不公正活动，可能导致其投标作无效处理。</w:t>
      </w:r>
    </w:p>
    <w:p w14:paraId="2D8FC0B5">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28.4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7020C86C">
      <w:pPr>
        <w:shd w:val="clear" w:color="auto" w:fill="FFFFFF" w:themeFill="background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29.评标方法和评标标准</w:t>
      </w:r>
    </w:p>
    <w:p w14:paraId="571BBC25">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29.1本项目的评标方法详见“投标人须知前附表”。</w:t>
      </w:r>
    </w:p>
    <w:p w14:paraId="47B320AE">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29.2 评标委员会按照</w:t>
      </w:r>
      <w:r>
        <w:rPr>
          <w:rFonts w:hint="eastAsia" w:ascii="宋体" w:hAnsi="宋体" w:cs="宋体"/>
          <w:b/>
          <w:color w:val="auto"/>
          <w:highlight w:val="none"/>
        </w:rPr>
        <w:t>“第四章 评标方法和评标标准”</w:t>
      </w:r>
      <w:r>
        <w:rPr>
          <w:rFonts w:hint="eastAsia" w:ascii="宋体" w:hAnsi="宋体" w:cs="宋体"/>
          <w:color w:val="auto"/>
          <w:highlight w:val="none"/>
        </w:rPr>
        <w:t>规定的方法、评审因素、标准和程序对投标文件进行评审。</w:t>
      </w:r>
    </w:p>
    <w:p w14:paraId="1258D129">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29.3 电子交易活动的中止。采购过程中出现以下情形，导致电子交易平台无法正常运行，或者无法保证电子交易的公平、公正和安全时，采购机构可中止电子交易活动：</w:t>
      </w:r>
    </w:p>
    <w:p w14:paraId="72C5F639">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（1）电子交易平台发生故障而无法登录访问的； </w:t>
      </w:r>
    </w:p>
    <w:p w14:paraId="7F865610">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14:paraId="20996644">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（3）电子交易平台发现严重安全漏洞，有潜在泄密危险的；</w:t>
      </w:r>
    </w:p>
    <w:p w14:paraId="5F887202">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（4）病毒发作导致不能进行正常操作的； </w:t>
      </w:r>
    </w:p>
    <w:p w14:paraId="1FAD59AF">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（5）其他无法保证电子交易的公平、公正和安全的情况。</w:t>
      </w:r>
    </w:p>
    <w:p w14:paraId="3A93B38E">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5986C5B5">
      <w:pPr>
        <w:pStyle w:val="5"/>
        <w:keepNext w:val="0"/>
        <w:keepLines w:val="0"/>
        <w:shd w:val="clear" w:color="auto" w:fill="FFFFFF" w:themeFill="background1"/>
        <w:spacing w:line="400" w:lineRule="exact"/>
        <w:jc w:val="center"/>
        <w:rPr>
          <w:rFonts w:hint="eastAsia" w:ascii="宋体" w:hAnsi="宋体" w:cs="宋体"/>
          <w:color w:val="auto"/>
          <w:highlight w:val="none"/>
        </w:rPr>
      </w:pPr>
      <w:bookmarkStart w:id="229" w:name="_Toc254970546"/>
      <w:bookmarkStart w:id="230" w:name="_Toc254970687"/>
      <w:bookmarkStart w:id="231" w:name="_Toc31698"/>
      <w:bookmarkStart w:id="232" w:name="_Toc2302"/>
      <w:bookmarkStart w:id="233" w:name="_Toc4688"/>
      <w:bookmarkStart w:id="234" w:name="_Toc10518"/>
      <w:bookmarkStart w:id="235" w:name="_Toc24771"/>
      <w:bookmarkStart w:id="236" w:name="_Toc15452"/>
      <w:bookmarkStart w:id="237" w:name="_Toc32339"/>
      <w:bookmarkStart w:id="238" w:name="_Toc31226"/>
      <w:bookmarkStart w:id="239" w:name="_Toc14661"/>
      <w:bookmarkStart w:id="240" w:name="_Toc10427"/>
    </w:p>
    <w:p w14:paraId="25276864">
      <w:pPr>
        <w:pStyle w:val="5"/>
        <w:keepNext w:val="0"/>
        <w:keepLines w:val="0"/>
        <w:shd w:val="clear" w:color="auto" w:fill="FFFFFF" w:themeFill="background1"/>
        <w:spacing w:line="400" w:lineRule="exact"/>
        <w:jc w:val="center"/>
        <w:rPr>
          <w:rFonts w:ascii="宋体" w:hAnsi="宋体" w:cs="宋体"/>
          <w:color w:val="auto"/>
          <w:highlight w:val="none"/>
        </w:rPr>
      </w:pPr>
      <w:r>
        <w:rPr>
          <w:rFonts w:hint="eastAsia" w:ascii="宋体" w:hAnsi="宋体" w:cs="宋体"/>
          <w:color w:val="auto"/>
          <w:highlight w:val="none"/>
        </w:rPr>
        <w:t>七、</w:t>
      </w:r>
      <w:bookmarkEnd w:id="229"/>
      <w:bookmarkEnd w:id="230"/>
      <w:r>
        <w:rPr>
          <w:rFonts w:hint="eastAsia" w:ascii="宋体" w:hAnsi="宋体" w:cs="宋体"/>
          <w:color w:val="auto"/>
          <w:highlight w:val="none"/>
        </w:rPr>
        <w:t>中标和合同</w:t>
      </w:r>
      <w:bookmarkEnd w:id="231"/>
      <w:bookmarkEnd w:id="232"/>
      <w:bookmarkEnd w:id="233"/>
      <w:bookmarkEnd w:id="234"/>
      <w:bookmarkEnd w:id="235"/>
      <w:bookmarkEnd w:id="236"/>
      <w:bookmarkEnd w:id="237"/>
      <w:bookmarkEnd w:id="238"/>
      <w:bookmarkEnd w:id="239"/>
      <w:bookmarkEnd w:id="240"/>
    </w:p>
    <w:p w14:paraId="24DEE12B">
      <w:pPr>
        <w:shd w:val="clear" w:color="auto" w:fill="FFFFFF" w:themeFill="background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30.确定中标人</w:t>
      </w:r>
    </w:p>
    <w:p w14:paraId="277E8DC0">
      <w:pPr>
        <w:shd w:val="clear" w:color="auto" w:fill="FFFFFF" w:themeFill="background1"/>
        <w:spacing w:line="360" w:lineRule="auto"/>
        <w:ind w:firstLine="420" w:firstLineChars="200"/>
        <w:rPr>
          <w:rFonts w:ascii="宋体" w:hAnsi="宋体" w:cs="宋体"/>
          <w:b/>
          <w:bCs/>
          <w:color w:val="auto"/>
          <w:szCs w:val="21"/>
          <w:highlight w:val="none"/>
        </w:rPr>
      </w:pPr>
      <w:r>
        <w:rPr>
          <w:rFonts w:hint="eastAsia" w:ascii="宋体" w:hAnsi="宋体" w:cs="宋体"/>
          <w:color w:val="auto"/>
          <w:szCs w:val="21"/>
          <w:highlight w:val="none"/>
        </w:rPr>
        <w:t>30.1</w:t>
      </w:r>
      <w:r>
        <w:rPr>
          <w:rFonts w:hint="eastAsia" w:ascii="宋体" w:hAnsi="宋体" w:cs="宋体"/>
          <w:color w:val="auto"/>
          <w:highlight w:val="none"/>
        </w:rPr>
        <w:t>采购人在收到评标委员会出具的评标报告之日起5个工作日内在评标报告推荐的中标候选人名单中按顺序确定中标人。采购人也可以事先授权评标委员会直接确定中标人。中标候选人并列的，由采购人或者采购人委托评标委员会按照“投标人须知前附表”规定的方式确定中标人；招标文件未规定的，采取随机抽取的方式确定。</w:t>
      </w:r>
      <w:r>
        <w:rPr>
          <w:rFonts w:hint="eastAsia" w:ascii="宋体" w:hAnsi="宋体" w:cs="宋体"/>
          <w:b/>
          <w:bCs/>
          <w:color w:val="auto"/>
          <w:szCs w:val="21"/>
          <w:highlight w:val="none"/>
        </w:rPr>
        <w:t xml:space="preserve">   </w:t>
      </w:r>
    </w:p>
    <w:p w14:paraId="26E8FF9F">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05DF8D8A">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30.3中标人无正当理由拒签合同的，根据《中华人民共和国政府采购法》第七十七条第一款规定处理。</w:t>
      </w:r>
    </w:p>
    <w:p w14:paraId="42EE4272">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30.4根据《中华人民共和国民法典》</w:t>
      </w:r>
      <w:r>
        <w:rPr>
          <w:rFonts w:hint="eastAsia" w:ascii="宋体" w:hAnsi="宋体" w:cs="宋体"/>
          <w:color w:val="auto"/>
          <w:sz w:val="19"/>
          <w:szCs w:val="19"/>
          <w:highlight w:val="none"/>
        </w:rPr>
        <w:t>第五百六十三条</w:t>
      </w:r>
      <w:r>
        <w:rPr>
          <w:rFonts w:hint="eastAsia" w:ascii="宋体" w:hAnsi="宋体" w:cs="宋体"/>
          <w:color w:val="auto"/>
          <w:szCs w:val="21"/>
          <w:highlight w:val="none"/>
        </w:rPr>
        <w:t>，因不可抗力致使不能实现合同目的的，当事人可以解除合同。</w:t>
      </w:r>
    </w:p>
    <w:p w14:paraId="64D758A1">
      <w:pPr>
        <w:shd w:val="clear" w:color="auto" w:fill="FFFFFF" w:themeFill="background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31.结果公告</w:t>
      </w:r>
    </w:p>
    <w:p w14:paraId="175E8EB5">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31.1</w:t>
      </w:r>
      <w:r>
        <w:rPr>
          <w:rFonts w:hint="eastAsia" w:ascii="宋体" w:hAnsi="宋体" w:cs="宋体"/>
          <w:color w:val="auto"/>
          <w:highlight w:val="none"/>
        </w:rPr>
        <w:t>在中标人确定之日起2个工作日内，由采购代理机构</w:t>
      </w:r>
      <w:r>
        <w:rPr>
          <w:rFonts w:hint="eastAsia" w:ascii="宋体" w:hAnsi="宋体" w:cs="宋体"/>
          <w:b/>
          <w:color w:val="auto"/>
          <w:szCs w:val="21"/>
          <w:highlight w:val="none"/>
        </w:rPr>
        <w:t>在招标公告发布媒体上</w:t>
      </w:r>
      <w:r>
        <w:rPr>
          <w:rFonts w:hint="eastAsia" w:ascii="宋体" w:hAnsi="宋体" w:cs="宋体"/>
          <w:color w:val="auto"/>
          <w:highlight w:val="none"/>
        </w:rPr>
        <w:t>发布中标结果公告，中标结果公告期限为1个工作日，发布中标结果公告的同时向中标人发出中标通知书。</w:t>
      </w:r>
      <w:r>
        <w:rPr>
          <w:rFonts w:hint="eastAsia" w:ascii="宋体" w:hAnsi="宋体" w:cs="宋体"/>
          <w:b/>
          <w:color w:val="auto"/>
          <w:szCs w:val="21"/>
          <w:highlight w:val="none"/>
        </w:rPr>
        <w:t>采购代理机构发出中标通知书前，应当对中标人信用进行核实，对列入失信被执行人、重大税收违法失信主体、政府采购严重违法失信行为记录名单及其他不符合《中华人民共和国政府采购法》第二十二条规定条件的投标人，取消其中标资格，并依法确定排名第二的中标候选人为中标人。</w:t>
      </w:r>
      <w:r>
        <w:rPr>
          <w:rFonts w:hint="eastAsia" w:ascii="宋体" w:hAnsi="宋体" w:cs="宋体"/>
          <w:color w:val="auto"/>
          <w:szCs w:val="21"/>
          <w:highlight w:val="none"/>
        </w:rPr>
        <w:t>排名第二的中标候选人因前款规定的同样原因被取消中标资格的，采购人可以依法确定排名第三的中标候选人为中标人，以此类推。</w:t>
      </w:r>
    </w:p>
    <w:p w14:paraId="735FAD43">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以上信息查询记录及相关证据与采购文件一并保存。</w:t>
      </w:r>
    </w:p>
    <w:p w14:paraId="77A821B8">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31.2中小企业在政府采购活动过程中，请根据企业的真实情况出具《中小企业声明函》。依法享受中小企业扶持政策的，采购人或者采购代理机构在公告中标结果时，同时公告其《中小企业声明函》，接受社会监督。</w:t>
      </w:r>
    </w:p>
    <w:p w14:paraId="69A11268">
      <w:pPr>
        <w:shd w:val="clear" w:color="auto" w:fill="FFFFFF" w:themeFill="background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32.发出中标通知书</w:t>
      </w:r>
    </w:p>
    <w:p w14:paraId="174BAC25">
      <w:pPr>
        <w:shd w:val="clear" w:color="auto" w:fill="FFFFFF" w:themeFill="background1"/>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32.1在发布中标公告的同时，采购代理机构向中标人通过广西政府采购云平台发出电子中标通知书。</w:t>
      </w:r>
    </w:p>
    <w:p w14:paraId="57A678F1">
      <w:pPr>
        <w:shd w:val="clear" w:color="auto" w:fill="FFFFFF" w:themeFill="background1"/>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32.2对未通过资格审查的投标人，采购人或采购代理机构应当告知其未通过的原因；采用综合评分办法评审的，采购人或采购机构还应当告知未中标人本人的评审得分与排序。</w:t>
      </w:r>
    </w:p>
    <w:p w14:paraId="7903466E">
      <w:pPr>
        <w:shd w:val="clear" w:color="auto" w:fill="FFFFFF" w:themeFill="background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 无义务解释未中标原因</w:t>
      </w:r>
    </w:p>
    <w:p w14:paraId="6BFC9D1C">
      <w:pPr>
        <w:shd w:val="clear" w:color="auto" w:fill="FFFFFF" w:themeFill="background1"/>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采购代理机构无义务向未中标的投标人解释未中标原因和退还投标文件。</w:t>
      </w:r>
    </w:p>
    <w:p w14:paraId="18CFDBA5">
      <w:pPr>
        <w:shd w:val="clear" w:color="auto" w:fill="FFFFFF" w:themeFill="background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34.合同授予标准</w:t>
      </w:r>
    </w:p>
    <w:p w14:paraId="754C26DF">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合同将授予被确定实质上响应招标文件要求，具备履行合同能力的中标人（招标文件另有约定多名中标人的除外）。</w:t>
      </w:r>
    </w:p>
    <w:p w14:paraId="5484963E">
      <w:pPr>
        <w:shd w:val="clear" w:color="auto" w:fill="FFFFFF" w:themeFill="background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35.履约保证金</w:t>
      </w:r>
    </w:p>
    <w:p w14:paraId="2E6ECFD9">
      <w:pPr>
        <w:pStyle w:val="7"/>
        <w:keepNext w:val="0"/>
        <w:keepLines w:val="0"/>
        <w:shd w:val="clear" w:color="auto" w:fill="FFFFFF" w:themeFill="background1"/>
        <w:spacing w:before="0" w:after="0" w:line="360" w:lineRule="auto"/>
        <w:ind w:firstLine="315" w:firstLineChars="150"/>
        <w:rPr>
          <w:rFonts w:ascii="宋体" w:hAnsi="宋体" w:cs="宋体"/>
          <w:b w:val="0"/>
          <w:color w:val="auto"/>
          <w:sz w:val="21"/>
          <w:szCs w:val="21"/>
          <w:highlight w:val="none"/>
        </w:rPr>
      </w:pPr>
      <w:bookmarkStart w:id="241" w:name="_39.1中标人须于签订合同前按本须知前附表规定的金额转账或电汇到指定账"/>
      <w:bookmarkEnd w:id="241"/>
      <w:r>
        <w:rPr>
          <w:rFonts w:hint="eastAsia" w:ascii="宋体" w:hAnsi="宋体" w:cs="宋体"/>
          <w:b w:val="0"/>
          <w:color w:val="auto"/>
          <w:sz w:val="21"/>
          <w:szCs w:val="21"/>
          <w:highlight w:val="none"/>
        </w:rPr>
        <w:t>35.1 履约保证金的金额、提交方式、退付的时间和条件详见 “投标人须知前附表”。中标人未按规定提交履约保证金的，视为拒绝与采购人签订合同，采购人可以按照评标报告推荐的中标候选人名单排序，依法确定下一候选人为中标人，也可以重新开展政府采购活动。</w:t>
      </w:r>
    </w:p>
    <w:p w14:paraId="5F6C1F0F">
      <w:pPr>
        <w:pStyle w:val="7"/>
        <w:keepNext w:val="0"/>
        <w:keepLines w:val="0"/>
        <w:shd w:val="clear" w:color="auto" w:fill="FFFFFF" w:themeFill="background1"/>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35.2签订合同后，如中标人不按双方签订的合同规定履约，则没收其全部履约保证金，履约保证金不足以赔偿损失的，按实际损失赔偿。</w:t>
      </w:r>
    </w:p>
    <w:p w14:paraId="223A4947">
      <w:pPr>
        <w:pStyle w:val="7"/>
        <w:keepNext w:val="0"/>
        <w:keepLines w:val="0"/>
        <w:shd w:val="clear" w:color="auto" w:fill="FFFFFF" w:themeFill="background1"/>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35.3在履约保证金退还日期前，若中标人的开户名称、开户银行、账号有变动的，请以书面形式通知履约保证金收取单位，否则由此产生的后果由中标人自行承担。</w:t>
      </w:r>
    </w:p>
    <w:p w14:paraId="4CCD045D">
      <w:pPr>
        <w:shd w:val="clear" w:color="auto" w:fill="FFFFFF" w:themeFill="background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36.签订合同</w:t>
      </w:r>
    </w:p>
    <w:p w14:paraId="22A38913">
      <w:pPr>
        <w:shd w:val="clear" w:color="auto" w:fill="FFFFFF" w:themeFill="background1"/>
        <w:spacing w:line="360" w:lineRule="auto"/>
        <w:ind w:firstLine="420" w:firstLineChars="200"/>
        <w:rPr>
          <w:rFonts w:ascii="宋体" w:hAnsi="宋体" w:cs="宋体"/>
          <w:b/>
          <w:bCs/>
          <w:i/>
          <w:iCs/>
          <w:color w:val="auto"/>
          <w:szCs w:val="21"/>
          <w:highlight w:val="none"/>
        </w:rPr>
      </w:pPr>
      <w:bookmarkStart w:id="242" w:name="_40.1投标人接到中标通知书后，按须知前附表规定向采购人出示相关资格证"/>
      <w:bookmarkEnd w:id="242"/>
      <w:r>
        <w:rPr>
          <w:rFonts w:hint="eastAsia" w:ascii="宋体" w:hAnsi="宋体" w:cs="宋体"/>
          <w:color w:val="auto"/>
          <w:szCs w:val="21"/>
          <w:highlight w:val="none"/>
        </w:rPr>
        <w:t xml:space="preserve"> </w:t>
      </w:r>
      <w:r>
        <w:rPr>
          <w:rFonts w:hint="eastAsia" w:ascii="宋体" w:hAnsi="宋体" w:cs="宋体"/>
          <w:b/>
          <w:bCs/>
          <w:color w:val="auto"/>
          <w:szCs w:val="21"/>
          <w:highlight w:val="none"/>
        </w:rPr>
        <w:t>36.1中标人在中标通知书发出之日起，</w:t>
      </w:r>
      <w:r>
        <w:rPr>
          <w:rFonts w:hint="eastAsia" w:ascii="宋体" w:hAnsi="宋体" w:cs="宋体"/>
          <w:color w:val="auto"/>
          <w:szCs w:val="21"/>
          <w:highlight w:val="none"/>
        </w:rPr>
        <w:t>按规定的日期、时间、地点，由法定代表人或其授权代表与采购人代表签订采购合同。如中标人为联合体的，由联合体成员各方法定代表人或其授权代表与采购人代表签订合同，签订携带资料详见“投标人须知前附表”。</w:t>
      </w:r>
    </w:p>
    <w:p w14:paraId="13A81BDC">
      <w:pPr>
        <w:shd w:val="clear" w:color="auto" w:fill="FFFFFF" w:themeFill="background1"/>
        <w:spacing w:line="360" w:lineRule="auto"/>
        <w:ind w:firstLine="420" w:firstLineChars="200"/>
        <w:rPr>
          <w:rFonts w:ascii="宋体" w:hAnsi="宋体" w:cs="宋体"/>
          <w:b/>
          <w:bCs/>
          <w:i/>
          <w:iCs/>
          <w:color w:val="auto"/>
          <w:szCs w:val="21"/>
          <w:highlight w:val="none"/>
        </w:rPr>
      </w:pPr>
      <w:r>
        <w:rPr>
          <w:rFonts w:hint="eastAsia" w:ascii="宋体" w:hAnsi="宋体" w:cs="宋体"/>
          <w:color w:val="auto"/>
          <w:szCs w:val="21"/>
          <w:highlight w:val="none"/>
          <w:lang w:val="zh-CN"/>
        </w:rPr>
        <w:t>36.2采购合同由采购人与中标人根据招标文件、投标文件等内容签订。</w:t>
      </w:r>
    </w:p>
    <w:p w14:paraId="6278A8C2">
      <w:pPr>
        <w:pStyle w:val="38"/>
        <w:shd w:val="clear" w:color="auto" w:fill="FFFFFF" w:themeFill="background1"/>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36.3签订合同时间：按中标通知书规定的时间与采购人签订合同。</w:t>
      </w:r>
    </w:p>
    <w:p w14:paraId="3211471B">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36.4中标人拒绝与采购人签订合同的，采购人可以按照评审报告推荐的中标候选人名单排序，依法确定下一候选人为中标人，也可以重新开展政府采购活动。如采购人无正当理由拒签合同的，给中标人造成损失的，中标人可追究采购人承担相应的法律责任。</w:t>
      </w:r>
    </w:p>
    <w:p w14:paraId="68F46228">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36.5政府采购合同是政府采购项目验收的依据，中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15E11C5F">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36.6采购人或中标人不得单方面向合同另一方提出任何招标文件没有约定的条件或不合理的要求，作为签订合同的条件；也不得协商另行订立背离招标文件和合同实质性内容的协议。</w:t>
      </w:r>
    </w:p>
    <w:p w14:paraId="34E25CA5">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36.7如签订合同并生效后，中标人无故拒绝或延期，除按照合同条款处理外，将承担相应的法律责任。</w:t>
      </w:r>
    </w:p>
    <w:p w14:paraId="0985CE29">
      <w:pPr>
        <w:shd w:val="clear" w:color="auto" w:fill="FFFFFF" w:themeFill="background1"/>
        <w:spacing w:line="360" w:lineRule="auto"/>
        <w:ind w:firstLine="480" w:firstLineChars="200"/>
        <w:rPr>
          <w:rFonts w:ascii="宋体" w:hAnsi="宋体" w:cs="宋体"/>
          <w:color w:val="auto"/>
          <w:sz w:val="24"/>
          <w:highlight w:val="none"/>
        </w:rPr>
      </w:pPr>
      <w:bookmarkStart w:id="243" w:name="_41.政府采购合同公告"/>
      <w:bookmarkEnd w:id="243"/>
      <w:r>
        <w:rPr>
          <w:rFonts w:hint="eastAsia" w:ascii="宋体" w:hAnsi="宋体" w:cs="宋体"/>
          <w:color w:val="auto"/>
          <w:sz w:val="24"/>
          <w:highlight w:val="none"/>
        </w:rPr>
        <w:t>37.政府采购合同公告</w:t>
      </w:r>
    </w:p>
    <w:p w14:paraId="3D937C9C">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采购人应当自政府采购合同签订之日起2个工作日内，将政府采购合同</w:t>
      </w:r>
      <w:r>
        <w:rPr>
          <w:rFonts w:hint="eastAsia" w:ascii="宋体" w:hAnsi="宋体" w:cs="宋体"/>
          <w:bCs/>
          <w:color w:val="auto"/>
          <w:highlight w:val="none"/>
        </w:rPr>
        <w:t>在省级以上人民政府财政部门指定的媒体</w:t>
      </w:r>
      <w:r>
        <w:rPr>
          <w:rFonts w:hint="eastAsia" w:ascii="宋体" w:hAnsi="宋体" w:cs="宋体"/>
          <w:color w:val="auto"/>
          <w:highlight w:val="none"/>
        </w:rPr>
        <w:t>上公告，但政府采购合同中涉及国家秘密、商业秘密的内容除外。</w:t>
      </w:r>
    </w:p>
    <w:p w14:paraId="099D9C33">
      <w:pPr>
        <w:shd w:val="clear" w:color="auto" w:fill="FFFFFF" w:themeFill="background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38. 询问、质疑和投诉</w:t>
      </w:r>
    </w:p>
    <w:p w14:paraId="2011DB8D">
      <w:pPr>
        <w:shd w:val="clear" w:color="auto" w:fill="FFFFFF" w:themeFill="background1"/>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38.1询问</w:t>
      </w:r>
    </w:p>
    <w:p w14:paraId="6B90CA6F">
      <w:pPr>
        <w:shd w:val="clear" w:color="auto" w:fill="FFFFFF" w:themeFill="background1"/>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38.1.1供应商在开标前对政府采购活动事项有疑问的，可以向采购人或采购代理机构项目负责人提出询问。</w:t>
      </w:r>
    </w:p>
    <w:p w14:paraId="465799F0">
      <w:pPr>
        <w:shd w:val="clear" w:color="auto" w:fill="FFFFFF" w:themeFill="background1"/>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38.1.2采购人或采购人委托的采购代理机构自受理询问之日起3个工作日内对供应商依法提出的询问作出答复，</w:t>
      </w:r>
      <w:r>
        <w:rPr>
          <w:rFonts w:hint="eastAsia" w:ascii="宋体" w:hAnsi="宋体" w:cs="宋体"/>
          <w:color w:val="auto"/>
          <w:highlight w:val="none"/>
        </w:rPr>
        <w:t>但答复内容不得涉及商业秘密</w:t>
      </w:r>
      <w:r>
        <w:rPr>
          <w:rFonts w:hint="eastAsia" w:ascii="宋体" w:hAnsi="宋体" w:cs="宋体"/>
          <w:bCs/>
          <w:color w:val="auto"/>
          <w:szCs w:val="21"/>
          <w:highlight w:val="none"/>
        </w:rPr>
        <w:t>。</w:t>
      </w:r>
    </w:p>
    <w:p w14:paraId="438435B4">
      <w:pPr>
        <w:shd w:val="clear" w:color="auto" w:fill="FFFFFF" w:themeFill="background1"/>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38.1.3 询问事项可能影响中标结果的，采购人应当暂停签订合同，已经签订合同的，应当中止履行合同。</w:t>
      </w:r>
    </w:p>
    <w:p w14:paraId="710CCB17">
      <w:pPr>
        <w:shd w:val="clear" w:color="auto" w:fill="FFFFFF" w:themeFill="background1"/>
        <w:spacing w:line="360" w:lineRule="auto"/>
        <w:ind w:firstLine="422" w:firstLineChars="200"/>
        <w:rPr>
          <w:rFonts w:ascii="宋体" w:hAnsi="宋体" w:cs="宋体"/>
          <w:bCs/>
          <w:color w:val="auto"/>
          <w:szCs w:val="21"/>
          <w:highlight w:val="none"/>
        </w:rPr>
      </w:pPr>
      <w:r>
        <w:rPr>
          <w:rFonts w:hint="eastAsia" w:ascii="宋体" w:hAnsi="宋体" w:cs="宋体"/>
          <w:b/>
          <w:color w:val="auto"/>
          <w:szCs w:val="21"/>
          <w:highlight w:val="none"/>
        </w:rPr>
        <w:t>38.2质疑</w:t>
      </w:r>
    </w:p>
    <w:p w14:paraId="07F3E3E8">
      <w:pPr>
        <w:shd w:val="clear" w:color="auto" w:fill="FFFFFF" w:themeFill="background1"/>
        <w:spacing w:line="360" w:lineRule="auto"/>
        <w:ind w:firstLine="422" w:firstLineChars="200"/>
        <w:rPr>
          <w:rFonts w:ascii="宋体" w:hAnsi="宋体" w:cs="宋体"/>
          <w:b/>
          <w:color w:val="auto"/>
          <w:szCs w:val="21"/>
          <w:highlight w:val="none"/>
        </w:rPr>
      </w:pPr>
      <w:r>
        <w:rPr>
          <w:rFonts w:hint="eastAsia" w:ascii="宋体" w:hAnsi="宋体" w:cs="宋体"/>
          <w:b/>
          <w:bCs/>
          <w:color w:val="auto"/>
          <w:szCs w:val="21"/>
          <w:highlight w:val="none"/>
        </w:rPr>
        <w:t>38.2.1</w:t>
      </w:r>
      <w:r>
        <w:rPr>
          <w:rFonts w:hint="eastAsia" w:ascii="宋体" w:hAnsi="宋体" w:cs="宋体"/>
          <w:b/>
          <w:color w:val="auto"/>
          <w:szCs w:val="21"/>
          <w:highlight w:val="none"/>
        </w:rPr>
        <w:t xml:space="preserve">供应商认为招标文件、采购过程或者中标结果使自己的合法权益受到损害的，必须在知道或者应知其权益受到损害之日起7个工作日内，以书面形式向采购人或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73FF6143">
      <w:pPr>
        <w:shd w:val="clear" w:color="auto" w:fill="FFFFFF" w:themeFill="background1"/>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（1）潜在供应商依法获取招标文件后，认为采购文件使自己的权益受到损害的，应当在招标文件公告期限届满之日起7个工作日内提出质疑。</w:t>
      </w:r>
      <w:r>
        <w:rPr>
          <w:rFonts w:hint="eastAsia" w:ascii="宋体" w:hAnsi="宋体" w:cs="宋体"/>
          <w:color w:val="auto"/>
          <w:highlight w:val="none"/>
        </w:rPr>
        <w:t>委托代理协议无特殊约定的，</w:t>
      </w:r>
      <w:r>
        <w:rPr>
          <w:rFonts w:hint="eastAsia" w:ascii="宋体" w:hAnsi="宋体" w:cs="宋体"/>
          <w:bCs/>
          <w:color w:val="auto"/>
          <w:highlight w:val="none"/>
        </w:rPr>
        <w:t>对招标文件中采购需求（含资格要求、采购预算和评分办法）的质疑由采购人受理并负责答复；对招标文件中的采购执行程序的质疑由采购代理机构受理并负责答复。</w:t>
      </w:r>
    </w:p>
    <w:p w14:paraId="6C228A1A">
      <w:pPr>
        <w:shd w:val="clear" w:color="auto" w:fill="FFFFFF" w:themeFill="background1"/>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采购代理机构提出，由采购人或采购代理机构受理并负责答复；对采购过程中采购执行程序的质疑由采购代理机构受理并负责答复。</w:t>
      </w:r>
    </w:p>
    <w:p w14:paraId="47093EEF">
      <w:pPr>
        <w:shd w:val="clear" w:color="auto" w:fill="FFFFFF" w:themeFill="background1"/>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（3）供应商认为中标或者成交结果使自己的权益受到损害的，应当在中标或者成交结果公告期限届满之日起7个工作日内提出质疑，由采购人受理并负责答复。</w:t>
      </w:r>
    </w:p>
    <w:p w14:paraId="7C464DB2">
      <w:pPr>
        <w:shd w:val="clear" w:color="auto" w:fill="FFFFFF" w:themeFill="background1"/>
        <w:spacing w:line="360" w:lineRule="auto"/>
        <w:ind w:firstLine="422" w:firstLineChars="200"/>
        <w:rPr>
          <w:rFonts w:ascii="宋体" w:hAnsi="宋体" w:cs="宋体"/>
          <w:bCs/>
          <w:color w:val="auto"/>
          <w:szCs w:val="21"/>
          <w:highlight w:val="none"/>
        </w:rPr>
      </w:pPr>
      <w:r>
        <w:rPr>
          <w:rFonts w:hint="eastAsia" w:ascii="宋体" w:hAnsi="宋体" w:cs="宋体"/>
          <w:b/>
          <w:bCs/>
          <w:color w:val="auto"/>
          <w:szCs w:val="21"/>
          <w:highlight w:val="none"/>
        </w:rPr>
        <w:t>38.2.2</w:t>
      </w:r>
      <w:r>
        <w:rPr>
          <w:rFonts w:hint="eastAsia" w:ascii="宋体" w:hAnsi="宋体" w:cs="宋体"/>
          <w:bCs/>
          <w:color w:val="auto"/>
          <w:szCs w:val="21"/>
          <w:highlight w:val="none"/>
        </w:rPr>
        <w:t>供应商质疑实行实名制，其质疑应当有具体的质疑事项及事实根据，质疑应当坚持依法依规、诚实信用原则，不得进行虚假、恶意质疑。</w:t>
      </w:r>
    </w:p>
    <w:p w14:paraId="45FCC9DA">
      <w:pPr>
        <w:shd w:val="clear" w:color="auto" w:fill="FFFFFF" w:themeFill="background1"/>
        <w:spacing w:line="360" w:lineRule="auto"/>
        <w:ind w:firstLine="422" w:firstLineChars="200"/>
        <w:rPr>
          <w:rFonts w:ascii="宋体" w:hAnsi="宋体" w:cs="宋体"/>
          <w:bCs/>
          <w:color w:val="auto"/>
          <w:highlight w:val="none"/>
        </w:rPr>
      </w:pPr>
      <w:r>
        <w:rPr>
          <w:rFonts w:hint="eastAsia" w:ascii="宋体" w:hAnsi="宋体" w:cs="宋体"/>
          <w:b/>
          <w:bCs/>
          <w:color w:val="auto"/>
          <w:highlight w:val="none"/>
        </w:rPr>
        <w:t>38.2.3</w:t>
      </w:r>
      <w:r>
        <w:rPr>
          <w:rFonts w:hint="eastAsia" w:ascii="宋体" w:hAnsi="宋体" w:cs="宋体"/>
          <w:bCs/>
          <w:color w:val="auto"/>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cs="宋体"/>
          <w:color w:val="auto"/>
          <w:highlight w:val="none"/>
        </w:rPr>
        <w:t>。</w:t>
      </w:r>
    </w:p>
    <w:p w14:paraId="03C3630E">
      <w:pPr>
        <w:shd w:val="clear" w:color="auto" w:fill="FFFFFF" w:themeFill="background1"/>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38.2.4 质疑供应商提起质疑应当符合下列条件：</w:t>
      </w:r>
    </w:p>
    <w:p w14:paraId="6C10543E">
      <w:pPr>
        <w:shd w:val="clear" w:color="auto" w:fill="FFFFFF" w:themeFill="background1"/>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（1）质疑供应商是参与所质疑</w:t>
      </w:r>
      <w:r>
        <w:rPr>
          <w:rFonts w:hint="eastAsia" w:ascii="宋体" w:hAnsi="宋体" w:cs="宋体"/>
          <w:bCs/>
          <w:color w:val="auto"/>
          <w:szCs w:val="21"/>
          <w:highlight w:val="none"/>
        </w:rPr>
        <w:t>项目</w:t>
      </w:r>
      <w:r>
        <w:rPr>
          <w:rFonts w:hint="eastAsia" w:ascii="宋体" w:hAnsi="宋体" w:cs="宋体"/>
          <w:bCs/>
          <w:color w:val="auto"/>
          <w:highlight w:val="none"/>
        </w:rPr>
        <w:t>采购活动的供应商（潜在供应商已依法获取可质疑的采购文件的，可以对该采购文件质疑）；</w:t>
      </w:r>
    </w:p>
    <w:p w14:paraId="23BCCC63">
      <w:pPr>
        <w:shd w:val="clear" w:color="auto" w:fill="FFFFFF" w:themeFill="background1"/>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（2）质疑函内容符合本章第38.2.5项的规定；</w:t>
      </w:r>
    </w:p>
    <w:p w14:paraId="37230381">
      <w:pPr>
        <w:shd w:val="clear" w:color="auto" w:fill="FFFFFF" w:themeFill="background1"/>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（3）在质疑有效期限内提起质疑；</w:t>
      </w:r>
    </w:p>
    <w:p w14:paraId="537DA1F8">
      <w:pPr>
        <w:shd w:val="clear" w:color="auto" w:fill="FFFFFF" w:themeFill="background1"/>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（4）属于所质疑的采购人或采购人委托的采购代理机构组织的采购活动；</w:t>
      </w:r>
    </w:p>
    <w:p w14:paraId="6FFD7FD7">
      <w:pPr>
        <w:shd w:val="clear" w:color="auto" w:fill="FFFFFF" w:themeFill="background1"/>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（5）供应商对同一采购程序环节的质疑应当在质疑有效期内一次性提出；</w:t>
      </w:r>
    </w:p>
    <w:p w14:paraId="7A7D3F40">
      <w:pPr>
        <w:shd w:val="clear" w:color="auto" w:fill="FFFFFF" w:themeFill="background1"/>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（6）供应商提交质疑应当提交必要的证明材料，证明材料应以合法手段取得；</w:t>
      </w:r>
    </w:p>
    <w:p w14:paraId="70345F79">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bCs/>
          <w:color w:val="auto"/>
          <w:highlight w:val="none"/>
        </w:rPr>
        <w:t>（7）财政部门规定的其他条件。</w:t>
      </w:r>
    </w:p>
    <w:p w14:paraId="50F78014">
      <w:pPr>
        <w:shd w:val="clear" w:color="auto" w:fill="FFFFFF" w:themeFill="background1"/>
        <w:spacing w:line="360" w:lineRule="auto"/>
        <w:ind w:firstLine="422" w:firstLineChars="200"/>
        <w:rPr>
          <w:rFonts w:ascii="宋体" w:hAnsi="宋体" w:cs="宋体"/>
          <w:b/>
          <w:bCs/>
          <w:color w:val="auto"/>
          <w:szCs w:val="21"/>
          <w:highlight w:val="none"/>
        </w:rPr>
      </w:pPr>
      <w:bookmarkStart w:id="244" w:name="_9.2质疑、投诉应当采用书面形式，质疑函、投诉书均应明确阐述招标文件、"/>
      <w:bookmarkEnd w:id="244"/>
      <w:r>
        <w:rPr>
          <w:rFonts w:hint="eastAsia" w:ascii="宋体" w:hAnsi="宋体" w:cs="宋体"/>
          <w:b/>
          <w:bCs/>
          <w:color w:val="auto"/>
          <w:szCs w:val="21"/>
          <w:highlight w:val="none"/>
        </w:rPr>
        <w:t xml:space="preserve"> 38.2.5 </w:t>
      </w:r>
      <w:r>
        <w:rPr>
          <w:rFonts w:hint="eastAsia" w:ascii="宋体" w:hAnsi="宋体" w:cs="宋体"/>
          <w:b/>
          <w:bCs/>
          <w:color w:val="auto"/>
          <w:highlight w:val="none"/>
        </w:rPr>
        <w:t>供应商提出质疑应当提交质疑函和必要的证明材料，针对同一采购程序环节的质疑必须在法定质疑期内一次性提出。质疑函应当包括下列内容（质疑函格式后附）：</w:t>
      </w:r>
    </w:p>
    <w:p w14:paraId="2A197A22">
      <w:pPr>
        <w:shd w:val="clear" w:color="auto" w:fill="FFFFFF" w:themeFill="background1"/>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（1）供应商的姓名或者名称、地址、邮编、联系人及联系电话；</w:t>
      </w:r>
    </w:p>
    <w:p w14:paraId="412CEC33">
      <w:pPr>
        <w:shd w:val="clear" w:color="auto" w:fill="FFFFFF" w:themeFill="background1"/>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（2）质疑项目的名称、编号；</w:t>
      </w:r>
    </w:p>
    <w:p w14:paraId="3CCC9465">
      <w:pPr>
        <w:shd w:val="clear" w:color="auto" w:fill="FFFFFF" w:themeFill="background1"/>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（3）具体、明确的质疑事项和与质疑事项相关的请求；</w:t>
      </w:r>
    </w:p>
    <w:p w14:paraId="358DA6D8">
      <w:pPr>
        <w:shd w:val="clear" w:color="auto" w:fill="FFFFFF" w:themeFill="background1"/>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（4）事实依据（列明权益受到损害的事实和理由）；</w:t>
      </w:r>
    </w:p>
    <w:p w14:paraId="502423A9">
      <w:pPr>
        <w:shd w:val="clear" w:color="auto" w:fill="FFFFFF" w:themeFill="background1"/>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（5）必要的法律依据；</w:t>
      </w:r>
    </w:p>
    <w:p w14:paraId="16722597">
      <w:pPr>
        <w:shd w:val="clear" w:color="auto" w:fill="FFFFFF" w:themeFill="background1"/>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（6）提出质疑的日期。</w:t>
      </w:r>
    </w:p>
    <w:p w14:paraId="7B02A53F">
      <w:pPr>
        <w:shd w:val="clear" w:color="auto" w:fill="FFFFFF" w:themeFill="background1"/>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供应商为自然人的，应当由本人签字；供应商为法人或者其他组织的，应当由法定代表人、主要负责人，或者其委托代理人签字或者盖章，并加盖公章。</w:t>
      </w:r>
    </w:p>
    <w:p w14:paraId="0C7BAF92">
      <w:pPr>
        <w:shd w:val="clear" w:color="auto" w:fill="FFFFFF" w:themeFill="background1"/>
        <w:spacing w:line="360" w:lineRule="auto"/>
        <w:ind w:firstLine="422" w:firstLineChars="200"/>
        <w:rPr>
          <w:rFonts w:ascii="宋体" w:hAnsi="宋体" w:cs="宋体"/>
          <w:b/>
          <w:color w:val="auto"/>
          <w:szCs w:val="20"/>
          <w:highlight w:val="none"/>
        </w:rPr>
      </w:pPr>
      <w:r>
        <w:rPr>
          <w:rFonts w:hint="eastAsia" w:ascii="宋体" w:hAnsi="宋体" w:cs="宋体"/>
          <w:b/>
          <w:color w:val="auto"/>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r>
        <w:rPr>
          <w:rFonts w:hint="eastAsia" w:ascii="宋体" w:hAnsi="宋体" w:cs="宋体"/>
          <w:bCs/>
          <w:color w:val="auto"/>
          <w:highlight w:val="none"/>
        </w:rPr>
        <w:t>。</w:t>
      </w:r>
    </w:p>
    <w:p w14:paraId="22A99A52">
      <w:pPr>
        <w:shd w:val="clear" w:color="auto" w:fill="FFFFFF" w:themeFill="background1"/>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3</w:t>
      </w:r>
      <w:r>
        <w:rPr>
          <w:rFonts w:hint="eastAsia" w:ascii="宋体" w:hAnsi="宋体" w:cs="宋体"/>
          <w:bCs/>
          <w:color w:val="auto"/>
          <w:szCs w:val="21"/>
          <w:highlight w:val="none"/>
        </w:rPr>
        <w:t>8.2.7采购人、采购代理机构认为供应商质疑不成立，或者成立但未对中标结果构成影响的，继续开展采购活动；认为供应商质疑成立且影响或者可能影响中标结果的，按照下列情况处理：</w:t>
      </w:r>
    </w:p>
    <w:p w14:paraId="062AFF63">
      <w:pPr>
        <w:shd w:val="clear" w:color="auto" w:fill="FFFFFF" w:themeFill="background1"/>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（一）对招标文件提出的质疑，依法通过澄清或者修改可以继续开展采购活动的，澄清或者修改招标文件后继续开展采购活动；否则应当修改招标文件后重新开展采购活动。</w:t>
      </w:r>
    </w:p>
    <w:p w14:paraId="4069BA89">
      <w:pPr>
        <w:shd w:val="clear" w:color="auto" w:fill="FFFFFF" w:themeFill="background1"/>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（二）对采购过程、中标结果提出的质疑，合格供应商符合法定数量时，可以从合格的中标候选人中另行确定中标人的，应当依法另行确定中标人；否则应当重新开展采购活动。</w:t>
      </w:r>
    </w:p>
    <w:p w14:paraId="7FE116D7">
      <w:pPr>
        <w:shd w:val="clear" w:color="auto" w:fill="FFFFFF" w:themeFill="background1"/>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质疑答复导致中标结果改变的，采购人或者采购代理机构应当将有关情况书面报告本级财政部门。</w:t>
      </w:r>
    </w:p>
    <w:p w14:paraId="5F8C3B12">
      <w:pPr>
        <w:shd w:val="clear" w:color="auto" w:fill="FFFFFF" w:themeFill="background1"/>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38.3投诉</w:t>
      </w:r>
    </w:p>
    <w:p w14:paraId="4866DECA">
      <w:pPr>
        <w:shd w:val="clear" w:color="auto" w:fill="FFFFFF" w:themeFill="background1"/>
        <w:spacing w:line="360" w:lineRule="auto"/>
        <w:ind w:firstLine="422" w:firstLineChars="200"/>
        <w:rPr>
          <w:rFonts w:ascii="宋体" w:hAnsi="宋体" w:cs="宋体"/>
          <w:bCs/>
          <w:color w:val="auto"/>
          <w:highlight w:val="none"/>
        </w:rPr>
      </w:pPr>
      <w:r>
        <w:rPr>
          <w:rFonts w:hint="eastAsia" w:ascii="宋体" w:hAnsi="宋体" w:cs="宋体"/>
          <w:b/>
          <w:color w:val="auto"/>
          <w:highlight w:val="none"/>
        </w:rPr>
        <w:t>38.3</w:t>
      </w:r>
      <w:r>
        <w:rPr>
          <w:rFonts w:hint="eastAsia" w:ascii="宋体" w:hAnsi="宋体" w:cs="宋体"/>
          <w:bCs/>
          <w:color w:val="auto"/>
          <w:highlight w:val="none"/>
        </w:rPr>
        <w:t>.</w:t>
      </w:r>
      <w:r>
        <w:rPr>
          <w:rFonts w:hint="eastAsia" w:ascii="宋体" w:hAnsi="宋体" w:cs="宋体"/>
          <w:b/>
          <w:bCs/>
          <w:color w:val="auto"/>
          <w:highlight w:val="none"/>
        </w:rPr>
        <w:t xml:space="preserve">1 </w:t>
      </w:r>
      <w:r>
        <w:rPr>
          <w:rFonts w:hint="eastAsia" w:ascii="宋体" w:hAnsi="宋体" w:cs="宋体"/>
          <w:bCs/>
          <w:color w:val="auto"/>
          <w:highlight w:val="none"/>
        </w:rPr>
        <w:t>供应商认为采购文件、采购过程、中标和成交结果使自己的合法权益受到损害的，应当首先依法向采购人或采购人委托的</w:t>
      </w:r>
      <w:r>
        <w:rPr>
          <w:rFonts w:hint="eastAsia" w:ascii="宋体" w:hAnsi="宋体" w:cs="宋体"/>
          <w:color w:val="auto"/>
          <w:highlight w:val="none"/>
        </w:rPr>
        <w:t>采购代理机构</w:t>
      </w:r>
      <w:r>
        <w:rPr>
          <w:rFonts w:hint="eastAsia" w:ascii="宋体" w:hAnsi="宋体" w:cs="宋体"/>
          <w:bCs/>
          <w:color w:val="auto"/>
          <w:highlight w:val="none"/>
        </w:rPr>
        <w:t>提出质疑。对采购人或</w:t>
      </w:r>
      <w:r>
        <w:rPr>
          <w:rFonts w:hint="eastAsia" w:ascii="宋体" w:hAnsi="宋体" w:cs="宋体"/>
          <w:color w:val="auto"/>
          <w:highlight w:val="none"/>
        </w:rPr>
        <w:t>采购代理机构</w:t>
      </w:r>
      <w:r>
        <w:rPr>
          <w:rFonts w:hint="eastAsia" w:ascii="宋体" w:hAnsi="宋体" w:cs="宋体"/>
          <w:bCs/>
          <w:color w:val="auto"/>
          <w:highlight w:val="none"/>
        </w:rPr>
        <w:t>的答复不满意，或者采购人或</w:t>
      </w:r>
      <w:r>
        <w:rPr>
          <w:rFonts w:hint="eastAsia" w:ascii="宋体" w:hAnsi="宋体" w:cs="宋体"/>
          <w:color w:val="auto"/>
          <w:highlight w:val="none"/>
        </w:rPr>
        <w:t>采购代理机构</w:t>
      </w:r>
      <w:r>
        <w:rPr>
          <w:rFonts w:hint="eastAsia" w:ascii="宋体" w:hAnsi="宋体" w:cs="宋体"/>
          <w:bCs/>
          <w:color w:val="auto"/>
          <w:highlight w:val="none"/>
        </w:rPr>
        <w:t>未在规定期限内做出答复的，供应商可以在答复期满后15个工作日内向本级财政部门提起投诉，投诉联系方式见“投标人须知前附表”。</w:t>
      </w:r>
    </w:p>
    <w:p w14:paraId="17782D05">
      <w:pPr>
        <w:shd w:val="clear" w:color="auto" w:fill="FFFFFF" w:themeFill="background1"/>
        <w:spacing w:line="360" w:lineRule="auto"/>
        <w:ind w:firstLine="422" w:firstLineChars="200"/>
        <w:rPr>
          <w:rFonts w:ascii="宋体" w:hAnsi="宋体" w:cs="宋体"/>
          <w:bCs/>
          <w:color w:val="auto"/>
          <w:highlight w:val="none"/>
        </w:rPr>
      </w:pPr>
      <w:r>
        <w:rPr>
          <w:rFonts w:hint="eastAsia" w:ascii="宋体" w:hAnsi="宋体" w:cs="宋体"/>
          <w:b/>
          <w:color w:val="auto"/>
          <w:highlight w:val="none"/>
        </w:rPr>
        <w:t xml:space="preserve">38.3.2 </w:t>
      </w:r>
      <w:r>
        <w:rPr>
          <w:rFonts w:hint="eastAsia" w:ascii="宋体" w:hAnsi="宋体" w:cs="宋体"/>
          <w:color w:val="auto"/>
          <w:highlight w:val="none"/>
        </w:rPr>
        <w:t>投诉人投诉时，应当提交投诉书，并按照被投诉采购人、采购代理机构和与投诉事项有关的供应商数量提供投诉书的副本。投诉书</w:t>
      </w:r>
      <w:r>
        <w:rPr>
          <w:rFonts w:hint="eastAsia" w:ascii="宋体" w:hAnsi="宋体" w:cs="宋体"/>
          <w:color w:val="auto"/>
          <w:szCs w:val="21"/>
          <w:highlight w:val="none"/>
        </w:rPr>
        <w:t>应当包括下列主要内容</w:t>
      </w:r>
      <w:r>
        <w:rPr>
          <w:rFonts w:hint="eastAsia" w:ascii="宋体" w:hAnsi="宋体" w:cs="宋体"/>
          <w:color w:val="auto"/>
          <w:highlight w:val="none"/>
        </w:rPr>
        <w:t>（如材料中有外文资料应同时附上对应的中文译本）</w:t>
      </w:r>
      <w:r>
        <w:rPr>
          <w:rFonts w:hint="eastAsia" w:ascii="宋体" w:hAnsi="宋体" w:cs="宋体"/>
          <w:bCs/>
          <w:color w:val="auto"/>
          <w:highlight w:val="none"/>
        </w:rPr>
        <w:t>（投诉书格式后附）</w:t>
      </w:r>
      <w:r>
        <w:rPr>
          <w:rFonts w:hint="eastAsia" w:ascii="宋体" w:hAnsi="宋体" w:cs="宋体"/>
          <w:color w:val="auto"/>
          <w:szCs w:val="21"/>
          <w:highlight w:val="none"/>
        </w:rPr>
        <w:t>：</w:t>
      </w:r>
    </w:p>
    <w:p w14:paraId="25C068F2">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（1）投诉人和被投诉人的名称、地址、邮编、联系人及联系电话等； </w:t>
      </w:r>
    </w:p>
    <w:p w14:paraId="70C5F891">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（2）质疑和质疑答复情况及相关证明材料； </w:t>
      </w:r>
    </w:p>
    <w:p w14:paraId="63EE8D18">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（3）具体、明确的投诉事项和与投诉事项相关的投诉请求；</w:t>
      </w:r>
    </w:p>
    <w:p w14:paraId="2D95945F">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14:paraId="2EBB4BDD">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（5）法律依据；</w:t>
      </w:r>
    </w:p>
    <w:p w14:paraId="2CD77AFB">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（6）提起投诉的日期。</w:t>
      </w:r>
    </w:p>
    <w:p w14:paraId="0726A8FF">
      <w:pPr>
        <w:shd w:val="clear" w:color="auto" w:fill="FFFFFF" w:themeFill="background1"/>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投诉人为自然人的，应当由本人签字；投诉人为法人或者其他组织的，应当由法定代表人、主要负责人，或者其授权代表签字或者盖章，并加盖公章。</w:t>
      </w:r>
    </w:p>
    <w:p w14:paraId="7BE72DD2">
      <w:pPr>
        <w:shd w:val="clear" w:color="auto" w:fill="FFFFFF" w:themeFill="background1"/>
        <w:spacing w:line="360" w:lineRule="auto"/>
        <w:ind w:firstLine="422" w:firstLineChars="200"/>
        <w:rPr>
          <w:rFonts w:ascii="宋体" w:hAnsi="宋体" w:cs="宋体"/>
          <w:bCs/>
          <w:color w:val="auto"/>
          <w:highlight w:val="none"/>
        </w:rPr>
      </w:pPr>
      <w:r>
        <w:rPr>
          <w:rFonts w:hint="eastAsia" w:ascii="宋体" w:hAnsi="宋体" w:cs="宋体"/>
          <w:b/>
          <w:color w:val="auto"/>
          <w:highlight w:val="none"/>
        </w:rPr>
        <w:t xml:space="preserve">38.3.3 </w:t>
      </w:r>
      <w:r>
        <w:rPr>
          <w:rFonts w:hint="eastAsia" w:ascii="宋体" w:hAnsi="宋体" w:cs="宋体"/>
          <w:color w:val="auto"/>
          <w:highlight w:val="none"/>
        </w:rPr>
        <w:t>投诉人可以委托代理人办理投诉事务。</w:t>
      </w:r>
      <w:r>
        <w:rPr>
          <w:rFonts w:hint="eastAsia" w:ascii="宋体" w:hAnsi="宋体" w:cs="宋体"/>
          <w:bCs/>
          <w:color w:val="auto"/>
          <w:highlight w:val="none"/>
        </w:rPr>
        <w:t>委托代理人应熟悉相关业务情况。</w:t>
      </w:r>
      <w:r>
        <w:rPr>
          <w:rFonts w:hint="eastAsia" w:ascii="宋体" w:hAnsi="宋体" w:cs="宋体"/>
          <w:color w:val="auto"/>
          <w:highlight w:val="none"/>
        </w:rPr>
        <w:t>代理人办理投诉事务时，除提交投诉书外，还应当提交投诉人的授权委托书和委托代理人身份证明复印件。</w:t>
      </w:r>
    </w:p>
    <w:p w14:paraId="7D7894B1">
      <w:pPr>
        <w:shd w:val="clear" w:color="auto" w:fill="FFFFFF" w:themeFill="background1"/>
        <w:spacing w:line="360" w:lineRule="auto"/>
        <w:ind w:firstLine="422" w:firstLineChars="200"/>
        <w:rPr>
          <w:rFonts w:ascii="宋体" w:hAnsi="宋体" w:cs="宋体"/>
          <w:color w:val="auto"/>
          <w:highlight w:val="none"/>
        </w:rPr>
      </w:pPr>
      <w:r>
        <w:rPr>
          <w:rFonts w:hint="eastAsia" w:ascii="宋体" w:hAnsi="宋体" w:cs="宋体"/>
          <w:b/>
          <w:color w:val="auto"/>
          <w:highlight w:val="none"/>
        </w:rPr>
        <w:t>38.3.4</w:t>
      </w:r>
      <w:r>
        <w:rPr>
          <w:rFonts w:hint="eastAsia" w:ascii="宋体" w:hAnsi="宋体" w:cs="宋体"/>
          <w:color w:val="auto"/>
          <w:highlight w:val="none"/>
        </w:rPr>
        <w:t xml:space="preserve"> 投诉人提起投诉应当符合下列条件：</w:t>
      </w:r>
    </w:p>
    <w:p w14:paraId="7DABD542">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（1）投诉人是参与所投诉政府采购活动的供应商；</w:t>
      </w:r>
    </w:p>
    <w:p w14:paraId="3B179F6C">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（2）提起投诉前已依法进行质疑；</w:t>
      </w:r>
    </w:p>
    <w:p w14:paraId="5F744554">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（3）投诉书内容符合本章第38.3.2项的规定；</w:t>
      </w:r>
    </w:p>
    <w:p w14:paraId="7123B121">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（4）在投诉有效期限内提起投诉；</w:t>
      </w:r>
    </w:p>
    <w:p w14:paraId="1B8A87DA">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（5）同一投诉事项未经</w:t>
      </w:r>
      <w:r>
        <w:rPr>
          <w:rFonts w:hint="eastAsia" w:ascii="宋体" w:hAnsi="宋体" w:cs="宋体"/>
          <w:bCs/>
          <w:color w:val="auto"/>
          <w:highlight w:val="none"/>
        </w:rPr>
        <w:t>财政部门</w:t>
      </w:r>
      <w:r>
        <w:rPr>
          <w:rFonts w:hint="eastAsia" w:ascii="宋体" w:hAnsi="宋体" w:cs="宋体"/>
          <w:color w:val="auto"/>
          <w:highlight w:val="none"/>
        </w:rPr>
        <w:t>投诉处理；</w:t>
      </w:r>
    </w:p>
    <w:p w14:paraId="31117FFC">
      <w:pPr>
        <w:shd w:val="clear" w:color="auto" w:fill="FFFFFF" w:themeFill="background1"/>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（6）国务院财政部门规定的其他条件。</w:t>
      </w:r>
    </w:p>
    <w:p w14:paraId="02BF4868">
      <w:pPr>
        <w:pStyle w:val="2"/>
        <w:rPr>
          <w:color w:val="auto"/>
          <w:highlight w:val="none"/>
        </w:rPr>
      </w:pPr>
    </w:p>
    <w:p w14:paraId="58513084">
      <w:pPr>
        <w:shd w:val="clear" w:color="auto" w:fill="FFFFFF" w:themeFill="background1"/>
        <w:snapToGrid w:val="0"/>
        <w:spacing w:line="360" w:lineRule="auto"/>
        <w:ind w:left="120" w:leftChars="57" w:firstLine="482" w:firstLineChars="150"/>
        <w:jc w:val="center"/>
        <w:outlineLvl w:val="2"/>
        <w:rPr>
          <w:rFonts w:ascii="宋体" w:hAnsi="宋体" w:cs="宋体"/>
          <w:b/>
          <w:bCs/>
          <w:color w:val="auto"/>
          <w:sz w:val="32"/>
          <w:szCs w:val="32"/>
          <w:highlight w:val="none"/>
        </w:rPr>
      </w:pPr>
      <w:bookmarkStart w:id="245" w:name="_Toc25946"/>
      <w:bookmarkStart w:id="246" w:name="_Toc1756"/>
      <w:bookmarkStart w:id="247" w:name="_Toc8731"/>
      <w:bookmarkStart w:id="248" w:name="_Toc7828"/>
      <w:bookmarkStart w:id="249" w:name="_Toc14937"/>
      <w:bookmarkStart w:id="250" w:name="_Toc26583"/>
      <w:bookmarkStart w:id="251" w:name="_Toc23239"/>
      <w:bookmarkStart w:id="252" w:name="_Toc27653"/>
      <w:bookmarkStart w:id="253" w:name="_Toc29288"/>
      <w:bookmarkStart w:id="254" w:name="_Toc13659"/>
      <w:r>
        <w:rPr>
          <w:rFonts w:hint="eastAsia" w:ascii="宋体" w:hAnsi="宋体" w:cs="宋体"/>
          <w:b/>
          <w:bCs/>
          <w:color w:val="auto"/>
          <w:sz w:val="32"/>
          <w:szCs w:val="32"/>
          <w:highlight w:val="none"/>
        </w:rPr>
        <w:t>八、验收</w:t>
      </w:r>
      <w:bookmarkEnd w:id="245"/>
      <w:bookmarkEnd w:id="246"/>
      <w:bookmarkEnd w:id="247"/>
      <w:bookmarkEnd w:id="248"/>
      <w:bookmarkEnd w:id="249"/>
      <w:bookmarkEnd w:id="250"/>
      <w:bookmarkEnd w:id="251"/>
      <w:bookmarkEnd w:id="252"/>
      <w:bookmarkEnd w:id="253"/>
      <w:bookmarkEnd w:id="254"/>
    </w:p>
    <w:p w14:paraId="0FA74B5E">
      <w:pPr>
        <w:shd w:val="clear" w:color="auto" w:fill="FFFFFF" w:themeFill="background1"/>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39.验收</w:t>
      </w:r>
    </w:p>
    <w:p w14:paraId="1FA0C8CB">
      <w:pPr>
        <w:shd w:val="clear" w:color="auto" w:fill="FFFFFF" w:themeFill="background1"/>
        <w:tabs>
          <w:tab w:val="left" w:pos="0"/>
        </w:tabs>
        <w:spacing w:line="360" w:lineRule="auto"/>
        <w:ind w:firstLine="480"/>
        <w:rPr>
          <w:rFonts w:ascii="宋体" w:hAnsi="宋体" w:cs="宋体"/>
          <w:color w:val="auto"/>
          <w:highlight w:val="none"/>
        </w:rPr>
      </w:pPr>
      <w:r>
        <w:rPr>
          <w:rFonts w:hint="eastAsia" w:ascii="宋体" w:hAnsi="宋体" w:cs="宋体"/>
          <w:color w:val="auto"/>
          <w:highlight w:val="none"/>
        </w:rPr>
        <w:t>39.1采购人组织对中标人履约的验收。大型或者复杂的政府采购项目，应当邀请国家认可的质量检测机构参加验收工作。验收方成员应当在验收书上签字，并承担相应的法律责任。如果发现与合同中要求不符，中标人须承担由此发生的一切损失和费用，并接受相应的处理。</w:t>
      </w:r>
    </w:p>
    <w:p w14:paraId="76C85848">
      <w:pPr>
        <w:shd w:val="clear" w:color="auto" w:fill="FFFFFF" w:themeFill="background1"/>
        <w:tabs>
          <w:tab w:val="left" w:pos="0"/>
        </w:tabs>
        <w:spacing w:line="360" w:lineRule="auto"/>
        <w:ind w:firstLine="480"/>
        <w:rPr>
          <w:rFonts w:ascii="宋体" w:hAnsi="宋体" w:cs="宋体"/>
          <w:color w:val="auto"/>
          <w:highlight w:val="none"/>
        </w:rPr>
      </w:pPr>
      <w:r>
        <w:rPr>
          <w:rFonts w:hint="eastAsia" w:ascii="宋体" w:hAnsi="宋体" w:cs="宋体"/>
          <w:color w:val="auto"/>
          <w:highlight w:val="none"/>
        </w:rPr>
        <w:t>39.2采购人可以邀请参加本项目的其他投标人或者第三方机构参与验收。参与验收的投标人或者第三方机构的意见作为验收书的参考资料一并存档。</w:t>
      </w:r>
    </w:p>
    <w:p w14:paraId="1FFFFF98">
      <w:pPr>
        <w:shd w:val="clear" w:color="auto" w:fill="FFFFFF" w:themeFill="background1"/>
        <w:tabs>
          <w:tab w:val="left" w:pos="0"/>
        </w:tabs>
        <w:spacing w:line="360" w:lineRule="auto"/>
        <w:ind w:firstLine="480"/>
        <w:rPr>
          <w:rFonts w:ascii="宋体" w:hAnsi="宋体" w:cs="宋体"/>
          <w:color w:val="auto"/>
          <w:highlight w:val="none"/>
        </w:rPr>
      </w:pPr>
      <w:r>
        <w:rPr>
          <w:rFonts w:hint="eastAsia" w:ascii="宋体" w:hAnsi="宋体" w:cs="宋体"/>
          <w:color w:val="auto"/>
          <w:highlight w:val="none"/>
        </w:rPr>
        <w:t>39.3严格按照采购合同开展履约验收。采购人成立验收小组，按照采购合同的约定对中标人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如有）返还条件挂钩。履约验收的各项资料应当存档备查。</w:t>
      </w:r>
    </w:p>
    <w:p w14:paraId="3ACE3D07">
      <w:pPr>
        <w:tabs>
          <w:tab w:val="left" w:pos="0"/>
        </w:tabs>
        <w:spacing w:line="360" w:lineRule="auto"/>
        <w:ind w:firstLine="480"/>
        <w:rPr>
          <w:rFonts w:hAnsi="宋体" w:cs="宋体"/>
          <w:color w:val="auto"/>
          <w:highlight w:val="none"/>
        </w:rPr>
      </w:pPr>
      <w:r>
        <w:rPr>
          <w:rFonts w:hint="eastAsia" w:ascii="宋体" w:hAnsi="宋体" w:cs="宋体"/>
          <w:color w:val="auto"/>
          <w:highlight w:val="none"/>
        </w:rPr>
        <w:t>39.4验收合格的项目，采购人将根据采购合同的约定及时向中标人支付采购资金。验收不合格的项目，采购人将依法及时处理。采购合同的履行、违约责任和解决争议的方式等适用《中华人民共和国民法典》。中标人在履约过程中有政府采购法律法规规定的违法违规情形的，采购人应当及时报告本级财政部门。</w:t>
      </w:r>
    </w:p>
    <w:p w14:paraId="78E15035">
      <w:pPr>
        <w:pStyle w:val="2"/>
        <w:rPr>
          <w:color w:val="auto"/>
          <w:highlight w:val="none"/>
        </w:rPr>
      </w:pPr>
    </w:p>
    <w:p w14:paraId="460B85C4">
      <w:pPr>
        <w:pStyle w:val="5"/>
        <w:keepNext w:val="0"/>
        <w:keepLines w:val="0"/>
        <w:shd w:val="clear" w:color="auto" w:fill="FFFFFF" w:themeFill="background1"/>
        <w:spacing w:line="360" w:lineRule="auto"/>
        <w:jc w:val="center"/>
        <w:rPr>
          <w:rFonts w:ascii="宋体" w:hAnsi="宋体" w:cs="宋体"/>
          <w:color w:val="auto"/>
          <w:highlight w:val="none"/>
        </w:rPr>
      </w:pPr>
      <w:bookmarkStart w:id="255" w:name="_八、其他事项"/>
      <w:bookmarkEnd w:id="255"/>
      <w:bookmarkStart w:id="256" w:name="_Toc5795"/>
      <w:bookmarkStart w:id="257" w:name="_Toc16509"/>
      <w:bookmarkStart w:id="258" w:name="_Toc31560"/>
      <w:bookmarkStart w:id="259" w:name="_Toc32163"/>
      <w:bookmarkStart w:id="260" w:name="_Toc24348"/>
      <w:bookmarkStart w:id="261" w:name="_Toc27249"/>
      <w:bookmarkStart w:id="262" w:name="_Toc13217"/>
      <w:bookmarkStart w:id="263" w:name="_Toc28972"/>
      <w:bookmarkStart w:id="264" w:name="_Toc13612"/>
      <w:bookmarkStart w:id="265" w:name="_Toc14814"/>
      <w:r>
        <w:rPr>
          <w:rFonts w:hint="eastAsia" w:ascii="宋体" w:hAnsi="宋体" w:cs="宋体"/>
          <w:color w:val="auto"/>
          <w:highlight w:val="none"/>
        </w:rPr>
        <w:t>九、其他事项</w:t>
      </w:r>
      <w:bookmarkEnd w:id="256"/>
      <w:bookmarkEnd w:id="257"/>
      <w:bookmarkEnd w:id="258"/>
      <w:bookmarkEnd w:id="259"/>
      <w:bookmarkEnd w:id="260"/>
      <w:bookmarkEnd w:id="261"/>
      <w:bookmarkEnd w:id="262"/>
      <w:bookmarkEnd w:id="263"/>
      <w:bookmarkEnd w:id="264"/>
      <w:bookmarkEnd w:id="265"/>
    </w:p>
    <w:p w14:paraId="1F552E70">
      <w:pPr>
        <w:shd w:val="clear" w:color="auto" w:fill="FFFFFF" w:themeFill="background1"/>
        <w:spacing w:line="360" w:lineRule="auto"/>
        <w:ind w:firstLine="422" w:firstLineChars="200"/>
        <w:rPr>
          <w:rFonts w:ascii="宋体" w:hAnsi="宋体" w:cs="宋体"/>
          <w:b/>
          <w:bCs/>
          <w:color w:val="auto"/>
          <w:szCs w:val="21"/>
          <w:highlight w:val="none"/>
        </w:rPr>
      </w:pPr>
      <w:bookmarkStart w:id="266" w:name="_42.代理服务费"/>
      <w:bookmarkEnd w:id="266"/>
      <w:r>
        <w:rPr>
          <w:rFonts w:hint="eastAsia" w:ascii="宋体" w:hAnsi="宋体" w:cs="宋体"/>
          <w:b/>
          <w:bCs/>
          <w:color w:val="auto"/>
          <w:szCs w:val="21"/>
          <w:highlight w:val="none"/>
        </w:rPr>
        <w:t>40.采购代理服务费</w:t>
      </w:r>
    </w:p>
    <w:p w14:paraId="220B50B7">
      <w:pPr>
        <w:shd w:val="clear" w:color="auto" w:fill="FFFFFF" w:themeFill="background1"/>
        <w:spacing w:line="360" w:lineRule="auto"/>
        <w:ind w:firstLine="420" w:firstLineChars="200"/>
        <w:rPr>
          <w:rFonts w:ascii="宋体" w:hAnsi="宋体" w:cs="宋体"/>
          <w:b/>
          <w:color w:val="auto"/>
          <w:szCs w:val="21"/>
          <w:highlight w:val="none"/>
        </w:rPr>
      </w:pPr>
      <w:r>
        <w:rPr>
          <w:rFonts w:hint="eastAsia" w:ascii="宋体" w:hAnsi="宋体" w:cs="宋体"/>
          <w:bCs/>
          <w:color w:val="auto"/>
          <w:szCs w:val="21"/>
          <w:highlight w:val="none"/>
        </w:rPr>
        <w:t>40.1采购代理服务费收费标准及缴费账户详见“投标人须知前附表”，投标人为联合体的，可以由联合体中的一方或者多方共同缴纳采购代理服务费。</w:t>
      </w:r>
    </w:p>
    <w:p w14:paraId="44BABA07">
      <w:pPr>
        <w:pStyle w:val="7"/>
        <w:keepNext w:val="0"/>
        <w:keepLines w:val="0"/>
        <w:shd w:val="clear" w:color="auto" w:fill="FFFFFF" w:themeFill="background1"/>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40.2采购代理服务费收费标准：</w:t>
      </w:r>
    </w:p>
    <w:tbl>
      <w:tblPr>
        <w:tblStyle w:val="25"/>
        <w:tblW w:w="847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0568B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14559E6A">
            <w:pPr>
              <w:shd w:val="clear" w:color="auto" w:fill="FFFFFF" w:themeFill="background1"/>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费率</w:t>
            </w:r>
          </w:p>
          <w:p w14:paraId="662EF5B4">
            <w:pPr>
              <w:shd w:val="clear" w:color="auto" w:fill="FFFFFF" w:themeFill="background1"/>
              <w:spacing w:line="360" w:lineRule="auto"/>
              <w:rPr>
                <w:rFonts w:ascii="宋体" w:hAnsi="宋体" w:cs="宋体"/>
                <w:color w:val="auto"/>
                <w:szCs w:val="21"/>
                <w:highlight w:val="none"/>
              </w:rPr>
            </w:pPr>
            <w:r>
              <w:rPr>
                <w:rFonts w:hint="eastAsia" w:ascii="宋体" w:hAnsi="宋体" w:cs="宋体"/>
                <w:color w:val="auto"/>
                <w:szCs w:val="21"/>
                <w:highlight w:val="none"/>
              </w:rPr>
              <w:t>中标金额</w:t>
            </w:r>
          </w:p>
        </w:tc>
        <w:tc>
          <w:tcPr>
            <w:tcW w:w="1659" w:type="dxa"/>
            <w:vAlign w:val="center"/>
          </w:tcPr>
          <w:p w14:paraId="2BD28157">
            <w:pPr>
              <w:shd w:val="clear" w:color="auto" w:fill="FFFFFF" w:themeFill="background1"/>
              <w:spacing w:line="360" w:lineRule="auto"/>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货物招标</w:t>
            </w:r>
          </w:p>
        </w:tc>
        <w:tc>
          <w:tcPr>
            <w:tcW w:w="1687" w:type="dxa"/>
            <w:vAlign w:val="center"/>
          </w:tcPr>
          <w:p w14:paraId="36AB64D4">
            <w:pPr>
              <w:shd w:val="clear" w:color="auto" w:fill="FFFFFF" w:themeFill="background1"/>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服务招标</w:t>
            </w:r>
          </w:p>
        </w:tc>
        <w:tc>
          <w:tcPr>
            <w:tcW w:w="1659" w:type="dxa"/>
            <w:vAlign w:val="center"/>
          </w:tcPr>
          <w:p w14:paraId="5A1E7E68">
            <w:pPr>
              <w:shd w:val="clear" w:color="auto" w:fill="FFFFFF" w:themeFill="background1"/>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工程招标</w:t>
            </w:r>
          </w:p>
        </w:tc>
      </w:tr>
      <w:tr w14:paraId="24296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718EBC2">
            <w:pPr>
              <w:shd w:val="clear" w:color="auto" w:fill="FFFFFF" w:themeFill="background1"/>
              <w:spacing w:line="360" w:lineRule="auto"/>
              <w:rPr>
                <w:rFonts w:ascii="宋体" w:hAnsi="宋体" w:cs="宋体"/>
                <w:color w:val="auto"/>
                <w:szCs w:val="21"/>
                <w:highlight w:val="none"/>
              </w:rPr>
            </w:pPr>
            <w:r>
              <w:rPr>
                <w:rFonts w:hint="eastAsia" w:ascii="宋体" w:hAnsi="宋体" w:cs="宋体"/>
                <w:color w:val="auto"/>
                <w:szCs w:val="21"/>
                <w:highlight w:val="none"/>
              </w:rPr>
              <w:t>100万元以下</w:t>
            </w:r>
          </w:p>
        </w:tc>
        <w:tc>
          <w:tcPr>
            <w:tcW w:w="1659" w:type="dxa"/>
          </w:tcPr>
          <w:p w14:paraId="54ACC600">
            <w:pPr>
              <w:shd w:val="clear" w:color="auto" w:fill="FFFFFF" w:themeFill="background1"/>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687" w:type="dxa"/>
          </w:tcPr>
          <w:p w14:paraId="5AD369F2">
            <w:pPr>
              <w:shd w:val="clear" w:color="auto" w:fill="FFFFFF" w:themeFill="background1"/>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1.5%</w:t>
            </w:r>
          </w:p>
        </w:tc>
        <w:tc>
          <w:tcPr>
            <w:tcW w:w="1659" w:type="dxa"/>
          </w:tcPr>
          <w:p w14:paraId="751A8709">
            <w:pPr>
              <w:shd w:val="clear" w:color="auto" w:fill="FFFFFF" w:themeFill="background1"/>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1.0% </w:t>
            </w:r>
          </w:p>
        </w:tc>
      </w:tr>
      <w:tr w14:paraId="4F690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996A0F5">
            <w:pPr>
              <w:shd w:val="clear" w:color="auto" w:fill="FFFFFF" w:themeFill="background1"/>
              <w:spacing w:line="360" w:lineRule="auto"/>
              <w:rPr>
                <w:rFonts w:ascii="宋体" w:hAnsi="宋体" w:cs="宋体"/>
                <w:color w:val="auto"/>
                <w:szCs w:val="21"/>
                <w:highlight w:val="none"/>
              </w:rPr>
            </w:pPr>
            <w:r>
              <w:rPr>
                <w:rFonts w:hint="eastAsia" w:ascii="宋体" w:hAnsi="宋体" w:cs="宋体"/>
                <w:color w:val="auto"/>
                <w:szCs w:val="21"/>
                <w:highlight w:val="none"/>
              </w:rPr>
              <w:t>100～500万元</w:t>
            </w:r>
          </w:p>
        </w:tc>
        <w:tc>
          <w:tcPr>
            <w:tcW w:w="1659" w:type="dxa"/>
          </w:tcPr>
          <w:p w14:paraId="7446C7B6">
            <w:pPr>
              <w:shd w:val="clear" w:color="auto" w:fill="FFFFFF" w:themeFill="background1"/>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687" w:type="dxa"/>
          </w:tcPr>
          <w:p w14:paraId="569C499B">
            <w:pPr>
              <w:shd w:val="clear" w:color="auto" w:fill="FFFFFF" w:themeFill="background1"/>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0.8%</w:t>
            </w:r>
          </w:p>
        </w:tc>
        <w:tc>
          <w:tcPr>
            <w:tcW w:w="1659" w:type="dxa"/>
          </w:tcPr>
          <w:p w14:paraId="41AFF157">
            <w:pPr>
              <w:shd w:val="clear" w:color="auto" w:fill="FFFFFF" w:themeFill="background1"/>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0.7% </w:t>
            </w:r>
          </w:p>
        </w:tc>
      </w:tr>
      <w:tr w14:paraId="48E91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9E72026">
            <w:pPr>
              <w:shd w:val="clear" w:color="auto" w:fill="FFFFFF" w:themeFill="background1"/>
              <w:spacing w:line="360" w:lineRule="auto"/>
              <w:rPr>
                <w:rFonts w:ascii="宋体" w:hAnsi="宋体" w:cs="宋体"/>
                <w:color w:val="auto"/>
                <w:szCs w:val="21"/>
                <w:highlight w:val="none"/>
              </w:rPr>
            </w:pPr>
            <w:r>
              <w:rPr>
                <w:rFonts w:hint="eastAsia" w:ascii="宋体" w:hAnsi="宋体" w:cs="宋体"/>
                <w:color w:val="auto"/>
                <w:szCs w:val="21"/>
                <w:highlight w:val="none"/>
              </w:rPr>
              <w:t>500～1000万元</w:t>
            </w:r>
          </w:p>
        </w:tc>
        <w:tc>
          <w:tcPr>
            <w:tcW w:w="1659" w:type="dxa"/>
          </w:tcPr>
          <w:p w14:paraId="0B672FD5">
            <w:pPr>
              <w:shd w:val="clear" w:color="auto" w:fill="FFFFFF" w:themeFill="background1"/>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687" w:type="dxa"/>
          </w:tcPr>
          <w:p w14:paraId="1867DC88">
            <w:pPr>
              <w:shd w:val="clear" w:color="auto" w:fill="FFFFFF" w:themeFill="background1"/>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0.45%</w:t>
            </w:r>
          </w:p>
        </w:tc>
        <w:tc>
          <w:tcPr>
            <w:tcW w:w="1659" w:type="dxa"/>
          </w:tcPr>
          <w:p w14:paraId="71D41457">
            <w:pPr>
              <w:shd w:val="clear" w:color="auto" w:fill="FFFFFF" w:themeFill="background1"/>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0.55%</w:t>
            </w:r>
          </w:p>
        </w:tc>
      </w:tr>
      <w:tr w14:paraId="71808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C7D9F9B">
            <w:pPr>
              <w:shd w:val="clear" w:color="auto" w:fill="FFFFFF" w:themeFill="background1"/>
              <w:spacing w:line="360" w:lineRule="auto"/>
              <w:rPr>
                <w:rFonts w:ascii="宋体" w:hAnsi="宋体" w:cs="宋体"/>
                <w:color w:val="auto"/>
                <w:szCs w:val="21"/>
                <w:highlight w:val="none"/>
              </w:rPr>
            </w:pPr>
            <w:r>
              <w:rPr>
                <w:rFonts w:hint="eastAsia" w:ascii="宋体" w:hAnsi="宋体" w:cs="宋体"/>
                <w:color w:val="auto"/>
                <w:szCs w:val="21"/>
                <w:highlight w:val="none"/>
              </w:rPr>
              <w:t>1000～5000万元</w:t>
            </w:r>
          </w:p>
        </w:tc>
        <w:tc>
          <w:tcPr>
            <w:tcW w:w="1659" w:type="dxa"/>
          </w:tcPr>
          <w:p w14:paraId="78DC3BA6">
            <w:pPr>
              <w:shd w:val="clear" w:color="auto" w:fill="FFFFFF" w:themeFill="background1"/>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687" w:type="dxa"/>
          </w:tcPr>
          <w:p w14:paraId="481EDCE0">
            <w:pPr>
              <w:shd w:val="clear" w:color="auto" w:fill="FFFFFF" w:themeFill="background1"/>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0.25%</w:t>
            </w:r>
          </w:p>
        </w:tc>
        <w:tc>
          <w:tcPr>
            <w:tcW w:w="1659" w:type="dxa"/>
          </w:tcPr>
          <w:p w14:paraId="0E6DFC2E">
            <w:pPr>
              <w:shd w:val="clear" w:color="auto" w:fill="FFFFFF" w:themeFill="background1"/>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0.35% </w:t>
            </w:r>
          </w:p>
        </w:tc>
      </w:tr>
      <w:tr w14:paraId="768C1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FF9CEC9">
            <w:pPr>
              <w:shd w:val="clear" w:color="auto" w:fill="FFFFFF" w:themeFill="background1"/>
              <w:spacing w:line="360" w:lineRule="auto"/>
              <w:rPr>
                <w:rFonts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tcPr>
          <w:p w14:paraId="51CC92CD">
            <w:pPr>
              <w:shd w:val="clear" w:color="auto" w:fill="FFFFFF" w:themeFill="background1"/>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687" w:type="dxa"/>
          </w:tcPr>
          <w:p w14:paraId="49EFEB4E">
            <w:pPr>
              <w:shd w:val="clear" w:color="auto" w:fill="FFFFFF" w:themeFill="background1"/>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0.1%</w:t>
            </w:r>
          </w:p>
        </w:tc>
        <w:tc>
          <w:tcPr>
            <w:tcW w:w="1659" w:type="dxa"/>
          </w:tcPr>
          <w:p w14:paraId="642FBC4B">
            <w:pPr>
              <w:shd w:val="clear" w:color="auto" w:fill="FFFFFF" w:themeFill="background1"/>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w:t>
            </w:r>
          </w:p>
        </w:tc>
      </w:tr>
      <w:tr w14:paraId="304A5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21CD80B">
            <w:pPr>
              <w:shd w:val="clear" w:color="auto" w:fill="FFFFFF" w:themeFill="background1"/>
              <w:spacing w:line="360" w:lineRule="auto"/>
              <w:rPr>
                <w:rFonts w:ascii="宋体" w:hAnsi="宋体" w:cs="宋体"/>
                <w:color w:val="auto"/>
                <w:szCs w:val="21"/>
                <w:highlight w:val="none"/>
              </w:rPr>
            </w:pPr>
            <w:r>
              <w:rPr>
                <w:rFonts w:hint="eastAsia" w:ascii="宋体" w:hAnsi="宋体" w:cs="宋体"/>
                <w:color w:val="auto"/>
                <w:szCs w:val="21"/>
                <w:highlight w:val="none"/>
              </w:rPr>
              <w:t>1～5亿元</w:t>
            </w:r>
          </w:p>
        </w:tc>
        <w:tc>
          <w:tcPr>
            <w:tcW w:w="1659" w:type="dxa"/>
          </w:tcPr>
          <w:p w14:paraId="56B78D94">
            <w:pPr>
              <w:shd w:val="clear" w:color="auto" w:fill="FFFFFF" w:themeFill="background1"/>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0.05%</w:t>
            </w:r>
          </w:p>
        </w:tc>
        <w:tc>
          <w:tcPr>
            <w:tcW w:w="1687" w:type="dxa"/>
          </w:tcPr>
          <w:p w14:paraId="40F7ABAA">
            <w:pPr>
              <w:shd w:val="clear" w:color="auto" w:fill="FFFFFF" w:themeFill="background1"/>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c>
          <w:tcPr>
            <w:tcW w:w="1659" w:type="dxa"/>
          </w:tcPr>
          <w:p w14:paraId="530FA5D4">
            <w:pPr>
              <w:shd w:val="clear" w:color="auto" w:fill="FFFFFF" w:themeFill="background1"/>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r>
      <w:tr w14:paraId="5F9C4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1A0E8E2">
            <w:pPr>
              <w:shd w:val="clear" w:color="auto" w:fill="FFFFFF" w:themeFill="background1"/>
              <w:spacing w:line="360" w:lineRule="auto"/>
              <w:rPr>
                <w:rFonts w:ascii="宋体" w:hAnsi="宋体" w:cs="宋体"/>
                <w:color w:val="auto"/>
                <w:szCs w:val="21"/>
                <w:highlight w:val="none"/>
              </w:rPr>
            </w:pPr>
            <w:r>
              <w:rPr>
                <w:rFonts w:hint="eastAsia" w:ascii="宋体" w:hAnsi="宋体" w:cs="宋体"/>
                <w:color w:val="auto"/>
                <w:szCs w:val="21"/>
                <w:highlight w:val="none"/>
              </w:rPr>
              <w:t>5～10亿元</w:t>
            </w:r>
          </w:p>
        </w:tc>
        <w:tc>
          <w:tcPr>
            <w:tcW w:w="1659" w:type="dxa"/>
          </w:tcPr>
          <w:p w14:paraId="2A020412">
            <w:pPr>
              <w:shd w:val="clear" w:color="auto" w:fill="FFFFFF" w:themeFill="background1"/>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c>
          <w:tcPr>
            <w:tcW w:w="1687" w:type="dxa"/>
          </w:tcPr>
          <w:p w14:paraId="61AE6C98">
            <w:pPr>
              <w:shd w:val="clear" w:color="auto" w:fill="FFFFFF" w:themeFill="background1"/>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0.035%</w:t>
            </w:r>
          </w:p>
        </w:tc>
        <w:tc>
          <w:tcPr>
            <w:tcW w:w="1659" w:type="dxa"/>
          </w:tcPr>
          <w:p w14:paraId="6D11B09F">
            <w:pPr>
              <w:shd w:val="clear" w:color="auto" w:fill="FFFFFF" w:themeFill="background1"/>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r>
      <w:tr w14:paraId="153DD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28B34E1">
            <w:pPr>
              <w:shd w:val="clear" w:color="auto" w:fill="FFFFFF" w:themeFill="background1"/>
              <w:spacing w:line="360" w:lineRule="auto"/>
              <w:rPr>
                <w:rFonts w:ascii="宋体" w:hAnsi="宋体" w:cs="宋体"/>
                <w:color w:val="auto"/>
                <w:szCs w:val="21"/>
                <w:highlight w:val="none"/>
              </w:rPr>
            </w:pPr>
            <w:r>
              <w:rPr>
                <w:rFonts w:hint="eastAsia" w:ascii="宋体" w:hAnsi="宋体" w:cs="宋体"/>
                <w:color w:val="auto"/>
                <w:szCs w:val="21"/>
                <w:highlight w:val="none"/>
              </w:rPr>
              <w:t>10～50亿元</w:t>
            </w:r>
          </w:p>
        </w:tc>
        <w:tc>
          <w:tcPr>
            <w:tcW w:w="1659" w:type="dxa"/>
          </w:tcPr>
          <w:p w14:paraId="27E34B29">
            <w:pPr>
              <w:shd w:val="clear" w:color="auto" w:fill="FFFFFF" w:themeFill="background1"/>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c>
          <w:tcPr>
            <w:tcW w:w="1687" w:type="dxa"/>
          </w:tcPr>
          <w:p w14:paraId="32A06968">
            <w:pPr>
              <w:shd w:val="clear" w:color="auto" w:fill="FFFFFF" w:themeFill="background1"/>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0.008%</w:t>
            </w:r>
          </w:p>
        </w:tc>
        <w:tc>
          <w:tcPr>
            <w:tcW w:w="1659" w:type="dxa"/>
          </w:tcPr>
          <w:p w14:paraId="2A8E7C10">
            <w:pPr>
              <w:shd w:val="clear" w:color="auto" w:fill="FFFFFF" w:themeFill="background1"/>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r>
      <w:tr w14:paraId="5AC68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BA7C852">
            <w:pPr>
              <w:shd w:val="clear" w:color="auto" w:fill="FFFFFF" w:themeFill="background1"/>
              <w:spacing w:line="360" w:lineRule="auto"/>
              <w:rPr>
                <w:rFonts w:ascii="宋体" w:hAnsi="宋体" w:cs="宋体"/>
                <w:color w:val="auto"/>
                <w:szCs w:val="21"/>
                <w:highlight w:val="none"/>
              </w:rPr>
            </w:pPr>
            <w:r>
              <w:rPr>
                <w:rFonts w:hint="eastAsia" w:ascii="宋体" w:hAnsi="宋体" w:cs="宋体"/>
                <w:color w:val="auto"/>
                <w:szCs w:val="21"/>
                <w:highlight w:val="none"/>
              </w:rPr>
              <w:t>50～100亿元</w:t>
            </w:r>
          </w:p>
        </w:tc>
        <w:tc>
          <w:tcPr>
            <w:tcW w:w="1659" w:type="dxa"/>
          </w:tcPr>
          <w:p w14:paraId="0532F22E">
            <w:pPr>
              <w:shd w:val="clear" w:color="auto" w:fill="FFFFFF" w:themeFill="background1"/>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0.006%</w:t>
            </w:r>
          </w:p>
        </w:tc>
        <w:tc>
          <w:tcPr>
            <w:tcW w:w="1687" w:type="dxa"/>
          </w:tcPr>
          <w:p w14:paraId="37CD743D">
            <w:pPr>
              <w:shd w:val="clear" w:color="auto" w:fill="FFFFFF" w:themeFill="background1"/>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0.006%</w:t>
            </w:r>
          </w:p>
        </w:tc>
        <w:tc>
          <w:tcPr>
            <w:tcW w:w="1659" w:type="dxa"/>
          </w:tcPr>
          <w:p w14:paraId="109A353A">
            <w:pPr>
              <w:shd w:val="clear" w:color="auto" w:fill="FFFFFF" w:themeFill="background1"/>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0.006%</w:t>
            </w:r>
          </w:p>
        </w:tc>
      </w:tr>
      <w:tr w14:paraId="2831A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11EA5F9">
            <w:pPr>
              <w:shd w:val="clear" w:color="auto" w:fill="FFFFFF" w:themeFill="background1"/>
              <w:spacing w:line="360" w:lineRule="auto"/>
              <w:rPr>
                <w:rFonts w:ascii="宋体" w:hAnsi="宋体" w:cs="宋体"/>
                <w:color w:val="auto"/>
                <w:szCs w:val="21"/>
                <w:highlight w:val="none"/>
              </w:rPr>
            </w:pPr>
            <w:r>
              <w:rPr>
                <w:rFonts w:hint="eastAsia" w:ascii="宋体" w:hAnsi="宋体" w:cs="宋体"/>
                <w:color w:val="auto"/>
                <w:szCs w:val="21"/>
                <w:highlight w:val="none"/>
              </w:rPr>
              <w:t>100亿以上</w:t>
            </w:r>
          </w:p>
        </w:tc>
        <w:tc>
          <w:tcPr>
            <w:tcW w:w="1659" w:type="dxa"/>
          </w:tcPr>
          <w:p w14:paraId="244F93C1">
            <w:pPr>
              <w:shd w:val="clear" w:color="auto" w:fill="FFFFFF" w:themeFill="background1"/>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0.004%</w:t>
            </w:r>
          </w:p>
        </w:tc>
        <w:tc>
          <w:tcPr>
            <w:tcW w:w="1687" w:type="dxa"/>
          </w:tcPr>
          <w:p w14:paraId="6EBA3F1C">
            <w:pPr>
              <w:shd w:val="clear" w:color="auto" w:fill="FFFFFF" w:themeFill="background1"/>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0.004%</w:t>
            </w:r>
          </w:p>
        </w:tc>
        <w:tc>
          <w:tcPr>
            <w:tcW w:w="1659" w:type="dxa"/>
          </w:tcPr>
          <w:p w14:paraId="058E1F2B">
            <w:pPr>
              <w:shd w:val="clear" w:color="auto" w:fill="FFFFFF" w:themeFill="background1"/>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0.004%</w:t>
            </w:r>
          </w:p>
        </w:tc>
      </w:tr>
    </w:tbl>
    <w:p w14:paraId="03AE43D5">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注: </w:t>
      </w:r>
    </w:p>
    <w:p w14:paraId="5E294C91">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（1）按本表费率计算的收费为采购代理的收费基准价格；</w:t>
      </w:r>
    </w:p>
    <w:p w14:paraId="5C4E6F9A">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（2）采购代理收费按差额定率累进法计算。</w:t>
      </w:r>
    </w:p>
    <w:p w14:paraId="1A3C5267">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例如：某服务</w:t>
      </w:r>
      <w:r>
        <w:rPr>
          <w:rFonts w:hint="eastAsia" w:ascii="宋体" w:hAnsi="宋体" w:cs="宋体"/>
          <w:color w:val="auto"/>
          <w:szCs w:val="21"/>
          <w:highlight w:val="none"/>
          <w:lang w:eastAsia="zh-CN"/>
        </w:rPr>
        <w:t>项目</w:t>
      </w:r>
      <w:r>
        <w:rPr>
          <w:rFonts w:hint="eastAsia" w:ascii="宋体" w:hAnsi="宋体" w:cs="宋体"/>
          <w:color w:val="auto"/>
          <w:szCs w:val="21"/>
          <w:highlight w:val="none"/>
        </w:rPr>
        <w:t>中标金额或者</w:t>
      </w:r>
      <w:r>
        <w:rPr>
          <w:rFonts w:hint="eastAsia" w:ascii="宋体" w:hAnsi="宋体" w:cs="宋体"/>
          <w:color w:val="auto"/>
          <w:szCs w:val="21"/>
          <w:highlight w:val="none"/>
          <w:lang w:eastAsia="zh-CN"/>
        </w:rPr>
        <w:t>预算价</w:t>
      </w:r>
      <w:r>
        <w:rPr>
          <w:rFonts w:hint="eastAsia" w:ascii="宋体" w:hAnsi="宋体" w:cs="宋体"/>
          <w:color w:val="auto"/>
          <w:szCs w:val="21"/>
          <w:highlight w:val="none"/>
        </w:rPr>
        <w:t>为200万元，计算采购代理收费额如下：</w:t>
      </w:r>
    </w:p>
    <w:p w14:paraId="61DA3259">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100 万元×l.5 ％＝ 1.5 万元</w:t>
      </w:r>
    </w:p>
    <w:p w14:paraId="6C911C5F">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200 － 100 ）万元 ×0.8％＝0.8万元</w:t>
      </w:r>
    </w:p>
    <w:p w14:paraId="6D506A9F">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合计收费＝ 1.5+0.8＝ 2.3（万元）</w:t>
      </w:r>
    </w:p>
    <w:p w14:paraId="4F1C52EA">
      <w:pPr>
        <w:shd w:val="clear" w:color="auto" w:fill="FFFFFF" w:themeFill="background1"/>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41. 需要补充的其他内容</w:t>
      </w:r>
    </w:p>
    <w:p w14:paraId="16E1D372">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41.1本招标文件解释规则详见“投标人须知前附表”。</w:t>
      </w:r>
    </w:p>
    <w:p w14:paraId="5FB903A9">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41.2 其他事项详见“投标人须知前附表”。</w:t>
      </w:r>
    </w:p>
    <w:p w14:paraId="73F16249">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投标人提供的服务的人员为中小企业依照《中华人民共和国劳动合同法》订立劳动合同的从业人员，不对其中涉及的货物的制造商和工程承建商作出要求的，享受本文件规定的中小企业扶持政策。</w:t>
      </w:r>
    </w:p>
    <w:p w14:paraId="45832371">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以联合体形式参加政府采购活动，联合体各方均为中小企业的，联合体视同中小企业。其中，联合体各方均为小微企业的，联合体视同小微企业。</w:t>
      </w:r>
    </w:p>
    <w:p w14:paraId="1A71F70B">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依据本文件规定享受扶持政策获得政府采购合同的，小微企业不得将合同分包给大中型企业，中型企业不得将合同分包给大型企业。</w:t>
      </w:r>
    </w:p>
    <w:p w14:paraId="524ECC73">
      <w:pPr>
        <w:shd w:val="clear" w:color="auto" w:fill="FFFFFF" w:themeFill="background1"/>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42. 广西线上“政采贷”政策告知函</w:t>
      </w:r>
    </w:p>
    <w:p w14:paraId="6905D4EA">
      <w:pPr>
        <w:shd w:val="clear" w:color="auto" w:fill="FFFFFF" w:themeFill="background1"/>
        <w:spacing w:line="580" w:lineRule="exact"/>
        <w:jc w:val="center"/>
        <w:rPr>
          <w:rFonts w:ascii="宋体" w:hAnsi="宋体" w:cs="宋体"/>
          <w:color w:val="auto"/>
          <w:sz w:val="32"/>
          <w:szCs w:val="32"/>
          <w:highlight w:val="none"/>
        </w:rPr>
      </w:pPr>
      <w:r>
        <w:rPr>
          <w:rFonts w:hint="eastAsia" w:ascii="宋体" w:hAnsi="宋体" w:cs="宋体"/>
          <w:color w:val="auto"/>
          <w:sz w:val="32"/>
          <w:szCs w:val="32"/>
          <w:highlight w:val="none"/>
        </w:rPr>
        <w:t>广西线上“政采贷”政策告知函</w:t>
      </w:r>
    </w:p>
    <w:p w14:paraId="6B435488">
      <w:pPr>
        <w:shd w:val="clear" w:color="auto" w:fill="FFFFFF" w:themeFill="background1"/>
        <w:spacing w:line="500" w:lineRule="exact"/>
        <w:rPr>
          <w:rFonts w:ascii="宋体" w:hAnsi="宋体" w:cs="宋体"/>
          <w:color w:val="auto"/>
          <w:szCs w:val="21"/>
          <w:highlight w:val="none"/>
        </w:rPr>
      </w:pPr>
      <w:r>
        <w:rPr>
          <w:rFonts w:hint="eastAsia" w:ascii="宋体" w:hAnsi="宋体" w:cs="宋体"/>
          <w:color w:val="auto"/>
          <w:szCs w:val="21"/>
          <w:highlight w:val="none"/>
        </w:rPr>
        <w:t>各供应商：</w:t>
      </w:r>
    </w:p>
    <w:p w14:paraId="35323211">
      <w:pPr>
        <w:shd w:val="clear" w:color="auto" w:fill="FFFFFF" w:themeFill="background1"/>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欢迎贵公司参与广西政府采购活动！</w:t>
      </w:r>
    </w:p>
    <w:p w14:paraId="389DD9B0">
      <w:pPr>
        <w:shd w:val="clear" w:color="auto" w:fill="FFFFFF" w:themeFill="background1"/>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38B9D664">
      <w:pPr>
        <w:shd w:val="clear" w:color="auto" w:fill="FFFFFF" w:themeFill="background1"/>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相关金融产品和银行业金融机构联系方式，可在中征应收账款融资服务平台查询（网址：</w:t>
      </w:r>
      <w:r>
        <w:rPr>
          <w:color w:val="auto"/>
          <w:highlight w:val="none"/>
        </w:rPr>
        <w:fldChar w:fldCharType="begin"/>
      </w:r>
      <w:r>
        <w:rPr>
          <w:color w:val="auto"/>
          <w:highlight w:val="none"/>
        </w:rPr>
        <w:instrText xml:space="preserve"> HYPERLINK "https://www.crcrfsp.com/" </w:instrText>
      </w:r>
      <w:r>
        <w:rPr>
          <w:color w:val="auto"/>
          <w:highlight w:val="none"/>
        </w:rPr>
        <w:fldChar w:fldCharType="separate"/>
      </w:r>
      <w:r>
        <w:rPr>
          <w:rStyle w:val="30"/>
          <w:rFonts w:hint="default" w:ascii="宋体" w:hAnsi="宋体" w:eastAsia="宋体" w:cs="宋体"/>
          <w:color w:val="auto"/>
          <w:szCs w:val="21"/>
          <w:highlight w:val="none"/>
        </w:rPr>
        <w:t>https://www.crcrfsp.com/</w:t>
      </w:r>
      <w:r>
        <w:rPr>
          <w:rStyle w:val="30"/>
          <w:rFonts w:hint="default" w:ascii="宋体" w:hAnsi="宋体" w:eastAsia="宋体" w:cs="宋体"/>
          <w:color w:val="auto"/>
          <w:szCs w:val="21"/>
          <w:highlight w:val="none"/>
        </w:rPr>
        <w:fldChar w:fldCharType="end"/>
      </w:r>
      <w:r>
        <w:rPr>
          <w:rFonts w:hint="eastAsia" w:ascii="宋体" w:hAnsi="宋体" w:cs="宋体"/>
          <w:color w:val="auto"/>
          <w:szCs w:val="21"/>
          <w:highlight w:val="none"/>
        </w:rPr>
        <w:t>，客服电话：400-009-0001）。</w:t>
      </w:r>
    </w:p>
    <w:p w14:paraId="64409768">
      <w:pPr>
        <w:numPr>
          <w:ilvl w:val="0"/>
          <w:numId w:val="2"/>
        </w:numPr>
        <w:shd w:val="clear" w:color="auto" w:fill="FFFFFF" w:themeFill="background1"/>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br w:type="page"/>
      </w:r>
      <w:bookmarkStart w:id="267" w:name="_Toc532545043"/>
    </w:p>
    <w:p w14:paraId="3E9A7C77">
      <w:pPr>
        <w:pStyle w:val="14"/>
        <w:shd w:val="clear" w:color="auto" w:fill="FFFFFF" w:themeFill="background1"/>
        <w:jc w:val="center"/>
        <w:outlineLvl w:val="0"/>
        <w:rPr>
          <w:rFonts w:hAnsi="宋体" w:cs="宋体"/>
          <w:b/>
          <w:color w:val="auto"/>
          <w:sz w:val="36"/>
          <w:highlight w:val="none"/>
        </w:rPr>
      </w:pPr>
      <w:bookmarkStart w:id="268" w:name="_Toc26567"/>
      <w:bookmarkStart w:id="269" w:name="_Toc11694"/>
      <w:bookmarkStart w:id="270" w:name="_Toc18631"/>
      <w:bookmarkStart w:id="271" w:name="_Toc12751"/>
      <w:bookmarkStart w:id="272" w:name="_Toc24569"/>
      <w:bookmarkStart w:id="273" w:name="_Toc2789"/>
      <w:bookmarkStart w:id="274" w:name="_Toc14666"/>
      <w:bookmarkStart w:id="275" w:name="_Toc31952"/>
      <w:bookmarkStart w:id="276" w:name="_Toc10118"/>
      <w:bookmarkStart w:id="277" w:name="_Toc28468"/>
      <w:bookmarkStart w:id="278" w:name="_Toc10034"/>
      <w:bookmarkStart w:id="279" w:name="_Toc3584"/>
      <w:bookmarkStart w:id="280" w:name="_Toc19117"/>
      <w:r>
        <w:rPr>
          <w:rFonts w:hint="eastAsia" w:hAnsi="宋体" w:cs="宋体"/>
          <w:b/>
          <w:color w:val="auto"/>
          <w:sz w:val="36"/>
          <w:highlight w:val="none"/>
        </w:rPr>
        <w:t xml:space="preserve">第四章  </w:t>
      </w:r>
      <w:bookmarkEnd w:id="267"/>
      <w:bookmarkEnd w:id="268"/>
      <w:bookmarkEnd w:id="269"/>
      <w:bookmarkEnd w:id="270"/>
      <w:bookmarkEnd w:id="271"/>
      <w:bookmarkEnd w:id="272"/>
      <w:bookmarkEnd w:id="273"/>
      <w:bookmarkEnd w:id="274"/>
      <w:bookmarkEnd w:id="275"/>
      <w:r>
        <w:rPr>
          <w:rFonts w:hint="eastAsia" w:hAnsi="宋体" w:cs="宋体"/>
          <w:b/>
          <w:color w:val="auto"/>
          <w:sz w:val="36"/>
          <w:highlight w:val="none"/>
        </w:rPr>
        <w:t>评标方法和评标标准</w:t>
      </w:r>
      <w:bookmarkEnd w:id="276"/>
      <w:bookmarkEnd w:id="277"/>
      <w:bookmarkEnd w:id="278"/>
      <w:bookmarkEnd w:id="279"/>
      <w:bookmarkEnd w:id="280"/>
    </w:p>
    <w:p w14:paraId="1845FE03">
      <w:pPr>
        <w:pStyle w:val="14"/>
        <w:shd w:val="clear" w:color="auto" w:fill="FFFFFF" w:themeFill="background1"/>
        <w:jc w:val="center"/>
        <w:outlineLvl w:val="1"/>
        <w:rPr>
          <w:rFonts w:hAnsi="宋体" w:cs="宋体"/>
          <w:b/>
          <w:bCs/>
          <w:color w:val="auto"/>
          <w:sz w:val="32"/>
          <w:szCs w:val="32"/>
          <w:highlight w:val="none"/>
        </w:rPr>
      </w:pPr>
      <w:bookmarkStart w:id="281" w:name="_Toc29945"/>
      <w:bookmarkStart w:id="282" w:name="_Toc28074"/>
      <w:bookmarkStart w:id="283" w:name="_Toc28945"/>
      <w:bookmarkStart w:id="284" w:name="_Toc6104"/>
      <w:bookmarkStart w:id="285" w:name="_Toc9604"/>
      <w:bookmarkStart w:id="286" w:name="_Toc14342"/>
      <w:bookmarkStart w:id="287" w:name="_Toc5889"/>
      <w:bookmarkStart w:id="288" w:name="_Toc20519"/>
      <w:bookmarkStart w:id="289" w:name="_Toc3574"/>
      <w:bookmarkStart w:id="290" w:name="_Toc12345"/>
    </w:p>
    <w:p w14:paraId="06F19B3A">
      <w:pPr>
        <w:pStyle w:val="14"/>
        <w:shd w:val="clear" w:color="auto" w:fill="FFFFFF" w:themeFill="background1"/>
        <w:jc w:val="center"/>
        <w:outlineLvl w:val="1"/>
        <w:rPr>
          <w:rFonts w:hAnsi="宋体" w:cs="宋体"/>
          <w:b/>
          <w:bCs/>
          <w:color w:val="auto"/>
          <w:sz w:val="32"/>
          <w:szCs w:val="32"/>
          <w:highlight w:val="none"/>
        </w:rPr>
      </w:pPr>
      <w:r>
        <w:rPr>
          <w:rFonts w:hint="eastAsia" w:hAnsi="宋体" w:cs="宋体"/>
          <w:b/>
          <w:bCs/>
          <w:color w:val="auto"/>
          <w:sz w:val="32"/>
          <w:szCs w:val="32"/>
          <w:highlight w:val="none"/>
        </w:rPr>
        <w:t>第一节 评标方法</w:t>
      </w:r>
      <w:bookmarkEnd w:id="281"/>
      <w:bookmarkEnd w:id="282"/>
      <w:bookmarkEnd w:id="283"/>
      <w:bookmarkEnd w:id="284"/>
      <w:bookmarkEnd w:id="285"/>
      <w:bookmarkEnd w:id="286"/>
      <w:bookmarkEnd w:id="287"/>
      <w:bookmarkEnd w:id="288"/>
      <w:bookmarkEnd w:id="289"/>
      <w:bookmarkEnd w:id="290"/>
    </w:p>
    <w:p w14:paraId="1A09B1ED">
      <w:pPr>
        <w:pStyle w:val="14"/>
        <w:shd w:val="clear" w:color="auto" w:fill="FFFFFF" w:themeFill="background1"/>
        <w:tabs>
          <w:tab w:val="left" w:pos="2472"/>
        </w:tabs>
        <w:spacing w:line="440" w:lineRule="exact"/>
        <w:ind w:firstLine="420" w:firstLineChars="200"/>
        <w:rPr>
          <w:rFonts w:hAnsi="宋体" w:cs="宋体"/>
          <w:color w:val="auto"/>
          <w:szCs w:val="21"/>
          <w:highlight w:val="none"/>
        </w:rPr>
      </w:pPr>
      <w:r>
        <w:rPr>
          <w:rFonts w:hint="eastAsia" w:hAnsi="宋体" w:cs="宋体"/>
          <w:color w:val="auto"/>
          <w:szCs w:val="21"/>
          <w:highlight w:val="none"/>
        </w:rPr>
        <w:t>本项目采用</w:t>
      </w:r>
      <w:r>
        <w:rPr>
          <w:rFonts w:hint="eastAsia" w:hAnsi="宋体" w:cs="宋体"/>
          <w:color w:val="auto"/>
          <w:szCs w:val="21"/>
          <w:highlight w:val="none"/>
          <w:u w:val="single"/>
        </w:rPr>
        <w:t xml:space="preserve"> 以下勾选的方式</w:t>
      </w:r>
      <w:r>
        <w:rPr>
          <w:rFonts w:hint="eastAsia" w:hAnsi="宋体" w:cs="宋体"/>
          <w:color w:val="auto"/>
          <w:szCs w:val="21"/>
          <w:highlight w:val="none"/>
        </w:rPr>
        <w:t>进行评审。</w:t>
      </w:r>
    </w:p>
    <w:p w14:paraId="4CCD3821">
      <w:pPr>
        <w:pStyle w:val="14"/>
        <w:shd w:val="clear" w:color="auto" w:fill="FFFFFF" w:themeFill="background1"/>
        <w:tabs>
          <w:tab w:val="left" w:pos="2472"/>
        </w:tabs>
        <w:spacing w:line="440" w:lineRule="exact"/>
        <w:ind w:firstLine="420" w:firstLineChars="200"/>
        <w:rPr>
          <w:rFonts w:hAnsi="宋体" w:cs="宋体"/>
          <w:color w:val="auto"/>
          <w:szCs w:val="21"/>
          <w:highlight w:val="none"/>
        </w:rPr>
      </w:pPr>
      <w:r>
        <w:rPr>
          <w:rFonts w:hint="eastAsia" w:hAnsi="宋体" w:cs="宋体"/>
          <w:color w:val="auto"/>
          <w:szCs w:val="21"/>
          <w:highlight w:val="none"/>
        </w:rPr>
        <w:t>□最低评标价法，是指投标文件满足招标文件全部实质性要求，且投标报价最低的投标人为中标候选人的评标方法。</w:t>
      </w:r>
    </w:p>
    <w:p w14:paraId="1226169A">
      <w:pPr>
        <w:shd w:val="clear" w:color="auto" w:fill="FFFFFF" w:themeFill="background1"/>
        <w:autoSpaceDE w:val="0"/>
        <w:autoSpaceDN w:val="0"/>
        <w:adjustRightIn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综合评分法，是指投标文件满足招标文件全部实质性要求，且按照评审因素的量化指标评审得分最高的投标人为中标候选人的评标方法。评标委员会将对各投标人的投标文件进行综合评审，对实质上响应招标文件的投标人，由各评委独立记名打分。经统计，得出各投标人的综合得分,按综合得分由高到低顺序排列。若综合得分相同的，按投标报价由低到高顺序排列。若综合得分且投标报价相同的，服务类采购项目以“投标人须知前附表”规定的方式排列。 </w:t>
      </w:r>
    </w:p>
    <w:p w14:paraId="3C795AC5">
      <w:pPr>
        <w:pStyle w:val="14"/>
        <w:shd w:val="clear" w:color="auto" w:fill="FFFFFF" w:themeFill="background1"/>
        <w:spacing w:line="440" w:lineRule="exact"/>
        <w:ind w:firstLine="420"/>
        <w:rPr>
          <w:rFonts w:hAnsi="宋体" w:cs="宋体"/>
          <w:color w:val="auto"/>
          <w:szCs w:val="21"/>
          <w:highlight w:val="none"/>
        </w:rPr>
      </w:pPr>
    </w:p>
    <w:p w14:paraId="39AFE80D">
      <w:pPr>
        <w:pStyle w:val="14"/>
        <w:shd w:val="clear" w:color="auto" w:fill="FFFFFF" w:themeFill="background1"/>
        <w:tabs>
          <w:tab w:val="left" w:pos="2472"/>
        </w:tabs>
        <w:spacing w:line="440" w:lineRule="exact"/>
        <w:jc w:val="center"/>
        <w:outlineLvl w:val="1"/>
        <w:rPr>
          <w:rFonts w:hAnsi="宋体" w:cs="宋体"/>
          <w:b/>
          <w:bCs/>
          <w:color w:val="auto"/>
          <w:szCs w:val="21"/>
          <w:highlight w:val="none"/>
        </w:rPr>
      </w:pPr>
      <w:bookmarkStart w:id="291" w:name="_Toc24507"/>
      <w:bookmarkStart w:id="292" w:name="_Toc10545"/>
      <w:bookmarkStart w:id="293" w:name="_Toc30114"/>
      <w:bookmarkStart w:id="294" w:name="_Toc23151"/>
      <w:bookmarkStart w:id="295" w:name="_Toc4190"/>
      <w:bookmarkStart w:id="296" w:name="_Toc1643"/>
      <w:bookmarkStart w:id="297" w:name="_Toc18477"/>
      <w:bookmarkStart w:id="298" w:name="_Toc9023"/>
      <w:bookmarkStart w:id="299" w:name="_Toc9259"/>
      <w:bookmarkStart w:id="300" w:name="_Toc588"/>
      <w:r>
        <w:rPr>
          <w:rFonts w:hint="eastAsia" w:hAnsi="宋体" w:cs="宋体"/>
          <w:b/>
          <w:bCs/>
          <w:color w:val="auto"/>
          <w:sz w:val="32"/>
          <w:szCs w:val="32"/>
          <w:highlight w:val="none"/>
        </w:rPr>
        <w:t>第二节 评标程序</w:t>
      </w:r>
      <w:bookmarkEnd w:id="291"/>
      <w:bookmarkEnd w:id="292"/>
      <w:bookmarkEnd w:id="293"/>
      <w:bookmarkEnd w:id="294"/>
      <w:bookmarkEnd w:id="295"/>
      <w:bookmarkEnd w:id="296"/>
      <w:bookmarkEnd w:id="297"/>
      <w:bookmarkEnd w:id="298"/>
      <w:bookmarkEnd w:id="299"/>
      <w:bookmarkEnd w:id="300"/>
    </w:p>
    <w:p w14:paraId="4BD3AA6E">
      <w:pPr>
        <w:shd w:val="clear" w:color="auto" w:fill="FFFFFF" w:themeFill="background1"/>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1.符合性审查</w:t>
      </w:r>
    </w:p>
    <w:p w14:paraId="61723475">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评标委员会应当对符合资格的投标人的投标文件进行投标报价、商务、技术等实质性内容符合性审查，以确定其是否满足招标文件的实质性要求。</w:t>
      </w:r>
    </w:p>
    <w:p w14:paraId="1EACC983">
      <w:pPr>
        <w:shd w:val="clear" w:color="auto" w:fill="FFFFFF" w:themeFill="background1"/>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2.符合性审查不通过而导致投标无效的情形</w:t>
      </w:r>
    </w:p>
    <w:p w14:paraId="01B434FE">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投标人的投标文件中存在对招标文件的任何实质性要求和条件的负偏离，将被视为投标无效。</w:t>
      </w:r>
    </w:p>
    <w:p w14:paraId="65A738E1">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2.1在报价评审时，如发现下列情形之一的，将被视为投标无效：</w:t>
      </w:r>
    </w:p>
    <w:p w14:paraId="5D49DE00">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（1）投标文件未提供“投标人须知前附表”第13.1条规定中“必须提供”的文件资料的;</w:t>
      </w:r>
    </w:p>
    <w:p w14:paraId="30BDDDA8">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（2）未采用人民币报价或者未按照招标文件标明的币种报价的；</w:t>
      </w:r>
    </w:p>
    <w:p w14:paraId="040877B1">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（3）报价超出招标文件规定最高限价，或者超出采购预算金额的；或者各分项出现0元报价的；</w:t>
      </w:r>
    </w:p>
    <w:p w14:paraId="0C1A1C3C">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投标人未就所投项目/分标进行报价或者存在漏项报价；投标人未就所投项目/分标的单项内容作唯一报价；投标人未就所投项目/分标的全部内容作唯一总价报价；存在有选择、有条件报价的（招标文件允许有备选方案或者其他约定的除外）；</w:t>
      </w:r>
    </w:p>
    <w:p w14:paraId="76C37C3C">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（5）修正后的报价，投标人不确认的；</w:t>
      </w:r>
    </w:p>
    <w:p w14:paraId="50B65049">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（6）投标人属于本章第5条第（2）项情形的。</w:t>
      </w:r>
    </w:p>
    <w:p w14:paraId="48349E75">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2.2在商务评审时，如发现下列情形之一的，将被视为投标无效：</w:t>
      </w:r>
    </w:p>
    <w:p w14:paraId="65A50224">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（1）投标文件未按招标文件要求签署、盖章的；</w:t>
      </w:r>
    </w:p>
    <w:p w14:paraId="454FE6B4">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（2）委托代理人未能出具有效身份证明或者出具的身份证明与授权委托书中的信息不符的；</w:t>
      </w:r>
    </w:p>
    <w:p w14:paraId="75C3173B">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（3）为无效投标保证金的或者未按照招标文件的规定提交投标保证金的； </w:t>
      </w:r>
    </w:p>
    <w:p w14:paraId="4096CB74">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（4）投标文件未提供“投标人须知前附表”第13.1条规定中“必须提供”或者“委托时必须提供”的文件资料的;</w:t>
      </w:r>
    </w:p>
    <w:p w14:paraId="54CDAA32">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（5）投标有效期、项目完成时间（交货时间、服务完成时间或者服务期等）、质保期及招标文件中标“▲”的商务条款发生负偏离的；</w:t>
      </w:r>
    </w:p>
    <w:p w14:paraId="5068B428">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（6）商务条款评审允许负偏离的条款数超过“投标人须知前附表”规定项数的。</w:t>
      </w:r>
    </w:p>
    <w:p w14:paraId="21095371">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（7）投标文件的实质性内容未使用中文表述、使用计量单位不符合招标文件要求的；</w:t>
      </w:r>
    </w:p>
    <w:p w14:paraId="36821CFA">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（8）投标文件中的文件资料因填写不齐全或者内容虚假或者出现其他情形而导致被评标委员会认定无效的；</w:t>
      </w:r>
    </w:p>
    <w:p w14:paraId="0F4F6408">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（9）投标文件含有采购人不能接受的附加条件的；</w:t>
      </w:r>
    </w:p>
    <w:p w14:paraId="349EB778">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（10）未响应招标文件实质性要求的；</w:t>
      </w:r>
    </w:p>
    <w:p w14:paraId="2125CDAE">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（11）属于投标人须知正文第9.2条情形的；</w:t>
      </w:r>
    </w:p>
    <w:p w14:paraId="36156B1C">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（12）法律、法规和招标文件规定的其他无效情形。</w:t>
      </w:r>
    </w:p>
    <w:p w14:paraId="4A208FD1">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2.3在技术评审时，如发现下列情形之一的，将被视为投标无效：</w:t>
      </w:r>
    </w:p>
    <w:p w14:paraId="2621BC1C">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（1）不满足招标文件要求的服务内容、技术要求、安全、质量标准，或者与招标文件中标“▲”的技术需求发生负偏离的；</w:t>
      </w:r>
    </w:p>
    <w:p w14:paraId="78CF1DF6">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（2）技术需求评审允许负偏离的条款数超过“投标人须知前附表”规定项数的；</w:t>
      </w:r>
    </w:p>
    <w:p w14:paraId="66694724">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（3）投标文件未提供“投标人须知前附表”第13.1条规定中“必须提供”的文件资料的;</w:t>
      </w:r>
    </w:p>
    <w:p w14:paraId="5D7935A6">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（4）虚假投标，或者出现其他情形而导致被评标委员会认定无效的；</w:t>
      </w:r>
    </w:p>
    <w:p w14:paraId="0355FC11">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（5）招标文件要求提供技术方案的，投标技术方案不明确，招标文件未允许但存在一个或者一个以上备选（替代）投标方案的。</w:t>
      </w:r>
    </w:p>
    <w:p w14:paraId="1BD4ED84">
      <w:pPr>
        <w:shd w:val="clear" w:color="auto" w:fill="FFFFFF" w:themeFill="background1"/>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3.澄清补正、说明或者补正</w:t>
      </w:r>
    </w:p>
    <w:p w14:paraId="45182A7D">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投标人公章后在线上传至评标委员会。投标人的澄清、说明或者补正不得超出投标文件的范围或者改变投标文件的实质性内容。投标人未在规定时间内进行澄清、说明或者补正的，有可能对评审产生影响。</w:t>
      </w:r>
    </w:p>
    <w:p w14:paraId="25FE16C6">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10BF9279">
      <w:pPr>
        <w:shd w:val="clear" w:color="auto" w:fill="FFFFFF" w:themeFill="background1"/>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4.投标文件修正</w:t>
      </w:r>
    </w:p>
    <w:p w14:paraId="5A12CD67">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4.1投标文件报价出现前后不一致的，按照下列规定修正： </w:t>
      </w:r>
    </w:p>
    <w:p w14:paraId="6A5AF871">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（1）报价文件中“开标一览表”内容与投标文件中相应内容不一致的，以“开标一览表”为准；</w:t>
      </w:r>
    </w:p>
    <w:p w14:paraId="0A0AEB30">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6AB34906">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（3）单价金额小数点或者百分比有明显错位的，以开标一览表的总价为准，并修改单价；</w:t>
      </w:r>
    </w:p>
    <w:p w14:paraId="6141CFE4">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337E93D6">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同时出现两种以上不一致的，按照以上（1）-（4）规定的顺序修正。修正后的报价经投标人确认后产生约束力，投标人不确认的，其投标无效。</w:t>
      </w:r>
    </w:p>
    <w:p w14:paraId="52AC3DD3">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4.2经投标人确认修正后的报价若超过采购预算金额或者最高限价，投标人的投标文件作无效投标处理。</w:t>
      </w:r>
    </w:p>
    <w:p w14:paraId="32C17E19">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4.3经投标人确认修正后的报价作为签订合同的依据，并以此报价计算价格分。</w:t>
      </w:r>
    </w:p>
    <w:p w14:paraId="2B14D1FA">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5.比较与评价</w:t>
      </w:r>
    </w:p>
    <w:p w14:paraId="26A2353F">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5.1评标委员会按照招标文件中规定的评标方法和评标标准，对符合性审查合格的投标文件进行商务和技术评估，综合比较与评价。</w:t>
      </w:r>
    </w:p>
    <w:p w14:paraId="122377DF">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5.2评标委员会各成员独立对每个投标人的投标文件进行评价，并汇总每个投标人的得分。</w:t>
      </w:r>
    </w:p>
    <w:p w14:paraId="07287DB4">
      <w:pPr>
        <w:numPr>
          <w:ilvl w:val="0"/>
          <w:numId w:val="0"/>
        </w:numPr>
        <w:shd w:val="clear" w:color="auto" w:fill="FFFFFF" w:themeFill="background1"/>
        <w:spacing w:line="440" w:lineRule="exact"/>
        <w:ind w:firstLine="420" w:firstLineChars="200"/>
        <w:rPr>
          <w:rFonts w:ascii="宋体" w:hAnsi="宋体" w:cs="宋体"/>
          <w:color w:val="auto"/>
          <w:szCs w:val="21"/>
          <w:highlight w:val="none"/>
        </w:rPr>
      </w:pPr>
      <w:r>
        <w:rPr>
          <w:rFonts w:ascii="宋体" w:hAnsi="宋体" w:eastAsia="宋体" w:cs="宋体"/>
          <w:color w:val="auto"/>
          <w:kern w:val="2"/>
          <w:sz w:val="21"/>
          <w:szCs w:val="21"/>
          <w:highlight w:val="none"/>
          <w:lang w:val="en-US" w:eastAsia="zh-CN" w:bidi="ar-SA"/>
        </w:rPr>
        <w:t>（1）</w:t>
      </w:r>
      <w:r>
        <w:rPr>
          <w:rFonts w:hint="eastAsia" w:ascii="宋体" w:hAnsi="宋体" w:cs="宋体"/>
          <w:color w:val="auto"/>
          <w:szCs w:val="21"/>
          <w:highlight w:val="none"/>
        </w:rPr>
        <w:t>评审委员会成员要根据政府采购法律法规和招标文件所载明的评标方法、标准进行评审。对投标人的价格分等客观评分项的评分应当一致，对其他需要借助专业知识评判的主观评分项，应当严格按照评分细则公正评分。</w:t>
      </w:r>
    </w:p>
    <w:p w14:paraId="336D3387">
      <w:pPr>
        <w:shd w:val="clear" w:color="auto" w:fill="FFFFFF" w:themeFill="background1"/>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45FD60EF">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5.3评标委员会按照招标文件中规定的评标方法和标准计算各投标人的报价得分。在评标过程中，不得去掉报价中的最高报价和最低报价。</w:t>
      </w:r>
    </w:p>
    <w:p w14:paraId="63244D6F">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5.4各投标人的得分为评标委员会各成员的有效评分的算术平均数。</w:t>
      </w:r>
    </w:p>
    <w:p w14:paraId="790AC27F">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5.5评标委员会按照招标文件中的规定推荐中标候选人。</w:t>
      </w:r>
    </w:p>
    <w:p w14:paraId="779D686F">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5.6起草并签署评标报告。评标委员会根据评标委员会各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313D077A">
      <w:pPr>
        <w:shd w:val="clear" w:color="auto" w:fill="FFFFFF" w:themeFill="background1"/>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6.评审复核</w:t>
      </w:r>
    </w:p>
    <w:p w14:paraId="0AF833C1">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6.1评标报告签署前，评标委员会要对评审结果进行复核，复核意见要体现在评标报告中。</w:t>
      </w:r>
    </w:p>
    <w:p w14:paraId="2FF71B2A">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6.2评标结果汇总完成后，除下列情形外，任何人不得修改评标结果：</w:t>
      </w:r>
    </w:p>
    <w:p w14:paraId="4DB001B0">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（一）分值汇总计算错误的；</w:t>
      </w:r>
    </w:p>
    <w:p w14:paraId="481DD6DF">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（二）分项评分超出评分标准范围的；</w:t>
      </w:r>
    </w:p>
    <w:p w14:paraId="5C75A493">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（三）评标委员会成员对客观评审因素评分不一致的；</w:t>
      </w:r>
    </w:p>
    <w:p w14:paraId="1B5B7A46">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（四）经评标委员会认定评分畸高、畸低的。</w:t>
      </w:r>
    </w:p>
    <w:p w14:paraId="2BF06678">
      <w:pPr>
        <w:shd w:val="clear" w:color="auto" w:fill="FFFFFF" w:themeFill="background1"/>
        <w:spacing w:line="440" w:lineRule="exact"/>
        <w:ind w:firstLine="420" w:firstLineChars="200"/>
        <w:rPr>
          <w:rFonts w:ascii="宋体" w:hAnsi="宋体" w:cs="宋体"/>
          <w:color w:val="auto"/>
          <w:highlight w:val="none"/>
        </w:rPr>
      </w:pPr>
      <w:r>
        <w:rPr>
          <w:rFonts w:hint="eastAsia" w:ascii="宋体" w:hAnsi="宋体" w:cs="宋体"/>
          <w:color w:val="auto"/>
          <w:szCs w:val="21"/>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的，书面报告本级财政部门。</w:t>
      </w:r>
    </w:p>
    <w:p w14:paraId="3C74AAFC">
      <w:pPr>
        <w:pStyle w:val="4"/>
        <w:shd w:val="clear" w:color="auto" w:fill="FFFFFF" w:themeFill="background1"/>
        <w:spacing w:line="240" w:lineRule="auto"/>
        <w:jc w:val="center"/>
        <w:rPr>
          <w:rFonts w:ascii="宋体" w:hAnsi="宋体" w:eastAsia="宋体" w:cs="宋体"/>
          <w:b w:val="0"/>
          <w:color w:val="auto"/>
          <w:sz w:val="30"/>
          <w:szCs w:val="30"/>
          <w:highlight w:val="none"/>
        </w:rPr>
      </w:pPr>
      <w:bookmarkStart w:id="301" w:name="_Toc28829"/>
      <w:bookmarkStart w:id="302" w:name="_Toc19942"/>
      <w:bookmarkStart w:id="303" w:name="_Toc4866"/>
      <w:bookmarkStart w:id="304" w:name="_Toc22963"/>
      <w:bookmarkStart w:id="305" w:name="_Toc28193"/>
      <w:bookmarkStart w:id="306" w:name="_Toc25728"/>
      <w:bookmarkStart w:id="307" w:name="_Toc13548"/>
      <w:bookmarkStart w:id="308" w:name="_Toc5755"/>
      <w:bookmarkStart w:id="309" w:name="_Toc27331"/>
      <w:bookmarkStart w:id="310" w:name="_Toc17834"/>
      <w:r>
        <w:rPr>
          <w:rFonts w:hint="eastAsia" w:ascii="宋体" w:hAnsi="宋体" w:eastAsia="宋体" w:cs="宋体"/>
          <w:b w:val="0"/>
          <w:color w:val="auto"/>
          <w:sz w:val="30"/>
          <w:szCs w:val="30"/>
          <w:highlight w:val="none"/>
        </w:rPr>
        <w:t>第三节 评分标准</w:t>
      </w:r>
      <w:bookmarkEnd w:id="301"/>
      <w:bookmarkEnd w:id="302"/>
      <w:bookmarkEnd w:id="303"/>
      <w:bookmarkEnd w:id="304"/>
      <w:bookmarkEnd w:id="305"/>
      <w:bookmarkEnd w:id="306"/>
      <w:bookmarkEnd w:id="307"/>
      <w:bookmarkEnd w:id="308"/>
      <w:bookmarkEnd w:id="309"/>
      <w:bookmarkEnd w:id="310"/>
    </w:p>
    <w:p w14:paraId="08B49388">
      <w:pPr>
        <w:pStyle w:val="14"/>
        <w:shd w:val="clear" w:color="auto" w:fill="FFFFFF" w:themeFill="background1"/>
        <w:jc w:val="center"/>
        <w:rPr>
          <w:rFonts w:hAnsi="宋体" w:cs="宋体"/>
          <w:b/>
          <w:color w:val="auto"/>
          <w:sz w:val="30"/>
          <w:szCs w:val="30"/>
          <w:highlight w:val="none"/>
        </w:rPr>
      </w:pPr>
      <w:r>
        <w:rPr>
          <w:rFonts w:hint="eastAsia" w:hAnsi="宋体" w:cs="宋体"/>
          <w:b/>
          <w:color w:val="auto"/>
          <w:sz w:val="30"/>
          <w:szCs w:val="30"/>
          <w:highlight w:val="none"/>
        </w:rPr>
        <w:t>综合评分法</w:t>
      </w:r>
    </w:p>
    <w:p w14:paraId="4233DA7B">
      <w:pPr>
        <w:shd w:val="clear" w:color="auto" w:fill="FFFFFF" w:themeFill="background1"/>
        <w:spacing w:line="360" w:lineRule="auto"/>
        <w:ind w:firstLine="420"/>
        <w:rPr>
          <w:rFonts w:hint="eastAsia" w:ascii="宋体" w:hAnsi="宋体"/>
          <w:bCs/>
          <w:color w:val="auto"/>
          <w:szCs w:val="20"/>
          <w:highlight w:val="none"/>
        </w:rPr>
      </w:pPr>
      <w:r>
        <w:rPr>
          <w:rFonts w:hint="eastAsia" w:ascii="宋体" w:hAnsi="宋体"/>
          <w:bCs/>
          <w:color w:val="auto"/>
          <w:szCs w:val="20"/>
          <w:highlight w:val="none"/>
        </w:rPr>
        <w:t>注：计分方法按四舍五入取至百分位。</w:t>
      </w:r>
    </w:p>
    <w:tbl>
      <w:tblPr>
        <w:tblStyle w:val="25"/>
        <w:tblW w:w="506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
        <w:gridCol w:w="1132"/>
        <w:gridCol w:w="1767"/>
        <w:gridCol w:w="6649"/>
      </w:tblGrid>
      <w:tr w14:paraId="50C52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6" w:type="pct"/>
            <w:gridSpan w:val="2"/>
            <w:shd w:val="clear" w:color="auto" w:fill="auto"/>
            <w:vAlign w:val="center"/>
          </w:tcPr>
          <w:p w14:paraId="5585AFDF">
            <w:pPr>
              <w:widowControl/>
              <w:spacing w:line="400" w:lineRule="exact"/>
              <w:jc w:val="center"/>
              <w:rPr>
                <w:rFonts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序号</w:t>
            </w:r>
          </w:p>
        </w:tc>
        <w:tc>
          <w:tcPr>
            <w:tcW w:w="885" w:type="pct"/>
            <w:shd w:val="clear" w:color="auto" w:fill="auto"/>
            <w:vAlign w:val="center"/>
          </w:tcPr>
          <w:p w14:paraId="325B23DF">
            <w:pPr>
              <w:widowControl/>
              <w:spacing w:line="400" w:lineRule="exact"/>
              <w:jc w:val="center"/>
              <w:rPr>
                <w:rFonts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评审因素</w:t>
            </w:r>
          </w:p>
        </w:tc>
        <w:tc>
          <w:tcPr>
            <w:tcW w:w="3327" w:type="pct"/>
            <w:shd w:val="clear" w:color="auto" w:fill="auto"/>
            <w:vAlign w:val="center"/>
          </w:tcPr>
          <w:p w14:paraId="27586059">
            <w:pPr>
              <w:widowControl/>
              <w:spacing w:line="400" w:lineRule="exact"/>
              <w:jc w:val="center"/>
              <w:rPr>
                <w:rFonts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评标标准</w:t>
            </w:r>
          </w:p>
        </w:tc>
      </w:tr>
      <w:tr w14:paraId="57C1D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9" w:type="pct"/>
            <w:shd w:val="clear" w:color="auto" w:fill="auto"/>
            <w:vAlign w:val="center"/>
          </w:tcPr>
          <w:p w14:paraId="45CCA775">
            <w:pPr>
              <w:widowControl/>
              <w:spacing w:line="400" w:lineRule="exact"/>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w:t>
            </w:r>
          </w:p>
        </w:tc>
        <w:tc>
          <w:tcPr>
            <w:tcW w:w="567" w:type="pct"/>
            <w:shd w:val="clear" w:color="auto" w:fill="auto"/>
            <w:vAlign w:val="center"/>
          </w:tcPr>
          <w:p w14:paraId="4F09E941">
            <w:pPr>
              <w:widowControl/>
              <w:spacing w:line="400" w:lineRule="exact"/>
              <w:jc w:val="center"/>
              <w:rPr>
                <w:rFonts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价格分</w:t>
            </w:r>
          </w:p>
        </w:tc>
        <w:tc>
          <w:tcPr>
            <w:tcW w:w="885" w:type="pct"/>
            <w:shd w:val="clear" w:color="auto" w:fill="auto"/>
            <w:vAlign w:val="center"/>
          </w:tcPr>
          <w:p w14:paraId="700CC40A">
            <w:pPr>
              <w:widowControl/>
              <w:spacing w:line="400" w:lineRule="exact"/>
              <w:jc w:val="center"/>
              <w:rPr>
                <w:rFonts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投标报价</w:t>
            </w:r>
          </w:p>
        </w:tc>
        <w:tc>
          <w:tcPr>
            <w:tcW w:w="3327" w:type="pct"/>
            <w:shd w:val="clear" w:color="auto" w:fill="auto"/>
            <w:vAlign w:val="center"/>
          </w:tcPr>
          <w:p w14:paraId="096DABB6">
            <w:pPr>
              <w:widowControl/>
              <w:spacing w:line="400" w:lineRule="exact"/>
              <w:ind w:firstLine="422" w:firstLineChars="200"/>
              <w:jc w:val="left"/>
              <w:rPr>
                <w:rFonts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【本项目采用固定价格采购，固定经费为人民币600万元整，依据《政府采购货物和服务招标投标管理办法》（财政部令第87号）第五十五条，本项目价格不列为评审因素】</w:t>
            </w:r>
          </w:p>
        </w:tc>
      </w:tr>
      <w:tr w14:paraId="6C7E8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9" w:type="pct"/>
            <w:vMerge w:val="restart"/>
            <w:shd w:val="clear" w:color="auto" w:fill="auto"/>
            <w:vAlign w:val="center"/>
          </w:tcPr>
          <w:p w14:paraId="39F3C170">
            <w:pPr>
              <w:widowControl/>
              <w:spacing w:line="400" w:lineRule="exact"/>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p>
        </w:tc>
        <w:tc>
          <w:tcPr>
            <w:tcW w:w="567" w:type="pct"/>
            <w:vMerge w:val="restart"/>
            <w:shd w:val="clear" w:color="auto" w:fill="auto"/>
            <w:vAlign w:val="center"/>
          </w:tcPr>
          <w:p w14:paraId="3C52A493">
            <w:pPr>
              <w:widowControl/>
              <w:spacing w:line="400" w:lineRule="exact"/>
              <w:jc w:val="center"/>
              <w:rPr>
                <w:rFonts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商务分（满分</w:t>
            </w:r>
            <w:r>
              <w:rPr>
                <w:rFonts w:hint="eastAsia" w:asciiTheme="minorEastAsia" w:hAnsiTheme="minorEastAsia" w:eastAsiaTheme="minorEastAsia" w:cstheme="minorEastAsia"/>
                <w:b/>
                <w:bCs/>
                <w:color w:val="auto"/>
                <w:kern w:val="0"/>
                <w:szCs w:val="21"/>
                <w:highlight w:val="none"/>
                <w:u w:val="single"/>
              </w:rPr>
              <w:t>30</w:t>
            </w:r>
            <w:r>
              <w:rPr>
                <w:rFonts w:hint="eastAsia" w:asciiTheme="minorEastAsia" w:hAnsiTheme="minorEastAsia" w:eastAsiaTheme="minorEastAsia" w:cstheme="minorEastAsia"/>
                <w:b/>
                <w:bCs/>
                <w:color w:val="auto"/>
                <w:kern w:val="0"/>
                <w:szCs w:val="21"/>
                <w:highlight w:val="none"/>
              </w:rPr>
              <w:t>分）</w:t>
            </w:r>
          </w:p>
        </w:tc>
        <w:tc>
          <w:tcPr>
            <w:tcW w:w="885" w:type="pct"/>
            <w:shd w:val="clear" w:color="auto" w:fill="auto"/>
            <w:vAlign w:val="center"/>
          </w:tcPr>
          <w:p w14:paraId="590817D3">
            <w:pPr>
              <w:widowControl/>
              <w:spacing w:line="400" w:lineRule="exact"/>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2.1偿付能力分（满分10分）</w:t>
            </w:r>
          </w:p>
        </w:tc>
        <w:tc>
          <w:tcPr>
            <w:tcW w:w="3327" w:type="pct"/>
            <w:shd w:val="clear" w:color="auto" w:fill="auto"/>
            <w:vAlign w:val="center"/>
          </w:tcPr>
          <w:p w14:paraId="7FFE9703">
            <w:pPr>
              <w:widowControl/>
              <w:spacing w:line="400" w:lineRule="exact"/>
              <w:ind w:firstLine="420" w:firstLineChars="200"/>
              <w:jc w:val="left"/>
              <w:rPr>
                <w:rFonts w:hint="eastAsia"/>
                <w:color w:val="auto"/>
                <w:highlight w:val="none"/>
                <w:lang w:eastAsia="zh-CN"/>
              </w:rPr>
            </w:pPr>
            <w:r>
              <w:rPr>
                <w:rFonts w:hint="eastAsia" w:asciiTheme="minorEastAsia" w:hAnsiTheme="minorEastAsia" w:eastAsiaTheme="minorEastAsia" w:cstheme="minorEastAsia"/>
                <w:color w:val="auto"/>
                <w:kern w:val="0"/>
                <w:szCs w:val="21"/>
                <w:highlight w:val="none"/>
                <w:lang w:eastAsia="zh-CN"/>
              </w:rPr>
              <w:t>针对</w:t>
            </w:r>
            <w:r>
              <w:rPr>
                <w:rFonts w:hint="eastAsia" w:asciiTheme="minorEastAsia" w:hAnsiTheme="minorEastAsia" w:eastAsiaTheme="minorEastAsia" w:cstheme="minorEastAsia"/>
                <w:color w:val="auto"/>
                <w:kern w:val="0"/>
                <w:szCs w:val="21"/>
                <w:highlight w:val="none"/>
              </w:rPr>
              <w:t>投标人总公司202</w:t>
            </w:r>
            <w:r>
              <w:rPr>
                <w:rFonts w:hint="eastAsia" w:asciiTheme="minorEastAsia" w:hAnsiTheme="minorEastAsia" w:eastAsiaTheme="minorEastAsia" w:cstheme="minorEastAsia"/>
                <w:color w:val="auto"/>
                <w:kern w:val="0"/>
                <w:szCs w:val="21"/>
                <w:highlight w:val="none"/>
                <w:lang w:val="en-US" w:eastAsia="zh-CN"/>
              </w:rPr>
              <w:t>3</w:t>
            </w:r>
            <w:r>
              <w:rPr>
                <w:rFonts w:hint="eastAsia" w:asciiTheme="minorEastAsia" w:hAnsiTheme="minorEastAsia" w:eastAsiaTheme="minorEastAsia" w:cstheme="minorEastAsia"/>
                <w:color w:val="auto"/>
                <w:kern w:val="0"/>
                <w:szCs w:val="21"/>
                <w:highlight w:val="none"/>
              </w:rPr>
              <w:t>年度核心偿付能力充足率</w:t>
            </w:r>
            <w:r>
              <w:rPr>
                <w:rFonts w:hint="eastAsia" w:asciiTheme="minorEastAsia" w:hAnsiTheme="minorEastAsia" w:eastAsiaTheme="minorEastAsia" w:cstheme="minorEastAsia"/>
                <w:color w:val="auto"/>
                <w:kern w:val="0"/>
                <w:szCs w:val="21"/>
                <w:highlight w:val="none"/>
                <w:lang w:eastAsia="zh-CN"/>
              </w:rPr>
              <w:t>及</w:t>
            </w:r>
            <w:r>
              <w:rPr>
                <w:rFonts w:hint="eastAsia" w:asciiTheme="minorEastAsia" w:hAnsiTheme="minorEastAsia" w:eastAsiaTheme="minorEastAsia" w:cstheme="minorEastAsia"/>
                <w:color w:val="auto"/>
                <w:kern w:val="0"/>
                <w:szCs w:val="21"/>
                <w:highlight w:val="none"/>
              </w:rPr>
              <w:t>综合偿付能力充足率</w:t>
            </w:r>
            <w:r>
              <w:rPr>
                <w:rFonts w:hint="eastAsia" w:asciiTheme="minorEastAsia" w:hAnsiTheme="minorEastAsia" w:eastAsiaTheme="minorEastAsia" w:cstheme="minorEastAsia"/>
                <w:color w:val="auto"/>
                <w:kern w:val="0"/>
                <w:szCs w:val="21"/>
                <w:highlight w:val="none"/>
                <w:lang w:eastAsia="zh-CN"/>
              </w:rPr>
              <w:t>进行评定：</w:t>
            </w:r>
          </w:p>
          <w:p w14:paraId="65F89936">
            <w:pPr>
              <w:widowControl/>
              <w:spacing w:line="400" w:lineRule="exact"/>
              <w:ind w:firstLine="420" w:firstLineChars="200"/>
              <w:jc w:val="lef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1</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202</w:t>
            </w:r>
            <w:r>
              <w:rPr>
                <w:rFonts w:hint="eastAsia" w:asciiTheme="minorEastAsia" w:hAnsiTheme="minorEastAsia" w:eastAsiaTheme="minorEastAsia" w:cstheme="minorEastAsia"/>
                <w:color w:val="auto"/>
                <w:kern w:val="0"/>
                <w:szCs w:val="21"/>
                <w:highlight w:val="none"/>
                <w:lang w:val="en-US" w:eastAsia="zh-CN"/>
              </w:rPr>
              <w:t>3</w:t>
            </w:r>
            <w:r>
              <w:rPr>
                <w:rFonts w:hint="eastAsia" w:asciiTheme="minorEastAsia" w:hAnsiTheme="minorEastAsia" w:eastAsiaTheme="minorEastAsia" w:cstheme="minorEastAsia"/>
                <w:color w:val="auto"/>
                <w:kern w:val="0"/>
                <w:szCs w:val="21"/>
                <w:highlight w:val="none"/>
              </w:rPr>
              <w:t>年度核心偿付能力充足率不低于100%，且综合偿付能力充足率不低于150%，得10分</w:t>
            </w:r>
            <w:r>
              <w:rPr>
                <w:rFonts w:hint="eastAsia" w:asciiTheme="minorEastAsia" w:hAnsiTheme="minorEastAsia" w:eastAsiaTheme="minorEastAsia" w:cstheme="minorEastAsia"/>
                <w:color w:val="auto"/>
                <w:kern w:val="0"/>
                <w:szCs w:val="21"/>
                <w:highlight w:val="none"/>
                <w:lang w:eastAsia="zh-CN"/>
              </w:rPr>
              <w:t>；</w:t>
            </w:r>
          </w:p>
          <w:p w14:paraId="35F8DB4F">
            <w:pPr>
              <w:widowControl/>
              <w:spacing w:line="40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202</w:t>
            </w:r>
            <w:r>
              <w:rPr>
                <w:rFonts w:hint="eastAsia" w:asciiTheme="minorEastAsia" w:hAnsiTheme="minorEastAsia" w:eastAsiaTheme="minorEastAsia" w:cstheme="minorEastAsia"/>
                <w:color w:val="auto"/>
                <w:kern w:val="0"/>
                <w:szCs w:val="21"/>
                <w:highlight w:val="none"/>
                <w:lang w:val="en-US" w:eastAsia="zh-CN"/>
              </w:rPr>
              <w:t>3</w:t>
            </w:r>
            <w:r>
              <w:rPr>
                <w:rFonts w:hint="eastAsia" w:asciiTheme="minorEastAsia" w:hAnsiTheme="minorEastAsia" w:eastAsiaTheme="minorEastAsia" w:cstheme="minorEastAsia"/>
                <w:color w:val="auto"/>
                <w:kern w:val="0"/>
                <w:szCs w:val="21"/>
                <w:highlight w:val="none"/>
              </w:rPr>
              <w:t>年度核心偿付能力充足率不低于50%，且综合偿付能力充足率不低于100%，得5分；</w:t>
            </w:r>
          </w:p>
          <w:p w14:paraId="15B92E9A">
            <w:pPr>
              <w:widowControl/>
              <w:spacing w:line="400" w:lineRule="exact"/>
              <w:ind w:firstLine="420" w:firstLineChars="200"/>
              <w:jc w:val="left"/>
              <w:rPr>
                <w:rFonts w:hint="default" w:eastAsiaTheme="minorEastAsia"/>
                <w:color w:val="auto"/>
                <w:highlight w:val="none"/>
                <w:lang w:val="en-US" w:eastAsia="zh-CN"/>
              </w:rPr>
            </w:pP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3</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其他情况不得分</w:t>
            </w:r>
            <w:r>
              <w:rPr>
                <w:rFonts w:hint="eastAsia" w:asciiTheme="minorEastAsia" w:hAnsiTheme="minorEastAsia" w:eastAsiaTheme="minorEastAsia" w:cstheme="minorEastAsia"/>
                <w:color w:val="auto"/>
                <w:kern w:val="0"/>
                <w:szCs w:val="21"/>
                <w:highlight w:val="none"/>
                <w:lang w:eastAsia="zh-CN"/>
              </w:rPr>
              <w:t>。</w:t>
            </w:r>
          </w:p>
          <w:p w14:paraId="7BA89356">
            <w:pPr>
              <w:widowControl/>
              <w:spacing w:line="400" w:lineRule="exact"/>
              <w:ind w:firstLine="420" w:firstLineChars="200"/>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注：在投标文件中提供经第三方机构审计的报告复印件，投标人总公司的核心偿付能力充足率、综合偿付能力充足率以经第三方机构审计的报告数据为准，不提供材料的得0分。</w:t>
            </w:r>
          </w:p>
        </w:tc>
      </w:tr>
      <w:tr w14:paraId="5FD3D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9" w:type="pct"/>
            <w:vMerge w:val="continue"/>
            <w:vAlign w:val="center"/>
          </w:tcPr>
          <w:p w14:paraId="2DA55E4E">
            <w:pPr>
              <w:widowControl/>
              <w:spacing w:line="400" w:lineRule="exact"/>
              <w:jc w:val="left"/>
              <w:rPr>
                <w:rFonts w:asciiTheme="minorEastAsia" w:hAnsiTheme="minorEastAsia" w:eastAsiaTheme="minorEastAsia" w:cstheme="minorEastAsia"/>
                <w:color w:val="auto"/>
                <w:kern w:val="0"/>
                <w:szCs w:val="21"/>
                <w:highlight w:val="none"/>
              </w:rPr>
            </w:pPr>
          </w:p>
        </w:tc>
        <w:tc>
          <w:tcPr>
            <w:tcW w:w="567" w:type="pct"/>
            <w:vMerge w:val="continue"/>
            <w:vAlign w:val="center"/>
          </w:tcPr>
          <w:p w14:paraId="42A0FAB0">
            <w:pPr>
              <w:widowControl/>
              <w:spacing w:line="400" w:lineRule="exact"/>
              <w:jc w:val="left"/>
              <w:rPr>
                <w:rFonts w:asciiTheme="minorEastAsia" w:hAnsiTheme="minorEastAsia" w:eastAsiaTheme="minorEastAsia" w:cstheme="minorEastAsia"/>
                <w:b/>
                <w:bCs/>
                <w:color w:val="auto"/>
                <w:kern w:val="0"/>
                <w:szCs w:val="21"/>
                <w:highlight w:val="none"/>
              </w:rPr>
            </w:pPr>
          </w:p>
        </w:tc>
        <w:tc>
          <w:tcPr>
            <w:tcW w:w="885" w:type="pct"/>
            <w:shd w:val="clear" w:color="auto" w:fill="auto"/>
            <w:vAlign w:val="center"/>
          </w:tcPr>
          <w:p w14:paraId="6808DD30">
            <w:pPr>
              <w:widowControl/>
              <w:spacing w:line="400" w:lineRule="exact"/>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2.2风险综合评级（满分10分）</w:t>
            </w:r>
          </w:p>
        </w:tc>
        <w:tc>
          <w:tcPr>
            <w:tcW w:w="3327" w:type="pct"/>
            <w:shd w:val="clear" w:color="auto" w:fill="auto"/>
            <w:vAlign w:val="center"/>
          </w:tcPr>
          <w:p w14:paraId="07DF885D">
            <w:pPr>
              <w:widowControl/>
              <w:snapToGrid w:val="0"/>
              <w:spacing w:line="400" w:lineRule="exact"/>
              <w:ind w:firstLine="420" w:firstLineChars="200"/>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202</w:t>
            </w:r>
            <w:r>
              <w:rPr>
                <w:rFonts w:hint="eastAsia" w:asciiTheme="minorEastAsia" w:hAnsiTheme="minorEastAsia" w:eastAsiaTheme="minorEastAsia" w:cstheme="minorEastAsia"/>
                <w:color w:val="auto"/>
                <w:kern w:val="0"/>
                <w:szCs w:val="21"/>
                <w:highlight w:val="none"/>
                <w:lang w:val="en-US" w:eastAsia="zh-CN"/>
              </w:rPr>
              <w:t>3</w:t>
            </w:r>
            <w:r>
              <w:rPr>
                <w:rFonts w:hint="eastAsia" w:asciiTheme="minorEastAsia" w:hAnsiTheme="minorEastAsia" w:eastAsiaTheme="minorEastAsia" w:cstheme="minorEastAsia"/>
                <w:color w:val="auto"/>
                <w:kern w:val="0"/>
                <w:szCs w:val="21"/>
                <w:highlight w:val="none"/>
              </w:rPr>
              <w:t>年1月1日至投标文件递交截止时间前投标人总公司</w:t>
            </w:r>
            <w:r>
              <w:rPr>
                <w:rFonts w:asciiTheme="minorEastAsia" w:hAnsiTheme="minorEastAsia" w:eastAsiaTheme="minorEastAsia" w:cstheme="minorEastAsia"/>
                <w:color w:val="auto"/>
                <w:kern w:val="0"/>
                <w:szCs w:val="21"/>
                <w:highlight w:val="none"/>
              </w:rPr>
              <w:t>风险综合评级</w:t>
            </w:r>
            <w:r>
              <w:rPr>
                <w:rFonts w:hint="eastAsia" w:asciiTheme="minorEastAsia" w:hAnsiTheme="minorEastAsia" w:eastAsiaTheme="minorEastAsia" w:cstheme="minorEastAsia"/>
                <w:color w:val="auto"/>
                <w:kern w:val="0"/>
                <w:szCs w:val="21"/>
                <w:highlight w:val="none"/>
              </w:rPr>
              <w:t>；</w:t>
            </w:r>
          </w:p>
          <w:p w14:paraId="2B7370DF">
            <w:pPr>
              <w:widowControl/>
              <w:snapToGrid w:val="0"/>
              <w:spacing w:line="400" w:lineRule="exact"/>
              <w:ind w:firstLine="420" w:firstLineChars="200"/>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w:t>
            </w:r>
            <w:r>
              <w:rPr>
                <w:rFonts w:asciiTheme="minorEastAsia" w:hAnsiTheme="minorEastAsia" w:eastAsiaTheme="minorEastAsia" w:cstheme="minorEastAsia"/>
                <w:color w:val="auto"/>
                <w:kern w:val="0"/>
                <w:szCs w:val="21"/>
                <w:highlight w:val="none"/>
              </w:rPr>
              <w:t>1</w:t>
            </w:r>
            <w:r>
              <w:rPr>
                <w:rFonts w:hint="eastAsia" w:asciiTheme="minorEastAsia" w:hAnsiTheme="minorEastAsia" w:eastAsiaTheme="minorEastAsia" w:cstheme="minorEastAsia"/>
                <w:color w:val="auto"/>
                <w:kern w:val="0"/>
                <w:szCs w:val="21"/>
                <w:highlight w:val="none"/>
              </w:rPr>
              <w:t>）每一个</w:t>
            </w:r>
            <w:r>
              <w:rPr>
                <w:rFonts w:asciiTheme="minorEastAsia" w:hAnsiTheme="minorEastAsia" w:eastAsiaTheme="minorEastAsia" w:cstheme="minorEastAsia"/>
                <w:color w:val="auto"/>
                <w:kern w:val="0"/>
                <w:szCs w:val="21"/>
                <w:highlight w:val="none"/>
              </w:rPr>
              <w:t>AAA类</w:t>
            </w:r>
            <w:r>
              <w:rPr>
                <w:rFonts w:hint="eastAsia" w:asciiTheme="minorEastAsia" w:hAnsiTheme="minorEastAsia" w:eastAsiaTheme="minorEastAsia" w:cstheme="minorEastAsia"/>
                <w:color w:val="auto"/>
                <w:kern w:val="0"/>
                <w:szCs w:val="21"/>
                <w:highlight w:val="none"/>
              </w:rPr>
              <w:t>评级</w:t>
            </w:r>
            <w:r>
              <w:rPr>
                <w:rFonts w:asciiTheme="minorEastAsia" w:hAnsiTheme="minorEastAsia" w:eastAsiaTheme="minorEastAsia" w:cstheme="minorEastAsia"/>
                <w:color w:val="auto"/>
                <w:kern w:val="0"/>
                <w:szCs w:val="21"/>
                <w:highlight w:val="none"/>
              </w:rPr>
              <w:t>得2分；</w:t>
            </w:r>
          </w:p>
          <w:p w14:paraId="1EAFCD1C">
            <w:pPr>
              <w:widowControl/>
              <w:snapToGrid w:val="0"/>
              <w:spacing w:line="400" w:lineRule="exact"/>
              <w:ind w:firstLine="420" w:firstLineChars="200"/>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w:t>
            </w:r>
            <w:r>
              <w:rPr>
                <w:rFonts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rPr>
              <w:t>）每一个</w:t>
            </w:r>
            <w:r>
              <w:rPr>
                <w:rFonts w:asciiTheme="minorEastAsia" w:hAnsiTheme="minorEastAsia" w:eastAsiaTheme="minorEastAsia" w:cstheme="minorEastAsia"/>
                <w:color w:val="auto"/>
                <w:kern w:val="0"/>
                <w:szCs w:val="21"/>
                <w:highlight w:val="none"/>
              </w:rPr>
              <w:t>AA</w:t>
            </w:r>
            <w:r>
              <w:rPr>
                <w:rFonts w:hint="eastAsia" w:asciiTheme="minorEastAsia" w:hAnsiTheme="minorEastAsia" w:eastAsiaTheme="minorEastAsia" w:cstheme="minorEastAsia"/>
                <w:color w:val="auto"/>
                <w:kern w:val="0"/>
                <w:szCs w:val="21"/>
                <w:highlight w:val="none"/>
              </w:rPr>
              <w:t>类评级得1</w:t>
            </w:r>
            <w:r>
              <w:rPr>
                <w:rFonts w:asciiTheme="minorEastAsia" w:hAnsiTheme="minorEastAsia" w:eastAsiaTheme="minorEastAsia" w:cstheme="minorEastAsia"/>
                <w:color w:val="auto"/>
                <w:kern w:val="0"/>
                <w:szCs w:val="21"/>
                <w:highlight w:val="none"/>
              </w:rPr>
              <w:t>.8</w:t>
            </w:r>
            <w:r>
              <w:rPr>
                <w:rFonts w:hint="eastAsia" w:asciiTheme="minorEastAsia" w:hAnsiTheme="minorEastAsia" w:eastAsiaTheme="minorEastAsia" w:cstheme="minorEastAsia"/>
                <w:color w:val="auto"/>
                <w:kern w:val="0"/>
                <w:szCs w:val="21"/>
                <w:highlight w:val="none"/>
              </w:rPr>
              <w:t>分；</w:t>
            </w:r>
          </w:p>
          <w:p w14:paraId="3DF348A8">
            <w:pPr>
              <w:widowControl/>
              <w:snapToGrid w:val="0"/>
              <w:spacing w:line="400" w:lineRule="exact"/>
              <w:ind w:firstLine="420" w:firstLineChars="200"/>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w:t>
            </w:r>
            <w:r>
              <w:rPr>
                <w:rFonts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rPr>
              <w:t>）每一个</w:t>
            </w:r>
            <w:r>
              <w:rPr>
                <w:rFonts w:asciiTheme="minorEastAsia" w:hAnsiTheme="minorEastAsia" w:eastAsiaTheme="minorEastAsia" w:cstheme="minorEastAsia"/>
                <w:color w:val="auto"/>
                <w:kern w:val="0"/>
                <w:szCs w:val="21"/>
                <w:highlight w:val="none"/>
              </w:rPr>
              <w:t>A</w:t>
            </w:r>
            <w:r>
              <w:rPr>
                <w:rFonts w:hint="eastAsia" w:asciiTheme="minorEastAsia" w:hAnsiTheme="minorEastAsia" w:eastAsiaTheme="minorEastAsia" w:cstheme="minorEastAsia"/>
                <w:color w:val="auto"/>
                <w:kern w:val="0"/>
                <w:szCs w:val="21"/>
                <w:highlight w:val="none"/>
              </w:rPr>
              <w:t>类评级得</w:t>
            </w:r>
            <w:r>
              <w:rPr>
                <w:rFonts w:asciiTheme="minorEastAsia" w:hAnsiTheme="minorEastAsia" w:eastAsiaTheme="minorEastAsia" w:cstheme="minorEastAsia"/>
                <w:color w:val="auto"/>
                <w:kern w:val="0"/>
                <w:szCs w:val="21"/>
                <w:highlight w:val="none"/>
              </w:rPr>
              <w:t>1.6</w:t>
            </w:r>
            <w:r>
              <w:rPr>
                <w:rFonts w:hint="eastAsia" w:asciiTheme="minorEastAsia" w:hAnsiTheme="minorEastAsia" w:eastAsiaTheme="minorEastAsia" w:cstheme="minorEastAsia"/>
                <w:color w:val="auto"/>
                <w:kern w:val="0"/>
                <w:szCs w:val="21"/>
                <w:highlight w:val="none"/>
              </w:rPr>
              <w:t>分；</w:t>
            </w:r>
          </w:p>
          <w:p w14:paraId="320E2E8B">
            <w:pPr>
              <w:widowControl/>
              <w:snapToGrid w:val="0"/>
              <w:spacing w:line="400" w:lineRule="exact"/>
              <w:ind w:firstLine="420" w:firstLineChars="200"/>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w:t>
            </w:r>
            <w:r>
              <w:rPr>
                <w:rFonts w:asciiTheme="minorEastAsia" w:hAnsiTheme="minorEastAsia" w:eastAsiaTheme="minorEastAsia" w:cstheme="minorEastAsia"/>
                <w:color w:val="auto"/>
                <w:kern w:val="0"/>
                <w:szCs w:val="21"/>
                <w:highlight w:val="none"/>
              </w:rPr>
              <w:t>4</w:t>
            </w:r>
            <w:r>
              <w:rPr>
                <w:rFonts w:hint="eastAsia" w:asciiTheme="minorEastAsia" w:hAnsiTheme="minorEastAsia" w:eastAsiaTheme="minorEastAsia" w:cstheme="minorEastAsia"/>
                <w:color w:val="auto"/>
                <w:kern w:val="0"/>
                <w:szCs w:val="21"/>
                <w:highlight w:val="none"/>
              </w:rPr>
              <w:t>）每一个</w:t>
            </w:r>
            <w:r>
              <w:rPr>
                <w:rFonts w:asciiTheme="minorEastAsia" w:hAnsiTheme="minorEastAsia" w:eastAsiaTheme="minorEastAsia" w:cstheme="minorEastAsia"/>
                <w:color w:val="auto"/>
                <w:kern w:val="0"/>
                <w:szCs w:val="21"/>
                <w:highlight w:val="none"/>
              </w:rPr>
              <w:t>BBB</w:t>
            </w:r>
            <w:r>
              <w:rPr>
                <w:rFonts w:hint="eastAsia" w:asciiTheme="minorEastAsia" w:hAnsiTheme="minorEastAsia" w:eastAsiaTheme="minorEastAsia" w:cstheme="minorEastAsia"/>
                <w:color w:val="auto"/>
                <w:kern w:val="0"/>
                <w:szCs w:val="21"/>
                <w:highlight w:val="none"/>
              </w:rPr>
              <w:t>类评级得</w:t>
            </w:r>
            <w:r>
              <w:rPr>
                <w:rFonts w:asciiTheme="minorEastAsia" w:hAnsiTheme="minorEastAsia" w:eastAsiaTheme="minorEastAsia" w:cstheme="minorEastAsia"/>
                <w:color w:val="auto"/>
                <w:kern w:val="0"/>
                <w:szCs w:val="21"/>
                <w:highlight w:val="none"/>
              </w:rPr>
              <w:t>1</w:t>
            </w:r>
            <w:r>
              <w:rPr>
                <w:rFonts w:hint="eastAsia" w:asciiTheme="minorEastAsia" w:hAnsiTheme="minorEastAsia" w:eastAsiaTheme="minorEastAsia" w:cstheme="minorEastAsia"/>
                <w:color w:val="auto"/>
                <w:kern w:val="0"/>
                <w:szCs w:val="21"/>
                <w:highlight w:val="none"/>
              </w:rPr>
              <w:t>分；</w:t>
            </w:r>
          </w:p>
          <w:p w14:paraId="08472C13">
            <w:pPr>
              <w:widowControl/>
              <w:snapToGrid w:val="0"/>
              <w:spacing w:line="400" w:lineRule="exact"/>
              <w:ind w:firstLine="420" w:firstLineChars="200"/>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w:t>
            </w:r>
            <w:r>
              <w:rPr>
                <w:rFonts w:asciiTheme="minorEastAsia" w:hAnsiTheme="minorEastAsia" w:eastAsiaTheme="minorEastAsia" w:cstheme="minorEastAsia"/>
                <w:color w:val="auto"/>
                <w:kern w:val="0"/>
                <w:szCs w:val="21"/>
                <w:highlight w:val="none"/>
              </w:rPr>
              <w:t>5</w:t>
            </w:r>
            <w:r>
              <w:rPr>
                <w:rFonts w:hint="eastAsia" w:asciiTheme="minorEastAsia" w:hAnsiTheme="minorEastAsia" w:eastAsiaTheme="minorEastAsia" w:cstheme="minorEastAsia"/>
                <w:color w:val="auto"/>
                <w:kern w:val="0"/>
                <w:szCs w:val="21"/>
                <w:highlight w:val="none"/>
              </w:rPr>
              <w:t>）每一个B</w:t>
            </w:r>
            <w:r>
              <w:rPr>
                <w:rFonts w:asciiTheme="minorEastAsia" w:hAnsiTheme="minorEastAsia" w:eastAsiaTheme="minorEastAsia" w:cstheme="minorEastAsia"/>
                <w:color w:val="auto"/>
                <w:kern w:val="0"/>
                <w:szCs w:val="21"/>
                <w:highlight w:val="none"/>
              </w:rPr>
              <w:t>B</w:t>
            </w:r>
            <w:r>
              <w:rPr>
                <w:rFonts w:hint="eastAsia" w:asciiTheme="minorEastAsia" w:hAnsiTheme="minorEastAsia" w:eastAsiaTheme="minorEastAsia" w:cstheme="minorEastAsia"/>
                <w:color w:val="auto"/>
                <w:kern w:val="0"/>
                <w:szCs w:val="21"/>
                <w:highlight w:val="none"/>
              </w:rPr>
              <w:t>类评级得</w:t>
            </w:r>
            <w:r>
              <w:rPr>
                <w:rFonts w:asciiTheme="minorEastAsia" w:hAnsiTheme="minorEastAsia" w:eastAsiaTheme="minorEastAsia" w:cstheme="minorEastAsia"/>
                <w:color w:val="auto"/>
                <w:kern w:val="0"/>
                <w:szCs w:val="21"/>
                <w:highlight w:val="none"/>
              </w:rPr>
              <w:t>0.8</w:t>
            </w:r>
            <w:r>
              <w:rPr>
                <w:rFonts w:hint="eastAsia" w:asciiTheme="minorEastAsia" w:hAnsiTheme="minorEastAsia" w:eastAsiaTheme="minorEastAsia" w:cstheme="minorEastAsia"/>
                <w:color w:val="auto"/>
                <w:kern w:val="0"/>
                <w:szCs w:val="21"/>
                <w:highlight w:val="none"/>
              </w:rPr>
              <w:t>分；</w:t>
            </w:r>
          </w:p>
          <w:p w14:paraId="748494B1">
            <w:pPr>
              <w:widowControl/>
              <w:snapToGrid w:val="0"/>
              <w:spacing w:line="400" w:lineRule="exact"/>
              <w:ind w:firstLine="420" w:firstLineChars="200"/>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w:t>
            </w:r>
            <w:r>
              <w:rPr>
                <w:rFonts w:asciiTheme="minorEastAsia" w:hAnsiTheme="minorEastAsia" w:eastAsiaTheme="minorEastAsia" w:cstheme="minorEastAsia"/>
                <w:color w:val="auto"/>
                <w:kern w:val="0"/>
                <w:szCs w:val="21"/>
                <w:highlight w:val="none"/>
              </w:rPr>
              <w:t>6</w:t>
            </w:r>
            <w:r>
              <w:rPr>
                <w:rFonts w:hint="eastAsia" w:asciiTheme="minorEastAsia" w:hAnsiTheme="minorEastAsia" w:eastAsiaTheme="minorEastAsia" w:cstheme="minorEastAsia"/>
                <w:color w:val="auto"/>
                <w:kern w:val="0"/>
                <w:szCs w:val="21"/>
                <w:highlight w:val="none"/>
              </w:rPr>
              <w:t>）每一个</w:t>
            </w:r>
            <w:r>
              <w:rPr>
                <w:rFonts w:asciiTheme="minorEastAsia" w:hAnsiTheme="minorEastAsia" w:eastAsiaTheme="minorEastAsia" w:cstheme="minorEastAsia"/>
                <w:color w:val="auto"/>
                <w:kern w:val="0"/>
                <w:szCs w:val="21"/>
                <w:highlight w:val="none"/>
              </w:rPr>
              <w:t>B</w:t>
            </w:r>
            <w:r>
              <w:rPr>
                <w:rFonts w:hint="eastAsia" w:asciiTheme="minorEastAsia" w:hAnsiTheme="minorEastAsia" w:eastAsiaTheme="minorEastAsia" w:cstheme="minorEastAsia"/>
                <w:color w:val="auto"/>
                <w:kern w:val="0"/>
                <w:szCs w:val="21"/>
                <w:highlight w:val="none"/>
              </w:rPr>
              <w:t>类评级得</w:t>
            </w:r>
            <w:r>
              <w:rPr>
                <w:rFonts w:asciiTheme="minorEastAsia" w:hAnsiTheme="minorEastAsia" w:eastAsiaTheme="minorEastAsia" w:cstheme="minorEastAsia"/>
                <w:color w:val="auto"/>
                <w:kern w:val="0"/>
                <w:szCs w:val="21"/>
                <w:highlight w:val="none"/>
              </w:rPr>
              <w:t>0.6</w:t>
            </w:r>
            <w:r>
              <w:rPr>
                <w:rFonts w:hint="eastAsia" w:asciiTheme="minorEastAsia" w:hAnsiTheme="minorEastAsia" w:eastAsiaTheme="minorEastAsia" w:cstheme="minorEastAsia"/>
                <w:color w:val="auto"/>
                <w:kern w:val="0"/>
                <w:szCs w:val="21"/>
                <w:highlight w:val="none"/>
              </w:rPr>
              <w:t>分；</w:t>
            </w:r>
          </w:p>
          <w:p w14:paraId="2EBBF26F">
            <w:pPr>
              <w:widowControl/>
              <w:snapToGrid w:val="0"/>
              <w:spacing w:line="400" w:lineRule="exact"/>
              <w:ind w:firstLine="420" w:firstLineChars="200"/>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w:t>
            </w:r>
            <w:r>
              <w:rPr>
                <w:rFonts w:asciiTheme="minorEastAsia" w:hAnsiTheme="minorEastAsia" w:eastAsiaTheme="minorEastAsia" w:cstheme="minorEastAsia"/>
                <w:color w:val="auto"/>
                <w:kern w:val="0"/>
                <w:szCs w:val="21"/>
                <w:highlight w:val="none"/>
              </w:rPr>
              <w:t>7</w:t>
            </w:r>
            <w:r>
              <w:rPr>
                <w:rFonts w:hint="eastAsia" w:asciiTheme="minorEastAsia" w:hAnsiTheme="minorEastAsia" w:eastAsiaTheme="minorEastAsia" w:cstheme="minorEastAsia"/>
                <w:color w:val="auto"/>
                <w:kern w:val="0"/>
                <w:szCs w:val="21"/>
                <w:highlight w:val="none"/>
              </w:rPr>
              <w:t>）C类及以下评级的不得分</w:t>
            </w:r>
            <w:r>
              <w:rPr>
                <w:rFonts w:hint="eastAsia" w:asciiTheme="minorEastAsia" w:hAnsiTheme="minorEastAsia" w:eastAsiaTheme="minorEastAsia" w:cstheme="minorEastAsia"/>
                <w:color w:val="auto"/>
                <w:kern w:val="0"/>
                <w:szCs w:val="21"/>
                <w:highlight w:val="none"/>
                <w:lang w:eastAsia="zh-CN"/>
              </w:rPr>
              <w:t>。</w:t>
            </w:r>
          </w:p>
          <w:p w14:paraId="38237FDA">
            <w:pPr>
              <w:widowControl/>
              <w:snapToGrid w:val="0"/>
              <w:spacing w:line="400" w:lineRule="exact"/>
              <w:ind w:firstLine="420" w:firstLineChars="200"/>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注：在投标文件中提供保险监管部门对投标人总公司分类监管结果的公开信息凭证复印件或保险监管部门偿二代监管信息系统发布信息页面截图作为证明材料，不提供材料的得0分。</w:t>
            </w:r>
          </w:p>
        </w:tc>
      </w:tr>
      <w:tr w14:paraId="322BF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9" w:type="pct"/>
            <w:vMerge w:val="continue"/>
            <w:vAlign w:val="center"/>
          </w:tcPr>
          <w:p w14:paraId="14AC7F2A">
            <w:pPr>
              <w:widowControl/>
              <w:spacing w:line="400" w:lineRule="exact"/>
              <w:jc w:val="left"/>
              <w:rPr>
                <w:rFonts w:asciiTheme="minorEastAsia" w:hAnsiTheme="minorEastAsia" w:eastAsiaTheme="minorEastAsia" w:cstheme="minorEastAsia"/>
                <w:color w:val="auto"/>
                <w:kern w:val="0"/>
                <w:szCs w:val="21"/>
                <w:highlight w:val="none"/>
              </w:rPr>
            </w:pPr>
          </w:p>
        </w:tc>
        <w:tc>
          <w:tcPr>
            <w:tcW w:w="567" w:type="pct"/>
            <w:vMerge w:val="continue"/>
            <w:vAlign w:val="center"/>
          </w:tcPr>
          <w:p w14:paraId="1805FB76">
            <w:pPr>
              <w:widowControl/>
              <w:spacing w:line="400" w:lineRule="exact"/>
              <w:jc w:val="left"/>
              <w:rPr>
                <w:rFonts w:asciiTheme="minorEastAsia" w:hAnsiTheme="minorEastAsia" w:eastAsiaTheme="minorEastAsia" w:cstheme="minorEastAsia"/>
                <w:b/>
                <w:bCs/>
                <w:color w:val="auto"/>
                <w:kern w:val="0"/>
                <w:szCs w:val="21"/>
                <w:highlight w:val="none"/>
              </w:rPr>
            </w:pPr>
          </w:p>
        </w:tc>
        <w:tc>
          <w:tcPr>
            <w:tcW w:w="885" w:type="pct"/>
            <w:shd w:val="clear" w:color="auto" w:fill="auto"/>
            <w:vAlign w:val="center"/>
          </w:tcPr>
          <w:p w14:paraId="03465928">
            <w:pPr>
              <w:widowControl/>
              <w:spacing w:line="400" w:lineRule="exact"/>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2.3承保业绩分（满分5分）</w:t>
            </w:r>
          </w:p>
        </w:tc>
        <w:tc>
          <w:tcPr>
            <w:tcW w:w="3327" w:type="pct"/>
            <w:shd w:val="clear" w:color="auto" w:fill="auto"/>
            <w:vAlign w:val="center"/>
          </w:tcPr>
          <w:p w14:paraId="782E91A4">
            <w:pPr>
              <w:widowControl/>
              <w:spacing w:line="40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自2020年1月1日至投标文件递交截止时间前，投标人有承保过公益类团体人员意外险项目，每有1份，得1分，满分5分。</w:t>
            </w:r>
          </w:p>
          <w:p w14:paraId="2292D407">
            <w:pPr>
              <w:widowControl/>
              <w:spacing w:line="400" w:lineRule="exact"/>
              <w:ind w:firstLine="420" w:firstLineChars="200"/>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eastAsia="zh-CN"/>
              </w:rPr>
              <w:t>注：</w:t>
            </w:r>
            <w:r>
              <w:rPr>
                <w:rFonts w:hint="eastAsia" w:asciiTheme="minorEastAsia" w:hAnsiTheme="minorEastAsia" w:eastAsiaTheme="minorEastAsia" w:cstheme="minorEastAsia"/>
                <w:color w:val="auto"/>
                <w:kern w:val="0"/>
                <w:szCs w:val="21"/>
                <w:highlight w:val="none"/>
              </w:rPr>
              <w:t>在投标文件中提供能证明相关业绩的保单或合同复印件，同一投保人多年连续投保视为1份，原件备查，不提供材料的得0分。</w:t>
            </w:r>
          </w:p>
        </w:tc>
      </w:tr>
      <w:tr w14:paraId="4C941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9" w:type="pct"/>
            <w:vMerge w:val="continue"/>
            <w:vAlign w:val="center"/>
          </w:tcPr>
          <w:p w14:paraId="2418E354">
            <w:pPr>
              <w:widowControl/>
              <w:spacing w:line="400" w:lineRule="exact"/>
              <w:jc w:val="left"/>
              <w:rPr>
                <w:rFonts w:asciiTheme="minorEastAsia" w:hAnsiTheme="minorEastAsia" w:eastAsiaTheme="minorEastAsia" w:cstheme="minorEastAsia"/>
                <w:color w:val="auto"/>
                <w:kern w:val="0"/>
                <w:szCs w:val="21"/>
                <w:highlight w:val="none"/>
              </w:rPr>
            </w:pPr>
          </w:p>
        </w:tc>
        <w:tc>
          <w:tcPr>
            <w:tcW w:w="567" w:type="pct"/>
            <w:vMerge w:val="continue"/>
            <w:vAlign w:val="center"/>
          </w:tcPr>
          <w:p w14:paraId="6745CB4B">
            <w:pPr>
              <w:widowControl/>
              <w:spacing w:line="400" w:lineRule="exact"/>
              <w:jc w:val="left"/>
              <w:rPr>
                <w:rFonts w:asciiTheme="minorEastAsia" w:hAnsiTheme="minorEastAsia" w:eastAsiaTheme="minorEastAsia" w:cstheme="minorEastAsia"/>
                <w:b/>
                <w:bCs/>
                <w:color w:val="auto"/>
                <w:kern w:val="0"/>
                <w:szCs w:val="21"/>
                <w:highlight w:val="none"/>
              </w:rPr>
            </w:pPr>
          </w:p>
        </w:tc>
        <w:tc>
          <w:tcPr>
            <w:tcW w:w="885" w:type="pct"/>
            <w:shd w:val="clear" w:color="auto" w:fill="auto"/>
            <w:vAlign w:val="center"/>
          </w:tcPr>
          <w:p w14:paraId="549146BA">
            <w:pPr>
              <w:widowControl/>
              <w:spacing w:line="400" w:lineRule="exact"/>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2.4理赔经验分（满分5分）</w:t>
            </w:r>
          </w:p>
        </w:tc>
        <w:tc>
          <w:tcPr>
            <w:tcW w:w="3327" w:type="pct"/>
            <w:shd w:val="clear" w:color="auto" w:fill="auto"/>
            <w:vAlign w:val="center"/>
          </w:tcPr>
          <w:p w14:paraId="5727A618">
            <w:pPr>
              <w:widowControl/>
              <w:spacing w:line="40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自202</w:t>
            </w:r>
            <w:r>
              <w:rPr>
                <w:rFonts w:hint="eastAsia" w:asciiTheme="minorEastAsia" w:hAnsiTheme="minorEastAsia" w:eastAsia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rPr>
              <w:t>年1月1日至投标文件递交截止时间前，投标人有公益类团体人员意外险项目理赔经验的，每有1份，得1分，满分5分。</w:t>
            </w:r>
          </w:p>
          <w:p w14:paraId="250D6EEC">
            <w:pPr>
              <w:widowControl/>
              <w:spacing w:line="400" w:lineRule="exact"/>
              <w:ind w:firstLine="420" w:firstLineChars="200"/>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eastAsia="zh-CN"/>
              </w:rPr>
              <w:t>注：</w:t>
            </w:r>
            <w:r>
              <w:rPr>
                <w:rFonts w:hint="eastAsia" w:asciiTheme="minorEastAsia" w:hAnsiTheme="minorEastAsia" w:eastAsiaTheme="minorEastAsia" w:cstheme="minorEastAsia"/>
                <w:color w:val="auto"/>
                <w:kern w:val="0"/>
                <w:szCs w:val="21"/>
                <w:highlight w:val="none"/>
              </w:rPr>
              <w:t>在投标文件中提供已赔付材料证明复印件，原件备查，不提供材料的得0分。</w:t>
            </w:r>
          </w:p>
        </w:tc>
      </w:tr>
      <w:tr w14:paraId="09F6A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9" w:type="pct"/>
            <w:vMerge w:val="restart"/>
            <w:shd w:val="clear" w:color="auto" w:fill="auto"/>
            <w:vAlign w:val="center"/>
          </w:tcPr>
          <w:p w14:paraId="44493C69">
            <w:pPr>
              <w:widowControl/>
              <w:spacing w:line="400" w:lineRule="exact"/>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w:t>
            </w:r>
          </w:p>
        </w:tc>
        <w:tc>
          <w:tcPr>
            <w:tcW w:w="567" w:type="pct"/>
            <w:vMerge w:val="restart"/>
            <w:shd w:val="clear" w:color="auto" w:fill="auto"/>
            <w:vAlign w:val="center"/>
          </w:tcPr>
          <w:p w14:paraId="48A6260B">
            <w:pPr>
              <w:widowControl/>
              <w:spacing w:line="400" w:lineRule="exact"/>
              <w:jc w:val="center"/>
              <w:rPr>
                <w:rFonts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技术分（服务实施方案分）（满分70分）</w:t>
            </w:r>
          </w:p>
        </w:tc>
        <w:tc>
          <w:tcPr>
            <w:tcW w:w="885" w:type="pct"/>
            <w:shd w:val="clear" w:color="auto" w:fill="auto"/>
            <w:vAlign w:val="center"/>
          </w:tcPr>
          <w:p w14:paraId="1FCA26A1">
            <w:pPr>
              <w:widowControl/>
              <w:spacing w:line="400" w:lineRule="exact"/>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3.1承保方案分（满分10分）</w:t>
            </w:r>
          </w:p>
        </w:tc>
        <w:tc>
          <w:tcPr>
            <w:tcW w:w="3327" w:type="pct"/>
            <w:shd w:val="clear" w:color="auto" w:fill="auto"/>
            <w:vAlign w:val="center"/>
          </w:tcPr>
          <w:p w14:paraId="504706B3">
            <w:pPr>
              <w:widowControl/>
              <w:numPr>
                <w:ilvl w:val="0"/>
                <w:numId w:val="0"/>
              </w:numPr>
              <w:spacing w:line="400" w:lineRule="exact"/>
              <w:ind w:firstLine="420" w:firstLineChars="200"/>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承保方案针对</w:t>
            </w:r>
            <w:r>
              <w:rPr>
                <w:rFonts w:hint="eastAsia" w:asciiTheme="minorEastAsia" w:hAnsiTheme="minorEastAsia" w:eastAsiaTheme="minorEastAsia" w:cstheme="minorEastAsia"/>
                <w:color w:val="auto"/>
                <w:kern w:val="0"/>
                <w:szCs w:val="21"/>
                <w:highlight w:val="none"/>
                <w:lang w:eastAsia="zh-CN"/>
              </w:rPr>
              <w:t>①</w:t>
            </w:r>
            <w:r>
              <w:rPr>
                <w:rFonts w:hint="eastAsia" w:asciiTheme="minorEastAsia" w:hAnsiTheme="minorEastAsia" w:eastAsiaTheme="minorEastAsia" w:cstheme="minorEastAsia"/>
                <w:color w:val="auto"/>
                <w:kern w:val="0"/>
                <w:szCs w:val="21"/>
                <w:highlight w:val="none"/>
              </w:rPr>
              <w:t>项目风险分析、</w:t>
            </w:r>
            <w:r>
              <w:rPr>
                <w:rFonts w:hint="eastAsia" w:asciiTheme="minorEastAsia" w:hAnsiTheme="minorEastAsia" w:eastAsiaTheme="minorEastAsia" w:cstheme="minorEastAsia"/>
                <w:color w:val="auto"/>
                <w:kern w:val="0"/>
                <w:szCs w:val="21"/>
                <w:highlight w:val="none"/>
                <w:lang w:eastAsia="zh-CN"/>
              </w:rPr>
              <w:t>②</w:t>
            </w:r>
            <w:r>
              <w:rPr>
                <w:rFonts w:hint="eastAsia" w:asciiTheme="minorEastAsia" w:hAnsiTheme="minorEastAsia" w:eastAsiaTheme="minorEastAsia" w:cstheme="minorEastAsia"/>
                <w:color w:val="auto"/>
                <w:kern w:val="0"/>
                <w:szCs w:val="21"/>
                <w:highlight w:val="none"/>
              </w:rPr>
              <w:t>投保及扩展条款方案设计、</w:t>
            </w:r>
            <w:r>
              <w:rPr>
                <w:rFonts w:hint="eastAsia" w:asciiTheme="minorEastAsia" w:hAnsiTheme="minorEastAsia" w:eastAsiaTheme="minorEastAsia" w:cstheme="minorEastAsia"/>
                <w:color w:val="auto"/>
                <w:kern w:val="0"/>
                <w:szCs w:val="21"/>
                <w:highlight w:val="none"/>
                <w:lang w:eastAsia="zh-CN"/>
              </w:rPr>
              <w:t>③</w:t>
            </w:r>
            <w:r>
              <w:rPr>
                <w:rFonts w:hint="eastAsia" w:asciiTheme="minorEastAsia" w:hAnsiTheme="minorEastAsia" w:eastAsiaTheme="minorEastAsia" w:cstheme="minorEastAsia"/>
                <w:color w:val="auto"/>
                <w:kern w:val="0"/>
                <w:szCs w:val="21"/>
                <w:highlight w:val="none"/>
              </w:rPr>
              <w:t>免赔方案设计、</w:t>
            </w:r>
            <w:r>
              <w:rPr>
                <w:rFonts w:hint="eastAsia" w:asciiTheme="minorEastAsia" w:hAnsiTheme="minorEastAsia" w:eastAsiaTheme="minorEastAsia" w:cstheme="minorEastAsia"/>
                <w:color w:val="auto"/>
                <w:kern w:val="0"/>
                <w:szCs w:val="21"/>
                <w:highlight w:val="none"/>
                <w:lang w:eastAsia="zh-CN"/>
              </w:rPr>
              <w:t>④</w:t>
            </w:r>
            <w:r>
              <w:rPr>
                <w:rFonts w:hint="eastAsia" w:asciiTheme="minorEastAsia" w:hAnsiTheme="minorEastAsia" w:eastAsiaTheme="minorEastAsia" w:cstheme="minorEastAsia"/>
                <w:color w:val="auto"/>
                <w:kern w:val="0"/>
                <w:szCs w:val="21"/>
                <w:highlight w:val="none"/>
              </w:rPr>
              <w:t>保险条款</w:t>
            </w:r>
            <w:r>
              <w:rPr>
                <w:rFonts w:hint="eastAsia" w:asciiTheme="minorEastAsia" w:hAnsiTheme="minorEastAsia" w:eastAsiaTheme="minorEastAsia" w:cstheme="minorEastAsia"/>
                <w:color w:val="auto"/>
                <w:kern w:val="0"/>
                <w:szCs w:val="21"/>
                <w:highlight w:val="none"/>
                <w:lang w:val="en-US" w:eastAsia="zh-CN"/>
              </w:rPr>
              <w:t>等内容，每提供有一项内容且贴合本项目的实际</w:t>
            </w:r>
            <w:r>
              <w:rPr>
                <w:rFonts w:hint="eastAsia" w:asciiTheme="minorEastAsia" w:hAnsiTheme="minorEastAsia" w:eastAsiaTheme="minorEastAsia" w:cstheme="minorEastAsia"/>
                <w:color w:val="auto"/>
                <w:kern w:val="0"/>
                <w:szCs w:val="21"/>
                <w:highlight w:val="none"/>
              </w:rPr>
              <w:t>需求</w:t>
            </w:r>
            <w:r>
              <w:rPr>
                <w:rFonts w:hint="eastAsia" w:asciiTheme="minorEastAsia" w:hAnsiTheme="minorEastAsia" w:eastAsiaTheme="minorEastAsia" w:cstheme="minorEastAsia"/>
                <w:color w:val="auto"/>
                <w:kern w:val="0"/>
                <w:szCs w:val="21"/>
                <w:highlight w:val="none"/>
                <w:lang w:val="en-US" w:eastAsia="zh-CN"/>
              </w:rPr>
              <w:t>的</w:t>
            </w:r>
            <w:r>
              <w:rPr>
                <w:rFonts w:hint="eastAsia" w:asciiTheme="minorEastAsia" w:hAnsiTheme="minorEastAsia" w:eastAsiaTheme="minorEastAsia" w:cstheme="minorEastAsia"/>
                <w:color w:val="auto"/>
                <w:kern w:val="0"/>
                <w:szCs w:val="21"/>
                <w:highlight w:val="none"/>
              </w:rPr>
              <w:t>得</w:t>
            </w:r>
            <w:r>
              <w:rPr>
                <w:rFonts w:hint="eastAsia" w:asciiTheme="minorEastAsia" w:hAnsiTheme="minorEastAsia" w:eastAsiaTheme="minorEastAsia" w:cstheme="minorEastAsia"/>
                <w:color w:val="auto"/>
                <w:kern w:val="0"/>
                <w:szCs w:val="21"/>
                <w:highlight w:val="none"/>
                <w:lang w:val="en-US" w:eastAsia="zh-CN"/>
              </w:rPr>
              <w:t>2.5</w:t>
            </w:r>
            <w:r>
              <w:rPr>
                <w:rFonts w:hint="eastAsia" w:asciiTheme="minorEastAsia" w:hAnsiTheme="minorEastAsia" w:eastAsiaTheme="minorEastAsia" w:cstheme="minorEastAsia"/>
                <w:color w:val="auto"/>
                <w:kern w:val="0"/>
                <w:szCs w:val="21"/>
                <w:highlight w:val="none"/>
              </w:rPr>
              <w:t>分</w:t>
            </w:r>
            <w:r>
              <w:rPr>
                <w:rFonts w:hint="eastAsia" w:asciiTheme="minorEastAsia" w:hAnsiTheme="minorEastAsia" w:eastAsiaTheme="minorEastAsia" w:cstheme="minorEastAsia"/>
                <w:color w:val="auto"/>
                <w:kern w:val="0"/>
                <w:szCs w:val="21"/>
                <w:highlight w:val="none"/>
                <w:lang w:eastAsia="zh-CN"/>
              </w:rPr>
              <w:t>，满分</w:t>
            </w:r>
            <w:r>
              <w:rPr>
                <w:rFonts w:hint="eastAsia" w:asciiTheme="minorEastAsia" w:hAnsiTheme="minorEastAsia" w:eastAsiaTheme="minorEastAsia" w:cstheme="minorEastAsia"/>
                <w:color w:val="auto"/>
                <w:kern w:val="0"/>
                <w:szCs w:val="21"/>
                <w:highlight w:val="none"/>
                <w:lang w:val="en-US" w:eastAsia="zh-CN"/>
              </w:rPr>
              <w:t>10分</w:t>
            </w:r>
            <w:r>
              <w:rPr>
                <w:rFonts w:hint="eastAsia" w:asciiTheme="minorEastAsia" w:hAnsiTheme="minorEastAsia" w:eastAsiaTheme="minorEastAsia" w:cstheme="minorEastAsia"/>
                <w:color w:val="auto"/>
                <w:kern w:val="0"/>
                <w:szCs w:val="21"/>
                <w:highlight w:val="none"/>
                <w:lang w:eastAsia="zh-CN"/>
              </w:rPr>
              <w:t>。</w:t>
            </w:r>
          </w:p>
        </w:tc>
      </w:tr>
      <w:tr w14:paraId="5277F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9" w:type="pct"/>
            <w:vMerge w:val="continue"/>
            <w:vAlign w:val="center"/>
          </w:tcPr>
          <w:p w14:paraId="4D9AD31D">
            <w:pPr>
              <w:widowControl/>
              <w:spacing w:line="400" w:lineRule="exact"/>
              <w:jc w:val="left"/>
              <w:rPr>
                <w:rFonts w:asciiTheme="minorEastAsia" w:hAnsiTheme="minorEastAsia" w:eastAsiaTheme="minorEastAsia" w:cstheme="minorEastAsia"/>
                <w:color w:val="auto"/>
                <w:kern w:val="0"/>
                <w:szCs w:val="21"/>
                <w:highlight w:val="none"/>
              </w:rPr>
            </w:pPr>
          </w:p>
        </w:tc>
        <w:tc>
          <w:tcPr>
            <w:tcW w:w="567" w:type="pct"/>
            <w:vMerge w:val="continue"/>
            <w:vAlign w:val="center"/>
          </w:tcPr>
          <w:p w14:paraId="247B15AD">
            <w:pPr>
              <w:widowControl/>
              <w:spacing w:line="400" w:lineRule="exact"/>
              <w:jc w:val="left"/>
              <w:rPr>
                <w:rFonts w:asciiTheme="minorEastAsia" w:hAnsiTheme="minorEastAsia" w:eastAsiaTheme="minorEastAsia" w:cstheme="minorEastAsia"/>
                <w:b/>
                <w:bCs/>
                <w:color w:val="auto"/>
                <w:kern w:val="0"/>
                <w:szCs w:val="21"/>
                <w:highlight w:val="none"/>
              </w:rPr>
            </w:pPr>
          </w:p>
        </w:tc>
        <w:tc>
          <w:tcPr>
            <w:tcW w:w="885" w:type="pct"/>
            <w:shd w:val="clear" w:color="auto" w:fill="auto"/>
            <w:vAlign w:val="center"/>
          </w:tcPr>
          <w:p w14:paraId="06B23A8C">
            <w:pPr>
              <w:widowControl/>
              <w:spacing w:line="400" w:lineRule="exact"/>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3.2运营管理分（满分24分）</w:t>
            </w:r>
          </w:p>
        </w:tc>
        <w:tc>
          <w:tcPr>
            <w:tcW w:w="3327" w:type="pct"/>
            <w:shd w:val="clear" w:color="auto" w:fill="auto"/>
            <w:vAlign w:val="center"/>
          </w:tcPr>
          <w:p w14:paraId="245210FF">
            <w:pPr>
              <w:widowControl/>
              <w:spacing w:line="400" w:lineRule="exact"/>
              <w:ind w:firstLine="420" w:firstLineChars="200"/>
              <w:jc w:val="lef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1</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运营管理</w:t>
            </w:r>
            <w:r>
              <w:rPr>
                <w:rFonts w:hint="eastAsia" w:asciiTheme="minorEastAsia" w:hAnsiTheme="minorEastAsia" w:eastAsiaTheme="minorEastAsia" w:cstheme="minorEastAsia"/>
                <w:color w:val="auto"/>
                <w:kern w:val="0"/>
                <w:szCs w:val="21"/>
                <w:highlight w:val="none"/>
                <w:lang w:eastAsia="zh-CN"/>
              </w:rPr>
              <w:t>方案分（</w:t>
            </w:r>
            <w:r>
              <w:rPr>
                <w:rFonts w:hint="eastAsia" w:asciiTheme="minorEastAsia" w:hAnsiTheme="minorEastAsia" w:eastAsiaTheme="minorEastAsia" w:cstheme="minorEastAsia"/>
                <w:color w:val="auto"/>
                <w:kern w:val="0"/>
                <w:szCs w:val="21"/>
                <w:highlight w:val="none"/>
                <w:lang w:val="en-US" w:eastAsia="zh-CN"/>
              </w:rPr>
              <w:t>6分</w:t>
            </w:r>
            <w:r>
              <w:rPr>
                <w:rFonts w:hint="eastAsia" w:asciiTheme="minorEastAsia" w:hAnsiTheme="minorEastAsia" w:eastAsiaTheme="minorEastAsia" w:cstheme="minorEastAsia"/>
                <w:color w:val="auto"/>
                <w:kern w:val="0"/>
                <w:szCs w:val="21"/>
                <w:highlight w:val="none"/>
                <w:lang w:eastAsia="zh-CN"/>
              </w:rPr>
              <w:t>）</w:t>
            </w:r>
          </w:p>
          <w:p w14:paraId="4DFC25DA">
            <w:pPr>
              <w:widowControl/>
              <w:spacing w:line="400" w:lineRule="exact"/>
              <w:ind w:firstLine="420" w:firstLineChars="200"/>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①投标人应具备健全的内部管理制度，包括但不限于财务制度、客户服务制度、理赔制度。运营管理方案，思路清晰。</w:t>
            </w:r>
          </w:p>
          <w:p w14:paraId="129856EF">
            <w:pPr>
              <w:widowControl/>
              <w:spacing w:line="400" w:lineRule="exact"/>
              <w:ind w:firstLine="420" w:firstLineChars="200"/>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②投标人应组建项目运营管理的专项团队，设立专人负责机制，建立支持项目的产品开发、信息技术、核保、核赔的专职人员队伍。</w:t>
            </w:r>
          </w:p>
          <w:p w14:paraId="75CE0CCB">
            <w:pPr>
              <w:widowControl/>
              <w:spacing w:line="400" w:lineRule="exact"/>
              <w:ind w:firstLine="420" w:firstLineChars="200"/>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eastAsia="zh-CN"/>
              </w:rPr>
              <w:t>③</w:t>
            </w:r>
            <w:r>
              <w:rPr>
                <w:rFonts w:hint="eastAsia" w:asciiTheme="minorEastAsia" w:hAnsiTheme="minorEastAsia" w:eastAsiaTheme="minorEastAsia" w:cstheme="minorEastAsia"/>
                <w:color w:val="auto"/>
                <w:kern w:val="0"/>
                <w:szCs w:val="21"/>
                <w:highlight w:val="none"/>
              </w:rPr>
              <w:t>投标人应定期提供有关项目赔案进度、赔款支出和各项费用的数据报表。</w:t>
            </w:r>
          </w:p>
          <w:p w14:paraId="790AD57E">
            <w:pPr>
              <w:widowControl/>
              <w:spacing w:line="400" w:lineRule="exact"/>
              <w:ind w:firstLine="420" w:firstLineChars="200"/>
              <w:jc w:val="lef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lang w:eastAsia="zh-CN"/>
              </w:rPr>
              <w:t>上述</w:t>
            </w:r>
            <w:r>
              <w:rPr>
                <w:rFonts w:hint="eastAsia" w:asciiTheme="minorEastAsia" w:hAnsiTheme="minorEastAsia" w:eastAsiaTheme="minorEastAsia" w:cstheme="minorEastAsia"/>
                <w:color w:val="auto"/>
                <w:kern w:val="0"/>
                <w:szCs w:val="21"/>
                <w:highlight w:val="none"/>
              </w:rPr>
              <w:t>①</w:t>
            </w:r>
            <w:r>
              <w:rPr>
                <w:rFonts w:hint="eastAsia" w:asciiTheme="minorEastAsia" w:hAnsiTheme="minorEastAsia" w:eastAsiaTheme="minorEastAsia" w:cstheme="minorEastAsia"/>
                <w:color w:val="auto"/>
                <w:kern w:val="0"/>
                <w:szCs w:val="21"/>
                <w:highlight w:val="none"/>
                <w:lang w:eastAsia="zh-CN"/>
              </w:rPr>
              <w:t>～③项，</w:t>
            </w:r>
            <w:r>
              <w:rPr>
                <w:rFonts w:hint="eastAsia" w:asciiTheme="minorEastAsia" w:hAnsiTheme="minorEastAsia" w:eastAsiaTheme="minorEastAsia" w:cstheme="minorEastAsia"/>
                <w:color w:val="auto"/>
                <w:kern w:val="0"/>
                <w:szCs w:val="21"/>
                <w:highlight w:val="none"/>
              </w:rPr>
              <w:t>每有一</w:t>
            </w:r>
            <w:r>
              <w:rPr>
                <w:rFonts w:hint="eastAsia" w:asciiTheme="minorEastAsia" w:hAnsiTheme="minorEastAsia" w:eastAsiaTheme="minorEastAsia" w:cstheme="minorEastAsia"/>
                <w:color w:val="auto"/>
                <w:kern w:val="0"/>
                <w:szCs w:val="21"/>
                <w:highlight w:val="none"/>
                <w:lang w:eastAsia="zh-CN"/>
              </w:rPr>
              <w:t>项</w:t>
            </w:r>
            <w:r>
              <w:rPr>
                <w:rFonts w:hint="eastAsia" w:asciiTheme="minorEastAsia" w:hAnsiTheme="minorEastAsia" w:eastAsiaTheme="minorEastAsia" w:cstheme="minorEastAsia"/>
                <w:color w:val="auto"/>
                <w:kern w:val="0"/>
                <w:szCs w:val="21"/>
                <w:highlight w:val="none"/>
              </w:rPr>
              <w:t>完全符合</w:t>
            </w:r>
            <w:r>
              <w:rPr>
                <w:rFonts w:hint="eastAsia" w:asciiTheme="minorEastAsia" w:hAnsiTheme="minorEastAsia" w:eastAsiaTheme="minorEastAsia" w:cstheme="minorEastAsia"/>
                <w:color w:val="auto"/>
                <w:kern w:val="0"/>
                <w:szCs w:val="21"/>
                <w:highlight w:val="none"/>
                <w:lang w:eastAsia="zh-CN"/>
              </w:rPr>
              <w:t>本</w:t>
            </w:r>
            <w:r>
              <w:rPr>
                <w:rFonts w:hint="eastAsia" w:asciiTheme="minorEastAsia" w:hAnsiTheme="minorEastAsia" w:eastAsiaTheme="minorEastAsia" w:cstheme="minorEastAsia"/>
                <w:color w:val="auto"/>
                <w:kern w:val="0"/>
                <w:szCs w:val="21"/>
                <w:highlight w:val="none"/>
              </w:rPr>
              <w:t>项目特点及要求的，得2分，满分6分</w:t>
            </w:r>
            <w:r>
              <w:rPr>
                <w:rFonts w:hint="eastAsia" w:asciiTheme="minorEastAsia" w:hAnsiTheme="minorEastAsia" w:eastAsiaTheme="minorEastAsia" w:cstheme="minorEastAsia"/>
                <w:color w:val="auto"/>
                <w:kern w:val="0"/>
                <w:szCs w:val="21"/>
                <w:highlight w:val="none"/>
                <w:lang w:eastAsia="zh-CN"/>
              </w:rPr>
              <w:t>。</w:t>
            </w:r>
          </w:p>
          <w:p w14:paraId="6B3C65B5">
            <w:pPr>
              <w:widowControl/>
              <w:spacing w:line="400" w:lineRule="exact"/>
              <w:ind w:firstLine="420" w:firstLineChars="200"/>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rPr>
              <w:t>）其中专项团队要求（10分）</w:t>
            </w:r>
          </w:p>
          <w:p w14:paraId="6755EC8E">
            <w:pPr>
              <w:widowControl/>
              <w:spacing w:line="400" w:lineRule="exact"/>
              <w:ind w:firstLine="420" w:firstLineChars="200"/>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①配置不少于10人的专项团队，每增加1人得1分，最高不超过5分。</w:t>
            </w:r>
          </w:p>
          <w:p w14:paraId="77FA476A">
            <w:pPr>
              <w:widowControl/>
              <w:spacing w:line="400" w:lineRule="exact"/>
              <w:ind w:firstLine="420" w:firstLineChars="200"/>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②专项团队成员具有中级及以上与本项目相关专业（金融、保险、经济）职称的，每有1人得1分，最高不超过5分。</w:t>
            </w:r>
          </w:p>
          <w:p w14:paraId="47CB3B09">
            <w:pPr>
              <w:widowControl/>
              <w:spacing w:line="400" w:lineRule="exact"/>
              <w:ind w:firstLine="420" w:firstLineChars="200"/>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val="en-US" w:eastAsia="zh-CN"/>
              </w:rPr>
              <w:t>3</w:t>
            </w:r>
            <w:r>
              <w:rPr>
                <w:rFonts w:hint="eastAsia" w:asciiTheme="minorEastAsia" w:hAnsiTheme="minorEastAsia" w:eastAsiaTheme="minorEastAsia" w:cstheme="minorEastAsia"/>
                <w:color w:val="auto"/>
                <w:kern w:val="0"/>
                <w:szCs w:val="21"/>
                <w:highlight w:val="none"/>
              </w:rPr>
              <w:t>）服务团队分（不含专项团队人员）（8分）</w:t>
            </w:r>
          </w:p>
          <w:p w14:paraId="55931478">
            <w:pPr>
              <w:widowControl/>
              <w:spacing w:line="40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投标人在项目实施地</w:t>
            </w:r>
            <w:r>
              <w:rPr>
                <w:rFonts w:hint="eastAsia" w:asciiTheme="minorEastAsia" w:hAnsiTheme="minorEastAsia" w:eastAsiaTheme="minorEastAsia" w:cstheme="minorEastAsia"/>
                <w:color w:val="auto"/>
                <w:kern w:val="0"/>
                <w:szCs w:val="21"/>
                <w:highlight w:val="none"/>
                <w:lang w:val="en-US" w:eastAsia="zh-CN"/>
              </w:rPr>
              <w:t>具</w:t>
            </w:r>
            <w:r>
              <w:rPr>
                <w:rFonts w:hint="eastAsia" w:asciiTheme="minorEastAsia" w:hAnsiTheme="minorEastAsia" w:eastAsiaTheme="minorEastAsia" w:cstheme="minorEastAsia"/>
                <w:color w:val="auto"/>
                <w:kern w:val="0"/>
                <w:szCs w:val="21"/>
                <w:highlight w:val="none"/>
              </w:rPr>
              <w:t>有</w:t>
            </w:r>
            <w:r>
              <w:rPr>
                <w:rFonts w:hint="eastAsia" w:asciiTheme="minorEastAsia" w:hAnsiTheme="minorEastAsia" w:eastAsiaTheme="minorEastAsia" w:cstheme="minorEastAsia"/>
                <w:color w:val="auto"/>
                <w:kern w:val="0"/>
                <w:szCs w:val="21"/>
                <w:highlight w:val="none"/>
                <w:lang w:val="en-US" w:eastAsia="zh-CN"/>
              </w:rPr>
              <w:t>设区</w:t>
            </w:r>
            <w:r>
              <w:rPr>
                <w:rFonts w:hint="eastAsia" w:asciiTheme="minorEastAsia" w:hAnsiTheme="minorEastAsia" w:eastAsiaTheme="minorEastAsia" w:cstheme="minorEastAsia"/>
                <w:color w:val="auto"/>
                <w:kern w:val="0"/>
                <w:szCs w:val="21"/>
                <w:highlight w:val="none"/>
              </w:rPr>
              <w:t>市级服务团队</w:t>
            </w:r>
            <w:r>
              <w:rPr>
                <w:rFonts w:hint="eastAsia"/>
                <w:color w:val="auto"/>
                <w:highlight w:val="none"/>
                <w:lang w:eastAsia="zh-CN"/>
              </w:rPr>
              <w:t>或</w:t>
            </w:r>
            <w:r>
              <w:rPr>
                <w:rFonts w:hint="eastAsia" w:asciiTheme="minorEastAsia" w:hAnsiTheme="minorEastAsia" w:eastAsiaTheme="minorEastAsia" w:cstheme="minorEastAsia"/>
                <w:color w:val="auto"/>
                <w:szCs w:val="21"/>
                <w:highlight w:val="none"/>
                <w:lang w:val="en-US" w:eastAsia="zh-CN"/>
              </w:rPr>
              <w:t>承诺中标后</w:t>
            </w:r>
            <w:r>
              <w:rPr>
                <w:rFonts w:hint="eastAsia" w:asciiTheme="minorEastAsia" w:hAnsiTheme="minorEastAsia" w:eastAsiaTheme="minorEastAsia" w:cstheme="minorEastAsia"/>
                <w:color w:val="auto"/>
                <w:szCs w:val="21"/>
                <w:highlight w:val="none"/>
              </w:rPr>
              <w:t>在广西壮族自治区各</w:t>
            </w:r>
            <w:r>
              <w:rPr>
                <w:rFonts w:hint="eastAsia" w:asciiTheme="minorEastAsia" w:hAnsiTheme="minorEastAsia" w:eastAsiaTheme="minorEastAsia" w:cstheme="minorEastAsia"/>
                <w:color w:val="auto"/>
                <w:szCs w:val="21"/>
                <w:highlight w:val="none"/>
                <w:lang w:val="en-US" w:eastAsia="zh-CN"/>
              </w:rPr>
              <w:t>设区</w:t>
            </w:r>
            <w:r>
              <w:rPr>
                <w:rFonts w:hint="eastAsia" w:asciiTheme="minorEastAsia" w:hAnsiTheme="minorEastAsia" w:eastAsiaTheme="minorEastAsia" w:cstheme="minorEastAsia"/>
                <w:color w:val="auto"/>
                <w:szCs w:val="21"/>
                <w:highlight w:val="none"/>
              </w:rPr>
              <w:t>市本级</w:t>
            </w:r>
            <w:r>
              <w:rPr>
                <w:rFonts w:hint="eastAsia" w:asciiTheme="minorEastAsia" w:hAnsiTheme="minorEastAsia" w:eastAsiaTheme="minorEastAsia" w:cstheme="minorEastAsia"/>
                <w:color w:val="auto"/>
                <w:szCs w:val="21"/>
                <w:highlight w:val="none"/>
                <w:lang w:val="en-US" w:eastAsia="zh-CN"/>
              </w:rPr>
              <w:t>设立</w:t>
            </w:r>
            <w:r>
              <w:rPr>
                <w:rFonts w:hint="eastAsia" w:asciiTheme="minorEastAsia" w:hAnsiTheme="minorEastAsia" w:eastAsiaTheme="minorEastAsia" w:cstheme="minorEastAsia"/>
                <w:color w:val="auto"/>
                <w:szCs w:val="21"/>
                <w:highlight w:val="none"/>
              </w:rPr>
              <w:t>服务团队</w:t>
            </w:r>
            <w:r>
              <w:rPr>
                <w:rFonts w:hint="eastAsia" w:asciiTheme="minorEastAsia" w:hAnsiTheme="minorEastAsia" w:eastAsiaTheme="minorEastAsia" w:cstheme="minorEastAsia"/>
                <w:color w:val="auto"/>
                <w:kern w:val="0"/>
                <w:szCs w:val="21"/>
                <w:highlight w:val="none"/>
              </w:rPr>
              <w:t>（在投标文件中提供《保险许可证》复印件）：</w:t>
            </w:r>
          </w:p>
          <w:p w14:paraId="62A35215">
            <w:pPr>
              <w:widowControl/>
              <w:spacing w:line="40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eastAsia="zh-CN"/>
              </w:rPr>
              <w:t>①</w:t>
            </w:r>
            <w:r>
              <w:rPr>
                <w:rFonts w:hint="eastAsia" w:asciiTheme="minorEastAsia" w:hAnsiTheme="minorEastAsia" w:eastAsiaTheme="minorEastAsia" w:cstheme="minorEastAsia"/>
                <w:color w:val="auto"/>
                <w:kern w:val="0"/>
                <w:szCs w:val="21"/>
                <w:highlight w:val="none"/>
              </w:rPr>
              <w:t>服务团队总数1-5个</w:t>
            </w:r>
            <w:r>
              <w:rPr>
                <w:rFonts w:hint="eastAsia" w:asciiTheme="minorEastAsia" w:hAnsiTheme="minorEastAsia" w:eastAsiaTheme="minorEastAsia" w:cstheme="minorEastAsia"/>
                <w:color w:val="auto"/>
                <w:kern w:val="0"/>
                <w:szCs w:val="21"/>
                <w:highlight w:val="none"/>
                <w:lang w:eastAsia="zh-CN"/>
              </w:rPr>
              <w:t>的，</w:t>
            </w:r>
            <w:r>
              <w:rPr>
                <w:rFonts w:hint="eastAsia" w:asciiTheme="minorEastAsia" w:hAnsiTheme="minorEastAsia" w:eastAsiaTheme="minorEastAsia" w:cstheme="minorEastAsia"/>
                <w:color w:val="auto"/>
                <w:kern w:val="0"/>
                <w:szCs w:val="21"/>
                <w:highlight w:val="none"/>
              </w:rPr>
              <w:t>得2分；</w:t>
            </w:r>
          </w:p>
          <w:p w14:paraId="5BCC965D">
            <w:pPr>
              <w:widowControl/>
              <w:spacing w:line="40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eastAsia="zh-CN"/>
              </w:rPr>
              <w:t>②</w:t>
            </w:r>
            <w:r>
              <w:rPr>
                <w:rFonts w:hint="eastAsia" w:asciiTheme="minorEastAsia" w:hAnsiTheme="minorEastAsia" w:eastAsiaTheme="minorEastAsia" w:cstheme="minorEastAsia"/>
                <w:color w:val="auto"/>
                <w:kern w:val="0"/>
                <w:szCs w:val="21"/>
                <w:highlight w:val="none"/>
              </w:rPr>
              <w:t>服务团队总数6-8个</w:t>
            </w:r>
            <w:r>
              <w:rPr>
                <w:rFonts w:hint="eastAsia" w:asciiTheme="minorEastAsia" w:hAnsiTheme="minorEastAsia" w:eastAsiaTheme="minorEastAsia" w:cstheme="minorEastAsia"/>
                <w:color w:val="auto"/>
                <w:kern w:val="0"/>
                <w:szCs w:val="21"/>
                <w:highlight w:val="none"/>
                <w:lang w:eastAsia="zh-CN"/>
              </w:rPr>
              <w:t>的，</w:t>
            </w:r>
            <w:r>
              <w:rPr>
                <w:rFonts w:hint="eastAsia" w:asciiTheme="minorEastAsia" w:hAnsiTheme="minorEastAsia" w:eastAsiaTheme="minorEastAsia" w:cstheme="minorEastAsia"/>
                <w:color w:val="auto"/>
                <w:kern w:val="0"/>
                <w:szCs w:val="21"/>
                <w:highlight w:val="none"/>
              </w:rPr>
              <w:t>得4分；</w:t>
            </w:r>
          </w:p>
          <w:p w14:paraId="46C2FC1E">
            <w:pPr>
              <w:widowControl/>
              <w:spacing w:line="40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eastAsia="zh-CN"/>
              </w:rPr>
              <w:t>③</w:t>
            </w:r>
            <w:r>
              <w:rPr>
                <w:rFonts w:hint="eastAsia" w:asciiTheme="minorEastAsia" w:hAnsiTheme="minorEastAsia" w:eastAsiaTheme="minorEastAsia" w:cstheme="minorEastAsia"/>
                <w:color w:val="auto"/>
                <w:kern w:val="0"/>
                <w:szCs w:val="21"/>
                <w:highlight w:val="none"/>
              </w:rPr>
              <w:t>服务团队总数9-13个</w:t>
            </w:r>
            <w:r>
              <w:rPr>
                <w:rFonts w:hint="eastAsia" w:asciiTheme="minorEastAsia" w:hAnsiTheme="minorEastAsia" w:eastAsiaTheme="minorEastAsia" w:cstheme="minorEastAsia"/>
                <w:color w:val="auto"/>
                <w:kern w:val="0"/>
                <w:szCs w:val="21"/>
                <w:highlight w:val="none"/>
                <w:lang w:eastAsia="zh-CN"/>
              </w:rPr>
              <w:t>的，</w:t>
            </w:r>
            <w:r>
              <w:rPr>
                <w:rFonts w:hint="eastAsia" w:asciiTheme="minorEastAsia" w:hAnsiTheme="minorEastAsia" w:eastAsiaTheme="minorEastAsia" w:cstheme="minorEastAsia"/>
                <w:color w:val="auto"/>
                <w:kern w:val="0"/>
                <w:szCs w:val="21"/>
                <w:highlight w:val="none"/>
              </w:rPr>
              <w:t>得6分；</w:t>
            </w:r>
          </w:p>
          <w:p w14:paraId="363C5105">
            <w:pPr>
              <w:widowControl/>
              <w:spacing w:line="40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eastAsia="zh-CN"/>
              </w:rPr>
              <w:t>④</w:t>
            </w:r>
            <w:r>
              <w:rPr>
                <w:rFonts w:hint="eastAsia" w:asciiTheme="minorEastAsia" w:hAnsiTheme="minorEastAsia" w:eastAsiaTheme="minorEastAsia" w:cstheme="minorEastAsia"/>
                <w:color w:val="auto"/>
                <w:kern w:val="0"/>
                <w:szCs w:val="21"/>
                <w:highlight w:val="none"/>
              </w:rPr>
              <w:t>服务团队总数达到14个及以上</w:t>
            </w:r>
            <w:r>
              <w:rPr>
                <w:rFonts w:hint="eastAsia" w:asciiTheme="minorEastAsia" w:hAnsiTheme="minorEastAsia" w:eastAsiaTheme="minorEastAsia" w:cstheme="minorEastAsia"/>
                <w:color w:val="auto"/>
                <w:kern w:val="0"/>
                <w:szCs w:val="21"/>
                <w:highlight w:val="none"/>
                <w:lang w:eastAsia="zh-CN"/>
              </w:rPr>
              <w:t>的，</w:t>
            </w:r>
            <w:r>
              <w:rPr>
                <w:rFonts w:hint="eastAsia" w:asciiTheme="minorEastAsia" w:hAnsiTheme="minorEastAsia" w:eastAsiaTheme="minorEastAsia" w:cstheme="minorEastAsia"/>
                <w:color w:val="auto"/>
                <w:kern w:val="0"/>
                <w:szCs w:val="21"/>
                <w:highlight w:val="none"/>
              </w:rPr>
              <w:t>得8分；</w:t>
            </w:r>
          </w:p>
          <w:p w14:paraId="69F13CB8">
            <w:pPr>
              <w:widowControl/>
              <w:spacing w:line="400" w:lineRule="exact"/>
              <w:ind w:firstLine="420" w:firstLineChars="200"/>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eastAsia="zh-CN"/>
              </w:rPr>
              <w:t>⑤</w:t>
            </w:r>
            <w:r>
              <w:rPr>
                <w:rFonts w:hint="eastAsia" w:asciiTheme="minorEastAsia" w:hAnsiTheme="minorEastAsia" w:eastAsiaTheme="minorEastAsia" w:cstheme="minorEastAsia"/>
                <w:color w:val="auto"/>
                <w:kern w:val="0"/>
                <w:szCs w:val="21"/>
                <w:highlight w:val="none"/>
              </w:rPr>
              <w:t>同一地级市有2个或以上服务团队的仅能认定为1个团队。其他情况不得分。</w:t>
            </w:r>
          </w:p>
          <w:p w14:paraId="14379BC8">
            <w:pPr>
              <w:widowControl/>
              <w:spacing w:line="400" w:lineRule="exact"/>
              <w:ind w:firstLine="420" w:firstLineChars="200"/>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注：服务团队成员应为投标人在职员工。（在投标文件中提供相关证明材料复印件）</w:t>
            </w:r>
          </w:p>
        </w:tc>
      </w:tr>
      <w:tr w14:paraId="7C7D8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9" w:type="pct"/>
            <w:vMerge w:val="continue"/>
            <w:vAlign w:val="center"/>
          </w:tcPr>
          <w:p w14:paraId="0904FF99">
            <w:pPr>
              <w:widowControl/>
              <w:spacing w:line="400" w:lineRule="exact"/>
              <w:jc w:val="left"/>
              <w:rPr>
                <w:rFonts w:asciiTheme="minorEastAsia" w:hAnsiTheme="minorEastAsia" w:eastAsiaTheme="minorEastAsia" w:cstheme="minorEastAsia"/>
                <w:color w:val="auto"/>
                <w:kern w:val="0"/>
                <w:szCs w:val="21"/>
                <w:highlight w:val="none"/>
              </w:rPr>
            </w:pPr>
          </w:p>
        </w:tc>
        <w:tc>
          <w:tcPr>
            <w:tcW w:w="567" w:type="pct"/>
            <w:vMerge w:val="continue"/>
            <w:vAlign w:val="center"/>
          </w:tcPr>
          <w:p w14:paraId="0902E030">
            <w:pPr>
              <w:widowControl/>
              <w:spacing w:line="400" w:lineRule="exact"/>
              <w:jc w:val="left"/>
              <w:rPr>
                <w:rFonts w:asciiTheme="minorEastAsia" w:hAnsiTheme="minorEastAsia" w:eastAsiaTheme="minorEastAsia" w:cstheme="minorEastAsia"/>
                <w:b/>
                <w:bCs/>
                <w:color w:val="auto"/>
                <w:kern w:val="0"/>
                <w:szCs w:val="21"/>
                <w:highlight w:val="none"/>
              </w:rPr>
            </w:pPr>
          </w:p>
        </w:tc>
        <w:tc>
          <w:tcPr>
            <w:tcW w:w="885" w:type="pct"/>
            <w:shd w:val="clear" w:color="auto" w:fill="auto"/>
            <w:vAlign w:val="center"/>
          </w:tcPr>
          <w:p w14:paraId="7D5F7D90">
            <w:pPr>
              <w:widowControl/>
              <w:spacing w:line="400" w:lineRule="exact"/>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3.3理赔服务措施分（满分2</w:t>
            </w:r>
            <w:r>
              <w:rPr>
                <w:rFonts w:hint="eastAsia" w:asciiTheme="minorEastAsia" w:hAnsiTheme="minorEastAsia" w:eastAsia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rPr>
              <w:t>分）</w:t>
            </w:r>
          </w:p>
        </w:tc>
        <w:tc>
          <w:tcPr>
            <w:tcW w:w="3327" w:type="pct"/>
            <w:shd w:val="clear" w:color="auto" w:fill="auto"/>
            <w:vAlign w:val="center"/>
          </w:tcPr>
          <w:p w14:paraId="680448AA">
            <w:pPr>
              <w:widowControl/>
              <w:numPr>
                <w:ilvl w:val="0"/>
                <w:numId w:val="0"/>
              </w:numPr>
              <w:spacing w:line="40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SA"/>
              </w:rPr>
              <w:t>（1）</w:t>
            </w:r>
            <w:r>
              <w:rPr>
                <w:rFonts w:hint="eastAsia" w:asciiTheme="minorEastAsia" w:hAnsiTheme="minorEastAsia" w:eastAsiaTheme="minorEastAsia" w:cstheme="minorEastAsia"/>
                <w:color w:val="auto"/>
                <w:kern w:val="0"/>
                <w:szCs w:val="21"/>
                <w:highlight w:val="none"/>
              </w:rPr>
              <w:t>基础理赔服务分（6分）：</w:t>
            </w:r>
          </w:p>
          <w:p w14:paraId="1993F2B2">
            <w:pPr>
              <w:widowControl/>
              <w:numPr>
                <w:ilvl w:val="0"/>
                <w:numId w:val="0"/>
              </w:numPr>
              <w:spacing w:line="40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eastAsia="zh-CN"/>
              </w:rPr>
              <w:t>①</w:t>
            </w:r>
            <w:r>
              <w:rPr>
                <w:rFonts w:hint="eastAsia" w:asciiTheme="minorEastAsia" w:hAnsiTheme="minorEastAsia" w:eastAsiaTheme="minorEastAsia" w:cstheme="minorEastAsia"/>
                <w:color w:val="auto"/>
                <w:kern w:val="0"/>
                <w:szCs w:val="21"/>
                <w:highlight w:val="none"/>
                <w:lang w:val="en-US" w:eastAsia="zh-CN"/>
              </w:rPr>
              <w:t>投标人</w:t>
            </w:r>
            <w:r>
              <w:rPr>
                <w:rFonts w:hint="eastAsia" w:asciiTheme="minorEastAsia" w:hAnsiTheme="minorEastAsia" w:eastAsiaTheme="minorEastAsia" w:cstheme="minorEastAsia"/>
                <w:color w:val="auto"/>
                <w:kern w:val="0"/>
                <w:szCs w:val="21"/>
                <w:highlight w:val="none"/>
              </w:rPr>
              <w:t>在满足采购基本要求的前提下，收到被保险人提交齐全有效的理赔资料后，</w:t>
            </w:r>
            <w:r>
              <w:rPr>
                <w:rFonts w:hint="eastAsia" w:asciiTheme="minorEastAsia" w:hAnsiTheme="minorEastAsia" w:eastAsiaTheme="minorEastAsia" w:cstheme="minorEastAsia"/>
                <w:color w:val="auto"/>
                <w:kern w:val="0"/>
                <w:szCs w:val="21"/>
                <w:highlight w:val="none"/>
                <w:lang w:val="en-US" w:eastAsia="zh-CN"/>
              </w:rPr>
              <w:t>承诺在20个工作日内办结理赔手续的</w:t>
            </w:r>
            <w:r>
              <w:rPr>
                <w:rFonts w:hint="eastAsia" w:asciiTheme="minorEastAsia" w:hAnsiTheme="minorEastAsia" w:eastAsiaTheme="minorEastAsia" w:cstheme="minorEastAsia"/>
                <w:color w:val="auto"/>
                <w:kern w:val="0"/>
                <w:szCs w:val="21"/>
                <w:highlight w:val="none"/>
              </w:rPr>
              <w:t>，得2分；</w:t>
            </w:r>
          </w:p>
          <w:p w14:paraId="637A1047">
            <w:pPr>
              <w:widowControl/>
              <w:numPr>
                <w:ilvl w:val="0"/>
                <w:numId w:val="0"/>
              </w:numPr>
              <w:spacing w:line="40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eastAsia="zh-CN"/>
              </w:rPr>
              <w:t>②</w:t>
            </w:r>
            <w:r>
              <w:rPr>
                <w:rFonts w:hint="eastAsia" w:asciiTheme="minorEastAsia" w:hAnsiTheme="minorEastAsia" w:eastAsiaTheme="minorEastAsia" w:cstheme="minorEastAsia"/>
                <w:color w:val="auto"/>
                <w:kern w:val="0"/>
                <w:szCs w:val="21"/>
                <w:highlight w:val="none"/>
              </w:rPr>
              <w:t>理赔程序规范，</w:t>
            </w:r>
            <w:r>
              <w:rPr>
                <w:rFonts w:hint="eastAsia" w:asciiTheme="minorEastAsia" w:hAnsiTheme="minorEastAsia" w:eastAsiaTheme="minorEastAsia" w:cstheme="minorEastAsia"/>
                <w:color w:val="auto"/>
                <w:kern w:val="0"/>
                <w:szCs w:val="21"/>
                <w:highlight w:val="none"/>
                <w:lang w:eastAsia="zh-CN"/>
              </w:rPr>
              <w:t>承诺在</w:t>
            </w:r>
            <w:r>
              <w:rPr>
                <w:rFonts w:hint="eastAsia" w:asciiTheme="minorEastAsia" w:hAnsiTheme="minorEastAsia" w:eastAsiaTheme="minorEastAsia" w:cstheme="minorEastAsia"/>
                <w:color w:val="auto"/>
                <w:kern w:val="0"/>
                <w:szCs w:val="21"/>
                <w:highlight w:val="none"/>
                <w:lang w:val="en-US" w:eastAsia="zh-CN"/>
              </w:rPr>
              <w:t>18个工作日内办结理赔手续的</w:t>
            </w:r>
            <w:r>
              <w:rPr>
                <w:rFonts w:hint="eastAsia" w:asciiTheme="minorEastAsia" w:hAnsiTheme="minorEastAsia" w:eastAsiaTheme="minorEastAsia" w:cstheme="minorEastAsia"/>
                <w:color w:val="auto"/>
                <w:kern w:val="0"/>
                <w:szCs w:val="21"/>
                <w:highlight w:val="none"/>
              </w:rPr>
              <w:t>，得4分；</w:t>
            </w:r>
          </w:p>
          <w:p w14:paraId="5E966F93">
            <w:pPr>
              <w:widowControl/>
              <w:numPr>
                <w:ilvl w:val="0"/>
                <w:numId w:val="0"/>
              </w:numPr>
              <w:spacing w:line="40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eastAsia="zh-CN"/>
              </w:rPr>
              <w:t>③</w:t>
            </w:r>
            <w:r>
              <w:rPr>
                <w:rFonts w:hint="eastAsia" w:asciiTheme="minorEastAsia" w:hAnsiTheme="minorEastAsia" w:eastAsiaTheme="minorEastAsia" w:cstheme="minorEastAsia"/>
                <w:color w:val="auto"/>
                <w:kern w:val="0"/>
                <w:szCs w:val="21"/>
                <w:highlight w:val="none"/>
              </w:rPr>
              <w:t>理赔程序规范，</w:t>
            </w:r>
            <w:r>
              <w:rPr>
                <w:rFonts w:hint="eastAsia" w:asciiTheme="minorEastAsia" w:hAnsiTheme="minorEastAsia" w:eastAsiaTheme="minorEastAsia" w:cstheme="minorEastAsia"/>
                <w:color w:val="auto"/>
                <w:kern w:val="0"/>
                <w:szCs w:val="21"/>
                <w:highlight w:val="none"/>
                <w:lang w:eastAsia="zh-CN"/>
              </w:rPr>
              <w:t>承诺在</w:t>
            </w:r>
            <w:r>
              <w:rPr>
                <w:rFonts w:hint="eastAsia" w:asciiTheme="minorEastAsia" w:hAnsiTheme="minorEastAsia" w:eastAsiaTheme="minorEastAsia" w:cstheme="minorEastAsia"/>
                <w:color w:val="auto"/>
                <w:kern w:val="0"/>
                <w:szCs w:val="21"/>
                <w:highlight w:val="none"/>
                <w:lang w:val="en-US" w:eastAsia="zh-CN"/>
              </w:rPr>
              <w:t>15个工作日内办结理赔手续</w:t>
            </w: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eastAsia="zh-CN"/>
              </w:rPr>
              <w:t>并</w:t>
            </w:r>
            <w:r>
              <w:rPr>
                <w:rFonts w:hint="eastAsia" w:asciiTheme="minorEastAsia" w:hAnsiTheme="minorEastAsia" w:eastAsiaTheme="minorEastAsia" w:cstheme="minorEastAsia"/>
                <w:color w:val="auto"/>
                <w:kern w:val="0"/>
                <w:szCs w:val="21"/>
                <w:highlight w:val="none"/>
              </w:rPr>
              <w:t>对可能出现的问题能提供有效的解决方案的，得6分；</w:t>
            </w:r>
          </w:p>
          <w:p w14:paraId="18E9FC49">
            <w:pPr>
              <w:widowControl/>
              <w:numPr>
                <w:ilvl w:val="0"/>
                <w:numId w:val="0"/>
              </w:numPr>
              <w:spacing w:line="400" w:lineRule="exact"/>
              <w:ind w:firstLine="420" w:firstLineChars="200"/>
              <w:jc w:val="left"/>
              <w:rPr>
                <w:color w:val="auto"/>
                <w:highlight w:val="none"/>
              </w:rPr>
            </w:pPr>
            <w:r>
              <w:rPr>
                <w:rFonts w:hint="default" w:asciiTheme="minorEastAsia" w:hAnsiTheme="minorEastAsia" w:eastAsiaTheme="minorEastAsia" w:cstheme="minorEastAsia"/>
                <w:color w:val="auto"/>
                <w:kern w:val="0"/>
                <w:sz w:val="21"/>
                <w:szCs w:val="21"/>
                <w:highlight w:val="none"/>
                <w:lang w:val="en-US" w:eastAsia="zh-CN" w:bidi="ar-SA"/>
              </w:rPr>
              <w:t>④</w:t>
            </w:r>
            <w:r>
              <w:rPr>
                <w:rFonts w:hint="eastAsia" w:asciiTheme="minorEastAsia" w:hAnsiTheme="minorEastAsia" w:eastAsiaTheme="minorEastAsia" w:cstheme="minorEastAsia"/>
                <w:color w:val="auto"/>
                <w:kern w:val="0"/>
                <w:sz w:val="21"/>
                <w:szCs w:val="21"/>
                <w:highlight w:val="none"/>
                <w:lang w:val="en-US" w:eastAsia="zh-CN" w:bidi="ar-SA"/>
              </w:rPr>
              <w:t>若不提供基础理赔服务承诺书</w:t>
            </w:r>
            <w:r>
              <w:rPr>
                <w:rFonts w:hint="eastAsia" w:asciiTheme="minorEastAsia" w:hAnsiTheme="minorEastAsia" w:eastAsiaTheme="minorEastAsia" w:cstheme="minorEastAsia"/>
                <w:color w:val="auto"/>
                <w:kern w:val="0"/>
                <w:szCs w:val="21"/>
                <w:highlight w:val="none"/>
              </w:rPr>
              <w:t>，得0分。</w:t>
            </w:r>
          </w:p>
          <w:p w14:paraId="53E45F3B">
            <w:pPr>
              <w:widowControl/>
              <w:numPr>
                <w:ilvl w:val="0"/>
                <w:numId w:val="0"/>
              </w:numPr>
              <w:spacing w:line="400" w:lineRule="exact"/>
              <w:ind w:left="0" w:leftChars="0" w:firstLine="420" w:firstLineChars="200"/>
              <w:jc w:val="left"/>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bidi="ar-SA"/>
              </w:rPr>
              <w:t>（2）</w:t>
            </w:r>
            <w:r>
              <w:rPr>
                <w:rFonts w:hint="eastAsia" w:asciiTheme="minorEastAsia" w:hAnsiTheme="minorEastAsia" w:eastAsiaTheme="minorEastAsia" w:cstheme="minorEastAsia"/>
                <w:color w:val="auto"/>
                <w:kern w:val="0"/>
                <w:szCs w:val="21"/>
                <w:highlight w:val="none"/>
              </w:rPr>
              <w:t>报案受理和查勘定损方案</w:t>
            </w:r>
            <w:r>
              <w:rPr>
                <w:rFonts w:hint="eastAsia" w:asciiTheme="minorEastAsia" w:hAnsiTheme="minorEastAsia" w:eastAsiaTheme="minorEastAsia" w:cstheme="minorEastAsia"/>
                <w:color w:val="auto"/>
                <w:kern w:val="0"/>
                <w:szCs w:val="21"/>
                <w:highlight w:val="none"/>
                <w:lang w:val="en-US" w:eastAsia="zh-CN"/>
              </w:rPr>
              <w:t>分（5分）：</w:t>
            </w:r>
          </w:p>
          <w:p w14:paraId="78223A0C">
            <w:pPr>
              <w:widowControl/>
              <w:numPr>
                <w:ilvl w:val="0"/>
                <w:numId w:val="0"/>
              </w:numPr>
              <w:spacing w:line="40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eastAsia="zh-CN"/>
              </w:rPr>
              <w:t>①</w:t>
            </w:r>
            <w:r>
              <w:rPr>
                <w:rFonts w:hint="eastAsia" w:asciiTheme="minorEastAsia" w:hAnsiTheme="minorEastAsia" w:eastAsiaTheme="minorEastAsia" w:cstheme="minorEastAsia"/>
                <w:color w:val="auto"/>
                <w:kern w:val="0"/>
                <w:szCs w:val="21"/>
                <w:highlight w:val="none"/>
              </w:rPr>
              <w:t>思路清晰，</w:t>
            </w:r>
            <w:r>
              <w:rPr>
                <w:rFonts w:hint="eastAsia" w:asciiTheme="minorEastAsia" w:hAnsiTheme="minorEastAsia" w:eastAsiaTheme="minorEastAsia" w:cstheme="minorEastAsia"/>
                <w:color w:val="auto"/>
                <w:kern w:val="0"/>
                <w:szCs w:val="21"/>
                <w:highlight w:val="none"/>
                <w:lang w:eastAsia="zh-CN"/>
              </w:rPr>
              <w:t>流程简便快捷，</w:t>
            </w:r>
            <w:r>
              <w:rPr>
                <w:rFonts w:hint="eastAsia" w:ascii="宋体" w:hAnsi="宋体"/>
                <w:color w:val="auto"/>
                <w:highlight w:val="none"/>
              </w:rPr>
              <w:t>可实现线下以及多渠道线上自助</w:t>
            </w:r>
            <w:r>
              <w:rPr>
                <w:rFonts w:hint="eastAsia" w:ascii="宋体" w:hAnsi="宋体"/>
                <w:color w:val="auto"/>
                <w:highlight w:val="none"/>
                <w:lang w:eastAsia="zh-CN"/>
              </w:rPr>
              <w:t>报案，可查受理进度</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完全符合项目特点及要求</w:t>
            </w:r>
            <w:r>
              <w:rPr>
                <w:rFonts w:hint="eastAsia" w:ascii="宋体" w:hAnsi="宋体"/>
                <w:color w:val="auto"/>
                <w:highlight w:val="none"/>
                <w:lang w:eastAsia="zh-CN"/>
              </w:rPr>
              <w:t>，</w:t>
            </w:r>
            <w:r>
              <w:rPr>
                <w:rFonts w:hint="eastAsia" w:asciiTheme="minorEastAsia" w:hAnsiTheme="minorEastAsia" w:eastAsiaTheme="minorEastAsia" w:cstheme="minorEastAsia"/>
                <w:color w:val="auto"/>
                <w:kern w:val="0"/>
                <w:szCs w:val="21"/>
                <w:highlight w:val="none"/>
              </w:rPr>
              <w:t>得5分；</w:t>
            </w:r>
          </w:p>
          <w:p w14:paraId="4398CABE">
            <w:pPr>
              <w:widowControl/>
              <w:numPr>
                <w:ilvl w:val="0"/>
                <w:numId w:val="0"/>
              </w:numPr>
              <w:spacing w:line="40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eastAsia="zh-CN"/>
              </w:rPr>
              <w:t>②</w:t>
            </w:r>
            <w:r>
              <w:rPr>
                <w:rFonts w:hint="eastAsia" w:asciiTheme="minorEastAsia" w:hAnsiTheme="minorEastAsia" w:eastAsiaTheme="minorEastAsia" w:cstheme="minorEastAsia"/>
                <w:color w:val="auto"/>
                <w:kern w:val="0"/>
                <w:szCs w:val="21"/>
                <w:highlight w:val="none"/>
              </w:rPr>
              <w:t>流程</w:t>
            </w:r>
            <w:r>
              <w:rPr>
                <w:rFonts w:hint="eastAsia" w:asciiTheme="minorEastAsia" w:hAnsiTheme="minorEastAsia" w:eastAsiaTheme="minorEastAsia" w:cstheme="minorEastAsia"/>
                <w:color w:val="auto"/>
                <w:kern w:val="0"/>
                <w:szCs w:val="21"/>
                <w:highlight w:val="none"/>
                <w:lang w:eastAsia="zh-CN"/>
              </w:rPr>
              <w:t>繁琐且复杂</w:t>
            </w:r>
            <w:r>
              <w:rPr>
                <w:rFonts w:hint="eastAsia" w:asciiTheme="minorEastAsia" w:hAnsiTheme="minorEastAsia" w:eastAsiaTheme="minorEastAsia" w:cstheme="minorEastAsia"/>
                <w:color w:val="auto"/>
                <w:kern w:val="0"/>
                <w:szCs w:val="21"/>
                <w:highlight w:val="none"/>
              </w:rPr>
              <w:t>，采用以提交纸质材料为主的线下</w:t>
            </w:r>
            <w:r>
              <w:rPr>
                <w:rFonts w:hint="eastAsia" w:asciiTheme="minorEastAsia" w:hAnsiTheme="minorEastAsia" w:eastAsiaTheme="minorEastAsia" w:cstheme="minorEastAsia"/>
                <w:color w:val="auto"/>
                <w:kern w:val="0"/>
                <w:szCs w:val="21"/>
                <w:highlight w:val="none"/>
                <w:lang w:eastAsia="zh-CN"/>
              </w:rPr>
              <w:t>报案</w:t>
            </w:r>
            <w:r>
              <w:rPr>
                <w:rFonts w:hint="eastAsia" w:asciiTheme="minorEastAsia" w:hAnsiTheme="minorEastAsia" w:eastAsiaTheme="minorEastAsia" w:cstheme="minorEastAsia"/>
                <w:color w:val="auto"/>
                <w:kern w:val="0"/>
                <w:szCs w:val="21"/>
                <w:highlight w:val="none"/>
              </w:rPr>
              <w:t>模式，得</w:t>
            </w:r>
            <w:r>
              <w:rPr>
                <w:rFonts w:hint="eastAsia" w:asciiTheme="minorEastAsia" w:hAnsiTheme="minorEastAsia" w:eastAsia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rPr>
              <w:t>分；</w:t>
            </w:r>
          </w:p>
          <w:p w14:paraId="61D5DF09">
            <w:pPr>
              <w:widowControl/>
              <w:numPr>
                <w:ilvl w:val="0"/>
                <w:numId w:val="0"/>
              </w:numPr>
              <w:spacing w:line="400" w:lineRule="exact"/>
              <w:ind w:firstLine="420" w:firstLineChars="200"/>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eastAsia="zh-CN"/>
              </w:rPr>
              <w:t>③</w:t>
            </w:r>
            <w:r>
              <w:rPr>
                <w:rFonts w:hint="eastAsia" w:asciiTheme="minorEastAsia" w:hAnsiTheme="minorEastAsia" w:eastAsiaTheme="minorEastAsia" w:cstheme="minorEastAsia"/>
                <w:color w:val="auto"/>
                <w:kern w:val="0"/>
                <w:sz w:val="21"/>
                <w:szCs w:val="21"/>
                <w:highlight w:val="none"/>
                <w:lang w:val="en-US" w:eastAsia="zh-CN" w:bidi="ar-SA"/>
              </w:rPr>
              <w:t>若不</w:t>
            </w:r>
            <w:r>
              <w:rPr>
                <w:rFonts w:hint="eastAsia" w:asciiTheme="minorEastAsia" w:hAnsiTheme="minorEastAsia" w:eastAsiaTheme="minorEastAsia" w:cstheme="minorEastAsia"/>
                <w:color w:val="auto"/>
                <w:kern w:val="0"/>
                <w:szCs w:val="21"/>
                <w:highlight w:val="none"/>
                <w:lang w:val="en-US" w:eastAsia="zh-CN"/>
              </w:rPr>
              <w:t>提供</w:t>
            </w:r>
            <w:r>
              <w:rPr>
                <w:rFonts w:hint="eastAsia" w:asciiTheme="minorEastAsia" w:hAnsiTheme="minorEastAsia" w:eastAsiaTheme="minorEastAsia" w:cstheme="minorEastAsia"/>
                <w:color w:val="auto"/>
                <w:kern w:val="0"/>
                <w:szCs w:val="21"/>
                <w:highlight w:val="none"/>
              </w:rPr>
              <w:t>报案受理和查勘定损方案，得0分。</w:t>
            </w:r>
          </w:p>
          <w:p w14:paraId="5D0A8CD0">
            <w:pPr>
              <w:widowControl/>
              <w:numPr>
                <w:ilvl w:val="0"/>
                <w:numId w:val="0"/>
              </w:numPr>
              <w:spacing w:line="400" w:lineRule="exact"/>
              <w:ind w:left="0" w:leftChars="0" w:firstLine="420" w:firstLineChars="200"/>
              <w:jc w:val="lef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 w:val="21"/>
                <w:szCs w:val="21"/>
                <w:highlight w:val="none"/>
                <w:lang w:val="en-US" w:eastAsia="zh-CN" w:bidi="ar-SA"/>
              </w:rPr>
              <w:t>（3）</w:t>
            </w:r>
            <w:r>
              <w:rPr>
                <w:rFonts w:hint="eastAsia" w:asciiTheme="minorEastAsia" w:hAnsiTheme="minorEastAsia" w:eastAsiaTheme="minorEastAsia" w:cstheme="minorEastAsia"/>
                <w:color w:val="auto"/>
                <w:kern w:val="0"/>
                <w:szCs w:val="21"/>
                <w:highlight w:val="none"/>
              </w:rPr>
              <w:t>追溯案件处理方案</w:t>
            </w:r>
            <w:r>
              <w:rPr>
                <w:rFonts w:hint="eastAsia" w:asciiTheme="minorEastAsia" w:hAnsiTheme="minorEastAsia" w:eastAsiaTheme="minorEastAsia" w:cstheme="minorEastAsia"/>
                <w:color w:val="auto"/>
                <w:kern w:val="0"/>
                <w:szCs w:val="21"/>
                <w:highlight w:val="none"/>
                <w:lang w:eastAsia="zh-CN"/>
              </w:rPr>
              <w:t>分（</w:t>
            </w:r>
            <w:r>
              <w:rPr>
                <w:rFonts w:hint="eastAsia" w:asciiTheme="minorEastAsia" w:hAnsiTheme="minorEastAsia" w:eastAsiaTheme="minorEastAsia" w:cstheme="minorEastAsia"/>
                <w:color w:val="auto"/>
                <w:kern w:val="0"/>
                <w:szCs w:val="21"/>
                <w:highlight w:val="none"/>
                <w:lang w:val="en-US" w:eastAsia="zh-CN"/>
              </w:rPr>
              <w:t>5分</w:t>
            </w:r>
            <w:r>
              <w:rPr>
                <w:rFonts w:hint="eastAsia" w:asciiTheme="minorEastAsia" w:hAnsiTheme="minorEastAsia" w:eastAsiaTheme="minorEastAsia" w:cstheme="minorEastAsia"/>
                <w:color w:val="auto"/>
                <w:kern w:val="0"/>
                <w:szCs w:val="21"/>
                <w:highlight w:val="none"/>
                <w:lang w:eastAsia="zh-CN"/>
              </w:rPr>
              <w:t>）：</w:t>
            </w:r>
          </w:p>
          <w:p w14:paraId="7311A967">
            <w:pPr>
              <w:widowControl/>
              <w:numPr>
                <w:ilvl w:val="0"/>
                <w:numId w:val="0"/>
              </w:numPr>
              <w:spacing w:line="40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eastAsia="zh-CN"/>
              </w:rPr>
              <w:t>①</w:t>
            </w:r>
            <w:r>
              <w:rPr>
                <w:rFonts w:hint="eastAsia" w:asciiTheme="minorEastAsia" w:hAnsiTheme="minorEastAsia" w:eastAsiaTheme="minorEastAsia" w:cstheme="minorEastAsia"/>
                <w:color w:val="auto"/>
                <w:kern w:val="0"/>
                <w:szCs w:val="21"/>
                <w:highlight w:val="none"/>
              </w:rPr>
              <w:t>思路清晰，事实追溯全面、准确，无遗漏或错误</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法律适用无误，程序合规，处理效果显著</w:t>
            </w:r>
            <w:r>
              <w:rPr>
                <w:rFonts w:hint="eastAsia" w:asciiTheme="minorEastAsia" w:hAnsiTheme="minorEastAsia" w:eastAsiaTheme="minorEastAsia" w:cstheme="minorEastAsia"/>
                <w:color w:val="auto"/>
                <w:kern w:val="0"/>
                <w:szCs w:val="21"/>
                <w:highlight w:val="none"/>
                <w:lang w:eastAsia="zh-CN"/>
              </w:rPr>
              <w:t>的</w:t>
            </w:r>
            <w:r>
              <w:rPr>
                <w:rFonts w:hint="eastAsia" w:asciiTheme="minorEastAsia" w:hAnsiTheme="minorEastAsia" w:eastAsiaTheme="minorEastAsia" w:cstheme="minorEastAsia"/>
                <w:color w:val="auto"/>
                <w:kern w:val="0"/>
                <w:szCs w:val="21"/>
                <w:highlight w:val="none"/>
              </w:rPr>
              <w:t>，得5分：</w:t>
            </w:r>
          </w:p>
          <w:p w14:paraId="571E0E3E">
            <w:pPr>
              <w:widowControl/>
              <w:numPr>
                <w:ilvl w:val="0"/>
                <w:numId w:val="0"/>
              </w:numPr>
              <w:spacing w:line="40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eastAsia="zh-CN"/>
              </w:rPr>
              <w:t>②</w:t>
            </w:r>
            <w:r>
              <w:rPr>
                <w:rFonts w:hint="eastAsia" w:asciiTheme="minorEastAsia" w:hAnsiTheme="minorEastAsia" w:eastAsiaTheme="minorEastAsia" w:cstheme="minorEastAsia"/>
                <w:color w:val="auto"/>
                <w:kern w:val="0"/>
                <w:szCs w:val="21"/>
                <w:highlight w:val="none"/>
              </w:rPr>
              <w:t>事实追溯存在明显遗漏或错误，但不影响</w:t>
            </w:r>
            <w:r>
              <w:rPr>
                <w:rFonts w:hint="eastAsia" w:asciiTheme="minorEastAsia" w:hAnsiTheme="minorEastAsia" w:eastAsiaTheme="minorEastAsia" w:cstheme="minorEastAsia"/>
                <w:color w:val="auto"/>
                <w:kern w:val="0"/>
                <w:szCs w:val="21"/>
                <w:highlight w:val="none"/>
                <w:lang w:eastAsia="zh-CN"/>
              </w:rPr>
              <w:t>案件</w:t>
            </w:r>
            <w:r>
              <w:rPr>
                <w:rFonts w:hint="eastAsia" w:asciiTheme="minorEastAsia" w:hAnsiTheme="minorEastAsia" w:eastAsiaTheme="minorEastAsia" w:cstheme="minorEastAsia"/>
                <w:color w:val="auto"/>
                <w:kern w:val="0"/>
                <w:szCs w:val="21"/>
                <w:highlight w:val="none"/>
              </w:rPr>
              <w:t>整体判断</w:t>
            </w:r>
            <w:r>
              <w:rPr>
                <w:rFonts w:hint="eastAsia" w:asciiTheme="minorEastAsia" w:hAnsiTheme="minorEastAsia" w:eastAsiaTheme="minorEastAsia" w:cstheme="minorEastAsia"/>
                <w:color w:val="auto"/>
                <w:kern w:val="0"/>
                <w:szCs w:val="21"/>
                <w:highlight w:val="none"/>
                <w:lang w:eastAsia="zh-CN"/>
              </w:rPr>
              <w:t>，处理效率或效果等方面存在明显不足，需要进一步完善和改进</w:t>
            </w: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eastAsia="zh-CN"/>
              </w:rPr>
              <w:t>仅满足招标文件要求的，</w:t>
            </w:r>
            <w:r>
              <w:rPr>
                <w:rFonts w:hint="eastAsia" w:asciiTheme="minorEastAsia" w:hAnsiTheme="minorEastAsia" w:eastAsiaTheme="minorEastAsia" w:cstheme="minorEastAsia"/>
                <w:color w:val="auto"/>
                <w:kern w:val="0"/>
                <w:szCs w:val="21"/>
                <w:highlight w:val="none"/>
              </w:rPr>
              <w:t>得</w:t>
            </w:r>
            <w:r>
              <w:rPr>
                <w:rFonts w:hint="eastAsia" w:asciiTheme="minorEastAsia" w:hAnsiTheme="minorEastAsia" w:eastAsia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rPr>
              <w:t>分；</w:t>
            </w:r>
          </w:p>
          <w:p w14:paraId="73847B21">
            <w:pPr>
              <w:widowControl/>
              <w:numPr>
                <w:ilvl w:val="0"/>
                <w:numId w:val="0"/>
              </w:numPr>
              <w:spacing w:line="400" w:lineRule="exact"/>
              <w:ind w:firstLine="420" w:firstLineChars="200"/>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eastAsia="zh-CN"/>
              </w:rPr>
              <w:t>③</w:t>
            </w:r>
            <w:r>
              <w:rPr>
                <w:rFonts w:hint="eastAsia" w:asciiTheme="minorEastAsia" w:hAnsiTheme="minorEastAsia" w:eastAsiaTheme="minorEastAsia" w:cstheme="minorEastAsia"/>
                <w:color w:val="auto"/>
                <w:kern w:val="0"/>
                <w:sz w:val="21"/>
                <w:szCs w:val="21"/>
                <w:highlight w:val="none"/>
                <w:lang w:val="en-US" w:eastAsia="zh-CN" w:bidi="ar-SA"/>
              </w:rPr>
              <w:t>若不</w:t>
            </w:r>
            <w:r>
              <w:rPr>
                <w:rFonts w:hint="eastAsia" w:asciiTheme="minorEastAsia" w:hAnsiTheme="minorEastAsia" w:eastAsiaTheme="minorEastAsia" w:cstheme="minorEastAsia"/>
                <w:color w:val="auto"/>
                <w:kern w:val="0"/>
                <w:szCs w:val="21"/>
                <w:highlight w:val="none"/>
                <w:lang w:val="en-US" w:eastAsia="zh-CN"/>
              </w:rPr>
              <w:t>提供</w:t>
            </w:r>
            <w:r>
              <w:rPr>
                <w:rFonts w:hint="eastAsia" w:asciiTheme="minorEastAsia" w:hAnsiTheme="minorEastAsia" w:eastAsiaTheme="minorEastAsia" w:cstheme="minorEastAsia"/>
                <w:color w:val="auto"/>
                <w:kern w:val="0"/>
                <w:sz w:val="21"/>
                <w:szCs w:val="21"/>
                <w:highlight w:val="none"/>
                <w:lang w:val="en-US" w:eastAsia="zh-CN" w:bidi="ar-SA"/>
              </w:rPr>
              <w:t>追溯案件处理方案，</w:t>
            </w:r>
            <w:r>
              <w:rPr>
                <w:rFonts w:hint="eastAsia" w:asciiTheme="minorEastAsia" w:hAnsiTheme="minorEastAsia" w:eastAsiaTheme="minorEastAsia" w:cstheme="minorEastAsia"/>
                <w:color w:val="auto"/>
                <w:kern w:val="0"/>
                <w:szCs w:val="21"/>
                <w:highlight w:val="none"/>
              </w:rPr>
              <w:t>得0分。</w:t>
            </w:r>
          </w:p>
          <w:p w14:paraId="1B95ADAF">
            <w:pPr>
              <w:widowControl/>
              <w:numPr>
                <w:ilvl w:val="0"/>
                <w:numId w:val="0"/>
              </w:numPr>
              <w:spacing w:line="400" w:lineRule="exact"/>
              <w:ind w:firstLine="420" w:firstLineChars="200"/>
              <w:jc w:val="left"/>
              <w:rPr>
                <w:color w:val="auto"/>
                <w:highlight w:val="none"/>
              </w:rPr>
            </w:pPr>
            <w:r>
              <w:rPr>
                <w:rFonts w:hint="eastAsia" w:ascii="宋体" w:hAnsi="宋体" w:eastAsia="宋体" w:cs="宋体"/>
                <w:color w:val="auto"/>
                <w:kern w:val="2"/>
                <w:sz w:val="21"/>
                <w:szCs w:val="24"/>
                <w:highlight w:val="none"/>
                <w:lang w:val="en-US" w:eastAsia="zh-CN" w:bidi="ar-SA"/>
              </w:rPr>
              <w:t>（4）</w:t>
            </w:r>
            <w:r>
              <w:rPr>
                <w:rFonts w:hint="eastAsia" w:asciiTheme="minorEastAsia" w:hAnsiTheme="minorEastAsia" w:eastAsiaTheme="minorEastAsia" w:cstheme="minorEastAsia"/>
                <w:color w:val="auto"/>
                <w:kern w:val="0"/>
                <w:szCs w:val="21"/>
                <w:highlight w:val="none"/>
              </w:rPr>
              <w:t>增值服务方案分（</w:t>
            </w:r>
            <w:r>
              <w:rPr>
                <w:rFonts w:hint="eastAsia" w:asciiTheme="minorEastAsia" w:hAnsiTheme="minorEastAsia" w:eastAsiaTheme="minorEastAsia" w:cstheme="minorEastAsia"/>
                <w:color w:val="auto"/>
                <w:kern w:val="0"/>
                <w:szCs w:val="21"/>
                <w:highlight w:val="none"/>
                <w:lang w:val="en-US" w:eastAsia="zh-CN"/>
              </w:rPr>
              <w:t>6</w:t>
            </w:r>
            <w:r>
              <w:rPr>
                <w:rFonts w:hint="eastAsia" w:asciiTheme="minorEastAsia" w:hAnsiTheme="minorEastAsia" w:eastAsiaTheme="minorEastAsia" w:cstheme="minorEastAsia"/>
                <w:color w:val="auto"/>
                <w:kern w:val="0"/>
                <w:szCs w:val="21"/>
                <w:highlight w:val="none"/>
              </w:rPr>
              <w:t>分）：</w:t>
            </w:r>
            <w:r>
              <w:rPr>
                <w:rFonts w:hint="eastAsia" w:asciiTheme="minorEastAsia" w:hAnsiTheme="minorEastAsia" w:eastAsiaTheme="minorEastAsia" w:cstheme="minorEastAsia"/>
                <w:color w:val="auto"/>
                <w:kern w:val="0"/>
                <w:szCs w:val="21"/>
                <w:highlight w:val="none"/>
                <w:lang w:eastAsia="zh-CN"/>
              </w:rPr>
              <w:t>针对</w:t>
            </w:r>
            <w:r>
              <w:rPr>
                <w:rFonts w:hint="eastAsia" w:asciiTheme="minorEastAsia" w:hAnsiTheme="minorEastAsia" w:eastAsiaTheme="minorEastAsia" w:cstheme="minorEastAsia"/>
                <w:color w:val="auto"/>
                <w:kern w:val="0"/>
                <w:szCs w:val="21"/>
                <w:highlight w:val="none"/>
              </w:rPr>
              <w:t>理赔项目、索赔时效年限或售后服务等方面</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每</w:t>
            </w:r>
            <w:r>
              <w:rPr>
                <w:rFonts w:hint="eastAsia" w:asciiTheme="minorEastAsia" w:hAnsiTheme="minorEastAsia" w:eastAsiaTheme="minorEastAsia" w:cstheme="minorEastAsia"/>
                <w:color w:val="auto"/>
                <w:kern w:val="0"/>
                <w:szCs w:val="21"/>
                <w:highlight w:val="none"/>
                <w:lang w:eastAsia="zh-CN"/>
              </w:rPr>
              <w:t>提供</w:t>
            </w:r>
            <w:r>
              <w:rPr>
                <w:rFonts w:hint="eastAsia" w:asciiTheme="minorEastAsia" w:hAnsiTheme="minorEastAsia" w:eastAsiaTheme="minorEastAsia" w:cstheme="minorEastAsia"/>
                <w:color w:val="auto"/>
                <w:kern w:val="0"/>
                <w:szCs w:val="21"/>
                <w:highlight w:val="none"/>
              </w:rPr>
              <w:t>1项增值服务</w:t>
            </w:r>
            <w:r>
              <w:rPr>
                <w:rFonts w:hint="eastAsia" w:asciiTheme="minorEastAsia" w:hAnsiTheme="minorEastAsia" w:eastAsiaTheme="minorEastAsia" w:cstheme="minorEastAsia"/>
                <w:color w:val="auto"/>
                <w:kern w:val="0"/>
                <w:szCs w:val="21"/>
                <w:highlight w:val="none"/>
                <w:lang w:eastAsia="zh-CN"/>
              </w:rPr>
              <w:t>内容（</w:t>
            </w:r>
            <w:r>
              <w:rPr>
                <w:rFonts w:hint="eastAsia" w:asciiTheme="minorEastAsia" w:hAnsiTheme="minorEastAsia" w:eastAsiaTheme="minorEastAsia" w:cstheme="minorEastAsia"/>
                <w:color w:val="auto"/>
                <w:kern w:val="0"/>
                <w:szCs w:val="21"/>
                <w:highlight w:val="none"/>
                <w:lang w:val="en-US" w:eastAsia="zh-CN"/>
              </w:rPr>
              <w:t>包括但不限于：延长身故、残疾距离保险事故发生时间、提高住院医疗现金补贴、增加重症监护津贴保险金、附加身故抚恤与事后处理保险条款等</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被评标委员会认可</w:t>
            </w:r>
            <w:r>
              <w:rPr>
                <w:rFonts w:hint="eastAsia" w:asciiTheme="minorEastAsia" w:hAnsiTheme="minorEastAsia" w:eastAsiaTheme="minorEastAsia" w:cstheme="minorEastAsia"/>
                <w:color w:val="auto"/>
                <w:kern w:val="0"/>
                <w:szCs w:val="21"/>
                <w:highlight w:val="none"/>
                <w:lang w:val="en-US" w:eastAsia="zh-CN"/>
              </w:rPr>
              <w:t>且对本项目实施有实质性提升的</w:t>
            </w:r>
            <w:r>
              <w:rPr>
                <w:rFonts w:hint="eastAsia" w:asciiTheme="minorEastAsia" w:hAnsiTheme="minorEastAsia" w:eastAsiaTheme="minorEastAsia" w:cstheme="minorEastAsia"/>
                <w:color w:val="auto"/>
                <w:kern w:val="0"/>
                <w:szCs w:val="21"/>
                <w:highlight w:val="none"/>
              </w:rPr>
              <w:t>，得</w:t>
            </w:r>
            <w:r>
              <w:rPr>
                <w:rFonts w:hint="eastAsia" w:asciiTheme="minorEastAsia" w:hAnsiTheme="minorEastAsia" w:eastAsiaTheme="minorEastAsia" w:cstheme="minorEastAsia"/>
                <w:color w:val="auto"/>
                <w:kern w:val="0"/>
                <w:szCs w:val="21"/>
                <w:highlight w:val="none"/>
                <w:lang w:val="en-US" w:eastAsia="zh-CN"/>
              </w:rPr>
              <w:t>1</w:t>
            </w:r>
            <w:r>
              <w:rPr>
                <w:rFonts w:hint="eastAsia" w:asciiTheme="minorEastAsia" w:hAnsiTheme="minorEastAsia" w:eastAsiaTheme="minorEastAsia" w:cstheme="minorEastAsia"/>
                <w:color w:val="auto"/>
                <w:kern w:val="0"/>
                <w:szCs w:val="21"/>
                <w:highlight w:val="none"/>
              </w:rPr>
              <w:t>分，</w:t>
            </w:r>
            <w:r>
              <w:rPr>
                <w:rFonts w:hint="eastAsia" w:asciiTheme="minorEastAsia" w:hAnsiTheme="minorEastAsia" w:eastAsiaTheme="minorEastAsia" w:cstheme="minorEastAsia"/>
                <w:color w:val="auto"/>
                <w:kern w:val="0"/>
                <w:szCs w:val="21"/>
                <w:highlight w:val="none"/>
                <w:lang w:eastAsia="zh-CN"/>
              </w:rPr>
              <w:t>本项目</w:t>
            </w:r>
            <w:r>
              <w:rPr>
                <w:rFonts w:hint="eastAsia" w:asciiTheme="minorEastAsia" w:hAnsiTheme="minorEastAsia" w:eastAsiaTheme="minorEastAsia" w:cstheme="minorEastAsia"/>
                <w:color w:val="auto"/>
                <w:kern w:val="0"/>
                <w:szCs w:val="21"/>
                <w:highlight w:val="none"/>
              </w:rPr>
              <w:t>满分</w:t>
            </w:r>
            <w:r>
              <w:rPr>
                <w:rFonts w:hint="eastAsia" w:asciiTheme="minorEastAsia" w:hAnsiTheme="minorEastAsia" w:eastAsiaTheme="minorEastAsia" w:cstheme="minorEastAsia"/>
                <w:color w:val="auto"/>
                <w:kern w:val="0"/>
                <w:szCs w:val="21"/>
                <w:highlight w:val="none"/>
                <w:lang w:val="en-US" w:eastAsia="zh-CN"/>
              </w:rPr>
              <w:t>6</w:t>
            </w:r>
            <w:r>
              <w:rPr>
                <w:rFonts w:hint="eastAsia" w:asciiTheme="minorEastAsia" w:hAnsiTheme="minorEastAsia" w:eastAsiaTheme="minorEastAsia" w:cstheme="minorEastAsia"/>
                <w:color w:val="auto"/>
                <w:kern w:val="0"/>
                <w:szCs w:val="21"/>
                <w:highlight w:val="none"/>
              </w:rPr>
              <w:t>分。</w:t>
            </w:r>
          </w:p>
        </w:tc>
      </w:tr>
      <w:tr w14:paraId="7775F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9" w:type="pct"/>
            <w:vMerge w:val="continue"/>
            <w:vAlign w:val="center"/>
          </w:tcPr>
          <w:p w14:paraId="7E0AA78F">
            <w:pPr>
              <w:widowControl/>
              <w:spacing w:line="400" w:lineRule="exact"/>
              <w:jc w:val="left"/>
              <w:rPr>
                <w:rFonts w:asciiTheme="minorEastAsia" w:hAnsiTheme="minorEastAsia" w:eastAsiaTheme="minorEastAsia" w:cstheme="minorEastAsia"/>
                <w:color w:val="auto"/>
                <w:kern w:val="0"/>
                <w:szCs w:val="21"/>
                <w:highlight w:val="none"/>
              </w:rPr>
            </w:pPr>
          </w:p>
        </w:tc>
        <w:tc>
          <w:tcPr>
            <w:tcW w:w="567" w:type="pct"/>
            <w:vMerge w:val="continue"/>
            <w:vAlign w:val="center"/>
          </w:tcPr>
          <w:p w14:paraId="14D04981">
            <w:pPr>
              <w:widowControl/>
              <w:spacing w:line="400" w:lineRule="exact"/>
              <w:jc w:val="left"/>
              <w:rPr>
                <w:rFonts w:asciiTheme="minorEastAsia" w:hAnsiTheme="minorEastAsia" w:eastAsiaTheme="minorEastAsia" w:cstheme="minorEastAsia"/>
                <w:b/>
                <w:bCs/>
                <w:color w:val="auto"/>
                <w:kern w:val="0"/>
                <w:szCs w:val="21"/>
                <w:highlight w:val="none"/>
              </w:rPr>
            </w:pPr>
          </w:p>
        </w:tc>
        <w:tc>
          <w:tcPr>
            <w:tcW w:w="885" w:type="pct"/>
            <w:shd w:val="clear" w:color="auto" w:fill="auto"/>
            <w:vAlign w:val="center"/>
          </w:tcPr>
          <w:p w14:paraId="250631E6">
            <w:pPr>
              <w:widowControl/>
              <w:spacing w:line="400" w:lineRule="exact"/>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3.4</w:t>
            </w:r>
            <w:r>
              <w:rPr>
                <w:rFonts w:hint="eastAsia" w:asciiTheme="minorEastAsia" w:hAnsiTheme="minorEastAsia" w:eastAsiaTheme="minorEastAsia" w:cstheme="minorEastAsia"/>
                <w:color w:val="auto"/>
                <w:kern w:val="0"/>
                <w:szCs w:val="21"/>
                <w:highlight w:val="none"/>
                <w:lang w:val="en-US" w:eastAsia="zh-CN"/>
              </w:rPr>
              <w:t>见义勇为宣传</w:t>
            </w:r>
            <w:r>
              <w:rPr>
                <w:rFonts w:hint="eastAsia" w:asciiTheme="minorEastAsia" w:hAnsiTheme="minorEastAsia" w:eastAsiaTheme="minorEastAsia" w:cstheme="minorEastAsia"/>
                <w:color w:val="auto"/>
                <w:kern w:val="0"/>
                <w:szCs w:val="21"/>
                <w:highlight w:val="none"/>
              </w:rPr>
              <w:t>（满分</w:t>
            </w:r>
            <w:r>
              <w:rPr>
                <w:rFonts w:hint="eastAsia" w:asciiTheme="minorEastAsia" w:hAnsiTheme="minorEastAsia" w:eastAsiaTheme="minorEastAsia" w:cstheme="minorEastAsia"/>
                <w:color w:val="auto"/>
                <w:kern w:val="0"/>
                <w:szCs w:val="21"/>
                <w:highlight w:val="none"/>
                <w:lang w:val="en-US" w:eastAsia="zh-CN"/>
              </w:rPr>
              <w:t>7</w:t>
            </w:r>
            <w:r>
              <w:rPr>
                <w:rFonts w:hint="eastAsia" w:asciiTheme="minorEastAsia" w:hAnsiTheme="minorEastAsia" w:eastAsiaTheme="minorEastAsia" w:cstheme="minorEastAsia"/>
                <w:color w:val="auto"/>
                <w:kern w:val="0"/>
                <w:szCs w:val="21"/>
                <w:highlight w:val="none"/>
              </w:rPr>
              <w:t>分）</w:t>
            </w:r>
          </w:p>
        </w:tc>
        <w:tc>
          <w:tcPr>
            <w:tcW w:w="3327" w:type="pct"/>
            <w:shd w:val="clear" w:color="auto" w:fill="auto"/>
            <w:vAlign w:val="center"/>
          </w:tcPr>
          <w:p w14:paraId="0A993604">
            <w:pPr>
              <w:widowControl/>
              <w:spacing w:line="40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eastAsia="zh-CN"/>
              </w:rPr>
              <w:t>①</w:t>
            </w:r>
            <w:r>
              <w:rPr>
                <w:rFonts w:hint="eastAsia" w:asciiTheme="minorEastAsia" w:hAnsiTheme="minorEastAsia" w:eastAsiaTheme="minorEastAsia" w:cstheme="minorEastAsia"/>
                <w:color w:val="auto"/>
                <w:kern w:val="0"/>
                <w:szCs w:val="21"/>
                <w:highlight w:val="none"/>
                <w:lang w:val="en-US" w:eastAsia="zh-CN"/>
              </w:rPr>
              <w:t>见义勇为宣传</w:t>
            </w:r>
            <w:r>
              <w:rPr>
                <w:rFonts w:hint="eastAsia" w:asciiTheme="minorEastAsia" w:hAnsiTheme="minorEastAsia" w:eastAsiaTheme="minorEastAsia" w:cstheme="minorEastAsia"/>
                <w:color w:val="auto"/>
                <w:kern w:val="0"/>
                <w:szCs w:val="21"/>
                <w:highlight w:val="none"/>
              </w:rPr>
              <w:t>方案思路清晰，</w:t>
            </w:r>
            <w:r>
              <w:rPr>
                <w:rFonts w:hint="eastAsia"/>
                <w:color w:val="auto"/>
                <w:highlight w:val="none"/>
              </w:rPr>
              <w:t>丰富服务提供形式，拓宽服务渠道，加强互联网新媒体运用，通过文字、图片、视频等形式在官网、APP、微信等平台</w:t>
            </w:r>
            <w:r>
              <w:rPr>
                <w:rFonts w:hint="eastAsia"/>
                <w:color w:val="auto"/>
                <w:highlight w:val="none"/>
                <w:lang w:val="en-US" w:eastAsia="zh-CN"/>
              </w:rPr>
              <w:t>开展见义勇为宣传</w:t>
            </w:r>
            <w:r>
              <w:rPr>
                <w:rFonts w:hint="eastAsia" w:asciiTheme="minorEastAsia" w:hAnsiTheme="minorEastAsia" w:eastAsiaTheme="minorEastAsia" w:cstheme="minorEastAsia"/>
                <w:color w:val="auto"/>
                <w:kern w:val="0"/>
                <w:szCs w:val="21"/>
                <w:highlight w:val="none"/>
              </w:rPr>
              <w:t>，得</w:t>
            </w:r>
            <w:r>
              <w:rPr>
                <w:rFonts w:hint="eastAsia" w:asciiTheme="minorEastAsia" w:hAnsiTheme="minorEastAsia" w:eastAsia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rPr>
              <w:t>分；</w:t>
            </w:r>
          </w:p>
          <w:p w14:paraId="0F863FAF">
            <w:pPr>
              <w:widowControl/>
              <w:spacing w:line="400" w:lineRule="exact"/>
              <w:ind w:firstLine="420" w:firstLineChars="200"/>
              <w:jc w:val="left"/>
              <w:rPr>
                <w:rFonts w:hint="eastAsia" w:asciiTheme="minorEastAsia" w:hAnsiTheme="minorEastAsia" w:eastAsiaTheme="minorEastAsia" w:cstheme="minorEastAsia"/>
                <w:color w:val="auto"/>
                <w:kern w:val="0"/>
                <w:szCs w:val="21"/>
                <w:highlight w:val="none"/>
                <w:lang w:val="en-US" w:eastAsia="zh-CN"/>
              </w:rPr>
            </w:pPr>
            <w:bookmarkStart w:id="311" w:name="_Hlk142598426"/>
            <w:r>
              <w:rPr>
                <w:rFonts w:hint="eastAsia" w:asciiTheme="minorEastAsia" w:hAnsiTheme="minorEastAsia" w:eastAsiaTheme="minorEastAsia" w:cstheme="minorEastAsia"/>
                <w:color w:val="auto"/>
                <w:kern w:val="0"/>
                <w:szCs w:val="21"/>
                <w:highlight w:val="none"/>
                <w:lang w:eastAsia="zh-CN"/>
              </w:rPr>
              <w:t>②</w:t>
            </w:r>
            <w:r>
              <w:rPr>
                <w:rFonts w:hint="eastAsia" w:asciiTheme="minorEastAsia" w:hAnsiTheme="minorEastAsia" w:eastAsiaTheme="minorEastAsia" w:cstheme="minorEastAsia"/>
                <w:color w:val="auto"/>
                <w:kern w:val="0"/>
                <w:szCs w:val="21"/>
                <w:highlight w:val="none"/>
                <w:lang w:val="en-US" w:eastAsia="zh-CN"/>
              </w:rPr>
              <w:t>方案中提供的见义勇为宣传服务</w:t>
            </w:r>
            <w:r>
              <w:rPr>
                <w:rFonts w:hint="eastAsia"/>
                <w:color w:val="auto"/>
                <w:highlight w:val="none"/>
              </w:rPr>
              <w:t>应根据不同时期</w:t>
            </w:r>
            <w:r>
              <w:rPr>
                <w:rFonts w:hint="eastAsia"/>
                <w:color w:val="auto"/>
                <w:highlight w:val="none"/>
                <w:lang w:eastAsia="zh-CN"/>
              </w:rPr>
              <w:t>，</w:t>
            </w:r>
            <w:r>
              <w:rPr>
                <w:rFonts w:hint="eastAsia"/>
                <w:color w:val="auto"/>
                <w:highlight w:val="none"/>
                <w:lang w:val="en-US" w:eastAsia="zh-CN"/>
              </w:rPr>
              <w:t>不同地点</w:t>
            </w:r>
            <w:r>
              <w:rPr>
                <w:rFonts w:hint="eastAsia"/>
                <w:color w:val="auto"/>
                <w:highlight w:val="none"/>
              </w:rPr>
              <w:t>的不同特点，研究制定针对</w:t>
            </w:r>
            <w:r>
              <w:rPr>
                <w:rFonts w:hint="eastAsia"/>
                <w:color w:val="auto"/>
                <w:highlight w:val="none"/>
                <w:lang w:val="en-US" w:eastAsia="zh-CN"/>
              </w:rPr>
              <w:t>见义勇为</w:t>
            </w:r>
            <w:r>
              <w:rPr>
                <w:rFonts w:hint="eastAsia"/>
                <w:color w:val="auto"/>
                <w:highlight w:val="none"/>
              </w:rPr>
              <w:t>宣传计划，</w:t>
            </w:r>
            <w:r>
              <w:rPr>
                <w:rFonts w:hint="eastAsia"/>
                <w:color w:val="auto"/>
                <w:highlight w:val="none"/>
                <w:lang w:val="en-US" w:eastAsia="zh-CN"/>
              </w:rPr>
              <w:t>策划见义勇为</w:t>
            </w:r>
            <w:r>
              <w:rPr>
                <w:rFonts w:hint="eastAsia"/>
                <w:color w:val="auto"/>
                <w:highlight w:val="none"/>
              </w:rPr>
              <w:t>的宣传</w:t>
            </w:r>
            <w:r>
              <w:rPr>
                <w:rFonts w:hint="eastAsia"/>
                <w:color w:val="auto"/>
                <w:highlight w:val="none"/>
                <w:lang w:val="en-US" w:eastAsia="zh-CN"/>
              </w:rPr>
              <w:t>活动</w:t>
            </w:r>
            <w:r>
              <w:rPr>
                <w:rFonts w:hint="eastAsia"/>
                <w:color w:val="auto"/>
                <w:highlight w:val="none"/>
              </w:rPr>
              <w:t>，宣传手段包括但不限于印发宣传资料、在新闻媒体开设</w:t>
            </w:r>
            <w:r>
              <w:rPr>
                <w:rFonts w:hint="eastAsia"/>
                <w:color w:val="auto"/>
                <w:highlight w:val="none"/>
                <w:lang w:val="en-US" w:eastAsia="zh-CN"/>
              </w:rPr>
              <w:t>见义勇为</w:t>
            </w:r>
            <w:r>
              <w:rPr>
                <w:rFonts w:hint="eastAsia"/>
                <w:color w:val="auto"/>
                <w:highlight w:val="none"/>
              </w:rPr>
              <w:t>宣传专栏、举办</w:t>
            </w:r>
            <w:r>
              <w:rPr>
                <w:rFonts w:hint="eastAsia"/>
                <w:color w:val="auto"/>
                <w:highlight w:val="none"/>
                <w:lang w:val="en-US" w:eastAsia="zh-CN"/>
              </w:rPr>
              <w:t>见义勇为知识</w:t>
            </w:r>
            <w:r>
              <w:rPr>
                <w:rFonts w:hint="eastAsia"/>
                <w:color w:val="auto"/>
                <w:highlight w:val="none"/>
              </w:rPr>
              <w:t>讲座</w:t>
            </w:r>
            <w:r>
              <w:rPr>
                <w:rFonts w:hint="eastAsia"/>
                <w:color w:val="auto"/>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见义勇为风险隐患排查及降低风险措施，每有一项得1分，最高不超过5分。</w:t>
            </w:r>
            <w:bookmarkEnd w:id="311"/>
          </w:p>
          <w:p w14:paraId="79E10C4B">
            <w:pPr>
              <w:widowControl/>
              <w:spacing w:line="400" w:lineRule="exact"/>
              <w:ind w:firstLine="420" w:firstLineChars="200"/>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③若不提供见义勇为宣传</w:t>
            </w:r>
            <w:r>
              <w:rPr>
                <w:rFonts w:hint="eastAsia" w:asciiTheme="minorEastAsia" w:hAnsiTheme="minorEastAsia" w:eastAsiaTheme="minorEastAsia" w:cstheme="minorEastAsia"/>
                <w:color w:val="auto"/>
                <w:kern w:val="0"/>
                <w:szCs w:val="21"/>
                <w:highlight w:val="none"/>
                <w:lang w:eastAsia="zh-CN"/>
              </w:rPr>
              <w:t>方案</w:t>
            </w:r>
            <w:r>
              <w:rPr>
                <w:rFonts w:hint="eastAsia" w:asciiTheme="minorEastAsia" w:hAnsiTheme="minorEastAsia" w:eastAsiaTheme="minorEastAsia" w:cstheme="minorEastAsia"/>
                <w:color w:val="auto"/>
                <w:kern w:val="0"/>
                <w:szCs w:val="21"/>
                <w:highlight w:val="none"/>
                <w:lang w:val="en-US" w:eastAsia="zh-CN"/>
              </w:rPr>
              <w:t>，</w:t>
            </w:r>
            <w:r>
              <w:rPr>
                <w:rFonts w:hint="eastAsia" w:asciiTheme="minorEastAsia" w:hAnsiTheme="minorEastAsia" w:eastAsiaTheme="minorEastAsia" w:cstheme="minorEastAsia"/>
                <w:color w:val="auto"/>
                <w:kern w:val="0"/>
                <w:szCs w:val="21"/>
                <w:highlight w:val="none"/>
                <w:lang w:eastAsia="zh-CN"/>
              </w:rPr>
              <w:t>得0分。</w:t>
            </w:r>
          </w:p>
        </w:tc>
      </w:tr>
      <w:tr w14:paraId="3CDB5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9" w:type="pct"/>
            <w:vMerge w:val="continue"/>
            <w:vAlign w:val="center"/>
          </w:tcPr>
          <w:p w14:paraId="63E72250">
            <w:pPr>
              <w:widowControl/>
              <w:spacing w:line="400" w:lineRule="exact"/>
              <w:jc w:val="left"/>
              <w:rPr>
                <w:rFonts w:asciiTheme="minorEastAsia" w:hAnsiTheme="minorEastAsia" w:eastAsiaTheme="minorEastAsia" w:cstheme="minorEastAsia"/>
                <w:color w:val="auto"/>
                <w:kern w:val="0"/>
                <w:szCs w:val="21"/>
                <w:highlight w:val="none"/>
              </w:rPr>
            </w:pPr>
          </w:p>
        </w:tc>
        <w:tc>
          <w:tcPr>
            <w:tcW w:w="567" w:type="pct"/>
            <w:vMerge w:val="continue"/>
            <w:vAlign w:val="center"/>
          </w:tcPr>
          <w:p w14:paraId="347777C1">
            <w:pPr>
              <w:widowControl/>
              <w:spacing w:line="400" w:lineRule="exact"/>
              <w:jc w:val="left"/>
              <w:rPr>
                <w:rFonts w:asciiTheme="minorEastAsia" w:hAnsiTheme="minorEastAsia" w:eastAsiaTheme="minorEastAsia" w:cstheme="minorEastAsia"/>
                <w:b/>
                <w:bCs/>
                <w:color w:val="auto"/>
                <w:kern w:val="0"/>
                <w:szCs w:val="21"/>
                <w:highlight w:val="none"/>
              </w:rPr>
            </w:pPr>
          </w:p>
        </w:tc>
        <w:tc>
          <w:tcPr>
            <w:tcW w:w="885" w:type="pct"/>
            <w:shd w:val="clear" w:color="auto" w:fill="auto"/>
            <w:vAlign w:val="center"/>
          </w:tcPr>
          <w:p w14:paraId="7202CC9A">
            <w:pPr>
              <w:widowControl/>
              <w:spacing w:line="400" w:lineRule="exact"/>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3.5监督与考核分（满分3分）</w:t>
            </w:r>
          </w:p>
        </w:tc>
        <w:tc>
          <w:tcPr>
            <w:tcW w:w="3327" w:type="pct"/>
            <w:shd w:val="clear" w:color="auto" w:fill="auto"/>
            <w:vAlign w:val="center"/>
          </w:tcPr>
          <w:p w14:paraId="031C5EEB">
            <w:pPr>
              <w:widowControl/>
              <w:spacing w:line="40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eastAsia="zh-CN"/>
              </w:rPr>
              <w:t>①</w:t>
            </w:r>
            <w:r>
              <w:rPr>
                <w:rFonts w:hint="eastAsia" w:asciiTheme="minorEastAsia" w:hAnsiTheme="minorEastAsia" w:eastAsiaTheme="minorEastAsia" w:cstheme="minorEastAsia"/>
                <w:color w:val="auto"/>
                <w:kern w:val="0"/>
                <w:szCs w:val="21"/>
                <w:highlight w:val="none"/>
              </w:rPr>
              <w:t>投标人接受监督与考核、开展内部监督与考核的方案思路清晰，全面覆盖关键业务领域和部门</w:t>
            </w:r>
            <w:r>
              <w:rPr>
                <w:rFonts w:hint="eastAsia" w:asciiTheme="minorEastAsia" w:hAnsiTheme="minorEastAsia" w:eastAsiaTheme="minorEastAsia" w:cstheme="minorEastAsia"/>
                <w:color w:val="auto"/>
                <w:kern w:val="0"/>
                <w:szCs w:val="21"/>
                <w:highlight w:val="none"/>
                <w:lang w:eastAsia="zh-CN"/>
              </w:rPr>
              <w:t>，提出不同层次监督与考核要求，设定合理的考核周期，且连续稳定，建立有效的反馈机制，且运行顺畅的</w:t>
            </w:r>
            <w:r>
              <w:rPr>
                <w:rFonts w:hint="eastAsia" w:asciiTheme="minorEastAsia" w:hAnsiTheme="minorEastAsia" w:eastAsiaTheme="minorEastAsia" w:cstheme="minorEastAsia"/>
                <w:color w:val="auto"/>
                <w:kern w:val="0"/>
                <w:szCs w:val="21"/>
                <w:highlight w:val="none"/>
              </w:rPr>
              <w:t>，得3分；</w:t>
            </w:r>
          </w:p>
          <w:p w14:paraId="13EC7438">
            <w:pPr>
              <w:widowControl/>
              <w:spacing w:line="40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eastAsia="zh-CN"/>
              </w:rPr>
              <w:t>②</w:t>
            </w:r>
            <w:r>
              <w:rPr>
                <w:rFonts w:hint="eastAsia" w:asciiTheme="minorEastAsia" w:hAnsiTheme="minorEastAsia" w:eastAsiaTheme="minorEastAsia" w:cstheme="minorEastAsia"/>
                <w:color w:val="auto"/>
                <w:kern w:val="0"/>
                <w:szCs w:val="21"/>
                <w:highlight w:val="none"/>
              </w:rPr>
              <w:t>提供的监督与考核方案</w:t>
            </w:r>
            <w:r>
              <w:rPr>
                <w:rFonts w:hint="eastAsia"/>
                <w:color w:val="auto"/>
                <w:highlight w:val="none"/>
                <w:lang w:eastAsia="zh-CN"/>
              </w:rPr>
              <w:t>仅满足招标文件要求的</w:t>
            </w:r>
            <w:r>
              <w:rPr>
                <w:rFonts w:hint="eastAsia" w:asciiTheme="minorEastAsia" w:hAnsiTheme="minorEastAsia" w:eastAsiaTheme="minorEastAsia" w:cstheme="minorEastAsia"/>
                <w:color w:val="auto"/>
                <w:kern w:val="0"/>
                <w:szCs w:val="21"/>
                <w:highlight w:val="none"/>
              </w:rPr>
              <w:t>，得</w:t>
            </w:r>
            <w:r>
              <w:rPr>
                <w:rFonts w:hint="eastAsia" w:asciiTheme="minorEastAsia" w:hAnsiTheme="minorEastAsia" w:eastAsiaTheme="minorEastAsia" w:cstheme="minorEastAsia"/>
                <w:color w:val="auto"/>
                <w:kern w:val="0"/>
                <w:szCs w:val="21"/>
                <w:highlight w:val="none"/>
                <w:lang w:val="en-US" w:eastAsia="zh-CN"/>
              </w:rPr>
              <w:t>1</w:t>
            </w:r>
            <w:r>
              <w:rPr>
                <w:rFonts w:hint="eastAsia" w:asciiTheme="minorEastAsia" w:hAnsiTheme="minorEastAsia" w:eastAsiaTheme="minorEastAsia" w:cstheme="minorEastAsia"/>
                <w:color w:val="auto"/>
                <w:kern w:val="0"/>
                <w:szCs w:val="21"/>
                <w:highlight w:val="none"/>
              </w:rPr>
              <w:t>分；</w:t>
            </w:r>
          </w:p>
          <w:p w14:paraId="0FFC3780">
            <w:pPr>
              <w:widowControl/>
              <w:spacing w:line="400" w:lineRule="exact"/>
              <w:ind w:firstLine="420" w:firstLineChars="200"/>
              <w:jc w:val="left"/>
              <w:rPr>
                <w:color w:val="auto"/>
                <w:highlight w:val="none"/>
              </w:rPr>
            </w:pPr>
            <w:r>
              <w:rPr>
                <w:rFonts w:hint="eastAsia" w:asciiTheme="minorEastAsia" w:hAnsiTheme="minorEastAsia" w:eastAsiaTheme="minorEastAsia" w:cstheme="minorEastAsia"/>
                <w:color w:val="auto"/>
                <w:kern w:val="0"/>
                <w:szCs w:val="21"/>
                <w:highlight w:val="none"/>
                <w:lang w:val="en-US" w:eastAsia="zh-CN"/>
              </w:rPr>
              <w:t>③若不提供监督与考核方案，</w:t>
            </w:r>
            <w:r>
              <w:rPr>
                <w:rFonts w:hint="eastAsia" w:asciiTheme="minorEastAsia" w:hAnsiTheme="minorEastAsia" w:eastAsiaTheme="minorEastAsia" w:cstheme="minorEastAsia"/>
                <w:color w:val="auto"/>
                <w:kern w:val="0"/>
                <w:szCs w:val="21"/>
                <w:highlight w:val="none"/>
              </w:rPr>
              <w:t>得0分。</w:t>
            </w:r>
          </w:p>
        </w:tc>
      </w:tr>
      <w:tr w14:paraId="75E44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9" w:type="pct"/>
            <w:vMerge w:val="continue"/>
            <w:vAlign w:val="center"/>
          </w:tcPr>
          <w:p w14:paraId="4DCBCD31">
            <w:pPr>
              <w:widowControl/>
              <w:spacing w:line="400" w:lineRule="exact"/>
              <w:jc w:val="left"/>
              <w:rPr>
                <w:rFonts w:asciiTheme="minorEastAsia" w:hAnsiTheme="minorEastAsia" w:eastAsiaTheme="minorEastAsia" w:cstheme="minorEastAsia"/>
                <w:color w:val="auto"/>
                <w:kern w:val="0"/>
                <w:szCs w:val="21"/>
                <w:highlight w:val="none"/>
              </w:rPr>
            </w:pPr>
          </w:p>
        </w:tc>
        <w:tc>
          <w:tcPr>
            <w:tcW w:w="567" w:type="pct"/>
            <w:vMerge w:val="continue"/>
            <w:vAlign w:val="center"/>
          </w:tcPr>
          <w:p w14:paraId="50D343C1">
            <w:pPr>
              <w:widowControl/>
              <w:spacing w:line="400" w:lineRule="exact"/>
              <w:jc w:val="left"/>
              <w:rPr>
                <w:rFonts w:asciiTheme="minorEastAsia" w:hAnsiTheme="minorEastAsia" w:eastAsiaTheme="minorEastAsia" w:cstheme="minorEastAsia"/>
                <w:b/>
                <w:bCs/>
                <w:color w:val="auto"/>
                <w:kern w:val="0"/>
                <w:szCs w:val="21"/>
                <w:highlight w:val="none"/>
              </w:rPr>
            </w:pPr>
          </w:p>
        </w:tc>
        <w:tc>
          <w:tcPr>
            <w:tcW w:w="885" w:type="pct"/>
            <w:shd w:val="clear" w:color="auto" w:fill="auto"/>
            <w:vAlign w:val="center"/>
          </w:tcPr>
          <w:p w14:paraId="483C12DD">
            <w:pPr>
              <w:widowControl/>
              <w:spacing w:line="400" w:lineRule="exact"/>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3.6投诉与争议处理分（满分2分）</w:t>
            </w:r>
          </w:p>
        </w:tc>
        <w:tc>
          <w:tcPr>
            <w:tcW w:w="3327" w:type="pct"/>
            <w:shd w:val="clear" w:color="auto" w:fill="auto"/>
            <w:vAlign w:val="center"/>
          </w:tcPr>
          <w:p w14:paraId="1FF62551">
            <w:pPr>
              <w:widowControl/>
              <w:spacing w:line="40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eastAsia="zh-CN"/>
              </w:rPr>
              <w:t>①</w:t>
            </w:r>
            <w:r>
              <w:rPr>
                <w:rFonts w:hint="eastAsia" w:asciiTheme="minorEastAsia" w:hAnsiTheme="minorEastAsia" w:eastAsiaTheme="minorEastAsia" w:cstheme="minorEastAsia"/>
                <w:color w:val="auto"/>
                <w:kern w:val="0"/>
                <w:szCs w:val="21"/>
                <w:highlight w:val="none"/>
              </w:rPr>
              <w:t>投诉与争议处理方案思路清晰，严格遵守处理时限，无延误情况</w:t>
            </w:r>
            <w:r>
              <w:rPr>
                <w:rFonts w:hint="eastAsia" w:asciiTheme="minorEastAsia" w:hAnsiTheme="minorEastAsia" w:eastAsiaTheme="minorEastAsia" w:cstheme="minorEastAsia"/>
                <w:color w:val="auto"/>
                <w:kern w:val="0"/>
                <w:szCs w:val="21"/>
                <w:highlight w:val="none"/>
                <w:lang w:eastAsia="zh-CN"/>
              </w:rPr>
              <w:t>，准确判断投诉原因和责任方，无误判情况，后续跟进到位，确保问题得到彻底解决的，</w:t>
            </w:r>
            <w:r>
              <w:rPr>
                <w:rFonts w:hint="eastAsia" w:asciiTheme="minorEastAsia" w:hAnsiTheme="minorEastAsia" w:eastAsiaTheme="minorEastAsia" w:cstheme="minorEastAsia"/>
                <w:color w:val="auto"/>
                <w:kern w:val="0"/>
                <w:szCs w:val="21"/>
                <w:highlight w:val="none"/>
              </w:rPr>
              <w:t>得2分；</w:t>
            </w:r>
          </w:p>
          <w:p w14:paraId="0D9CDB52">
            <w:pPr>
              <w:widowControl/>
              <w:spacing w:line="40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eastAsia="zh-CN"/>
              </w:rPr>
              <w:t>②</w:t>
            </w:r>
            <w:r>
              <w:rPr>
                <w:rFonts w:hint="eastAsia" w:asciiTheme="minorEastAsia" w:hAnsiTheme="minorEastAsia" w:eastAsiaTheme="minorEastAsia" w:cstheme="minorEastAsia"/>
                <w:color w:val="auto"/>
                <w:kern w:val="0"/>
                <w:szCs w:val="21"/>
                <w:highlight w:val="none"/>
              </w:rPr>
              <w:t>提供的投诉与争议处理方案方案</w:t>
            </w:r>
            <w:r>
              <w:rPr>
                <w:rFonts w:hint="eastAsia"/>
                <w:color w:val="auto"/>
                <w:highlight w:val="none"/>
                <w:lang w:eastAsia="zh-CN"/>
              </w:rPr>
              <w:t>仅满足招标文件要求的</w:t>
            </w:r>
            <w:r>
              <w:rPr>
                <w:rFonts w:hint="eastAsia" w:asciiTheme="minorEastAsia" w:hAnsiTheme="minorEastAsia" w:eastAsiaTheme="minorEastAsia" w:cstheme="minorEastAsia"/>
                <w:color w:val="auto"/>
                <w:kern w:val="0"/>
                <w:szCs w:val="21"/>
                <w:highlight w:val="none"/>
              </w:rPr>
              <w:t>，得1分；</w:t>
            </w:r>
          </w:p>
          <w:p w14:paraId="0285CA7B">
            <w:pPr>
              <w:widowControl/>
              <w:spacing w:line="400" w:lineRule="exact"/>
              <w:ind w:firstLine="420" w:firstLineChars="200"/>
              <w:jc w:val="left"/>
              <w:rPr>
                <w:color w:val="auto"/>
                <w:highlight w:val="none"/>
              </w:rPr>
            </w:pPr>
            <w:r>
              <w:rPr>
                <w:rFonts w:hint="eastAsia" w:asciiTheme="minorEastAsia" w:hAnsiTheme="minorEastAsia" w:eastAsiaTheme="minorEastAsia" w:cstheme="minorEastAsia"/>
                <w:color w:val="auto"/>
                <w:kern w:val="0"/>
                <w:szCs w:val="21"/>
                <w:highlight w:val="none"/>
                <w:lang w:val="en-US" w:eastAsia="zh-CN"/>
              </w:rPr>
              <w:t>③若不提供投诉与争议处理方案，得</w:t>
            </w:r>
            <w:r>
              <w:rPr>
                <w:rFonts w:hint="eastAsia" w:asciiTheme="minorEastAsia" w:hAnsiTheme="minorEastAsia" w:eastAsiaTheme="minorEastAsia" w:cstheme="minorEastAsia"/>
                <w:color w:val="auto"/>
                <w:kern w:val="0"/>
                <w:szCs w:val="21"/>
                <w:highlight w:val="none"/>
              </w:rPr>
              <w:t>0分。</w:t>
            </w:r>
          </w:p>
        </w:tc>
      </w:tr>
      <w:tr w14:paraId="3556C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9" w:type="pct"/>
            <w:vMerge w:val="continue"/>
            <w:vAlign w:val="center"/>
          </w:tcPr>
          <w:p w14:paraId="68A734F0">
            <w:pPr>
              <w:widowControl/>
              <w:spacing w:line="400" w:lineRule="exact"/>
              <w:jc w:val="left"/>
              <w:rPr>
                <w:rFonts w:asciiTheme="minorEastAsia" w:hAnsiTheme="minorEastAsia" w:eastAsiaTheme="minorEastAsia" w:cstheme="minorEastAsia"/>
                <w:color w:val="auto"/>
                <w:kern w:val="0"/>
                <w:szCs w:val="21"/>
                <w:highlight w:val="none"/>
              </w:rPr>
            </w:pPr>
          </w:p>
        </w:tc>
        <w:tc>
          <w:tcPr>
            <w:tcW w:w="567" w:type="pct"/>
            <w:vMerge w:val="continue"/>
            <w:vAlign w:val="center"/>
          </w:tcPr>
          <w:p w14:paraId="69E08F46">
            <w:pPr>
              <w:widowControl/>
              <w:spacing w:line="400" w:lineRule="exact"/>
              <w:jc w:val="left"/>
              <w:rPr>
                <w:rFonts w:asciiTheme="minorEastAsia" w:hAnsiTheme="minorEastAsia" w:eastAsiaTheme="minorEastAsia" w:cstheme="minorEastAsia"/>
                <w:b/>
                <w:bCs/>
                <w:color w:val="auto"/>
                <w:kern w:val="0"/>
                <w:szCs w:val="21"/>
                <w:highlight w:val="none"/>
              </w:rPr>
            </w:pPr>
          </w:p>
        </w:tc>
        <w:tc>
          <w:tcPr>
            <w:tcW w:w="885" w:type="pct"/>
            <w:shd w:val="clear" w:color="auto" w:fill="auto"/>
            <w:vAlign w:val="center"/>
          </w:tcPr>
          <w:p w14:paraId="0C7383D9">
            <w:pPr>
              <w:widowControl/>
              <w:spacing w:line="400" w:lineRule="exact"/>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3.7满意度回访分（满分2分）</w:t>
            </w:r>
          </w:p>
        </w:tc>
        <w:tc>
          <w:tcPr>
            <w:tcW w:w="3327" w:type="pct"/>
            <w:shd w:val="clear" w:color="auto" w:fill="auto"/>
            <w:vAlign w:val="center"/>
          </w:tcPr>
          <w:p w14:paraId="01206DDB">
            <w:pPr>
              <w:widowControl/>
              <w:spacing w:line="40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eastAsia="zh-CN"/>
              </w:rPr>
              <w:t>①</w:t>
            </w:r>
            <w:r>
              <w:rPr>
                <w:rFonts w:hint="eastAsia" w:asciiTheme="minorEastAsia" w:hAnsiTheme="minorEastAsia" w:eastAsiaTheme="minorEastAsia" w:cstheme="minorEastAsia"/>
                <w:color w:val="auto"/>
                <w:kern w:val="0"/>
                <w:szCs w:val="21"/>
                <w:highlight w:val="none"/>
              </w:rPr>
              <w:t>满意度回访方案思路清晰，</w:t>
            </w:r>
            <w:r>
              <w:rPr>
                <w:rFonts w:hint="eastAsia" w:asciiTheme="minorEastAsia" w:hAnsiTheme="minorEastAsia" w:eastAsiaTheme="minorEastAsia" w:cstheme="minorEastAsia"/>
                <w:color w:val="auto"/>
                <w:kern w:val="0"/>
                <w:szCs w:val="21"/>
                <w:highlight w:val="none"/>
                <w:lang w:eastAsia="zh-CN"/>
              </w:rPr>
              <w:t>列明回访内容，包括：服务质量、满意度、沟通能力、合作态度等内容</w:t>
            </w: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eastAsia="zh-CN"/>
              </w:rPr>
              <w:t>并能提出后续改进措施的，</w:t>
            </w:r>
            <w:r>
              <w:rPr>
                <w:rFonts w:hint="eastAsia" w:asciiTheme="minorEastAsia" w:hAnsiTheme="minorEastAsia" w:eastAsiaTheme="minorEastAsia" w:cstheme="minorEastAsia"/>
                <w:color w:val="auto"/>
                <w:kern w:val="0"/>
                <w:szCs w:val="21"/>
                <w:highlight w:val="none"/>
              </w:rPr>
              <w:t>得2分；</w:t>
            </w:r>
          </w:p>
          <w:p w14:paraId="1A34D63A">
            <w:pPr>
              <w:widowControl/>
              <w:spacing w:line="40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eastAsia="zh-CN"/>
              </w:rPr>
              <w:t>②</w:t>
            </w:r>
            <w:r>
              <w:rPr>
                <w:rFonts w:hint="eastAsia" w:asciiTheme="minorEastAsia" w:hAnsiTheme="minorEastAsia" w:eastAsiaTheme="minorEastAsia" w:cstheme="minorEastAsia"/>
                <w:color w:val="auto"/>
                <w:kern w:val="0"/>
                <w:szCs w:val="21"/>
                <w:highlight w:val="none"/>
              </w:rPr>
              <w:t>提供的满意度回访方案</w:t>
            </w:r>
            <w:r>
              <w:rPr>
                <w:rFonts w:hint="eastAsia" w:asciiTheme="minorEastAsia" w:hAnsiTheme="minorEastAsia" w:eastAsiaTheme="minorEastAsia" w:cstheme="minorEastAsia"/>
                <w:color w:val="auto"/>
                <w:kern w:val="0"/>
                <w:szCs w:val="21"/>
                <w:highlight w:val="none"/>
                <w:lang w:eastAsia="zh-CN"/>
              </w:rPr>
              <w:t>内容单一，</w:t>
            </w:r>
            <w:r>
              <w:rPr>
                <w:rFonts w:hint="eastAsia"/>
                <w:color w:val="auto"/>
                <w:highlight w:val="none"/>
                <w:lang w:eastAsia="zh-CN"/>
              </w:rPr>
              <w:t>仅满足招标文件要求的</w:t>
            </w:r>
            <w:r>
              <w:rPr>
                <w:rFonts w:hint="eastAsia" w:asciiTheme="minorEastAsia" w:hAnsiTheme="minorEastAsia" w:eastAsiaTheme="minorEastAsia" w:cstheme="minorEastAsia"/>
                <w:color w:val="auto"/>
                <w:kern w:val="0"/>
                <w:szCs w:val="21"/>
                <w:highlight w:val="none"/>
              </w:rPr>
              <w:t>，得1分；</w:t>
            </w:r>
          </w:p>
          <w:p w14:paraId="38BD7ED7">
            <w:pPr>
              <w:widowControl/>
              <w:spacing w:line="400" w:lineRule="exact"/>
              <w:ind w:firstLine="420" w:firstLineChars="200"/>
              <w:jc w:val="left"/>
              <w:rPr>
                <w:color w:val="auto"/>
                <w:highlight w:val="none"/>
              </w:rPr>
            </w:pPr>
            <w:r>
              <w:rPr>
                <w:rFonts w:hint="eastAsia" w:asciiTheme="minorEastAsia" w:hAnsiTheme="minorEastAsia" w:eastAsiaTheme="minorEastAsia" w:cstheme="minorEastAsia"/>
                <w:color w:val="auto"/>
                <w:kern w:val="0"/>
                <w:szCs w:val="21"/>
                <w:highlight w:val="none"/>
                <w:lang w:val="en-US" w:eastAsia="zh-CN"/>
              </w:rPr>
              <w:t>③若不提供满意度回访方案，得</w:t>
            </w:r>
            <w:r>
              <w:rPr>
                <w:rFonts w:hint="eastAsia" w:asciiTheme="minorEastAsia" w:hAnsiTheme="minorEastAsia" w:eastAsiaTheme="minorEastAsia" w:cstheme="minorEastAsia"/>
                <w:color w:val="auto"/>
                <w:kern w:val="0"/>
                <w:szCs w:val="21"/>
                <w:highlight w:val="none"/>
              </w:rPr>
              <w:t>0分。</w:t>
            </w:r>
          </w:p>
        </w:tc>
      </w:tr>
      <w:tr w14:paraId="650E3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4"/>
            <w:shd w:val="clear" w:color="auto" w:fill="auto"/>
            <w:vAlign w:val="center"/>
          </w:tcPr>
          <w:p w14:paraId="6A2A8051">
            <w:pPr>
              <w:widowControl/>
              <w:spacing w:line="400" w:lineRule="exact"/>
              <w:jc w:val="left"/>
              <w:rPr>
                <w:rFonts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总得分=</w:t>
            </w:r>
            <w:r>
              <w:rPr>
                <w:rFonts w:asciiTheme="minorEastAsia" w:hAnsiTheme="minorEastAsia" w:eastAsiaTheme="minorEastAsia" w:cstheme="minorEastAsia"/>
                <w:b/>
                <w:bCs/>
                <w:color w:val="auto"/>
                <w:kern w:val="0"/>
                <w:szCs w:val="21"/>
                <w:highlight w:val="none"/>
              </w:rPr>
              <w:t>1+</w:t>
            </w:r>
            <w:r>
              <w:rPr>
                <w:rFonts w:hint="eastAsia" w:asciiTheme="minorEastAsia" w:hAnsiTheme="minorEastAsia" w:eastAsiaTheme="minorEastAsia" w:cstheme="minorEastAsia"/>
                <w:b/>
                <w:bCs/>
                <w:color w:val="auto"/>
                <w:kern w:val="0"/>
                <w:szCs w:val="21"/>
                <w:highlight w:val="none"/>
              </w:rPr>
              <w:t>2+3</w:t>
            </w:r>
          </w:p>
        </w:tc>
      </w:tr>
    </w:tbl>
    <w:p w14:paraId="34B131EB">
      <w:pPr>
        <w:pStyle w:val="4"/>
        <w:shd w:val="clear" w:color="auto" w:fill="FFFFFF" w:themeFill="background1"/>
        <w:spacing w:before="0" w:after="0" w:line="360" w:lineRule="auto"/>
        <w:ind w:firstLine="600" w:firstLineChars="200"/>
        <w:jc w:val="center"/>
        <w:rPr>
          <w:rFonts w:ascii="宋体" w:hAnsi="宋体" w:eastAsia="宋体" w:cs="宋体"/>
          <w:b w:val="0"/>
          <w:color w:val="auto"/>
          <w:sz w:val="30"/>
          <w:szCs w:val="30"/>
          <w:highlight w:val="none"/>
        </w:rPr>
      </w:pPr>
      <w:bookmarkStart w:id="312" w:name="_Toc23906"/>
      <w:bookmarkStart w:id="313" w:name="_Toc18582"/>
      <w:bookmarkStart w:id="314" w:name="_Toc11083"/>
      <w:bookmarkStart w:id="315" w:name="_Toc20313"/>
      <w:bookmarkStart w:id="316" w:name="_Toc2202"/>
      <w:bookmarkStart w:id="317" w:name="_Toc15061"/>
      <w:bookmarkStart w:id="318" w:name="_Toc16466"/>
      <w:bookmarkStart w:id="319" w:name="_Toc12855"/>
      <w:bookmarkStart w:id="320" w:name="_Toc9480"/>
      <w:bookmarkStart w:id="321" w:name="_Toc10751"/>
      <w:r>
        <w:rPr>
          <w:rFonts w:hint="eastAsia" w:ascii="宋体" w:hAnsi="宋体" w:eastAsia="宋体" w:cs="宋体"/>
          <w:b w:val="0"/>
          <w:color w:val="auto"/>
          <w:sz w:val="30"/>
          <w:szCs w:val="30"/>
          <w:highlight w:val="none"/>
        </w:rPr>
        <w:t>第四节 中标候选人推荐原则</w:t>
      </w:r>
      <w:bookmarkEnd w:id="312"/>
      <w:bookmarkEnd w:id="313"/>
      <w:bookmarkEnd w:id="314"/>
      <w:bookmarkEnd w:id="315"/>
      <w:bookmarkEnd w:id="316"/>
      <w:bookmarkEnd w:id="317"/>
      <w:bookmarkEnd w:id="318"/>
      <w:bookmarkEnd w:id="319"/>
      <w:bookmarkEnd w:id="320"/>
      <w:bookmarkEnd w:id="321"/>
    </w:p>
    <w:p w14:paraId="3507C148">
      <w:pPr>
        <w:pStyle w:val="14"/>
        <w:shd w:val="clear" w:color="auto" w:fill="FFFFFF" w:themeFill="background1"/>
        <w:spacing w:line="360" w:lineRule="auto"/>
        <w:ind w:left="472"/>
        <w:contextualSpacing/>
        <w:rPr>
          <w:rFonts w:hAnsi="宋体" w:cs="宋体"/>
          <w:b/>
          <w:bCs/>
          <w:color w:val="auto"/>
          <w:sz w:val="24"/>
          <w:szCs w:val="24"/>
          <w:highlight w:val="none"/>
        </w:rPr>
      </w:pPr>
      <w:r>
        <w:rPr>
          <w:rFonts w:hint="eastAsia" w:hAnsi="宋体" w:cs="宋体"/>
          <w:b/>
          <w:bCs/>
          <w:color w:val="auto"/>
          <w:sz w:val="24"/>
          <w:szCs w:val="24"/>
          <w:highlight w:val="none"/>
        </w:rPr>
        <w:t>（一）综合评分法</w:t>
      </w:r>
    </w:p>
    <w:p w14:paraId="651FC71B">
      <w:pPr>
        <w:pStyle w:val="14"/>
        <w:shd w:val="clear" w:color="auto" w:fill="FFFFFF" w:themeFill="background1"/>
        <w:spacing w:line="360" w:lineRule="auto"/>
        <w:ind w:firstLine="420" w:firstLineChars="200"/>
        <w:rPr>
          <w:rFonts w:hint="eastAsia" w:hAnsi="宋体" w:cs="宋体"/>
          <w:color w:val="auto"/>
          <w:highlight w:val="none"/>
          <w:lang w:eastAsia="zh-CN"/>
        </w:rPr>
      </w:pPr>
      <w:r>
        <w:rPr>
          <w:rFonts w:hint="eastAsia" w:hAnsi="宋体" w:cs="宋体"/>
          <w:color w:val="auto"/>
          <w:highlight w:val="none"/>
          <w:lang w:eastAsia="zh-CN"/>
        </w:rPr>
        <w:t>评标委员会将根据总得分由高到低排列次序并推荐中标候选人。得分相同的，按投标报价由低到高顺序排列。得分且投标报价相同的并列。投标文件满足招标文件全部实质性要求，且按照评审因素的量化指标评审得分最高的投标人为排名第一的中标候选人。</w:t>
      </w:r>
    </w:p>
    <w:p w14:paraId="1242D2DC">
      <w:pPr>
        <w:pStyle w:val="14"/>
        <w:numPr>
          <w:ilvl w:val="0"/>
          <w:numId w:val="3"/>
        </w:numPr>
        <w:shd w:val="clear" w:color="auto" w:fill="FFFFFF" w:themeFill="background1"/>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最低评标报价法</w:t>
      </w:r>
    </w:p>
    <w:p w14:paraId="34ED411D">
      <w:pPr>
        <w:pStyle w:val="14"/>
        <w:shd w:val="clear" w:color="auto" w:fill="FFFFFF" w:themeFill="background1"/>
        <w:spacing w:line="360" w:lineRule="auto"/>
        <w:ind w:firstLine="420" w:firstLineChars="200"/>
        <w:rPr>
          <w:rFonts w:hAnsi="宋体" w:cs="宋体"/>
          <w:color w:val="auto"/>
          <w:highlight w:val="none"/>
        </w:rPr>
      </w:pPr>
      <w:r>
        <w:rPr>
          <w:rFonts w:hint="eastAsia" w:hAnsi="宋体" w:cs="宋体"/>
          <w:color w:val="auto"/>
          <w:highlight w:val="none"/>
        </w:rPr>
        <w:t>评标委员会将按照有效评标报价从低到高顺序排列，评标报价相同的并列。投标文件满足招标文件全部实质性要求且评标报价最低的投标人为排名第一的中标候选人。</w:t>
      </w:r>
    </w:p>
    <w:p w14:paraId="35CC270C">
      <w:pPr>
        <w:pStyle w:val="4"/>
        <w:shd w:val="clear" w:color="auto" w:fill="FFFFFF" w:themeFill="background1"/>
        <w:spacing w:before="0" w:after="0" w:line="360" w:lineRule="auto"/>
        <w:ind w:firstLine="600" w:firstLineChars="200"/>
        <w:jc w:val="center"/>
        <w:rPr>
          <w:rFonts w:hint="eastAsia" w:ascii="宋体" w:hAnsi="宋体" w:eastAsia="宋体" w:cs="宋体"/>
          <w:b w:val="0"/>
          <w:color w:val="auto"/>
          <w:sz w:val="30"/>
          <w:szCs w:val="30"/>
          <w:highlight w:val="none"/>
        </w:rPr>
      </w:pPr>
      <w:bookmarkStart w:id="322" w:name="_Toc11073"/>
      <w:bookmarkStart w:id="323" w:name="_Toc27419"/>
      <w:bookmarkStart w:id="324" w:name="_Toc13625"/>
      <w:bookmarkStart w:id="325" w:name="_Toc29218"/>
      <w:bookmarkStart w:id="326" w:name="_Toc7971"/>
      <w:bookmarkStart w:id="327" w:name="_Toc13808"/>
      <w:bookmarkStart w:id="328" w:name="_Toc11545"/>
      <w:bookmarkStart w:id="329" w:name="_Toc11695"/>
      <w:bookmarkStart w:id="330" w:name="_Toc22384"/>
      <w:bookmarkStart w:id="331" w:name="_Toc9602"/>
    </w:p>
    <w:p w14:paraId="6F63DBB1">
      <w:pPr>
        <w:pStyle w:val="4"/>
        <w:shd w:val="clear" w:color="auto" w:fill="FFFFFF" w:themeFill="background1"/>
        <w:spacing w:before="0" w:after="0" w:line="360" w:lineRule="auto"/>
        <w:ind w:firstLine="600" w:firstLineChars="200"/>
        <w:jc w:val="center"/>
        <w:rPr>
          <w:rFonts w:ascii="宋体" w:hAnsi="宋体" w:eastAsia="宋体" w:cs="宋体"/>
          <w:b w:val="0"/>
          <w:color w:val="auto"/>
          <w:sz w:val="30"/>
          <w:szCs w:val="30"/>
          <w:highlight w:val="none"/>
        </w:rPr>
      </w:pPr>
      <w:r>
        <w:rPr>
          <w:rFonts w:hint="eastAsia" w:ascii="宋体" w:hAnsi="宋体" w:eastAsia="宋体" w:cs="宋体"/>
          <w:b w:val="0"/>
          <w:color w:val="auto"/>
          <w:sz w:val="30"/>
          <w:szCs w:val="30"/>
          <w:highlight w:val="none"/>
        </w:rPr>
        <w:t>第五节 评标报告</w:t>
      </w:r>
      <w:bookmarkEnd w:id="322"/>
      <w:bookmarkEnd w:id="323"/>
      <w:bookmarkEnd w:id="324"/>
      <w:bookmarkEnd w:id="325"/>
      <w:bookmarkEnd w:id="326"/>
      <w:bookmarkEnd w:id="327"/>
      <w:bookmarkEnd w:id="328"/>
      <w:bookmarkEnd w:id="329"/>
      <w:bookmarkEnd w:id="330"/>
      <w:bookmarkEnd w:id="331"/>
    </w:p>
    <w:p w14:paraId="1C236A9E">
      <w:pPr>
        <w:pStyle w:val="38"/>
        <w:shd w:val="clear" w:color="auto" w:fill="FFFFFF" w:themeFill="background1"/>
        <w:spacing w:before="0"/>
        <w:ind w:firstLine="482"/>
        <w:rPr>
          <w:rFonts w:ascii="宋体" w:hAnsi="宋体" w:cs="宋体"/>
          <w:b/>
          <w:bCs/>
          <w:color w:val="auto"/>
          <w:szCs w:val="24"/>
          <w:highlight w:val="none"/>
        </w:rPr>
      </w:pPr>
      <w:r>
        <w:rPr>
          <w:rFonts w:hint="eastAsia" w:ascii="宋体" w:hAnsi="宋体" w:cs="宋体"/>
          <w:b/>
          <w:bCs/>
          <w:color w:val="auto"/>
          <w:szCs w:val="24"/>
          <w:highlight w:val="none"/>
        </w:rPr>
        <w:t>（一）评标报告与推荐中标候选人</w:t>
      </w:r>
    </w:p>
    <w:p w14:paraId="41AA6385">
      <w:pPr>
        <w:pStyle w:val="14"/>
        <w:shd w:val="clear" w:color="auto" w:fill="FFFFFF" w:themeFill="background1"/>
        <w:tabs>
          <w:tab w:val="left" w:pos="2472"/>
        </w:tabs>
        <w:spacing w:line="360" w:lineRule="auto"/>
        <w:ind w:firstLine="420" w:firstLineChars="200"/>
        <w:rPr>
          <w:rFonts w:hAnsi="宋体" w:cs="宋体"/>
          <w:color w:val="auto"/>
          <w:highlight w:val="none"/>
        </w:rPr>
      </w:pPr>
      <w:r>
        <w:rPr>
          <w:rFonts w:hint="eastAsia" w:hAnsi="宋体" w:cs="宋体"/>
          <w:color w:val="auto"/>
          <w:highlight w:val="none"/>
        </w:rPr>
        <w:t>评标委员会根据原始评标记录和评标结果编写评标报告，并通过电子交易平台向采购人、采购代理机构提交。</w:t>
      </w:r>
    </w:p>
    <w:p w14:paraId="10AECAD1">
      <w:pPr>
        <w:widowControl/>
        <w:shd w:val="clear" w:color="auto" w:fill="FFFFFF" w:themeFill="background1"/>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（二）评标争议事项处理</w:t>
      </w:r>
    </w:p>
    <w:p w14:paraId="5F7E0AB7">
      <w:pPr>
        <w:pStyle w:val="14"/>
        <w:shd w:val="clear" w:color="auto" w:fill="FFFFFF" w:themeFill="background1"/>
        <w:tabs>
          <w:tab w:val="left" w:pos="2472"/>
        </w:tabs>
        <w:spacing w:line="360" w:lineRule="auto"/>
        <w:ind w:firstLine="420" w:firstLineChars="200"/>
        <w:rPr>
          <w:rFonts w:hAnsi="宋体" w:cs="宋体"/>
          <w:color w:val="auto"/>
          <w:highlight w:val="none"/>
        </w:rPr>
      </w:pPr>
      <w:r>
        <w:rPr>
          <w:rFonts w:hint="eastAsia" w:hAnsi="宋体" w:cs="宋体"/>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1B8482B9">
      <w:pPr>
        <w:widowControl/>
        <w:shd w:val="clear" w:color="auto" w:fill="FFFFFF" w:themeFill="background1"/>
        <w:jc w:val="left"/>
        <w:rPr>
          <w:rFonts w:ascii="宋体" w:hAnsi="宋体" w:cs="宋体"/>
          <w:b/>
          <w:color w:val="auto"/>
          <w:sz w:val="36"/>
          <w:szCs w:val="20"/>
          <w:highlight w:val="none"/>
        </w:rPr>
        <w:sectPr>
          <w:pgSz w:w="11905" w:h="16838"/>
          <w:pgMar w:top="1134" w:right="1134" w:bottom="1134" w:left="1134" w:header="850" w:footer="850" w:gutter="0"/>
          <w:pgNumType w:fmt="decimal"/>
          <w:cols w:space="0" w:num="1"/>
          <w:titlePg/>
          <w:docGrid w:linePitch="331" w:charSpace="0"/>
        </w:sectPr>
      </w:pPr>
    </w:p>
    <w:p w14:paraId="627BD2AA">
      <w:pPr>
        <w:pStyle w:val="14"/>
        <w:shd w:val="clear" w:color="auto" w:fill="FFFFFF" w:themeFill="background1"/>
        <w:tabs>
          <w:tab w:val="left" w:pos="2472"/>
        </w:tabs>
        <w:spacing w:line="460" w:lineRule="exact"/>
        <w:jc w:val="center"/>
        <w:rPr>
          <w:rFonts w:hAnsi="宋体" w:cs="宋体"/>
          <w:b/>
          <w:color w:val="auto"/>
          <w:sz w:val="36"/>
          <w:highlight w:val="none"/>
        </w:rPr>
      </w:pPr>
    </w:p>
    <w:p w14:paraId="6C18F311">
      <w:pPr>
        <w:pStyle w:val="14"/>
        <w:shd w:val="clear" w:color="auto" w:fill="FFFFFF" w:themeFill="background1"/>
        <w:tabs>
          <w:tab w:val="left" w:pos="2472"/>
        </w:tabs>
        <w:spacing w:line="460" w:lineRule="exact"/>
        <w:jc w:val="center"/>
        <w:rPr>
          <w:rFonts w:hAnsi="宋体" w:cs="宋体"/>
          <w:b/>
          <w:color w:val="auto"/>
          <w:sz w:val="36"/>
          <w:highlight w:val="none"/>
        </w:rPr>
      </w:pPr>
    </w:p>
    <w:p w14:paraId="69BECB9D">
      <w:pPr>
        <w:pStyle w:val="14"/>
        <w:shd w:val="clear" w:color="auto" w:fill="FFFFFF" w:themeFill="background1"/>
        <w:tabs>
          <w:tab w:val="left" w:pos="2472"/>
        </w:tabs>
        <w:spacing w:line="460" w:lineRule="exact"/>
        <w:jc w:val="center"/>
        <w:rPr>
          <w:rFonts w:hAnsi="宋体" w:cs="宋体"/>
          <w:b/>
          <w:color w:val="auto"/>
          <w:sz w:val="36"/>
          <w:highlight w:val="none"/>
        </w:rPr>
      </w:pPr>
    </w:p>
    <w:p w14:paraId="18B07863">
      <w:pPr>
        <w:pStyle w:val="14"/>
        <w:shd w:val="clear" w:color="auto" w:fill="FFFFFF" w:themeFill="background1"/>
        <w:tabs>
          <w:tab w:val="left" w:pos="2472"/>
        </w:tabs>
        <w:spacing w:line="460" w:lineRule="exact"/>
        <w:jc w:val="center"/>
        <w:rPr>
          <w:rFonts w:hAnsi="宋体" w:cs="宋体"/>
          <w:b/>
          <w:color w:val="auto"/>
          <w:sz w:val="36"/>
          <w:highlight w:val="none"/>
        </w:rPr>
      </w:pPr>
    </w:p>
    <w:p w14:paraId="5B07063F">
      <w:pPr>
        <w:pStyle w:val="14"/>
        <w:shd w:val="clear" w:color="auto" w:fill="FFFFFF" w:themeFill="background1"/>
        <w:tabs>
          <w:tab w:val="left" w:pos="2472"/>
        </w:tabs>
        <w:spacing w:line="460" w:lineRule="exact"/>
        <w:jc w:val="center"/>
        <w:rPr>
          <w:rFonts w:hAnsi="宋体" w:cs="宋体"/>
          <w:b/>
          <w:color w:val="auto"/>
          <w:sz w:val="36"/>
          <w:highlight w:val="none"/>
        </w:rPr>
      </w:pPr>
    </w:p>
    <w:p w14:paraId="2644D176">
      <w:pPr>
        <w:pStyle w:val="14"/>
        <w:shd w:val="clear" w:color="auto" w:fill="FFFFFF" w:themeFill="background1"/>
        <w:tabs>
          <w:tab w:val="left" w:pos="2472"/>
        </w:tabs>
        <w:spacing w:line="460" w:lineRule="exact"/>
        <w:jc w:val="center"/>
        <w:rPr>
          <w:rFonts w:hAnsi="宋体" w:cs="宋体"/>
          <w:b/>
          <w:color w:val="auto"/>
          <w:sz w:val="36"/>
          <w:highlight w:val="none"/>
        </w:rPr>
      </w:pPr>
    </w:p>
    <w:p w14:paraId="1D9CA947">
      <w:pPr>
        <w:pStyle w:val="14"/>
        <w:shd w:val="clear" w:color="auto" w:fill="FFFFFF" w:themeFill="background1"/>
        <w:tabs>
          <w:tab w:val="left" w:pos="2472"/>
        </w:tabs>
        <w:spacing w:line="460" w:lineRule="exact"/>
        <w:jc w:val="center"/>
        <w:rPr>
          <w:rFonts w:hAnsi="宋体" w:cs="宋体"/>
          <w:b/>
          <w:color w:val="auto"/>
          <w:sz w:val="36"/>
          <w:highlight w:val="none"/>
        </w:rPr>
      </w:pPr>
    </w:p>
    <w:p w14:paraId="3010E3E4">
      <w:pPr>
        <w:pStyle w:val="14"/>
        <w:shd w:val="clear" w:color="auto" w:fill="FFFFFF" w:themeFill="background1"/>
        <w:tabs>
          <w:tab w:val="left" w:pos="2472"/>
        </w:tabs>
        <w:spacing w:line="460" w:lineRule="exact"/>
        <w:jc w:val="center"/>
        <w:rPr>
          <w:rFonts w:hAnsi="宋体" w:cs="宋体"/>
          <w:b/>
          <w:color w:val="auto"/>
          <w:sz w:val="36"/>
          <w:highlight w:val="none"/>
        </w:rPr>
      </w:pPr>
    </w:p>
    <w:p w14:paraId="4429C164">
      <w:pPr>
        <w:pStyle w:val="14"/>
        <w:shd w:val="clear" w:color="auto" w:fill="FFFFFF" w:themeFill="background1"/>
        <w:tabs>
          <w:tab w:val="left" w:pos="2472"/>
        </w:tabs>
        <w:spacing w:line="460" w:lineRule="exact"/>
        <w:jc w:val="center"/>
        <w:rPr>
          <w:rFonts w:hAnsi="宋体" w:cs="宋体"/>
          <w:b/>
          <w:color w:val="auto"/>
          <w:sz w:val="36"/>
          <w:highlight w:val="none"/>
        </w:rPr>
      </w:pPr>
    </w:p>
    <w:p w14:paraId="5157F44B">
      <w:pPr>
        <w:pStyle w:val="14"/>
        <w:shd w:val="clear" w:color="auto" w:fill="FFFFFF" w:themeFill="background1"/>
        <w:tabs>
          <w:tab w:val="left" w:pos="2472"/>
        </w:tabs>
        <w:spacing w:line="460" w:lineRule="exact"/>
        <w:jc w:val="center"/>
        <w:rPr>
          <w:rFonts w:hAnsi="宋体" w:cs="宋体"/>
          <w:b/>
          <w:color w:val="auto"/>
          <w:sz w:val="36"/>
          <w:highlight w:val="none"/>
        </w:rPr>
      </w:pPr>
    </w:p>
    <w:p w14:paraId="28A08BC9">
      <w:pPr>
        <w:pStyle w:val="14"/>
        <w:shd w:val="clear" w:color="auto" w:fill="FFFFFF" w:themeFill="background1"/>
        <w:tabs>
          <w:tab w:val="left" w:pos="2472"/>
        </w:tabs>
        <w:spacing w:line="460" w:lineRule="exact"/>
        <w:jc w:val="center"/>
        <w:rPr>
          <w:rFonts w:hAnsi="宋体" w:cs="宋体"/>
          <w:b/>
          <w:color w:val="auto"/>
          <w:sz w:val="36"/>
          <w:highlight w:val="none"/>
        </w:rPr>
      </w:pPr>
    </w:p>
    <w:p w14:paraId="6381C4E9">
      <w:pPr>
        <w:pStyle w:val="14"/>
        <w:shd w:val="clear" w:color="auto" w:fill="FFFFFF" w:themeFill="background1"/>
        <w:tabs>
          <w:tab w:val="left" w:pos="2472"/>
        </w:tabs>
        <w:spacing w:line="460" w:lineRule="exact"/>
        <w:jc w:val="center"/>
        <w:rPr>
          <w:rFonts w:hAnsi="宋体" w:cs="宋体"/>
          <w:b/>
          <w:color w:val="auto"/>
          <w:sz w:val="36"/>
          <w:highlight w:val="none"/>
        </w:rPr>
      </w:pPr>
    </w:p>
    <w:p w14:paraId="1E471A60">
      <w:pPr>
        <w:pStyle w:val="14"/>
        <w:shd w:val="clear" w:color="auto" w:fill="FFFFFF" w:themeFill="background1"/>
        <w:tabs>
          <w:tab w:val="left" w:pos="2472"/>
        </w:tabs>
        <w:spacing w:line="460" w:lineRule="exact"/>
        <w:jc w:val="center"/>
        <w:rPr>
          <w:rFonts w:hAnsi="宋体" w:cs="宋体"/>
          <w:b/>
          <w:color w:val="auto"/>
          <w:sz w:val="36"/>
          <w:highlight w:val="none"/>
        </w:rPr>
      </w:pPr>
    </w:p>
    <w:p w14:paraId="5CED3C0E">
      <w:pPr>
        <w:pStyle w:val="14"/>
        <w:shd w:val="clear" w:color="auto" w:fill="FFFFFF" w:themeFill="background1"/>
        <w:tabs>
          <w:tab w:val="left" w:pos="2472"/>
        </w:tabs>
        <w:spacing w:line="460" w:lineRule="exact"/>
        <w:jc w:val="center"/>
        <w:outlineLvl w:val="0"/>
        <w:rPr>
          <w:rFonts w:hAnsi="宋体" w:cs="宋体"/>
          <w:b/>
          <w:color w:val="auto"/>
          <w:sz w:val="36"/>
          <w:highlight w:val="none"/>
        </w:rPr>
      </w:pPr>
      <w:bookmarkStart w:id="332" w:name="_Toc9012"/>
      <w:bookmarkStart w:id="333" w:name="_Toc31791"/>
      <w:bookmarkStart w:id="334" w:name="_Toc3838"/>
      <w:bookmarkStart w:id="335" w:name="_Toc32021"/>
      <w:bookmarkStart w:id="336" w:name="_Toc29347"/>
      <w:bookmarkStart w:id="337" w:name="_Toc3422"/>
      <w:bookmarkStart w:id="338" w:name="_Toc20993"/>
      <w:bookmarkStart w:id="339" w:name="_Toc7167"/>
      <w:bookmarkStart w:id="340" w:name="_Toc27014"/>
      <w:bookmarkStart w:id="341" w:name="_Toc9058"/>
      <w:bookmarkStart w:id="342" w:name="_Toc25572"/>
      <w:bookmarkStart w:id="343" w:name="_Toc17049"/>
      <w:bookmarkStart w:id="344" w:name="_Toc26262"/>
      <w:r>
        <w:rPr>
          <w:rFonts w:hint="eastAsia" w:hAnsi="宋体" w:cs="宋体"/>
          <w:b/>
          <w:color w:val="auto"/>
          <w:sz w:val="36"/>
          <w:highlight w:val="none"/>
        </w:rPr>
        <w:t>第五章 拟签订的合同文本</w:t>
      </w:r>
      <w:bookmarkEnd w:id="332"/>
      <w:bookmarkEnd w:id="333"/>
      <w:bookmarkEnd w:id="334"/>
      <w:bookmarkEnd w:id="335"/>
      <w:bookmarkEnd w:id="336"/>
      <w:bookmarkEnd w:id="337"/>
      <w:bookmarkEnd w:id="338"/>
      <w:bookmarkEnd w:id="339"/>
      <w:bookmarkEnd w:id="340"/>
      <w:bookmarkEnd w:id="341"/>
      <w:bookmarkEnd w:id="342"/>
      <w:bookmarkEnd w:id="343"/>
      <w:bookmarkEnd w:id="344"/>
    </w:p>
    <w:p w14:paraId="02AC5B16">
      <w:pPr>
        <w:widowControl/>
        <w:shd w:val="clear" w:color="auto" w:fill="FFFFFF" w:themeFill="background1"/>
        <w:jc w:val="left"/>
        <w:rPr>
          <w:rFonts w:ascii="宋体" w:hAnsi="宋体" w:cs="宋体"/>
          <w:bCs/>
          <w:color w:val="auto"/>
          <w:szCs w:val="20"/>
          <w:highlight w:val="none"/>
        </w:rPr>
        <w:sectPr>
          <w:pgSz w:w="11905" w:h="16838"/>
          <w:pgMar w:top="1134" w:right="1134" w:bottom="1134" w:left="1134" w:header="850" w:footer="850" w:gutter="0"/>
          <w:pgNumType w:fmt="decimal"/>
          <w:cols w:space="0" w:num="1"/>
          <w:titlePg/>
          <w:docGrid w:linePitch="331" w:charSpace="0"/>
        </w:sectPr>
      </w:pPr>
    </w:p>
    <w:p w14:paraId="6C9FD83F">
      <w:pPr>
        <w:pStyle w:val="14"/>
        <w:shd w:val="clear" w:color="auto" w:fill="FFFFFF" w:themeFill="background1"/>
        <w:jc w:val="center"/>
        <w:rPr>
          <w:rFonts w:hAnsi="宋体"/>
          <w:b/>
          <w:color w:val="auto"/>
          <w:sz w:val="52"/>
          <w:szCs w:val="52"/>
          <w:highlight w:val="none"/>
        </w:rPr>
      </w:pPr>
    </w:p>
    <w:p w14:paraId="1E6D16C6">
      <w:pPr>
        <w:pStyle w:val="14"/>
        <w:shd w:val="clear" w:color="auto" w:fill="FFFFFF" w:themeFill="background1"/>
        <w:jc w:val="center"/>
        <w:rPr>
          <w:rFonts w:ascii="方正大标宋简体" w:hAnsi="方正大标宋简体" w:eastAsia="方正大标宋简体" w:cs="方正大标宋简体"/>
          <w:bCs/>
          <w:color w:val="auto"/>
          <w:sz w:val="72"/>
          <w:szCs w:val="72"/>
          <w:highlight w:val="none"/>
        </w:rPr>
      </w:pPr>
      <w:r>
        <w:rPr>
          <w:rFonts w:hint="eastAsia" w:ascii="方正大标宋简体" w:hAnsi="方正大标宋简体" w:eastAsia="方正大标宋简体" w:cs="方正大标宋简体"/>
          <w:bCs/>
          <w:color w:val="auto"/>
          <w:sz w:val="72"/>
          <w:szCs w:val="72"/>
          <w:highlight w:val="none"/>
        </w:rPr>
        <w:t>采购合同</w:t>
      </w:r>
    </w:p>
    <w:p w14:paraId="41C8AA42">
      <w:pPr>
        <w:pStyle w:val="14"/>
        <w:shd w:val="clear" w:color="auto" w:fill="FFFFFF" w:themeFill="background1"/>
        <w:rPr>
          <w:rFonts w:hAnsi="宋体"/>
          <w:color w:val="auto"/>
          <w:highlight w:val="none"/>
        </w:rPr>
      </w:pPr>
    </w:p>
    <w:p w14:paraId="7F70FEC7">
      <w:pPr>
        <w:pStyle w:val="14"/>
        <w:shd w:val="clear" w:color="auto" w:fill="FFFFFF" w:themeFill="background1"/>
        <w:rPr>
          <w:rFonts w:hAnsi="宋体"/>
          <w:color w:val="auto"/>
          <w:highlight w:val="none"/>
        </w:rPr>
      </w:pPr>
    </w:p>
    <w:p w14:paraId="356EEB42">
      <w:pPr>
        <w:pStyle w:val="14"/>
        <w:shd w:val="clear" w:color="auto" w:fill="FFFFFF" w:themeFill="background1"/>
        <w:rPr>
          <w:rFonts w:hAnsi="宋体"/>
          <w:color w:val="auto"/>
          <w:highlight w:val="none"/>
        </w:rPr>
      </w:pPr>
    </w:p>
    <w:p w14:paraId="5D15FF91">
      <w:pPr>
        <w:pStyle w:val="14"/>
        <w:shd w:val="clear" w:color="auto" w:fill="FFFFFF" w:themeFill="background1"/>
        <w:rPr>
          <w:rFonts w:hAnsi="宋体"/>
          <w:color w:val="auto"/>
          <w:highlight w:val="none"/>
        </w:rPr>
      </w:pPr>
    </w:p>
    <w:p w14:paraId="1D16A906">
      <w:pPr>
        <w:pStyle w:val="14"/>
        <w:shd w:val="clear" w:color="auto" w:fill="FFFFFF" w:themeFill="background1"/>
        <w:rPr>
          <w:rFonts w:hAnsi="宋体"/>
          <w:color w:val="auto"/>
          <w:highlight w:val="none"/>
        </w:rPr>
      </w:pPr>
    </w:p>
    <w:p w14:paraId="31903866">
      <w:pPr>
        <w:pStyle w:val="14"/>
        <w:shd w:val="clear" w:color="auto" w:fill="FFFFFF" w:themeFill="background1"/>
        <w:rPr>
          <w:rFonts w:hAnsi="宋体"/>
          <w:color w:val="auto"/>
          <w:highlight w:val="none"/>
        </w:rPr>
      </w:pPr>
    </w:p>
    <w:p w14:paraId="08B991B1">
      <w:pPr>
        <w:pStyle w:val="14"/>
        <w:shd w:val="clear" w:color="auto" w:fill="FFFFFF" w:themeFill="background1"/>
        <w:rPr>
          <w:rFonts w:hAnsi="宋体" w:cs="宋体"/>
          <w:color w:val="auto"/>
          <w:highlight w:val="none"/>
        </w:rPr>
      </w:pPr>
    </w:p>
    <w:p w14:paraId="4B41A0DF">
      <w:pPr>
        <w:pStyle w:val="14"/>
        <w:shd w:val="clear" w:color="auto" w:fill="FFFFFF" w:themeFill="background1"/>
        <w:ind w:firstLine="1584" w:firstLineChars="495"/>
        <w:rPr>
          <w:rFonts w:hAnsi="宋体" w:cs="宋体"/>
          <w:bCs/>
          <w:color w:val="auto"/>
          <w:sz w:val="32"/>
          <w:szCs w:val="32"/>
          <w:highlight w:val="none"/>
          <w:u w:val="single"/>
        </w:rPr>
      </w:pPr>
      <w:r>
        <w:rPr>
          <w:rFonts w:hint="eastAsia" w:hAnsi="宋体" w:cs="宋体"/>
          <w:bCs/>
          <w:color w:val="auto"/>
          <w:sz w:val="32"/>
          <w:szCs w:val="32"/>
          <w:highlight w:val="none"/>
        </w:rPr>
        <w:t>合同名称：</w:t>
      </w:r>
      <w:r>
        <w:rPr>
          <w:rFonts w:hint="eastAsia" w:hAnsi="宋体" w:cs="宋体"/>
          <w:bCs/>
          <w:color w:val="auto"/>
          <w:sz w:val="32"/>
          <w:szCs w:val="32"/>
          <w:highlight w:val="none"/>
          <w:u w:val="single"/>
        </w:rPr>
        <w:t xml:space="preserve">                    </w:t>
      </w:r>
    </w:p>
    <w:p w14:paraId="5F573AEB">
      <w:pPr>
        <w:pStyle w:val="14"/>
        <w:shd w:val="clear" w:color="auto" w:fill="FFFFFF" w:themeFill="background1"/>
        <w:ind w:firstLine="1584" w:firstLineChars="495"/>
        <w:rPr>
          <w:rFonts w:hAnsi="宋体" w:cs="宋体"/>
          <w:bCs/>
          <w:color w:val="auto"/>
          <w:sz w:val="32"/>
          <w:szCs w:val="32"/>
          <w:highlight w:val="none"/>
          <w:u w:val="single"/>
        </w:rPr>
      </w:pPr>
    </w:p>
    <w:p w14:paraId="3DBF40DD">
      <w:pPr>
        <w:pStyle w:val="14"/>
        <w:shd w:val="clear" w:color="auto" w:fill="FFFFFF" w:themeFill="background1"/>
        <w:ind w:firstLine="1584" w:firstLineChars="495"/>
        <w:rPr>
          <w:rFonts w:hAnsi="宋体" w:cs="宋体"/>
          <w:bCs/>
          <w:color w:val="auto"/>
          <w:sz w:val="32"/>
          <w:szCs w:val="32"/>
          <w:highlight w:val="none"/>
          <w:u w:val="single"/>
        </w:rPr>
      </w:pPr>
      <w:r>
        <w:rPr>
          <w:rFonts w:hint="eastAsia" w:hAnsi="宋体" w:cs="宋体"/>
          <w:bCs/>
          <w:color w:val="auto"/>
          <w:sz w:val="32"/>
          <w:szCs w:val="32"/>
          <w:highlight w:val="none"/>
        </w:rPr>
        <w:t>合同编号：</w:t>
      </w:r>
      <w:r>
        <w:rPr>
          <w:rFonts w:hint="eastAsia" w:hAnsi="宋体" w:cs="宋体"/>
          <w:bCs/>
          <w:color w:val="auto"/>
          <w:sz w:val="32"/>
          <w:szCs w:val="32"/>
          <w:highlight w:val="none"/>
          <w:u w:val="single"/>
        </w:rPr>
        <w:t xml:space="preserve">                    </w:t>
      </w:r>
    </w:p>
    <w:p w14:paraId="0E49C6BE">
      <w:pPr>
        <w:pStyle w:val="14"/>
        <w:shd w:val="clear" w:color="auto" w:fill="FFFFFF" w:themeFill="background1"/>
        <w:jc w:val="center"/>
        <w:rPr>
          <w:rFonts w:hAnsi="宋体" w:cs="宋体"/>
          <w:bCs/>
          <w:color w:val="auto"/>
          <w:highlight w:val="none"/>
        </w:rPr>
      </w:pPr>
    </w:p>
    <w:p w14:paraId="69941B13">
      <w:pPr>
        <w:pStyle w:val="14"/>
        <w:shd w:val="clear" w:color="auto" w:fill="FFFFFF" w:themeFill="background1"/>
        <w:jc w:val="center"/>
        <w:rPr>
          <w:rFonts w:hAnsi="宋体" w:cs="宋体"/>
          <w:bCs/>
          <w:color w:val="auto"/>
          <w:highlight w:val="none"/>
        </w:rPr>
      </w:pPr>
    </w:p>
    <w:p w14:paraId="29D11A90">
      <w:pPr>
        <w:pStyle w:val="14"/>
        <w:shd w:val="clear" w:color="auto" w:fill="FFFFFF" w:themeFill="background1"/>
        <w:jc w:val="center"/>
        <w:rPr>
          <w:rFonts w:hAnsi="宋体" w:cs="宋体"/>
          <w:bCs/>
          <w:color w:val="auto"/>
          <w:highlight w:val="none"/>
        </w:rPr>
      </w:pPr>
    </w:p>
    <w:p w14:paraId="559EE631">
      <w:pPr>
        <w:pStyle w:val="14"/>
        <w:shd w:val="clear" w:color="auto" w:fill="FFFFFF" w:themeFill="background1"/>
        <w:jc w:val="center"/>
        <w:rPr>
          <w:rFonts w:hAnsi="宋体" w:cs="宋体"/>
          <w:bCs/>
          <w:color w:val="auto"/>
          <w:highlight w:val="none"/>
        </w:rPr>
      </w:pPr>
    </w:p>
    <w:p w14:paraId="57D5F662">
      <w:pPr>
        <w:pStyle w:val="14"/>
        <w:shd w:val="clear" w:color="auto" w:fill="FFFFFF" w:themeFill="background1"/>
        <w:jc w:val="center"/>
        <w:rPr>
          <w:rFonts w:hAnsi="宋体" w:cs="宋体"/>
          <w:bCs/>
          <w:color w:val="auto"/>
          <w:highlight w:val="none"/>
        </w:rPr>
      </w:pPr>
    </w:p>
    <w:p w14:paraId="2F28A289">
      <w:pPr>
        <w:pStyle w:val="14"/>
        <w:shd w:val="clear" w:color="auto" w:fill="FFFFFF" w:themeFill="background1"/>
        <w:spacing w:line="340" w:lineRule="exact"/>
        <w:ind w:firstLine="1584" w:firstLineChars="495"/>
        <w:rPr>
          <w:rFonts w:hAnsi="宋体" w:cs="宋体"/>
          <w:bCs/>
          <w:color w:val="auto"/>
          <w:sz w:val="32"/>
          <w:szCs w:val="32"/>
          <w:highlight w:val="none"/>
        </w:rPr>
      </w:pPr>
      <w:r>
        <w:rPr>
          <w:rFonts w:hint="eastAsia" w:hAnsi="宋体" w:cs="宋体"/>
          <w:bCs/>
          <w:color w:val="auto"/>
          <w:sz w:val="32"/>
          <w:szCs w:val="32"/>
          <w:highlight w:val="none"/>
        </w:rPr>
        <w:t>采购单位（甲方）</w:t>
      </w:r>
      <w:r>
        <w:rPr>
          <w:rFonts w:hint="eastAsia" w:hAnsi="宋体" w:cs="宋体"/>
          <w:bCs/>
          <w:color w:val="auto"/>
          <w:sz w:val="32"/>
          <w:szCs w:val="32"/>
          <w:highlight w:val="none"/>
          <w:u w:val="single"/>
        </w:rPr>
        <w:t xml:space="preserve">                    </w:t>
      </w:r>
    </w:p>
    <w:p w14:paraId="224D03D5">
      <w:pPr>
        <w:pStyle w:val="14"/>
        <w:shd w:val="clear" w:color="auto" w:fill="FFFFFF" w:themeFill="background1"/>
        <w:spacing w:line="340" w:lineRule="exact"/>
        <w:ind w:firstLine="1584" w:firstLineChars="495"/>
        <w:rPr>
          <w:rFonts w:hAnsi="宋体" w:cs="宋体"/>
          <w:bCs/>
          <w:color w:val="auto"/>
          <w:sz w:val="32"/>
          <w:szCs w:val="32"/>
          <w:highlight w:val="none"/>
        </w:rPr>
      </w:pPr>
    </w:p>
    <w:p w14:paraId="76B8052E">
      <w:pPr>
        <w:pStyle w:val="14"/>
        <w:shd w:val="clear" w:color="auto" w:fill="FFFFFF" w:themeFill="background1"/>
        <w:spacing w:line="340" w:lineRule="exact"/>
        <w:rPr>
          <w:rFonts w:hAnsi="宋体" w:cs="宋体"/>
          <w:bCs/>
          <w:color w:val="auto"/>
          <w:sz w:val="32"/>
          <w:szCs w:val="32"/>
          <w:highlight w:val="none"/>
        </w:rPr>
      </w:pPr>
    </w:p>
    <w:p w14:paraId="296D84C5">
      <w:pPr>
        <w:pStyle w:val="14"/>
        <w:shd w:val="clear" w:color="auto" w:fill="FFFFFF" w:themeFill="background1"/>
        <w:spacing w:line="340" w:lineRule="exact"/>
        <w:ind w:firstLine="1584" w:firstLineChars="495"/>
        <w:rPr>
          <w:rFonts w:hAnsi="宋体" w:cs="宋体"/>
          <w:bCs/>
          <w:color w:val="auto"/>
          <w:sz w:val="32"/>
          <w:szCs w:val="32"/>
          <w:highlight w:val="none"/>
        </w:rPr>
      </w:pPr>
      <w:r>
        <w:rPr>
          <w:rFonts w:hint="eastAsia" w:hAnsi="宋体" w:cs="宋体"/>
          <w:bCs/>
          <w:color w:val="auto"/>
          <w:sz w:val="32"/>
          <w:szCs w:val="32"/>
          <w:highlight w:val="none"/>
        </w:rPr>
        <w:t>供 应 商（乙方）</w:t>
      </w:r>
      <w:r>
        <w:rPr>
          <w:rFonts w:hint="eastAsia" w:hAnsi="宋体" w:cs="宋体"/>
          <w:bCs/>
          <w:color w:val="auto"/>
          <w:sz w:val="32"/>
          <w:szCs w:val="32"/>
          <w:highlight w:val="none"/>
          <w:u w:val="single"/>
        </w:rPr>
        <w:t xml:space="preserve">                   </w:t>
      </w:r>
    </w:p>
    <w:p w14:paraId="7025889B">
      <w:pPr>
        <w:pStyle w:val="14"/>
        <w:shd w:val="clear" w:color="auto" w:fill="FFFFFF" w:themeFill="background1"/>
        <w:spacing w:line="340" w:lineRule="exact"/>
        <w:ind w:firstLine="1039" w:firstLineChars="495"/>
        <w:rPr>
          <w:rFonts w:ascii="方正公文小标宋" w:hAnsi="方正公文小标宋" w:eastAsia="方正公文小标宋" w:cs="方正公文小标宋"/>
          <w:bCs/>
          <w:color w:val="auto"/>
          <w:highlight w:val="none"/>
        </w:rPr>
      </w:pPr>
      <w:r>
        <w:rPr>
          <w:rFonts w:hint="eastAsia" w:ascii="方正公文小标宋" w:hAnsi="方正公文小标宋" w:eastAsia="方正公文小标宋" w:cs="方正公文小标宋"/>
          <w:bCs/>
          <w:color w:val="auto"/>
          <w:highlight w:val="none"/>
        </w:rPr>
        <w:t xml:space="preserve">     </w:t>
      </w:r>
    </w:p>
    <w:p w14:paraId="50AF76CB">
      <w:pPr>
        <w:pStyle w:val="14"/>
        <w:shd w:val="clear" w:color="auto" w:fill="FFFFFF" w:themeFill="background1"/>
        <w:jc w:val="center"/>
        <w:rPr>
          <w:rFonts w:hAnsi="宋体"/>
          <w:color w:val="auto"/>
          <w:highlight w:val="none"/>
        </w:rPr>
      </w:pPr>
    </w:p>
    <w:p w14:paraId="0D0113A1">
      <w:pPr>
        <w:pStyle w:val="14"/>
        <w:shd w:val="clear" w:color="auto" w:fill="FFFFFF" w:themeFill="background1"/>
        <w:jc w:val="center"/>
        <w:rPr>
          <w:rFonts w:hAnsi="宋体"/>
          <w:color w:val="auto"/>
          <w:highlight w:val="none"/>
        </w:rPr>
      </w:pPr>
    </w:p>
    <w:p w14:paraId="5B34321F">
      <w:pPr>
        <w:pStyle w:val="14"/>
        <w:shd w:val="clear" w:color="auto" w:fill="FFFFFF" w:themeFill="background1"/>
        <w:jc w:val="center"/>
        <w:rPr>
          <w:rFonts w:hAnsi="宋体"/>
          <w:color w:val="auto"/>
          <w:highlight w:val="none"/>
        </w:rPr>
      </w:pPr>
    </w:p>
    <w:p w14:paraId="2C254BB7">
      <w:pPr>
        <w:pStyle w:val="14"/>
        <w:shd w:val="clear" w:color="auto" w:fill="FFFFFF" w:themeFill="background1"/>
        <w:jc w:val="center"/>
        <w:rPr>
          <w:rFonts w:hAnsi="宋体"/>
          <w:color w:val="auto"/>
          <w:highlight w:val="none"/>
        </w:rPr>
      </w:pPr>
    </w:p>
    <w:p w14:paraId="46FDBDAC">
      <w:pPr>
        <w:pStyle w:val="14"/>
        <w:shd w:val="clear" w:color="auto" w:fill="FFFFFF" w:themeFill="background1"/>
        <w:jc w:val="center"/>
        <w:rPr>
          <w:rFonts w:hAnsi="宋体"/>
          <w:color w:val="auto"/>
          <w:highlight w:val="none"/>
        </w:rPr>
      </w:pPr>
    </w:p>
    <w:p w14:paraId="46A4C9CC">
      <w:pPr>
        <w:pStyle w:val="14"/>
        <w:shd w:val="clear" w:color="auto" w:fill="FFFFFF" w:themeFill="background1"/>
        <w:jc w:val="center"/>
        <w:rPr>
          <w:rFonts w:hAnsi="宋体"/>
          <w:color w:val="auto"/>
          <w:highlight w:val="none"/>
        </w:rPr>
      </w:pPr>
    </w:p>
    <w:p w14:paraId="58A5EEF3">
      <w:pPr>
        <w:pStyle w:val="14"/>
        <w:shd w:val="clear" w:color="auto" w:fill="FFFFFF" w:themeFill="background1"/>
        <w:jc w:val="center"/>
        <w:rPr>
          <w:rFonts w:hAnsi="宋体"/>
          <w:color w:val="auto"/>
          <w:highlight w:val="none"/>
        </w:rPr>
      </w:pPr>
    </w:p>
    <w:p w14:paraId="50061E3D">
      <w:pPr>
        <w:pStyle w:val="14"/>
        <w:shd w:val="clear" w:color="auto" w:fill="FFFFFF" w:themeFill="background1"/>
        <w:jc w:val="center"/>
        <w:rPr>
          <w:rFonts w:hAnsi="宋体"/>
          <w:color w:val="auto"/>
          <w:highlight w:val="none"/>
        </w:rPr>
      </w:pPr>
    </w:p>
    <w:p w14:paraId="2AA6C42E">
      <w:pPr>
        <w:shd w:val="clear" w:color="auto" w:fill="FFFFFF" w:themeFill="background1"/>
        <w:rPr>
          <w:rFonts w:ascii="黑体" w:hAnsi="宋体" w:eastAsia="黑体"/>
          <w:b/>
          <w:color w:val="auto"/>
          <w:sz w:val="44"/>
          <w:szCs w:val="44"/>
          <w:highlight w:val="none"/>
        </w:rPr>
      </w:pPr>
      <w:r>
        <w:rPr>
          <w:rFonts w:hint="eastAsia" w:ascii="黑体" w:hAnsi="宋体" w:eastAsia="黑体"/>
          <w:b/>
          <w:color w:val="auto"/>
          <w:sz w:val="44"/>
          <w:szCs w:val="44"/>
          <w:highlight w:val="none"/>
        </w:rPr>
        <w:br w:type="page"/>
      </w:r>
    </w:p>
    <w:p w14:paraId="21062C3C">
      <w:pPr>
        <w:shd w:val="clear" w:color="auto" w:fill="FFFFFF" w:themeFill="background1"/>
        <w:snapToGrid w:val="0"/>
        <w:spacing w:line="400" w:lineRule="exact"/>
        <w:jc w:val="center"/>
        <w:rPr>
          <w:rFonts w:ascii="宋体" w:hAnsi="宋体" w:cs="宋体"/>
          <w:color w:val="auto"/>
          <w:highlight w:val="none"/>
        </w:rPr>
      </w:pPr>
      <w:r>
        <w:rPr>
          <w:rFonts w:hint="eastAsia" w:ascii="宋体" w:hAnsi="宋体" w:cs="宋体"/>
          <w:b/>
          <w:bCs/>
          <w:color w:val="auto"/>
          <w:sz w:val="32"/>
          <w:szCs w:val="32"/>
          <w:highlight w:val="none"/>
        </w:rPr>
        <w:t>《广西壮族自治区政府采购合同》</w:t>
      </w:r>
      <w:r>
        <w:rPr>
          <w:rFonts w:hint="eastAsia" w:ascii="宋体" w:hAnsi="宋体" w:cs="宋体"/>
          <w:b/>
          <w:color w:val="auto"/>
          <w:sz w:val="32"/>
          <w:szCs w:val="32"/>
          <w:highlight w:val="none"/>
        </w:rPr>
        <w:t>文本</w:t>
      </w:r>
    </w:p>
    <w:p w14:paraId="2BE348B4">
      <w:pPr>
        <w:shd w:val="clear" w:color="auto" w:fill="FFFFFF" w:themeFill="background1"/>
        <w:spacing w:line="520" w:lineRule="exact"/>
        <w:rPr>
          <w:rFonts w:ascii="宋体" w:hAnsi="宋体" w:cs="宋体"/>
          <w:b/>
          <w:color w:val="auto"/>
          <w:sz w:val="32"/>
          <w:szCs w:val="32"/>
          <w:highlight w:val="none"/>
        </w:rPr>
      </w:pPr>
    </w:p>
    <w:p w14:paraId="2A9E6BA8">
      <w:pPr>
        <w:wordWrap w:val="0"/>
        <w:snapToGrid w:val="0"/>
        <w:spacing w:line="400" w:lineRule="exact"/>
        <w:ind w:right="480"/>
        <w:rPr>
          <w:rFonts w:ascii="宋体" w:hAnsi="宋体" w:cs="宋体"/>
          <w:bCs/>
          <w:color w:val="auto"/>
          <w:szCs w:val="21"/>
          <w:highlight w:val="none"/>
          <w:u w:val="single"/>
        </w:rPr>
      </w:pPr>
      <w:r>
        <w:rPr>
          <w:rFonts w:hint="eastAsia" w:ascii="宋体" w:hAnsi="宋体" w:cs="宋体"/>
          <w:bCs/>
          <w:color w:val="auto"/>
          <w:szCs w:val="21"/>
          <w:highlight w:val="none"/>
        </w:rPr>
        <w:t xml:space="preserve">合同编号：                                 </w:t>
      </w:r>
    </w:p>
    <w:p w14:paraId="3BDABA7A">
      <w:pPr>
        <w:snapToGrid w:val="0"/>
        <w:spacing w:line="360" w:lineRule="exact"/>
        <w:rPr>
          <w:rFonts w:ascii="宋体" w:hAnsi="宋体" w:cs="宋体"/>
          <w:color w:val="auto"/>
          <w:szCs w:val="21"/>
          <w:highlight w:val="none"/>
          <w:u w:val="single"/>
        </w:rPr>
      </w:pPr>
      <w:r>
        <w:rPr>
          <w:rFonts w:hint="eastAsia" w:ascii="宋体" w:hAnsi="宋体" w:cs="宋体"/>
          <w:color w:val="auto"/>
          <w:szCs w:val="21"/>
          <w:highlight w:val="none"/>
        </w:rPr>
        <w:t>采购单位（甲方）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采购计划号</w:t>
      </w:r>
      <w:r>
        <w:rPr>
          <w:rFonts w:hint="eastAsia" w:ascii="宋体" w:hAnsi="宋体" w:cs="宋体"/>
          <w:color w:val="auto"/>
          <w:szCs w:val="21"/>
          <w:highlight w:val="none"/>
          <w:u w:val="single"/>
        </w:rPr>
        <w:t xml:space="preserve">                         .</w:t>
      </w:r>
    </w:p>
    <w:p w14:paraId="261DBFF7">
      <w:pPr>
        <w:snapToGrid w:val="0"/>
        <w:spacing w:line="360" w:lineRule="exact"/>
        <w:rPr>
          <w:rFonts w:ascii="宋体" w:hAnsi="宋体" w:cs="宋体"/>
          <w:color w:val="auto"/>
          <w:szCs w:val="21"/>
          <w:highlight w:val="none"/>
          <w:u w:val="single"/>
        </w:rPr>
      </w:pPr>
      <w:r>
        <w:rPr>
          <w:rFonts w:hint="eastAsia" w:ascii="宋体" w:hAnsi="宋体" w:cs="宋体"/>
          <w:color w:val="auto"/>
          <w:szCs w:val="21"/>
          <w:highlight w:val="none"/>
        </w:rPr>
        <w:t>供 应 商（乙方）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项目名称和编号</w:t>
      </w:r>
      <w:r>
        <w:rPr>
          <w:rFonts w:hint="eastAsia" w:ascii="宋体" w:hAnsi="宋体" w:cs="宋体"/>
          <w:color w:val="auto"/>
          <w:szCs w:val="21"/>
          <w:highlight w:val="none"/>
          <w:u w:val="single"/>
        </w:rPr>
        <w:t xml:space="preserve">                        .</w:t>
      </w:r>
    </w:p>
    <w:p w14:paraId="3DD1115A">
      <w:pPr>
        <w:snapToGrid w:val="0"/>
        <w:spacing w:line="360" w:lineRule="exact"/>
        <w:rPr>
          <w:rFonts w:hint="eastAsia" w:ascii="宋体" w:hAnsi="宋体" w:cs="宋体"/>
          <w:color w:val="auto"/>
          <w:szCs w:val="21"/>
          <w:highlight w:val="none"/>
          <w:u w:val="single"/>
        </w:rPr>
      </w:pPr>
      <w:r>
        <w:rPr>
          <w:rFonts w:hint="eastAsia" w:ascii="宋体" w:hAnsi="宋体" w:cs="宋体"/>
          <w:color w:val="auto"/>
          <w:szCs w:val="21"/>
          <w:highlight w:val="none"/>
        </w:rPr>
        <w:t xml:space="preserve">签  订  地  点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签 订 时 间</w:t>
      </w:r>
      <w:r>
        <w:rPr>
          <w:rFonts w:hint="eastAsia" w:ascii="宋体" w:hAnsi="宋体" w:cs="宋体"/>
          <w:color w:val="auto"/>
          <w:szCs w:val="21"/>
          <w:highlight w:val="none"/>
          <w:u w:val="single"/>
        </w:rPr>
        <w:t xml:space="preserve">                         .</w:t>
      </w:r>
    </w:p>
    <w:p w14:paraId="09F0AE28">
      <w:pPr>
        <w:snapToGrid w:val="0"/>
        <w:spacing w:line="360" w:lineRule="exact"/>
        <w:rPr>
          <w:rFonts w:ascii="宋体" w:hAnsi="宋体" w:cs="宋体"/>
          <w:color w:val="auto"/>
          <w:szCs w:val="21"/>
          <w:highlight w:val="none"/>
        </w:rPr>
      </w:pPr>
      <w:r>
        <w:rPr>
          <w:rFonts w:hint="eastAsia" w:ascii="宋体" w:hAnsi="宋体" w:eastAsia="宋体" w:cs="宋体"/>
          <w:color w:val="auto"/>
          <w:szCs w:val="21"/>
          <w:highlight w:val="none"/>
        </w:rPr>
        <w:t>本合同为中小企业预留合同：</w:t>
      </w:r>
      <w:r>
        <w:rPr>
          <w:rFonts w:hint="eastAsia" w:ascii="宋体" w:hAnsi="宋体" w:eastAsia="宋体" w:cs="宋体"/>
          <w:color w:val="auto"/>
          <w:szCs w:val="21"/>
          <w:highlight w:val="none"/>
          <w:u w:val="single"/>
        </w:rPr>
        <w:t>（是/否）</w:t>
      </w:r>
      <w:r>
        <w:rPr>
          <w:rFonts w:hint="eastAsia" w:ascii="宋体" w:hAnsi="宋体" w:eastAsia="宋体" w:cs="宋体"/>
          <w:color w:val="auto"/>
          <w:szCs w:val="21"/>
          <w:highlight w:val="none"/>
        </w:rPr>
        <w:t>。</w:t>
      </w:r>
    </w:p>
    <w:p w14:paraId="2C9CE968">
      <w:pPr>
        <w:snapToGrid w:val="0"/>
        <w:spacing w:line="300" w:lineRule="auto"/>
        <w:ind w:firstLine="420" w:firstLineChars="200"/>
        <w:jc w:val="left"/>
        <w:rPr>
          <w:rFonts w:hint="eastAsia" w:ascii="宋体" w:hAnsi="宋体" w:cs="宋体"/>
          <w:color w:val="auto"/>
          <w:szCs w:val="21"/>
          <w:highlight w:val="none"/>
        </w:rPr>
      </w:pPr>
    </w:p>
    <w:p w14:paraId="7A084389">
      <w:pPr>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根据《中华人民共和国民法典》、《中华人民共和国政府采购法》等法律、法规规定，根据</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项目（项目编号：</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）的中标结果，甲方确定乙方为本项目的中标供应商。按照采购文件规定条款和中标供应商投标文件及承诺，甲乙双方签订本合同。</w:t>
      </w:r>
    </w:p>
    <w:p w14:paraId="34976703">
      <w:pPr>
        <w:tabs>
          <w:tab w:val="right" w:pos="8312"/>
        </w:tabs>
        <w:snapToGrid w:val="0"/>
        <w:spacing w:line="440" w:lineRule="exact"/>
        <w:ind w:firstLine="422" w:firstLineChars="200"/>
        <w:rPr>
          <w:rFonts w:ascii="宋体" w:hAnsi="宋体"/>
          <w:b/>
          <w:color w:val="auto"/>
          <w:szCs w:val="21"/>
          <w:highlight w:val="none"/>
        </w:rPr>
      </w:pPr>
      <w:r>
        <w:rPr>
          <w:rFonts w:hint="eastAsia" w:ascii="宋体" w:hAnsi="宋体"/>
          <w:b/>
          <w:color w:val="auto"/>
          <w:szCs w:val="21"/>
          <w:highlight w:val="none"/>
        </w:rPr>
        <w:t>第一条　合同标的</w:t>
      </w:r>
    </w:p>
    <w:tbl>
      <w:tblPr>
        <w:tblStyle w:val="25"/>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7"/>
        <w:gridCol w:w="3228"/>
        <w:gridCol w:w="3910"/>
        <w:gridCol w:w="1868"/>
      </w:tblGrid>
      <w:tr w14:paraId="3DA4C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0" w:type="pct"/>
            <w:tcBorders>
              <w:top w:val="single" w:color="000000" w:sz="4" w:space="0"/>
              <w:left w:val="single" w:color="000000" w:sz="4" w:space="0"/>
              <w:bottom w:val="single" w:color="000000" w:sz="4" w:space="0"/>
              <w:right w:val="single" w:color="000000" w:sz="4" w:space="0"/>
            </w:tcBorders>
            <w:noWrap/>
            <w:vAlign w:val="center"/>
          </w:tcPr>
          <w:p w14:paraId="4173CBD5">
            <w:pPr>
              <w:spacing w:line="440" w:lineRule="exact"/>
              <w:jc w:val="center"/>
              <w:rPr>
                <w:rFonts w:ascii="宋体" w:hAnsi="宋体"/>
                <w:color w:val="auto"/>
                <w:szCs w:val="21"/>
                <w:highlight w:val="none"/>
              </w:rPr>
            </w:pPr>
            <w:r>
              <w:rPr>
                <w:rFonts w:hint="eastAsia" w:ascii="宋体" w:hAnsi="宋体"/>
                <w:color w:val="auto"/>
                <w:szCs w:val="21"/>
                <w:highlight w:val="none"/>
              </w:rPr>
              <w:t>序号</w:t>
            </w:r>
          </w:p>
        </w:tc>
        <w:tc>
          <w:tcPr>
            <w:tcW w:w="1638" w:type="pct"/>
            <w:tcBorders>
              <w:top w:val="single" w:color="000000" w:sz="4" w:space="0"/>
              <w:left w:val="single" w:color="000000" w:sz="4" w:space="0"/>
              <w:bottom w:val="single" w:color="000000" w:sz="4" w:space="0"/>
              <w:right w:val="single" w:color="000000" w:sz="4" w:space="0"/>
            </w:tcBorders>
            <w:noWrap/>
            <w:vAlign w:val="center"/>
          </w:tcPr>
          <w:p w14:paraId="3C42FD64">
            <w:pPr>
              <w:spacing w:line="440" w:lineRule="exact"/>
              <w:jc w:val="center"/>
              <w:rPr>
                <w:rFonts w:ascii="宋体" w:hAnsi="宋体"/>
                <w:color w:val="auto"/>
                <w:szCs w:val="21"/>
                <w:highlight w:val="none"/>
              </w:rPr>
            </w:pPr>
            <w:r>
              <w:rPr>
                <w:rFonts w:hint="eastAsia" w:ascii="宋体" w:hAnsi="宋体"/>
                <w:color w:val="auto"/>
                <w:szCs w:val="21"/>
                <w:highlight w:val="none"/>
              </w:rPr>
              <w:t>名称</w:t>
            </w:r>
          </w:p>
        </w:tc>
        <w:tc>
          <w:tcPr>
            <w:tcW w:w="1984" w:type="pct"/>
            <w:tcBorders>
              <w:top w:val="single" w:color="000000" w:sz="4" w:space="0"/>
              <w:left w:val="single" w:color="000000" w:sz="4" w:space="0"/>
              <w:bottom w:val="single" w:color="000000" w:sz="4" w:space="0"/>
              <w:right w:val="single" w:color="000000" w:sz="4" w:space="0"/>
            </w:tcBorders>
            <w:noWrap/>
            <w:vAlign w:val="center"/>
          </w:tcPr>
          <w:p w14:paraId="556C16BE">
            <w:pPr>
              <w:spacing w:line="440" w:lineRule="exact"/>
              <w:jc w:val="center"/>
              <w:rPr>
                <w:rFonts w:ascii="宋体" w:hAnsi="宋体"/>
                <w:color w:val="auto"/>
                <w:szCs w:val="21"/>
                <w:highlight w:val="none"/>
              </w:rPr>
            </w:pPr>
            <w:r>
              <w:rPr>
                <w:rFonts w:hint="eastAsia" w:ascii="宋体" w:hAnsi="宋体"/>
                <w:color w:val="auto"/>
                <w:szCs w:val="21"/>
                <w:highlight w:val="none"/>
              </w:rPr>
              <w:t>采购内容及要求</w:t>
            </w:r>
          </w:p>
        </w:tc>
        <w:tc>
          <w:tcPr>
            <w:tcW w:w="946" w:type="pct"/>
            <w:tcBorders>
              <w:top w:val="single" w:color="000000" w:sz="4" w:space="0"/>
              <w:left w:val="single" w:color="000000" w:sz="4" w:space="0"/>
              <w:bottom w:val="single" w:color="000000" w:sz="4" w:space="0"/>
              <w:right w:val="single" w:color="000000" w:sz="4" w:space="0"/>
            </w:tcBorders>
            <w:noWrap/>
            <w:vAlign w:val="center"/>
          </w:tcPr>
          <w:p w14:paraId="5B95DAD1">
            <w:pPr>
              <w:spacing w:line="440" w:lineRule="exact"/>
              <w:jc w:val="center"/>
              <w:rPr>
                <w:rFonts w:ascii="宋体" w:hAnsi="宋体"/>
                <w:color w:val="auto"/>
                <w:szCs w:val="21"/>
                <w:highlight w:val="none"/>
              </w:rPr>
            </w:pPr>
            <w:r>
              <w:rPr>
                <w:rFonts w:hint="eastAsia" w:ascii="宋体" w:hAnsi="宋体"/>
                <w:color w:val="auto"/>
                <w:szCs w:val="21"/>
                <w:highlight w:val="none"/>
              </w:rPr>
              <w:t>备注</w:t>
            </w:r>
          </w:p>
        </w:tc>
      </w:tr>
      <w:tr w14:paraId="03912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0" w:type="pct"/>
            <w:tcBorders>
              <w:top w:val="single" w:color="000000" w:sz="4" w:space="0"/>
              <w:left w:val="single" w:color="auto" w:sz="4" w:space="0"/>
              <w:bottom w:val="single" w:color="000000" w:sz="4" w:space="0"/>
              <w:right w:val="single" w:color="000000" w:sz="4" w:space="0"/>
            </w:tcBorders>
            <w:noWrap/>
          </w:tcPr>
          <w:p w14:paraId="6A7A100B">
            <w:pPr>
              <w:spacing w:line="440" w:lineRule="exact"/>
              <w:jc w:val="center"/>
              <w:rPr>
                <w:rFonts w:ascii="宋体" w:hAnsi="宋体"/>
                <w:color w:val="auto"/>
                <w:szCs w:val="21"/>
                <w:highlight w:val="none"/>
              </w:rPr>
            </w:pPr>
            <w:r>
              <w:rPr>
                <w:rFonts w:ascii="宋体" w:hAnsi="宋体"/>
                <w:color w:val="auto"/>
                <w:szCs w:val="21"/>
                <w:highlight w:val="none"/>
              </w:rPr>
              <w:t>1</w:t>
            </w:r>
          </w:p>
        </w:tc>
        <w:tc>
          <w:tcPr>
            <w:tcW w:w="1638" w:type="pct"/>
            <w:tcBorders>
              <w:top w:val="single" w:color="000000" w:sz="4" w:space="0"/>
              <w:left w:val="single" w:color="000000" w:sz="4" w:space="0"/>
              <w:bottom w:val="single" w:color="000000" w:sz="4" w:space="0"/>
              <w:right w:val="single" w:color="000000" w:sz="4" w:space="0"/>
            </w:tcBorders>
            <w:noWrap/>
          </w:tcPr>
          <w:p w14:paraId="44BCDBAC">
            <w:pPr>
              <w:spacing w:line="440" w:lineRule="exact"/>
              <w:rPr>
                <w:rFonts w:ascii="宋体" w:hAnsi="宋体"/>
                <w:color w:val="auto"/>
                <w:szCs w:val="21"/>
                <w:highlight w:val="none"/>
              </w:rPr>
            </w:pPr>
          </w:p>
        </w:tc>
        <w:tc>
          <w:tcPr>
            <w:tcW w:w="1984" w:type="pct"/>
            <w:tcBorders>
              <w:top w:val="single" w:color="000000" w:sz="4" w:space="0"/>
              <w:left w:val="single" w:color="000000" w:sz="4" w:space="0"/>
              <w:bottom w:val="single" w:color="000000" w:sz="4" w:space="0"/>
              <w:right w:val="single" w:color="000000" w:sz="4" w:space="0"/>
            </w:tcBorders>
            <w:noWrap/>
          </w:tcPr>
          <w:p w14:paraId="1508C59D">
            <w:pPr>
              <w:spacing w:line="440" w:lineRule="exact"/>
              <w:jc w:val="center"/>
              <w:rPr>
                <w:rFonts w:ascii="宋体" w:hAnsi="宋体"/>
                <w:color w:val="auto"/>
                <w:szCs w:val="21"/>
                <w:highlight w:val="none"/>
              </w:rPr>
            </w:pPr>
          </w:p>
        </w:tc>
        <w:tc>
          <w:tcPr>
            <w:tcW w:w="946" w:type="pct"/>
            <w:tcBorders>
              <w:top w:val="single" w:color="000000" w:sz="4" w:space="0"/>
              <w:left w:val="single" w:color="000000" w:sz="4" w:space="0"/>
              <w:bottom w:val="single" w:color="000000" w:sz="4" w:space="0"/>
              <w:right w:val="single" w:color="000000" w:sz="4" w:space="0"/>
            </w:tcBorders>
            <w:noWrap/>
          </w:tcPr>
          <w:p w14:paraId="518A2270">
            <w:pPr>
              <w:spacing w:line="440" w:lineRule="exact"/>
              <w:jc w:val="left"/>
              <w:rPr>
                <w:rFonts w:ascii="宋体" w:hAnsi="宋体"/>
                <w:color w:val="auto"/>
                <w:szCs w:val="21"/>
                <w:highlight w:val="none"/>
              </w:rPr>
            </w:pPr>
          </w:p>
        </w:tc>
      </w:tr>
      <w:tr w14:paraId="38A29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5000" w:type="pct"/>
            <w:gridSpan w:val="4"/>
            <w:tcBorders>
              <w:top w:val="single" w:color="000000" w:sz="4" w:space="0"/>
              <w:left w:val="single" w:color="auto" w:sz="4" w:space="0"/>
              <w:bottom w:val="single" w:color="000000" w:sz="4" w:space="0"/>
              <w:right w:val="single" w:color="000000" w:sz="4" w:space="0"/>
            </w:tcBorders>
            <w:noWrap/>
            <w:vAlign w:val="center"/>
          </w:tcPr>
          <w:p w14:paraId="7093DBDC">
            <w:pPr>
              <w:spacing w:line="440" w:lineRule="exact"/>
              <w:ind w:left="126"/>
              <w:jc w:val="left"/>
              <w:rPr>
                <w:rFonts w:ascii="宋体" w:hAnsi="宋体"/>
                <w:color w:val="auto"/>
                <w:szCs w:val="21"/>
                <w:highlight w:val="none"/>
              </w:rPr>
            </w:pPr>
            <w:r>
              <w:rPr>
                <w:rFonts w:hint="eastAsia" w:ascii="宋体" w:hAnsi="宋体"/>
                <w:color w:val="auto"/>
                <w:szCs w:val="21"/>
                <w:highlight w:val="none"/>
              </w:rPr>
              <w:t>人民币合计金额（大写）：</w:t>
            </w:r>
            <w:r>
              <w:rPr>
                <w:rFonts w:hint="eastAsia" w:ascii="宋体" w:hAnsi="宋体"/>
                <w:color w:val="auto"/>
                <w:szCs w:val="21"/>
                <w:highlight w:val="none"/>
                <w:u w:val="single"/>
              </w:rPr>
              <w:t>（¥        ）（小写）</w:t>
            </w:r>
          </w:p>
        </w:tc>
      </w:tr>
    </w:tbl>
    <w:p w14:paraId="42663418">
      <w:pPr>
        <w:snapToGrid w:val="0"/>
        <w:spacing w:line="440" w:lineRule="exact"/>
        <w:ind w:firstLine="420" w:firstLineChars="200"/>
        <w:rPr>
          <w:rFonts w:ascii="宋体" w:hAnsi="宋体" w:eastAsiaTheme="minorEastAsia"/>
          <w:b/>
          <w:color w:val="auto"/>
          <w:szCs w:val="21"/>
          <w:highlight w:val="none"/>
        </w:rPr>
      </w:pPr>
      <w:r>
        <w:rPr>
          <w:rFonts w:hint="eastAsia" w:ascii="宋体" w:hAnsi="宋体"/>
          <w:color w:val="auto"/>
          <w:szCs w:val="21"/>
          <w:highlight w:val="none"/>
        </w:rPr>
        <w:t>1、</w:t>
      </w:r>
      <w:r>
        <w:rPr>
          <w:rFonts w:hint="eastAsia" w:cs="Arial" w:asciiTheme="minorEastAsia" w:hAnsiTheme="minorEastAsia" w:eastAsiaTheme="minorEastAsia"/>
          <w:b/>
          <w:bCs/>
          <w:color w:val="auto"/>
          <w:szCs w:val="21"/>
          <w:highlight w:val="none"/>
        </w:rPr>
        <w:t>合同主要条款：详见附件“采购需求”；合同有效期：            。</w:t>
      </w:r>
    </w:p>
    <w:p w14:paraId="2C1672E6">
      <w:pPr>
        <w:snapToGrid w:val="0"/>
        <w:spacing w:line="440" w:lineRule="exact"/>
        <w:ind w:right="420" w:firstLine="420" w:firstLineChars="200"/>
        <w:rPr>
          <w:rFonts w:ascii="宋体" w:hAnsi="宋体"/>
          <w:color w:val="auto"/>
          <w:szCs w:val="21"/>
          <w:highlight w:val="none"/>
        </w:rPr>
      </w:pPr>
      <w:r>
        <w:rPr>
          <w:rFonts w:hint="eastAsia" w:ascii="宋体" w:hAnsi="宋体"/>
          <w:color w:val="auto"/>
          <w:szCs w:val="21"/>
          <w:highlight w:val="none"/>
        </w:rPr>
        <w:t>2、合同合计金额包括服务的价格等完成合同所需的一切本身和不可或缺的所有开支、风险及责任等各项全部费用的总和；必要的各项税金；其他（如技术支持、售后服务、保险经纪服务费、</w:t>
      </w:r>
      <w:r>
        <w:rPr>
          <w:rFonts w:hint="eastAsia" w:ascii="宋体" w:hAnsi="宋体"/>
          <w:color w:val="auto"/>
          <w:szCs w:val="21"/>
          <w:highlight w:val="none"/>
          <w:lang w:eastAsia="zh-CN"/>
        </w:rPr>
        <w:t>见义勇为宣传</w:t>
      </w:r>
      <w:r>
        <w:rPr>
          <w:rFonts w:hint="eastAsia" w:ascii="宋体" w:hAnsi="宋体"/>
          <w:color w:val="auto"/>
          <w:szCs w:val="21"/>
          <w:highlight w:val="none"/>
        </w:rPr>
        <w:t>等所有项目费用）。甲方不再支付合同金额以外的任何费用。如采购文件对其另有规定的，从其规定。</w:t>
      </w:r>
    </w:p>
    <w:p w14:paraId="0797ABE6">
      <w:pPr>
        <w:snapToGrid w:val="0"/>
        <w:spacing w:line="440" w:lineRule="exact"/>
        <w:ind w:firstLine="422" w:firstLineChars="200"/>
        <w:rPr>
          <w:rFonts w:ascii="宋体" w:hAnsi="宋体"/>
          <w:b/>
          <w:color w:val="auto"/>
          <w:szCs w:val="21"/>
          <w:highlight w:val="none"/>
        </w:rPr>
      </w:pPr>
      <w:r>
        <w:rPr>
          <w:rFonts w:hint="eastAsia" w:ascii="宋体" w:hAnsi="宋体"/>
          <w:b/>
          <w:color w:val="auto"/>
          <w:szCs w:val="21"/>
          <w:highlight w:val="none"/>
        </w:rPr>
        <w:t>第二条　质量保证</w:t>
      </w:r>
    </w:p>
    <w:p w14:paraId="0847D720">
      <w:pPr>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乙方所提供</w:t>
      </w:r>
      <w:r>
        <w:rPr>
          <w:rFonts w:hint="eastAsia" w:ascii="宋体" w:hAnsi="宋体" w:cs="宋体"/>
          <w:color w:val="auto"/>
          <w:szCs w:val="21"/>
          <w:highlight w:val="none"/>
        </w:rPr>
        <w:t>的</w:t>
      </w:r>
      <w:r>
        <w:rPr>
          <w:rFonts w:hint="eastAsia" w:ascii="宋体" w:hAnsi="宋体"/>
          <w:color w:val="auto"/>
          <w:szCs w:val="21"/>
          <w:highlight w:val="none"/>
        </w:rPr>
        <w:t>服务质量必须与采购文件、投标文件和承诺相一致。</w:t>
      </w:r>
    </w:p>
    <w:p w14:paraId="031380F8">
      <w:pPr>
        <w:snapToGrid w:val="0"/>
        <w:spacing w:line="440" w:lineRule="exact"/>
        <w:ind w:firstLine="422" w:firstLineChars="200"/>
        <w:rPr>
          <w:rFonts w:ascii="宋体" w:hAnsi="宋体"/>
          <w:b/>
          <w:color w:val="auto"/>
          <w:szCs w:val="21"/>
          <w:highlight w:val="none"/>
        </w:rPr>
      </w:pPr>
      <w:r>
        <w:rPr>
          <w:rFonts w:hint="eastAsia" w:ascii="宋体" w:hAnsi="宋体"/>
          <w:b/>
          <w:color w:val="auto"/>
          <w:szCs w:val="21"/>
          <w:highlight w:val="none"/>
        </w:rPr>
        <w:t>第三条　服务要求</w:t>
      </w:r>
    </w:p>
    <w:p w14:paraId="41258A19">
      <w:pPr>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1、保障期：</w:t>
      </w:r>
      <w:r>
        <w:rPr>
          <w:rFonts w:hint="eastAsia" w:asciiTheme="minorEastAsia" w:hAnsiTheme="minorEastAsia" w:eastAsiaTheme="minorEastAsia" w:cstheme="minorEastAsia"/>
          <w:color w:val="auto"/>
          <w:szCs w:val="21"/>
          <w:highlight w:val="none"/>
          <w:lang w:val="en-US" w:eastAsia="zh-CN"/>
        </w:rPr>
        <w:t>从</w:t>
      </w:r>
      <w:r>
        <w:rPr>
          <w:rFonts w:hint="eastAsia" w:asciiTheme="minorEastAsia" w:hAnsiTheme="minorEastAsia" w:eastAsiaTheme="minorEastAsia" w:cstheme="minorEastAsia"/>
          <w:color w:val="auto"/>
          <w:szCs w:val="21"/>
          <w:highlight w:val="none"/>
          <w:lang w:val="en-GB" w:eastAsia="zh-CN"/>
        </w:rPr>
        <w:t>202</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lang w:val="en-GB" w:eastAsia="zh-CN"/>
        </w:rPr>
        <w:t>年</w:t>
      </w:r>
      <w:r>
        <w:rPr>
          <w:rFonts w:hint="eastAsia" w:asciiTheme="minorEastAsia" w:hAnsiTheme="minorEastAsia" w:eastAsiaTheme="minorEastAsia" w:cstheme="minorEastAsia"/>
          <w:color w:val="auto"/>
          <w:szCs w:val="21"/>
          <w:highlight w:val="none"/>
          <w:lang w:val="en-US" w:eastAsia="zh-CN"/>
        </w:rPr>
        <w:t>9</w:t>
      </w:r>
      <w:r>
        <w:rPr>
          <w:rFonts w:hint="eastAsia" w:asciiTheme="minorEastAsia" w:hAnsiTheme="minorEastAsia" w:eastAsiaTheme="minorEastAsia" w:cstheme="minorEastAsia"/>
          <w:color w:val="auto"/>
          <w:szCs w:val="21"/>
          <w:highlight w:val="none"/>
          <w:lang w:val="en-GB" w:eastAsia="zh-CN"/>
        </w:rPr>
        <w:t>月1</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lang w:val="en-GB" w:eastAsia="zh-CN"/>
        </w:rPr>
        <w:t>日零时起至202</w:t>
      </w:r>
      <w:r>
        <w:rPr>
          <w:rFonts w:hint="eastAsia" w:asciiTheme="minorEastAsia" w:hAnsiTheme="minorEastAsia" w:eastAsiaTheme="minorEastAsia" w:cstheme="minorEastAsia"/>
          <w:color w:val="auto"/>
          <w:szCs w:val="21"/>
          <w:highlight w:val="none"/>
          <w:lang w:val="en-US" w:eastAsia="zh-CN"/>
        </w:rPr>
        <w:t>7</w:t>
      </w:r>
      <w:r>
        <w:rPr>
          <w:rFonts w:hint="eastAsia" w:asciiTheme="minorEastAsia" w:hAnsiTheme="minorEastAsia" w:eastAsiaTheme="minorEastAsia" w:cstheme="minorEastAsia"/>
          <w:color w:val="auto"/>
          <w:szCs w:val="21"/>
          <w:highlight w:val="none"/>
          <w:lang w:val="en-GB" w:eastAsia="zh-CN"/>
        </w:rPr>
        <w:t>年</w:t>
      </w:r>
      <w:r>
        <w:rPr>
          <w:rFonts w:hint="eastAsia" w:asciiTheme="minorEastAsia" w:hAnsiTheme="minorEastAsia" w:eastAsiaTheme="minorEastAsia" w:cstheme="minorEastAsia"/>
          <w:color w:val="auto"/>
          <w:szCs w:val="21"/>
          <w:highlight w:val="none"/>
          <w:lang w:val="en-US" w:eastAsia="zh-CN"/>
        </w:rPr>
        <w:t>9</w:t>
      </w:r>
      <w:r>
        <w:rPr>
          <w:rFonts w:hint="eastAsia" w:asciiTheme="minorEastAsia" w:hAnsiTheme="minorEastAsia" w:eastAsiaTheme="minorEastAsia" w:cstheme="minorEastAsia"/>
          <w:color w:val="auto"/>
          <w:szCs w:val="21"/>
          <w:highlight w:val="none"/>
          <w:lang w:val="en-GB" w:eastAsia="zh-CN"/>
        </w:rPr>
        <w:t>月</w:t>
      </w:r>
      <w:r>
        <w:rPr>
          <w:rFonts w:hint="eastAsia" w:asciiTheme="minorEastAsia" w:hAnsiTheme="minorEastAsia" w:eastAsiaTheme="minorEastAsia" w:cstheme="minorEastAsia"/>
          <w:color w:val="auto"/>
          <w:szCs w:val="21"/>
          <w:highlight w:val="none"/>
          <w:lang w:val="en-US" w:eastAsia="zh-CN"/>
        </w:rPr>
        <w:t>15</w:t>
      </w:r>
      <w:r>
        <w:rPr>
          <w:rFonts w:hint="eastAsia" w:asciiTheme="minorEastAsia" w:hAnsiTheme="minorEastAsia" w:eastAsiaTheme="minorEastAsia" w:cstheme="minorEastAsia"/>
          <w:color w:val="auto"/>
          <w:szCs w:val="21"/>
          <w:highlight w:val="none"/>
          <w:lang w:val="en-GB" w:eastAsia="zh-CN"/>
        </w:rPr>
        <w:t>日24时止</w:t>
      </w:r>
    </w:p>
    <w:p w14:paraId="021DA7BB">
      <w:pPr>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2、人员要求：按乙方投标文件承诺</w:t>
      </w:r>
    </w:p>
    <w:p w14:paraId="5A7DE785">
      <w:pPr>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3、售后服务：按乙方投标文件承诺</w:t>
      </w:r>
    </w:p>
    <w:p w14:paraId="3DAB6167">
      <w:pPr>
        <w:snapToGrid w:val="0"/>
        <w:spacing w:line="440" w:lineRule="exact"/>
        <w:ind w:firstLine="422" w:firstLineChars="200"/>
        <w:rPr>
          <w:rFonts w:ascii="宋体" w:hAnsi="宋体"/>
          <w:b/>
          <w:color w:val="auto"/>
          <w:szCs w:val="21"/>
          <w:highlight w:val="none"/>
        </w:rPr>
      </w:pPr>
      <w:r>
        <w:rPr>
          <w:rFonts w:hint="eastAsia" w:ascii="宋体" w:hAnsi="宋体"/>
          <w:b/>
          <w:color w:val="auto"/>
          <w:szCs w:val="21"/>
          <w:highlight w:val="none"/>
        </w:rPr>
        <w:t>第</w:t>
      </w:r>
      <w:r>
        <w:rPr>
          <w:rFonts w:hint="eastAsia" w:ascii="宋体" w:hAnsi="宋体"/>
          <w:b/>
          <w:color w:val="auto"/>
          <w:szCs w:val="21"/>
          <w:highlight w:val="none"/>
          <w:lang w:val="en-US" w:eastAsia="zh-CN"/>
        </w:rPr>
        <w:t>四</w:t>
      </w:r>
      <w:r>
        <w:rPr>
          <w:rFonts w:hint="eastAsia" w:ascii="宋体" w:hAnsi="宋体"/>
          <w:b/>
          <w:color w:val="auto"/>
          <w:szCs w:val="21"/>
          <w:highlight w:val="none"/>
        </w:rPr>
        <w:t>条</w:t>
      </w:r>
      <w:r>
        <w:rPr>
          <w:rFonts w:hint="eastAsia" w:ascii="宋体" w:hAnsi="宋体"/>
          <w:b/>
          <w:color w:val="auto"/>
          <w:szCs w:val="21"/>
          <w:highlight w:val="none"/>
          <w:lang w:val="en-US" w:eastAsia="zh-CN"/>
        </w:rPr>
        <w:t xml:space="preserve">  </w:t>
      </w:r>
      <w:r>
        <w:rPr>
          <w:rFonts w:hint="eastAsia" w:ascii="宋体" w:hAnsi="宋体"/>
          <w:b/>
          <w:color w:val="auto"/>
          <w:szCs w:val="21"/>
          <w:highlight w:val="none"/>
        </w:rPr>
        <w:t>付款方式</w:t>
      </w:r>
    </w:p>
    <w:p w14:paraId="4467EF55">
      <w:pPr>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1、资金性质：财政性资金。</w:t>
      </w:r>
    </w:p>
    <w:p w14:paraId="325BB7AE">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2、付款方式：</w:t>
      </w:r>
      <w:r>
        <w:rPr>
          <w:rFonts w:hint="eastAsia" w:ascii="宋体" w:hAnsi="宋体"/>
          <w:color w:val="auto"/>
          <w:szCs w:val="21"/>
          <w:highlight w:val="none"/>
          <w:u w:val="single"/>
        </w:rPr>
        <w:t xml:space="preserve"> 按采购需求中的“付款条件”约定分两期支付</w:t>
      </w:r>
      <w:r>
        <w:rPr>
          <w:rFonts w:hint="eastAsia" w:ascii="宋体" w:hAnsi="宋体"/>
          <w:color w:val="auto"/>
          <w:szCs w:val="21"/>
          <w:highlight w:val="none"/>
        </w:rPr>
        <w:t>。每期转账完成之日起两日内乙方开具发票给广西见义勇为基金会。</w:t>
      </w:r>
    </w:p>
    <w:p w14:paraId="280DE7DC">
      <w:pPr>
        <w:snapToGrid w:val="0"/>
        <w:spacing w:line="440" w:lineRule="exact"/>
        <w:ind w:firstLine="422" w:firstLineChars="200"/>
        <w:rPr>
          <w:rFonts w:ascii="宋体" w:hAnsi="宋体"/>
          <w:b/>
          <w:color w:val="auto"/>
          <w:szCs w:val="21"/>
          <w:highlight w:val="none"/>
        </w:rPr>
      </w:pPr>
      <w:r>
        <w:rPr>
          <w:rFonts w:hint="eastAsia" w:ascii="宋体" w:hAnsi="宋体"/>
          <w:b/>
          <w:color w:val="auto"/>
          <w:szCs w:val="21"/>
          <w:highlight w:val="none"/>
        </w:rPr>
        <w:t>第</w:t>
      </w:r>
      <w:r>
        <w:rPr>
          <w:rFonts w:hint="eastAsia" w:ascii="宋体" w:hAnsi="宋体"/>
          <w:b/>
          <w:color w:val="auto"/>
          <w:szCs w:val="21"/>
          <w:highlight w:val="none"/>
          <w:lang w:val="en-US" w:eastAsia="zh-CN"/>
        </w:rPr>
        <w:t>五</w:t>
      </w:r>
      <w:r>
        <w:rPr>
          <w:rFonts w:hint="eastAsia" w:ascii="宋体" w:hAnsi="宋体"/>
          <w:b/>
          <w:color w:val="auto"/>
          <w:szCs w:val="21"/>
          <w:highlight w:val="none"/>
        </w:rPr>
        <w:t>条　履约保证金</w:t>
      </w:r>
    </w:p>
    <w:p w14:paraId="1C124134">
      <w:pPr>
        <w:snapToGrid w:val="0"/>
        <w:spacing w:line="440" w:lineRule="exact"/>
        <w:ind w:firstLine="630" w:firstLineChars="300"/>
        <w:rPr>
          <w:rFonts w:ascii="宋体" w:hAnsi="宋体"/>
          <w:b w:val="0"/>
          <w:bCs/>
          <w:color w:val="auto"/>
          <w:szCs w:val="21"/>
          <w:highlight w:val="none"/>
        </w:rPr>
      </w:pPr>
      <w:r>
        <w:rPr>
          <w:rFonts w:hint="eastAsia" w:ascii="宋体" w:hAnsi="宋体"/>
          <w:b w:val="0"/>
          <w:bCs/>
          <w:color w:val="auto"/>
          <w:szCs w:val="21"/>
          <w:highlight w:val="none"/>
          <w:lang w:val="en-US" w:eastAsia="zh-CN"/>
        </w:rPr>
        <w:t xml:space="preserve">本项目无履约保证金。 </w:t>
      </w:r>
    </w:p>
    <w:p w14:paraId="0B23C2EC">
      <w:pPr>
        <w:snapToGrid w:val="0"/>
        <w:spacing w:line="440" w:lineRule="exact"/>
        <w:ind w:firstLine="422" w:firstLineChars="200"/>
        <w:rPr>
          <w:rFonts w:ascii="宋体" w:hAnsi="宋体"/>
          <w:b/>
          <w:color w:val="auto"/>
          <w:szCs w:val="21"/>
          <w:highlight w:val="none"/>
        </w:rPr>
      </w:pPr>
      <w:r>
        <w:rPr>
          <w:rFonts w:hint="eastAsia" w:ascii="宋体" w:hAnsi="宋体"/>
          <w:b/>
          <w:color w:val="auto"/>
          <w:szCs w:val="21"/>
          <w:highlight w:val="none"/>
        </w:rPr>
        <w:t>第</w:t>
      </w:r>
      <w:r>
        <w:rPr>
          <w:rFonts w:hint="eastAsia" w:ascii="宋体" w:hAnsi="宋体"/>
          <w:b/>
          <w:color w:val="auto"/>
          <w:szCs w:val="21"/>
          <w:highlight w:val="none"/>
          <w:lang w:val="en-US" w:eastAsia="zh-CN"/>
        </w:rPr>
        <w:t>六</w:t>
      </w:r>
      <w:r>
        <w:rPr>
          <w:rFonts w:hint="eastAsia" w:ascii="宋体" w:hAnsi="宋体"/>
          <w:b/>
          <w:color w:val="auto"/>
          <w:szCs w:val="21"/>
          <w:highlight w:val="none"/>
        </w:rPr>
        <w:t>条</w:t>
      </w:r>
      <w:r>
        <w:rPr>
          <w:rFonts w:hint="eastAsia" w:ascii="宋体" w:hAnsi="宋体"/>
          <w:b/>
          <w:color w:val="auto"/>
          <w:szCs w:val="21"/>
          <w:highlight w:val="none"/>
          <w:lang w:val="en-US" w:eastAsia="zh-CN"/>
        </w:rPr>
        <w:t xml:space="preserve">  </w:t>
      </w:r>
      <w:r>
        <w:rPr>
          <w:rFonts w:hint="eastAsia" w:ascii="宋体" w:hAnsi="宋体"/>
          <w:b/>
          <w:color w:val="auto"/>
          <w:szCs w:val="21"/>
          <w:highlight w:val="none"/>
        </w:rPr>
        <w:t>税费</w:t>
      </w:r>
    </w:p>
    <w:p w14:paraId="79D5B390">
      <w:pPr>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本合同执行中相关的一切税费均由乙方负担。</w:t>
      </w:r>
    </w:p>
    <w:p w14:paraId="1E924A49">
      <w:pPr>
        <w:snapToGrid w:val="0"/>
        <w:spacing w:line="440" w:lineRule="exact"/>
        <w:ind w:firstLine="422" w:firstLineChars="200"/>
        <w:rPr>
          <w:rFonts w:ascii="宋体" w:hAnsi="宋体"/>
          <w:b/>
          <w:color w:val="auto"/>
          <w:szCs w:val="21"/>
          <w:highlight w:val="none"/>
        </w:rPr>
      </w:pPr>
      <w:r>
        <w:rPr>
          <w:rFonts w:hint="eastAsia" w:ascii="宋体" w:hAnsi="宋体"/>
          <w:b/>
          <w:color w:val="auto"/>
          <w:szCs w:val="21"/>
          <w:highlight w:val="none"/>
        </w:rPr>
        <w:t>第</w:t>
      </w:r>
      <w:r>
        <w:rPr>
          <w:rFonts w:hint="eastAsia" w:ascii="宋体" w:hAnsi="宋体"/>
          <w:b/>
          <w:color w:val="auto"/>
          <w:szCs w:val="21"/>
          <w:highlight w:val="none"/>
          <w:lang w:val="en-US" w:eastAsia="zh-CN"/>
        </w:rPr>
        <w:t>七</w:t>
      </w:r>
      <w:r>
        <w:rPr>
          <w:rFonts w:hint="eastAsia" w:ascii="宋体" w:hAnsi="宋体"/>
          <w:b/>
          <w:color w:val="auto"/>
          <w:szCs w:val="21"/>
          <w:highlight w:val="none"/>
        </w:rPr>
        <w:t>条　技术资料及权利保证</w:t>
      </w:r>
    </w:p>
    <w:p w14:paraId="5D5160D7">
      <w:pPr>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1、甲方应向乙方提供提交服务成果所必需的有关数据、资料等。</w:t>
      </w:r>
    </w:p>
    <w:p w14:paraId="70266ED8">
      <w:pPr>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2、乙方应保证所提供服务在使用时不会侵犯任何第三方的专利权、商标权、工业设计权或其他权利。</w:t>
      </w:r>
    </w:p>
    <w:p w14:paraId="370B4865">
      <w:pPr>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E9303B3">
      <w:pPr>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4.本合同的保密义务不因本合同的解除而解除。</w:t>
      </w:r>
    </w:p>
    <w:p w14:paraId="25CD1E9B">
      <w:pPr>
        <w:snapToGrid w:val="0"/>
        <w:spacing w:line="440" w:lineRule="exact"/>
        <w:ind w:firstLine="422" w:firstLineChars="200"/>
        <w:rPr>
          <w:rFonts w:ascii="宋体" w:hAnsi="宋体"/>
          <w:b/>
          <w:color w:val="auto"/>
          <w:szCs w:val="21"/>
          <w:highlight w:val="none"/>
        </w:rPr>
      </w:pPr>
      <w:r>
        <w:rPr>
          <w:rFonts w:hint="eastAsia" w:ascii="宋体" w:hAnsi="宋体"/>
          <w:b/>
          <w:color w:val="auto"/>
          <w:szCs w:val="21"/>
          <w:highlight w:val="none"/>
        </w:rPr>
        <w:t>第</w:t>
      </w:r>
      <w:r>
        <w:rPr>
          <w:rFonts w:hint="eastAsia" w:ascii="宋体" w:hAnsi="宋体"/>
          <w:b/>
          <w:color w:val="auto"/>
          <w:szCs w:val="21"/>
          <w:highlight w:val="none"/>
          <w:lang w:val="en-US" w:eastAsia="zh-CN"/>
        </w:rPr>
        <w:t>八</w:t>
      </w:r>
      <w:r>
        <w:rPr>
          <w:rFonts w:hint="eastAsia" w:ascii="宋体" w:hAnsi="宋体"/>
          <w:b/>
          <w:color w:val="auto"/>
          <w:szCs w:val="21"/>
          <w:highlight w:val="none"/>
        </w:rPr>
        <w:t>条　服务成果交付与验收</w:t>
      </w:r>
    </w:p>
    <w:p w14:paraId="55670178">
      <w:pPr>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1、乙方应对提交的服务成果作出全面检查和整理，并列出清单，作为甲方验收和使用的技术条件依据，清单应随提交的服务成果交给甲方。</w:t>
      </w:r>
    </w:p>
    <w:p w14:paraId="5BC72008">
      <w:pPr>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2、甲方应当在服务期满后对乙方提供的服务进行验收，在验收过程中发现乙方有违约问题，乙方须</w:t>
      </w:r>
      <w:r>
        <w:rPr>
          <w:rFonts w:ascii="宋体" w:hAnsi="宋体"/>
          <w:color w:val="auto"/>
          <w:szCs w:val="21"/>
          <w:highlight w:val="none"/>
        </w:rPr>
        <w:t>及时进行整改</w:t>
      </w:r>
      <w:r>
        <w:rPr>
          <w:rFonts w:hint="eastAsia" w:ascii="宋体" w:hAnsi="宋体"/>
          <w:color w:val="auto"/>
          <w:szCs w:val="21"/>
          <w:highlight w:val="none"/>
        </w:rPr>
        <w:t>。验收合格后由甲乙双方签署服务水准合格验收单并加盖采购人公章，甲乙双方各执一份。</w:t>
      </w:r>
    </w:p>
    <w:p w14:paraId="12DC5177">
      <w:pPr>
        <w:snapToGrid w:val="0"/>
        <w:spacing w:line="440" w:lineRule="exact"/>
        <w:ind w:firstLine="422" w:firstLineChars="200"/>
        <w:rPr>
          <w:rFonts w:ascii="宋体" w:hAnsi="宋体"/>
          <w:b/>
          <w:color w:val="auto"/>
          <w:szCs w:val="21"/>
          <w:highlight w:val="none"/>
        </w:rPr>
      </w:pPr>
      <w:r>
        <w:rPr>
          <w:rFonts w:hint="eastAsia" w:ascii="宋体" w:hAnsi="宋体"/>
          <w:b/>
          <w:color w:val="auto"/>
          <w:szCs w:val="21"/>
          <w:highlight w:val="none"/>
        </w:rPr>
        <w:t>第</w:t>
      </w:r>
      <w:r>
        <w:rPr>
          <w:rFonts w:hint="eastAsia" w:ascii="宋体" w:hAnsi="宋体"/>
          <w:b/>
          <w:color w:val="auto"/>
          <w:szCs w:val="21"/>
          <w:highlight w:val="none"/>
          <w:lang w:val="en-US" w:eastAsia="zh-CN"/>
        </w:rPr>
        <w:t>九</w:t>
      </w:r>
      <w:r>
        <w:rPr>
          <w:rFonts w:hint="eastAsia" w:ascii="宋体" w:hAnsi="宋体"/>
          <w:b/>
          <w:color w:val="auto"/>
          <w:szCs w:val="21"/>
          <w:highlight w:val="none"/>
        </w:rPr>
        <w:t>条　违约责任</w:t>
      </w:r>
    </w:p>
    <w:p w14:paraId="36C54AAB">
      <w:pPr>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1、合同一方违约，违约方均需向守约方承担违约责任。</w:t>
      </w:r>
    </w:p>
    <w:p w14:paraId="053CDA1A">
      <w:pPr>
        <w:snapToGrid w:val="0"/>
        <w:spacing w:line="44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、乙方未能在服务响应时间内完成服务的（响应时间及要求按招标文件要求及投标文件承诺执行），每延长一天需向甲方支付违约金</w:t>
      </w:r>
      <w:r>
        <w:rPr>
          <w:rFonts w:ascii="宋体" w:hAnsi="宋体"/>
          <w:color w:val="auto"/>
          <w:szCs w:val="21"/>
          <w:highlight w:val="none"/>
        </w:rPr>
        <w:t>2000</w:t>
      </w:r>
      <w:r>
        <w:rPr>
          <w:rFonts w:hint="eastAsia" w:ascii="宋体" w:hAnsi="宋体"/>
          <w:color w:val="auto"/>
          <w:szCs w:val="21"/>
          <w:highlight w:val="none"/>
        </w:rPr>
        <w:t>元。</w:t>
      </w:r>
    </w:p>
    <w:p w14:paraId="1543AD89">
      <w:pPr>
        <w:snapToGrid w:val="0"/>
        <w:spacing w:line="440" w:lineRule="exact"/>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、乙方延迟履约、不完全履约或提供的服务不符合招标文件和投标文件要求的。除支付违约金外，仍需继续履行合同或重新提供符合要求的服务。</w:t>
      </w:r>
    </w:p>
    <w:p w14:paraId="7C0F5A38">
      <w:pPr>
        <w:snapToGrid w:val="0"/>
        <w:spacing w:line="440" w:lineRule="exact"/>
        <w:ind w:firstLine="422" w:firstLineChars="200"/>
        <w:rPr>
          <w:rFonts w:ascii="宋体" w:hAnsi="宋体"/>
          <w:b/>
          <w:color w:val="auto"/>
          <w:szCs w:val="21"/>
          <w:highlight w:val="none"/>
        </w:rPr>
      </w:pPr>
      <w:r>
        <w:rPr>
          <w:rFonts w:hint="eastAsia" w:ascii="宋体" w:hAnsi="宋体"/>
          <w:b/>
          <w:color w:val="auto"/>
          <w:szCs w:val="21"/>
          <w:highlight w:val="none"/>
        </w:rPr>
        <w:t>第十条 不可抗力事件处理</w:t>
      </w:r>
    </w:p>
    <w:p w14:paraId="7C8A6264">
      <w:pPr>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1、在合同有效期内，任何一方因不可抗力事件导致不能履行合同，则合同履行期可延长，其延长期与不可抗力影响期相同。</w:t>
      </w:r>
    </w:p>
    <w:p w14:paraId="5207602F">
      <w:pPr>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2、不可抗力事件发生后，应立即通知对方，并寄送有关权威机构出具的证明。</w:t>
      </w:r>
    </w:p>
    <w:p w14:paraId="25C8C42E">
      <w:pPr>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3、不可抗力事件延续一百二十天以上，双方应通过友好协商，确定是否继续履行合同。</w:t>
      </w:r>
    </w:p>
    <w:p w14:paraId="5C8AB16F">
      <w:pPr>
        <w:snapToGrid w:val="0"/>
        <w:spacing w:line="440" w:lineRule="exact"/>
        <w:ind w:firstLine="422" w:firstLineChars="200"/>
        <w:rPr>
          <w:rFonts w:ascii="宋体" w:hAnsi="宋体"/>
          <w:b/>
          <w:color w:val="auto"/>
          <w:szCs w:val="21"/>
          <w:highlight w:val="none"/>
        </w:rPr>
      </w:pPr>
      <w:r>
        <w:rPr>
          <w:rFonts w:hint="eastAsia" w:ascii="宋体" w:hAnsi="宋体"/>
          <w:b/>
          <w:color w:val="auto"/>
          <w:szCs w:val="21"/>
          <w:highlight w:val="none"/>
        </w:rPr>
        <w:t>第十</w:t>
      </w:r>
      <w:r>
        <w:rPr>
          <w:rFonts w:hint="eastAsia" w:ascii="宋体" w:hAnsi="宋体"/>
          <w:b/>
          <w:color w:val="auto"/>
          <w:szCs w:val="21"/>
          <w:highlight w:val="none"/>
          <w:lang w:val="en-US" w:eastAsia="zh-CN"/>
        </w:rPr>
        <w:t>一</w:t>
      </w:r>
      <w:r>
        <w:rPr>
          <w:rFonts w:hint="eastAsia" w:ascii="宋体" w:hAnsi="宋体"/>
          <w:b/>
          <w:color w:val="auto"/>
          <w:szCs w:val="21"/>
          <w:highlight w:val="none"/>
        </w:rPr>
        <w:t>条 合同争议解决</w:t>
      </w:r>
    </w:p>
    <w:p w14:paraId="3145D04E">
      <w:pPr>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1、因服务质量问题发生争议的，应邀请国家认可的质量检测机构对服务质量进行鉴定。服务符合标准或要求的，鉴定费由甲方承担；服务不符合标准或要求的，鉴定费由乙方承担。</w:t>
      </w:r>
    </w:p>
    <w:p w14:paraId="48164D63">
      <w:pPr>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2、因履行本合同引起的或与本合同有关的争议，甲乙双方应首先通过友好协商解决，如果协商不能解决，可向</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甲方所在地</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人民法院提起诉讼。</w:t>
      </w:r>
    </w:p>
    <w:p w14:paraId="30CA0D3A">
      <w:pPr>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3、诉讼期间，本合同继续履行。</w:t>
      </w:r>
    </w:p>
    <w:p w14:paraId="4D2274B0">
      <w:pPr>
        <w:snapToGrid w:val="0"/>
        <w:spacing w:line="440" w:lineRule="exact"/>
        <w:ind w:firstLine="422" w:firstLineChars="200"/>
        <w:rPr>
          <w:rFonts w:ascii="宋体" w:hAnsi="宋体"/>
          <w:b/>
          <w:color w:val="auto"/>
          <w:szCs w:val="21"/>
          <w:highlight w:val="none"/>
        </w:rPr>
      </w:pPr>
      <w:r>
        <w:rPr>
          <w:rFonts w:hint="eastAsia" w:ascii="宋体" w:hAnsi="宋体"/>
          <w:b/>
          <w:color w:val="auto"/>
          <w:szCs w:val="21"/>
          <w:highlight w:val="none"/>
        </w:rPr>
        <w:t>第十</w:t>
      </w:r>
      <w:r>
        <w:rPr>
          <w:rFonts w:hint="eastAsia" w:ascii="宋体" w:hAnsi="宋体"/>
          <w:b/>
          <w:color w:val="auto"/>
          <w:szCs w:val="21"/>
          <w:highlight w:val="none"/>
          <w:lang w:val="en-US" w:eastAsia="zh-CN"/>
        </w:rPr>
        <w:t>二</w:t>
      </w:r>
      <w:r>
        <w:rPr>
          <w:rFonts w:hint="eastAsia" w:ascii="宋体" w:hAnsi="宋体"/>
          <w:b/>
          <w:color w:val="auto"/>
          <w:szCs w:val="21"/>
          <w:highlight w:val="none"/>
        </w:rPr>
        <w:t>条 合同生效及其它</w:t>
      </w:r>
    </w:p>
    <w:p w14:paraId="4CB4B5BC">
      <w:pPr>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1、合同经双方法定代表人（负责人）或授权代表（委托代理人）签字并加盖单位公章后生效。</w:t>
      </w:r>
    </w:p>
    <w:p w14:paraId="0997F686">
      <w:pPr>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2、合同执行中涉及采购资金和采购内容修改或补充的，须经广西区财政厅政府采购监督管理处审批，并签书面补充协议报广西区财政厅政府采购监督管理处备案，方可作为主合同不可分割的一部分。</w:t>
      </w:r>
    </w:p>
    <w:p w14:paraId="47ECFF63">
      <w:pPr>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3、如乙方采取预留分包份额合同给中小企业的，其分包合同在</w:t>
      </w:r>
      <w:r>
        <w:rPr>
          <w:rFonts w:ascii="宋体" w:hAnsi="宋体"/>
          <w:color w:val="auto"/>
          <w:szCs w:val="21"/>
          <w:highlight w:val="none"/>
        </w:rPr>
        <w:t>签订后</w:t>
      </w:r>
      <w:r>
        <w:rPr>
          <w:rFonts w:hint="eastAsia" w:ascii="宋体" w:hAnsi="宋体"/>
          <w:color w:val="auto"/>
          <w:szCs w:val="21"/>
          <w:highlight w:val="none"/>
        </w:rPr>
        <w:t>需报送一份给甲方存档。</w:t>
      </w:r>
    </w:p>
    <w:p w14:paraId="703FB006">
      <w:pPr>
        <w:snapToGrid w:val="0"/>
        <w:spacing w:line="440" w:lineRule="exact"/>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、本合同未尽事宜，遵照《中华人民共和国民法典》有关条文执行。</w:t>
      </w:r>
    </w:p>
    <w:p w14:paraId="28A66FA1">
      <w:pPr>
        <w:snapToGrid w:val="0"/>
        <w:spacing w:line="440" w:lineRule="exact"/>
        <w:ind w:firstLine="422" w:firstLineChars="200"/>
        <w:rPr>
          <w:rFonts w:ascii="宋体" w:hAnsi="宋体"/>
          <w:b/>
          <w:color w:val="auto"/>
          <w:szCs w:val="21"/>
          <w:highlight w:val="none"/>
        </w:rPr>
      </w:pPr>
      <w:r>
        <w:rPr>
          <w:rFonts w:hint="eastAsia" w:ascii="宋体" w:hAnsi="宋体"/>
          <w:b/>
          <w:color w:val="auto"/>
          <w:szCs w:val="21"/>
          <w:highlight w:val="none"/>
        </w:rPr>
        <w:t>第十</w:t>
      </w:r>
      <w:r>
        <w:rPr>
          <w:rFonts w:hint="eastAsia" w:ascii="宋体" w:hAnsi="宋体"/>
          <w:b/>
          <w:color w:val="auto"/>
          <w:szCs w:val="21"/>
          <w:highlight w:val="none"/>
          <w:lang w:val="en-US" w:eastAsia="zh-CN"/>
        </w:rPr>
        <w:t>三</w:t>
      </w:r>
      <w:r>
        <w:rPr>
          <w:rFonts w:hint="eastAsia" w:ascii="宋体" w:hAnsi="宋体"/>
          <w:b/>
          <w:color w:val="auto"/>
          <w:szCs w:val="21"/>
          <w:highlight w:val="none"/>
        </w:rPr>
        <w:t>条 合同的变更、终止与转让</w:t>
      </w:r>
    </w:p>
    <w:p w14:paraId="412E8F8A">
      <w:pPr>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1、除《中华人民共和国政府采购法》第五十条规定的情形外，本合同一经签订甲乙双方不得擅自变更、中止或终止。</w:t>
      </w:r>
    </w:p>
    <w:p w14:paraId="212DFCB5">
      <w:pPr>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2、乙方不得擅自转让（无进口资格的供应商委托进口货物除外）其应履行的合同义务。</w:t>
      </w:r>
    </w:p>
    <w:p w14:paraId="6AC5EFA6">
      <w:pPr>
        <w:snapToGrid w:val="0"/>
        <w:spacing w:line="440" w:lineRule="exact"/>
        <w:ind w:firstLine="422" w:firstLineChars="200"/>
        <w:rPr>
          <w:rFonts w:ascii="宋体" w:hAnsi="宋体"/>
          <w:b/>
          <w:color w:val="auto"/>
          <w:szCs w:val="21"/>
          <w:highlight w:val="none"/>
        </w:rPr>
      </w:pPr>
      <w:r>
        <w:rPr>
          <w:rFonts w:hint="eastAsia" w:ascii="宋体" w:hAnsi="宋体"/>
          <w:b/>
          <w:color w:val="auto"/>
          <w:szCs w:val="21"/>
          <w:highlight w:val="none"/>
        </w:rPr>
        <w:t>第十</w:t>
      </w:r>
      <w:r>
        <w:rPr>
          <w:rFonts w:hint="eastAsia" w:ascii="宋体" w:hAnsi="宋体"/>
          <w:b/>
          <w:color w:val="auto"/>
          <w:szCs w:val="21"/>
          <w:highlight w:val="none"/>
          <w:lang w:val="en-US" w:eastAsia="zh-CN"/>
        </w:rPr>
        <w:t>四</w:t>
      </w:r>
      <w:r>
        <w:rPr>
          <w:rFonts w:hint="eastAsia" w:ascii="宋体" w:hAnsi="宋体"/>
          <w:b/>
          <w:color w:val="auto"/>
          <w:szCs w:val="21"/>
          <w:highlight w:val="none"/>
        </w:rPr>
        <w:t>条　签订本合同依据</w:t>
      </w:r>
    </w:p>
    <w:p w14:paraId="2B2FE0F3">
      <w:pPr>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1、采购文件；</w:t>
      </w:r>
    </w:p>
    <w:p w14:paraId="1545513B">
      <w:pPr>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2、乙方提供的投标文件；</w:t>
      </w:r>
    </w:p>
    <w:p w14:paraId="46E35978">
      <w:pPr>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3、投标承诺书；</w:t>
      </w:r>
    </w:p>
    <w:p w14:paraId="44E4EF24">
      <w:pPr>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4、中标通知书。</w:t>
      </w:r>
    </w:p>
    <w:p w14:paraId="36BD9E51">
      <w:pPr>
        <w:snapToGrid w:val="0"/>
        <w:spacing w:line="440" w:lineRule="exact"/>
        <w:ind w:firstLine="422" w:firstLineChars="200"/>
        <w:rPr>
          <w:rFonts w:ascii="宋体" w:hAnsi="宋体"/>
          <w:b/>
          <w:color w:val="auto"/>
          <w:szCs w:val="21"/>
          <w:highlight w:val="none"/>
        </w:rPr>
      </w:pPr>
      <w:r>
        <w:rPr>
          <w:rFonts w:hint="eastAsia" w:ascii="宋体" w:hAnsi="宋体"/>
          <w:b/>
          <w:color w:val="auto"/>
          <w:szCs w:val="21"/>
          <w:highlight w:val="none"/>
        </w:rPr>
        <w:t>第十</w:t>
      </w:r>
      <w:r>
        <w:rPr>
          <w:rFonts w:hint="eastAsia" w:ascii="宋体" w:hAnsi="宋体"/>
          <w:b/>
          <w:color w:val="auto"/>
          <w:szCs w:val="21"/>
          <w:highlight w:val="none"/>
          <w:lang w:val="en-US" w:eastAsia="zh-CN"/>
        </w:rPr>
        <w:t>五</w:t>
      </w:r>
      <w:r>
        <w:rPr>
          <w:rFonts w:hint="eastAsia" w:ascii="宋体" w:hAnsi="宋体"/>
          <w:b/>
          <w:color w:val="auto"/>
          <w:szCs w:val="21"/>
          <w:highlight w:val="none"/>
        </w:rPr>
        <w:t>条　</w:t>
      </w:r>
      <w:r>
        <w:rPr>
          <w:rFonts w:hint="eastAsia" w:ascii="宋体" w:hAnsi="宋体"/>
          <w:color w:val="auto"/>
          <w:szCs w:val="21"/>
          <w:highlight w:val="none"/>
        </w:rPr>
        <w:t>本合同一式</w:t>
      </w:r>
      <w:r>
        <w:rPr>
          <w:rFonts w:hint="eastAsia" w:ascii="宋体" w:hAnsi="宋体"/>
          <w:color w:val="auto"/>
          <w:szCs w:val="21"/>
          <w:highlight w:val="none"/>
          <w:lang w:eastAsia="zh-CN"/>
        </w:rPr>
        <w:t>六</w:t>
      </w:r>
      <w:r>
        <w:rPr>
          <w:rFonts w:hint="eastAsia" w:ascii="宋体" w:hAnsi="宋体"/>
          <w:color w:val="auto"/>
          <w:szCs w:val="21"/>
          <w:highlight w:val="none"/>
        </w:rPr>
        <w:t>份，具有同等法律效力，甲方三份，乙方两份</w:t>
      </w:r>
      <w:r>
        <w:rPr>
          <w:rFonts w:hint="eastAsia" w:ascii="宋体" w:hAnsi="宋体"/>
          <w:color w:val="auto"/>
          <w:szCs w:val="21"/>
          <w:highlight w:val="none"/>
          <w:lang w:eastAsia="zh-CN"/>
        </w:rPr>
        <w:t>，采购代理机构一份</w:t>
      </w:r>
      <w:r>
        <w:rPr>
          <w:rFonts w:hint="eastAsia" w:ascii="宋体" w:hAnsi="宋体"/>
          <w:color w:val="auto"/>
          <w:szCs w:val="21"/>
          <w:highlight w:val="none"/>
        </w:rPr>
        <w:t>。</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6"/>
        <w:gridCol w:w="4927"/>
      </w:tblGrid>
      <w:tr w14:paraId="288B9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2500" w:type="pct"/>
            <w:tcBorders>
              <w:top w:val="single" w:color="auto" w:sz="4" w:space="0"/>
              <w:left w:val="single" w:color="auto" w:sz="4" w:space="0"/>
              <w:bottom w:val="single" w:color="auto" w:sz="4" w:space="0"/>
              <w:right w:val="single" w:color="auto" w:sz="4" w:space="0"/>
            </w:tcBorders>
            <w:noWrap/>
            <w:vAlign w:val="center"/>
          </w:tcPr>
          <w:p w14:paraId="71D343F8">
            <w:pPr>
              <w:snapToGrid w:val="0"/>
              <w:spacing w:line="500" w:lineRule="exact"/>
              <w:rPr>
                <w:rFonts w:ascii="宋体" w:hAnsi="宋体"/>
                <w:color w:val="auto"/>
                <w:szCs w:val="21"/>
                <w:highlight w:val="none"/>
              </w:rPr>
            </w:pPr>
            <w:r>
              <w:rPr>
                <w:rFonts w:hint="eastAsia" w:ascii="宋体" w:hAnsi="宋体"/>
                <w:color w:val="auto"/>
                <w:szCs w:val="21"/>
                <w:highlight w:val="none"/>
              </w:rPr>
              <w:t>甲方（章）</w:t>
            </w:r>
          </w:p>
          <w:p w14:paraId="416EF606">
            <w:pPr>
              <w:snapToGrid w:val="0"/>
              <w:spacing w:line="500" w:lineRule="exact"/>
              <w:rPr>
                <w:rFonts w:ascii="宋体" w:hAnsi="宋体"/>
                <w:color w:val="auto"/>
                <w:szCs w:val="21"/>
                <w:highlight w:val="none"/>
              </w:rPr>
            </w:pPr>
          </w:p>
          <w:p w14:paraId="1B7F4574">
            <w:pPr>
              <w:snapToGrid w:val="0"/>
              <w:spacing w:line="500" w:lineRule="exact"/>
              <w:ind w:firstLine="945" w:firstLineChars="450"/>
              <w:jc w:val="right"/>
              <w:rPr>
                <w:rFonts w:ascii="宋体" w:hAnsi="宋体"/>
                <w:color w:val="auto"/>
                <w:szCs w:val="21"/>
                <w:highlight w:val="none"/>
              </w:rPr>
            </w:pPr>
            <w:r>
              <w:rPr>
                <w:rFonts w:hint="eastAsia" w:ascii="宋体" w:hAnsi="宋体"/>
                <w:color w:val="auto"/>
                <w:szCs w:val="21"/>
                <w:highlight w:val="none"/>
              </w:rPr>
              <w:t>年月日</w:t>
            </w:r>
          </w:p>
        </w:tc>
        <w:tc>
          <w:tcPr>
            <w:tcW w:w="2500" w:type="pct"/>
            <w:tcBorders>
              <w:top w:val="single" w:color="auto" w:sz="4" w:space="0"/>
              <w:left w:val="single" w:color="auto" w:sz="4" w:space="0"/>
              <w:bottom w:val="single" w:color="auto" w:sz="4" w:space="0"/>
              <w:right w:val="single" w:color="auto" w:sz="4" w:space="0"/>
            </w:tcBorders>
            <w:noWrap/>
            <w:vAlign w:val="center"/>
          </w:tcPr>
          <w:p w14:paraId="6BAEC990">
            <w:pPr>
              <w:snapToGrid w:val="0"/>
              <w:spacing w:line="500" w:lineRule="exact"/>
              <w:rPr>
                <w:rFonts w:ascii="宋体" w:hAnsi="宋体"/>
                <w:color w:val="auto"/>
                <w:szCs w:val="21"/>
                <w:highlight w:val="none"/>
              </w:rPr>
            </w:pPr>
            <w:r>
              <w:rPr>
                <w:rFonts w:hint="eastAsia" w:ascii="宋体" w:hAnsi="宋体"/>
                <w:color w:val="auto"/>
                <w:szCs w:val="21"/>
                <w:highlight w:val="none"/>
              </w:rPr>
              <w:t>乙方（章）</w:t>
            </w:r>
          </w:p>
          <w:p w14:paraId="5F01B8F9">
            <w:pPr>
              <w:snapToGrid w:val="0"/>
              <w:spacing w:line="500" w:lineRule="exact"/>
              <w:rPr>
                <w:rFonts w:ascii="宋体" w:hAnsi="宋体"/>
                <w:color w:val="auto"/>
                <w:szCs w:val="21"/>
                <w:highlight w:val="none"/>
              </w:rPr>
            </w:pPr>
          </w:p>
          <w:p w14:paraId="6A9772AF">
            <w:pPr>
              <w:snapToGrid w:val="0"/>
              <w:spacing w:line="500" w:lineRule="exact"/>
              <w:jc w:val="right"/>
              <w:rPr>
                <w:rFonts w:ascii="宋体" w:hAnsi="宋体"/>
                <w:color w:val="auto"/>
                <w:szCs w:val="21"/>
                <w:highlight w:val="none"/>
              </w:rPr>
            </w:pPr>
            <w:r>
              <w:rPr>
                <w:rFonts w:hint="eastAsia" w:ascii="宋体" w:hAnsi="宋体"/>
                <w:color w:val="auto"/>
                <w:szCs w:val="21"/>
                <w:highlight w:val="none"/>
              </w:rPr>
              <w:t>年月日</w:t>
            </w:r>
          </w:p>
        </w:tc>
      </w:tr>
      <w:tr w14:paraId="3A9A2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2500" w:type="pct"/>
            <w:tcBorders>
              <w:top w:val="single" w:color="auto" w:sz="4" w:space="0"/>
              <w:left w:val="single" w:color="auto" w:sz="4" w:space="0"/>
              <w:bottom w:val="single" w:color="auto" w:sz="4" w:space="0"/>
              <w:right w:val="single" w:color="auto" w:sz="4" w:space="0"/>
            </w:tcBorders>
            <w:noWrap/>
            <w:vAlign w:val="center"/>
          </w:tcPr>
          <w:p w14:paraId="3A3764EE">
            <w:pPr>
              <w:snapToGrid w:val="0"/>
              <w:spacing w:line="500" w:lineRule="exact"/>
              <w:rPr>
                <w:rFonts w:ascii="宋体" w:hAnsi="宋体"/>
                <w:color w:val="auto"/>
                <w:szCs w:val="21"/>
                <w:highlight w:val="none"/>
              </w:rPr>
            </w:pPr>
            <w:r>
              <w:rPr>
                <w:rFonts w:hint="eastAsia" w:ascii="宋体" w:hAnsi="宋体"/>
                <w:color w:val="auto"/>
                <w:szCs w:val="21"/>
                <w:highlight w:val="none"/>
              </w:rPr>
              <w:t>单位地址：</w:t>
            </w:r>
          </w:p>
        </w:tc>
        <w:tc>
          <w:tcPr>
            <w:tcW w:w="2500" w:type="pct"/>
            <w:tcBorders>
              <w:top w:val="single" w:color="auto" w:sz="4" w:space="0"/>
              <w:left w:val="single" w:color="auto" w:sz="4" w:space="0"/>
              <w:bottom w:val="single" w:color="auto" w:sz="4" w:space="0"/>
              <w:right w:val="single" w:color="auto" w:sz="4" w:space="0"/>
            </w:tcBorders>
            <w:noWrap/>
            <w:vAlign w:val="center"/>
          </w:tcPr>
          <w:p w14:paraId="1028F36F">
            <w:pPr>
              <w:snapToGrid w:val="0"/>
              <w:spacing w:line="500" w:lineRule="exact"/>
              <w:rPr>
                <w:rFonts w:ascii="宋体" w:hAnsi="宋体"/>
                <w:color w:val="auto"/>
                <w:szCs w:val="21"/>
                <w:highlight w:val="none"/>
              </w:rPr>
            </w:pPr>
            <w:r>
              <w:rPr>
                <w:rFonts w:hint="eastAsia" w:ascii="宋体" w:hAnsi="宋体"/>
                <w:color w:val="auto"/>
                <w:szCs w:val="21"/>
                <w:highlight w:val="none"/>
              </w:rPr>
              <w:t>单位地址：</w:t>
            </w:r>
          </w:p>
        </w:tc>
      </w:tr>
      <w:tr w14:paraId="69DC2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2500" w:type="pct"/>
            <w:tcBorders>
              <w:top w:val="single" w:color="auto" w:sz="4" w:space="0"/>
              <w:left w:val="single" w:color="auto" w:sz="4" w:space="0"/>
              <w:bottom w:val="single" w:color="auto" w:sz="4" w:space="0"/>
              <w:right w:val="single" w:color="auto" w:sz="4" w:space="0"/>
            </w:tcBorders>
            <w:noWrap/>
            <w:vAlign w:val="center"/>
          </w:tcPr>
          <w:p w14:paraId="7EC86D29">
            <w:pPr>
              <w:snapToGrid w:val="0"/>
              <w:spacing w:line="500" w:lineRule="exact"/>
              <w:rPr>
                <w:rFonts w:ascii="宋体" w:hAnsi="宋体"/>
                <w:color w:val="auto"/>
                <w:szCs w:val="21"/>
                <w:highlight w:val="none"/>
              </w:rPr>
            </w:pPr>
            <w:r>
              <w:rPr>
                <w:rFonts w:hint="eastAsia" w:ascii="宋体" w:hAnsi="宋体"/>
                <w:color w:val="auto"/>
                <w:szCs w:val="21"/>
                <w:highlight w:val="none"/>
              </w:rPr>
              <w:t>法定代表人或委托代理人：</w:t>
            </w:r>
          </w:p>
        </w:tc>
        <w:tc>
          <w:tcPr>
            <w:tcW w:w="2500" w:type="pct"/>
            <w:tcBorders>
              <w:top w:val="single" w:color="auto" w:sz="4" w:space="0"/>
              <w:left w:val="single" w:color="auto" w:sz="4" w:space="0"/>
              <w:bottom w:val="single" w:color="auto" w:sz="4" w:space="0"/>
              <w:right w:val="single" w:color="auto" w:sz="4" w:space="0"/>
            </w:tcBorders>
            <w:noWrap/>
            <w:vAlign w:val="center"/>
          </w:tcPr>
          <w:p w14:paraId="38875FC4">
            <w:pPr>
              <w:snapToGrid w:val="0"/>
              <w:spacing w:line="500" w:lineRule="exact"/>
              <w:rPr>
                <w:rFonts w:ascii="宋体" w:hAnsi="宋体"/>
                <w:color w:val="auto"/>
                <w:szCs w:val="21"/>
                <w:highlight w:val="none"/>
              </w:rPr>
            </w:pPr>
            <w:r>
              <w:rPr>
                <w:rFonts w:hint="eastAsia" w:ascii="宋体" w:hAnsi="宋体"/>
                <w:color w:val="auto"/>
                <w:szCs w:val="21"/>
                <w:highlight w:val="none"/>
              </w:rPr>
              <w:t>法定代表人或委托代理人：</w:t>
            </w:r>
          </w:p>
        </w:tc>
      </w:tr>
      <w:tr w14:paraId="5F8E7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2500" w:type="pct"/>
            <w:tcBorders>
              <w:top w:val="single" w:color="auto" w:sz="4" w:space="0"/>
              <w:left w:val="single" w:color="auto" w:sz="4" w:space="0"/>
              <w:bottom w:val="single" w:color="auto" w:sz="4" w:space="0"/>
              <w:right w:val="single" w:color="auto" w:sz="4" w:space="0"/>
            </w:tcBorders>
            <w:noWrap/>
            <w:vAlign w:val="center"/>
          </w:tcPr>
          <w:p w14:paraId="22249134">
            <w:pPr>
              <w:snapToGrid w:val="0"/>
              <w:spacing w:line="500" w:lineRule="exact"/>
              <w:rPr>
                <w:rFonts w:ascii="宋体" w:hAnsi="宋体"/>
                <w:color w:val="auto"/>
                <w:szCs w:val="21"/>
                <w:highlight w:val="none"/>
              </w:rPr>
            </w:pPr>
            <w:r>
              <w:rPr>
                <w:rFonts w:hint="eastAsia" w:ascii="宋体" w:hAnsi="宋体"/>
                <w:color w:val="auto"/>
                <w:szCs w:val="21"/>
                <w:highlight w:val="none"/>
              </w:rPr>
              <w:t>电话：</w:t>
            </w:r>
          </w:p>
        </w:tc>
        <w:tc>
          <w:tcPr>
            <w:tcW w:w="2500" w:type="pct"/>
            <w:tcBorders>
              <w:top w:val="single" w:color="auto" w:sz="4" w:space="0"/>
              <w:left w:val="single" w:color="auto" w:sz="4" w:space="0"/>
              <w:bottom w:val="single" w:color="auto" w:sz="4" w:space="0"/>
              <w:right w:val="single" w:color="auto" w:sz="4" w:space="0"/>
            </w:tcBorders>
            <w:noWrap/>
            <w:vAlign w:val="center"/>
          </w:tcPr>
          <w:p w14:paraId="0E620CC3">
            <w:pPr>
              <w:snapToGrid w:val="0"/>
              <w:spacing w:line="500" w:lineRule="exact"/>
              <w:rPr>
                <w:rFonts w:ascii="宋体" w:hAnsi="宋体"/>
                <w:color w:val="auto"/>
                <w:szCs w:val="21"/>
                <w:highlight w:val="none"/>
              </w:rPr>
            </w:pPr>
            <w:r>
              <w:rPr>
                <w:rFonts w:hint="eastAsia" w:ascii="宋体" w:hAnsi="宋体"/>
                <w:color w:val="auto"/>
                <w:szCs w:val="21"/>
                <w:highlight w:val="none"/>
              </w:rPr>
              <w:t>电话：</w:t>
            </w:r>
          </w:p>
        </w:tc>
      </w:tr>
      <w:tr w14:paraId="337DF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2500" w:type="pct"/>
            <w:tcBorders>
              <w:top w:val="single" w:color="auto" w:sz="4" w:space="0"/>
              <w:left w:val="single" w:color="auto" w:sz="4" w:space="0"/>
              <w:bottom w:val="single" w:color="auto" w:sz="4" w:space="0"/>
              <w:right w:val="single" w:color="auto" w:sz="4" w:space="0"/>
            </w:tcBorders>
            <w:noWrap/>
            <w:vAlign w:val="center"/>
          </w:tcPr>
          <w:p w14:paraId="3870E054">
            <w:pPr>
              <w:snapToGrid w:val="0"/>
              <w:spacing w:line="500" w:lineRule="exact"/>
              <w:rPr>
                <w:rFonts w:ascii="宋体" w:hAnsi="宋体"/>
                <w:color w:val="auto"/>
                <w:szCs w:val="21"/>
                <w:highlight w:val="none"/>
              </w:rPr>
            </w:pPr>
            <w:r>
              <w:rPr>
                <w:rFonts w:hint="eastAsia" w:ascii="宋体" w:hAnsi="宋体"/>
                <w:color w:val="auto"/>
                <w:szCs w:val="21"/>
                <w:highlight w:val="none"/>
              </w:rPr>
              <w:t>电子邮箱：</w:t>
            </w:r>
          </w:p>
        </w:tc>
        <w:tc>
          <w:tcPr>
            <w:tcW w:w="2500" w:type="pct"/>
            <w:tcBorders>
              <w:top w:val="single" w:color="auto" w:sz="4" w:space="0"/>
              <w:left w:val="single" w:color="auto" w:sz="4" w:space="0"/>
              <w:bottom w:val="single" w:color="auto" w:sz="4" w:space="0"/>
              <w:right w:val="single" w:color="auto" w:sz="4" w:space="0"/>
            </w:tcBorders>
            <w:noWrap/>
            <w:vAlign w:val="center"/>
          </w:tcPr>
          <w:p w14:paraId="6295B2D7">
            <w:pPr>
              <w:snapToGrid w:val="0"/>
              <w:spacing w:line="500" w:lineRule="exact"/>
              <w:rPr>
                <w:rFonts w:ascii="宋体" w:hAnsi="宋体"/>
                <w:color w:val="auto"/>
                <w:szCs w:val="21"/>
                <w:highlight w:val="none"/>
              </w:rPr>
            </w:pPr>
            <w:r>
              <w:rPr>
                <w:rFonts w:hint="eastAsia" w:ascii="宋体" w:hAnsi="宋体"/>
                <w:color w:val="auto"/>
                <w:szCs w:val="21"/>
                <w:highlight w:val="none"/>
              </w:rPr>
              <w:t>电子邮箱：</w:t>
            </w:r>
          </w:p>
        </w:tc>
      </w:tr>
      <w:tr w14:paraId="00FB2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2500" w:type="pct"/>
            <w:tcBorders>
              <w:top w:val="single" w:color="auto" w:sz="4" w:space="0"/>
              <w:left w:val="single" w:color="auto" w:sz="4" w:space="0"/>
              <w:bottom w:val="single" w:color="auto" w:sz="4" w:space="0"/>
              <w:right w:val="single" w:color="auto" w:sz="4" w:space="0"/>
            </w:tcBorders>
            <w:noWrap/>
            <w:vAlign w:val="center"/>
          </w:tcPr>
          <w:p w14:paraId="12C6E602">
            <w:pPr>
              <w:snapToGrid w:val="0"/>
              <w:spacing w:line="500" w:lineRule="exact"/>
              <w:rPr>
                <w:rFonts w:ascii="宋体" w:hAnsi="宋体"/>
                <w:color w:val="auto"/>
                <w:szCs w:val="21"/>
                <w:highlight w:val="none"/>
              </w:rPr>
            </w:pPr>
            <w:r>
              <w:rPr>
                <w:rFonts w:hint="eastAsia" w:ascii="宋体" w:hAnsi="宋体"/>
                <w:color w:val="auto"/>
                <w:szCs w:val="21"/>
                <w:highlight w:val="none"/>
              </w:rPr>
              <w:t>开户银行：</w:t>
            </w:r>
          </w:p>
        </w:tc>
        <w:tc>
          <w:tcPr>
            <w:tcW w:w="2500" w:type="pct"/>
            <w:tcBorders>
              <w:top w:val="single" w:color="auto" w:sz="4" w:space="0"/>
              <w:left w:val="single" w:color="auto" w:sz="4" w:space="0"/>
              <w:bottom w:val="single" w:color="auto" w:sz="4" w:space="0"/>
              <w:right w:val="single" w:color="auto" w:sz="4" w:space="0"/>
            </w:tcBorders>
            <w:noWrap/>
            <w:vAlign w:val="center"/>
          </w:tcPr>
          <w:p w14:paraId="42B6C610">
            <w:pPr>
              <w:snapToGrid w:val="0"/>
              <w:spacing w:line="500" w:lineRule="exact"/>
              <w:rPr>
                <w:rFonts w:ascii="宋体" w:hAnsi="宋体"/>
                <w:color w:val="auto"/>
                <w:szCs w:val="21"/>
                <w:highlight w:val="none"/>
              </w:rPr>
            </w:pPr>
            <w:r>
              <w:rPr>
                <w:rFonts w:hint="eastAsia" w:ascii="宋体" w:hAnsi="宋体"/>
                <w:color w:val="auto"/>
                <w:szCs w:val="21"/>
                <w:highlight w:val="none"/>
              </w:rPr>
              <w:t>开户银行：</w:t>
            </w:r>
          </w:p>
        </w:tc>
      </w:tr>
      <w:tr w14:paraId="75FAF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2500" w:type="pct"/>
            <w:tcBorders>
              <w:top w:val="single" w:color="auto" w:sz="4" w:space="0"/>
              <w:left w:val="single" w:color="auto" w:sz="4" w:space="0"/>
              <w:bottom w:val="single" w:color="auto" w:sz="4" w:space="0"/>
              <w:right w:val="single" w:color="auto" w:sz="4" w:space="0"/>
            </w:tcBorders>
            <w:noWrap/>
            <w:vAlign w:val="center"/>
          </w:tcPr>
          <w:p w14:paraId="1A1A0D9C">
            <w:pPr>
              <w:snapToGrid w:val="0"/>
              <w:spacing w:line="500" w:lineRule="exact"/>
              <w:rPr>
                <w:rFonts w:ascii="宋体" w:hAnsi="宋体"/>
                <w:color w:val="auto"/>
                <w:szCs w:val="21"/>
                <w:highlight w:val="none"/>
              </w:rPr>
            </w:pPr>
            <w:r>
              <w:rPr>
                <w:rFonts w:hint="eastAsia" w:ascii="宋体" w:hAnsi="宋体"/>
                <w:color w:val="auto"/>
                <w:szCs w:val="21"/>
                <w:highlight w:val="none"/>
              </w:rPr>
              <w:t>账号：</w:t>
            </w:r>
          </w:p>
        </w:tc>
        <w:tc>
          <w:tcPr>
            <w:tcW w:w="2500" w:type="pct"/>
            <w:tcBorders>
              <w:top w:val="single" w:color="auto" w:sz="4" w:space="0"/>
              <w:left w:val="single" w:color="auto" w:sz="4" w:space="0"/>
              <w:bottom w:val="single" w:color="auto" w:sz="4" w:space="0"/>
              <w:right w:val="single" w:color="auto" w:sz="4" w:space="0"/>
            </w:tcBorders>
            <w:noWrap/>
            <w:vAlign w:val="center"/>
          </w:tcPr>
          <w:p w14:paraId="4985DE51">
            <w:pPr>
              <w:snapToGrid w:val="0"/>
              <w:spacing w:line="500" w:lineRule="exact"/>
              <w:rPr>
                <w:rFonts w:ascii="宋体" w:hAnsi="宋体"/>
                <w:color w:val="auto"/>
                <w:szCs w:val="21"/>
                <w:highlight w:val="none"/>
              </w:rPr>
            </w:pPr>
            <w:r>
              <w:rPr>
                <w:rFonts w:hint="eastAsia" w:ascii="宋体" w:hAnsi="宋体"/>
                <w:color w:val="auto"/>
                <w:szCs w:val="21"/>
                <w:highlight w:val="none"/>
              </w:rPr>
              <w:t>账号：</w:t>
            </w:r>
          </w:p>
        </w:tc>
      </w:tr>
      <w:tr w14:paraId="3A002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2500" w:type="pct"/>
            <w:tcBorders>
              <w:top w:val="single" w:color="auto" w:sz="4" w:space="0"/>
              <w:left w:val="single" w:color="auto" w:sz="4" w:space="0"/>
              <w:bottom w:val="single" w:color="auto" w:sz="4" w:space="0"/>
              <w:right w:val="single" w:color="auto" w:sz="4" w:space="0"/>
            </w:tcBorders>
            <w:noWrap/>
            <w:vAlign w:val="center"/>
          </w:tcPr>
          <w:p w14:paraId="0F3DEB1F">
            <w:pPr>
              <w:snapToGrid w:val="0"/>
              <w:spacing w:line="500" w:lineRule="exact"/>
              <w:rPr>
                <w:rFonts w:ascii="宋体" w:hAnsi="宋体"/>
                <w:color w:val="auto"/>
                <w:szCs w:val="21"/>
                <w:highlight w:val="none"/>
              </w:rPr>
            </w:pPr>
            <w:r>
              <w:rPr>
                <w:rFonts w:hint="eastAsia" w:ascii="宋体" w:hAnsi="宋体"/>
                <w:color w:val="auto"/>
                <w:szCs w:val="21"/>
                <w:highlight w:val="none"/>
              </w:rPr>
              <w:t>纳税人识别号或统一社会信用代码：</w:t>
            </w:r>
          </w:p>
          <w:p w14:paraId="10B31E7C">
            <w:pPr>
              <w:snapToGrid w:val="0"/>
              <w:spacing w:line="500" w:lineRule="exact"/>
              <w:rPr>
                <w:rFonts w:ascii="宋体" w:hAnsi="宋体"/>
                <w:color w:val="auto"/>
                <w:szCs w:val="21"/>
                <w:highlight w:val="none"/>
              </w:rPr>
            </w:pPr>
          </w:p>
        </w:tc>
        <w:tc>
          <w:tcPr>
            <w:tcW w:w="2500" w:type="pct"/>
            <w:tcBorders>
              <w:top w:val="single" w:color="auto" w:sz="4" w:space="0"/>
              <w:left w:val="single" w:color="auto" w:sz="4" w:space="0"/>
              <w:bottom w:val="single" w:color="auto" w:sz="4" w:space="0"/>
              <w:right w:val="single" w:color="auto" w:sz="4" w:space="0"/>
            </w:tcBorders>
            <w:noWrap/>
            <w:vAlign w:val="center"/>
          </w:tcPr>
          <w:p w14:paraId="0B4F4AC3">
            <w:pPr>
              <w:snapToGrid w:val="0"/>
              <w:spacing w:line="500" w:lineRule="exact"/>
              <w:rPr>
                <w:rFonts w:ascii="宋体" w:hAnsi="宋体"/>
                <w:color w:val="auto"/>
                <w:szCs w:val="21"/>
                <w:highlight w:val="none"/>
              </w:rPr>
            </w:pPr>
            <w:r>
              <w:rPr>
                <w:rFonts w:hint="eastAsia" w:ascii="宋体" w:hAnsi="宋体"/>
                <w:color w:val="auto"/>
                <w:szCs w:val="21"/>
                <w:highlight w:val="none"/>
              </w:rPr>
              <w:t>纳税人识别号或统一社会信用代码：</w:t>
            </w:r>
          </w:p>
          <w:p w14:paraId="0F795715">
            <w:pPr>
              <w:snapToGrid w:val="0"/>
              <w:spacing w:line="500" w:lineRule="exact"/>
              <w:rPr>
                <w:rFonts w:ascii="宋体" w:hAnsi="宋体"/>
                <w:color w:val="auto"/>
                <w:szCs w:val="21"/>
                <w:highlight w:val="none"/>
              </w:rPr>
            </w:pPr>
          </w:p>
        </w:tc>
      </w:tr>
      <w:tr w14:paraId="23326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2500" w:type="pct"/>
            <w:tcBorders>
              <w:top w:val="single" w:color="auto" w:sz="4" w:space="0"/>
              <w:left w:val="single" w:color="auto" w:sz="4" w:space="0"/>
              <w:bottom w:val="single" w:color="auto" w:sz="4" w:space="0"/>
              <w:right w:val="single" w:color="auto" w:sz="4" w:space="0"/>
            </w:tcBorders>
            <w:noWrap/>
            <w:vAlign w:val="center"/>
          </w:tcPr>
          <w:p w14:paraId="64099E42">
            <w:pPr>
              <w:snapToGrid w:val="0"/>
              <w:spacing w:line="500" w:lineRule="exact"/>
              <w:rPr>
                <w:rFonts w:ascii="宋体" w:hAnsi="宋体"/>
                <w:color w:val="auto"/>
                <w:szCs w:val="21"/>
                <w:highlight w:val="none"/>
              </w:rPr>
            </w:pPr>
            <w:r>
              <w:rPr>
                <w:rFonts w:hint="eastAsia" w:ascii="宋体" w:hAnsi="宋体"/>
                <w:color w:val="auto"/>
                <w:szCs w:val="21"/>
                <w:highlight w:val="none"/>
              </w:rPr>
              <w:t>邮政编码：</w:t>
            </w:r>
          </w:p>
        </w:tc>
        <w:tc>
          <w:tcPr>
            <w:tcW w:w="2500" w:type="pct"/>
            <w:tcBorders>
              <w:top w:val="single" w:color="auto" w:sz="4" w:space="0"/>
              <w:left w:val="single" w:color="auto" w:sz="4" w:space="0"/>
              <w:bottom w:val="single" w:color="auto" w:sz="4" w:space="0"/>
              <w:right w:val="single" w:color="auto" w:sz="4" w:space="0"/>
            </w:tcBorders>
            <w:noWrap/>
            <w:vAlign w:val="center"/>
          </w:tcPr>
          <w:p w14:paraId="0A2E336A">
            <w:pPr>
              <w:snapToGrid w:val="0"/>
              <w:spacing w:line="500" w:lineRule="exact"/>
              <w:rPr>
                <w:rFonts w:ascii="宋体" w:hAnsi="宋体"/>
                <w:color w:val="auto"/>
                <w:szCs w:val="21"/>
                <w:highlight w:val="none"/>
              </w:rPr>
            </w:pPr>
            <w:r>
              <w:rPr>
                <w:rFonts w:hint="eastAsia" w:ascii="宋体" w:hAnsi="宋体"/>
                <w:color w:val="auto"/>
                <w:szCs w:val="21"/>
                <w:highlight w:val="none"/>
              </w:rPr>
              <w:t>邮政编码：</w:t>
            </w:r>
          </w:p>
        </w:tc>
      </w:tr>
    </w:tbl>
    <w:p w14:paraId="16FC0F15">
      <w:pPr>
        <w:spacing w:line="360" w:lineRule="exact"/>
        <w:ind w:firstLine="420" w:firstLineChars="200"/>
        <w:rPr>
          <w:rFonts w:hint="eastAsia" w:ascii="宋体" w:hAnsi="宋体" w:eastAsia="宋体" w:cs="宋体"/>
          <w:color w:val="auto"/>
          <w:szCs w:val="21"/>
          <w:highlight w:val="none"/>
        </w:rPr>
      </w:pPr>
    </w:p>
    <w:p w14:paraId="69E80C69">
      <w:pPr>
        <w:spacing w:line="360" w:lineRule="exact"/>
        <w:ind w:firstLine="420" w:firstLineChars="200"/>
        <w:rPr>
          <w:rFonts w:hint="eastAsia" w:ascii="宋体" w:hAnsi="宋体" w:eastAsia="宋体" w:cs="宋体"/>
          <w:color w:val="auto"/>
          <w:szCs w:val="21"/>
          <w:highlight w:val="none"/>
        </w:rPr>
      </w:pPr>
    </w:p>
    <w:p w14:paraId="5C8B56CB">
      <w:pPr>
        <w:shd w:val="clear" w:color="auto" w:fill="FFFFFF" w:themeFill="background1"/>
        <w:spacing w:line="360" w:lineRule="auto"/>
        <w:ind w:right="800" w:firstLine="6090" w:firstLineChars="2900"/>
        <w:rPr>
          <w:rFonts w:ascii="宋体" w:hAnsi="宋体" w:cs="宋体"/>
          <w:bCs/>
          <w:color w:val="auto"/>
          <w:szCs w:val="21"/>
          <w:highlight w:val="none"/>
        </w:rPr>
      </w:pPr>
    </w:p>
    <w:p w14:paraId="34670E96">
      <w:pPr>
        <w:shd w:val="clear" w:color="auto" w:fill="FFFFFF" w:themeFill="background1"/>
        <w:spacing w:line="300" w:lineRule="auto"/>
        <w:jc w:val="center"/>
        <w:rPr>
          <w:rFonts w:ascii="黑体" w:hAnsi="宋体" w:eastAsia="黑体"/>
          <w:b/>
          <w:color w:val="auto"/>
          <w:sz w:val="44"/>
          <w:szCs w:val="44"/>
          <w:highlight w:val="none"/>
        </w:rPr>
      </w:pPr>
    </w:p>
    <w:p w14:paraId="7EA00FEE">
      <w:pPr>
        <w:shd w:val="clear" w:color="auto" w:fill="FFFFFF" w:themeFill="background1"/>
        <w:rPr>
          <w:rFonts w:ascii="宋体" w:hAnsi="宋体" w:cs="宋体"/>
          <w:color w:val="auto"/>
          <w:szCs w:val="21"/>
          <w:highlight w:val="none"/>
        </w:rPr>
      </w:pPr>
      <w:r>
        <w:rPr>
          <w:rFonts w:ascii="宋体" w:hAnsi="宋体" w:cs="宋体"/>
          <w:color w:val="auto"/>
          <w:szCs w:val="21"/>
          <w:highlight w:val="none"/>
        </w:rPr>
        <w:br w:type="page"/>
      </w:r>
    </w:p>
    <w:p w14:paraId="7A04162A">
      <w:pPr>
        <w:pStyle w:val="16"/>
        <w:shd w:val="clear" w:color="auto" w:fill="FFFFFF" w:themeFill="background1"/>
        <w:rPr>
          <w:color w:val="auto"/>
          <w:highlight w:val="none"/>
        </w:rPr>
      </w:pPr>
    </w:p>
    <w:p w14:paraId="7DAFA682">
      <w:pPr>
        <w:pStyle w:val="14"/>
        <w:shd w:val="clear" w:color="auto" w:fill="FFFFFF" w:themeFill="background1"/>
        <w:tabs>
          <w:tab w:val="left" w:pos="2472"/>
        </w:tabs>
        <w:spacing w:line="460" w:lineRule="exact"/>
        <w:jc w:val="center"/>
        <w:rPr>
          <w:rFonts w:hAnsi="宋体" w:cs="宋体"/>
          <w:b/>
          <w:color w:val="auto"/>
          <w:sz w:val="36"/>
          <w:highlight w:val="none"/>
        </w:rPr>
      </w:pPr>
    </w:p>
    <w:p w14:paraId="2D05885E">
      <w:pPr>
        <w:pStyle w:val="14"/>
        <w:shd w:val="clear" w:color="auto" w:fill="FFFFFF" w:themeFill="background1"/>
        <w:tabs>
          <w:tab w:val="left" w:pos="2472"/>
        </w:tabs>
        <w:spacing w:line="460" w:lineRule="exact"/>
        <w:jc w:val="center"/>
        <w:rPr>
          <w:rFonts w:hAnsi="宋体" w:cs="宋体"/>
          <w:b/>
          <w:color w:val="auto"/>
          <w:sz w:val="36"/>
          <w:highlight w:val="none"/>
        </w:rPr>
      </w:pPr>
    </w:p>
    <w:p w14:paraId="5D051653">
      <w:pPr>
        <w:pStyle w:val="14"/>
        <w:shd w:val="clear" w:color="auto" w:fill="FFFFFF" w:themeFill="background1"/>
        <w:tabs>
          <w:tab w:val="left" w:pos="2472"/>
        </w:tabs>
        <w:spacing w:line="460" w:lineRule="exact"/>
        <w:jc w:val="center"/>
        <w:rPr>
          <w:rFonts w:hAnsi="宋体" w:cs="宋体"/>
          <w:b/>
          <w:color w:val="auto"/>
          <w:sz w:val="36"/>
          <w:highlight w:val="none"/>
        </w:rPr>
      </w:pPr>
    </w:p>
    <w:p w14:paraId="33C51802">
      <w:pPr>
        <w:pStyle w:val="14"/>
        <w:shd w:val="clear" w:color="auto" w:fill="FFFFFF" w:themeFill="background1"/>
        <w:tabs>
          <w:tab w:val="left" w:pos="2472"/>
        </w:tabs>
        <w:spacing w:line="460" w:lineRule="exact"/>
        <w:jc w:val="center"/>
        <w:rPr>
          <w:rFonts w:hAnsi="宋体" w:cs="宋体"/>
          <w:b/>
          <w:color w:val="auto"/>
          <w:sz w:val="36"/>
          <w:highlight w:val="none"/>
        </w:rPr>
      </w:pPr>
    </w:p>
    <w:p w14:paraId="1F187EA8">
      <w:pPr>
        <w:pStyle w:val="14"/>
        <w:shd w:val="clear" w:color="auto" w:fill="FFFFFF" w:themeFill="background1"/>
        <w:tabs>
          <w:tab w:val="left" w:pos="2472"/>
        </w:tabs>
        <w:spacing w:line="460" w:lineRule="exact"/>
        <w:jc w:val="center"/>
        <w:rPr>
          <w:rFonts w:hAnsi="宋体" w:cs="宋体"/>
          <w:b/>
          <w:color w:val="auto"/>
          <w:sz w:val="36"/>
          <w:highlight w:val="none"/>
        </w:rPr>
      </w:pPr>
    </w:p>
    <w:p w14:paraId="460C3E17">
      <w:pPr>
        <w:pStyle w:val="14"/>
        <w:shd w:val="clear" w:color="auto" w:fill="FFFFFF" w:themeFill="background1"/>
        <w:tabs>
          <w:tab w:val="left" w:pos="2472"/>
        </w:tabs>
        <w:spacing w:line="460" w:lineRule="exact"/>
        <w:jc w:val="center"/>
        <w:rPr>
          <w:rFonts w:hAnsi="宋体" w:cs="宋体"/>
          <w:b/>
          <w:color w:val="auto"/>
          <w:sz w:val="36"/>
          <w:highlight w:val="none"/>
        </w:rPr>
      </w:pPr>
    </w:p>
    <w:p w14:paraId="2834EFAC">
      <w:pPr>
        <w:pStyle w:val="14"/>
        <w:shd w:val="clear" w:color="auto" w:fill="FFFFFF" w:themeFill="background1"/>
        <w:tabs>
          <w:tab w:val="left" w:pos="2472"/>
        </w:tabs>
        <w:spacing w:line="460" w:lineRule="exact"/>
        <w:jc w:val="center"/>
        <w:rPr>
          <w:rFonts w:hAnsi="宋体" w:cs="宋体"/>
          <w:b/>
          <w:color w:val="auto"/>
          <w:sz w:val="36"/>
          <w:highlight w:val="none"/>
        </w:rPr>
      </w:pPr>
    </w:p>
    <w:p w14:paraId="42CF6A6F">
      <w:pPr>
        <w:pStyle w:val="14"/>
        <w:shd w:val="clear" w:color="auto" w:fill="FFFFFF" w:themeFill="background1"/>
        <w:tabs>
          <w:tab w:val="left" w:pos="2472"/>
        </w:tabs>
        <w:spacing w:line="460" w:lineRule="exact"/>
        <w:jc w:val="center"/>
        <w:rPr>
          <w:rFonts w:hAnsi="宋体" w:cs="宋体"/>
          <w:b/>
          <w:color w:val="auto"/>
          <w:sz w:val="36"/>
          <w:highlight w:val="none"/>
        </w:rPr>
      </w:pPr>
    </w:p>
    <w:p w14:paraId="16A2F24A">
      <w:pPr>
        <w:pStyle w:val="14"/>
        <w:shd w:val="clear" w:color="auto" w:fill="FFFFFF" w:themeFill="background1"/>
        <w:tabs>
          <w:tab w:val="left" w:pos="2472"/>
        </w:tabs>
        <w:spacing w:line="460" w:lineRule="exact"/>
        <w:jc w:val="center"/>
        <w:rPr>
          <w:rFonts w:hAnsi="宋体" w:cs="宋体"/>
          <w:b/>
          <w:color w:val="auto"/>
          <w:sz w:val="36"/>
          <w:highlight w:val="none"/>
        </w:rPr>
      </w:pPr>
    </w:p>
    <w:p w14:paraId="43861B54">
      <w:pPr>
        <w:pStyle w:val="14"/>
        <w:shd w:val="clear" w:color="auto" w:fill="FFFFFF" w:themeFill="background1"/>
        <w:tabs>
          <w:tab w:val="left" w:pos="2472"/>
        </w:tabs>
        <w:spacing w:line="460" w:lineRule="exact"/>
        <w:jc w:val="center"/>
        <w:rPr>
          <w:rFonts w:hAnsi="宋体" w:cs="宋体"/>
          <w:b/>
          <w:color w:val="auto"/>
          <w:sz w:val="36"/>
          <w:highlight w:val="none"/>
        </w:rPr>
      </w:pPr>
    </w:p>
    <w:p w14:paraId="5BF7836F">
      <w:pPr>
        <w:pStyle w:val="14"/>
        <w:shd w:val="clear" w:color="auto" w:fill="FFFFFF" w:themeFill="background1"/>
        <w:tabs>
          <w:tab w:val="left" w:pos="2472"/>
        </w:tabs>
        <w:spacing w:line="460" w:lineRule="exact"/>
        <w:jc w:val="center"/>
        <w:rPr>
          <w:rFonts w:hAnsi="宋体" w:cs="宋体"/>
          <w:b/>
          <w:color w:val="auto"/>
          <w:sz w:val="36"/>
          <w:highlight w:val="none"/>
        </w:rPr>
      </w:pPr>
    </w:p>
    <w:p w14:paraId="35BCFC2D">
      <w:pPr>
        <w:pStyle w:val="14"/>
        <w:shd w:val="clear" w:color="auto" w:fill="FFFFFF" w:themeFill="background1"/>
        <w:tabs>
          <w:tab w:val="left" w:pos="2472"/>
        </w:tabs>
        <w:spacing w:line="460" w:lineRule="exact"/>
        <w:jc w:val="center"/>
        <w:rPr>
          <w:rFonts w:hAnsi="宋体" w:cs="宋体"/>
          <w:b/>
          <w:color w:val="auto"/>
          <w:sz w:val="36"/>
          <w:highlight w:val="none"/>
        </w:rPr>
      </w:pPr>
    </w:p>
    <w:p w14:paraId="17E845B0">
      <w:pPr>
        <w:pStyle w:val="14"/>
        <w:shd w:val="clear" w:color="auto" w:fill="FFFFFF" w:themeFill="background1"/>
        <w:tabs>
          <w:tab w:val="left" w:pos="2472"/>
        </w:tabs>
        <w:spacing w:line="460" w:lineRule="exact"/>
        <w:jc w:val="center"/>
        <w:outlineLvl w:val="0"/>
        <w:rPr>
          <w:rFonts w:hAnsi="宋体" w:cs="宋体"/>
          <w:b/>
          <w:color w:val="auto"/>
          <w:sz w:val="36"/>
          <w:highlight w:val="none"/>
        </w:rPr>
      </w:pPr>
      <w:bookmarkStart w:id="345" w:name="_Toc19106"/>
      <w:bookmarkStart w:id="346" w:name="_Toc24704"/>
      <w:bookmarkStart w:id="347" w:name="_Toc11043"/>
      <w:bookmarkStart w:id="348" w:name="_Toc32149"/>
      <w:bookmarkStart w:id="349" w:name="_Toc5736"/>
      <w:bookmarkStart w:id="350" w:name="_Toc26390"/>
      <w:bookmarkStart w:id="351" w:name="_Toc2517"/>
      <w:bookmarkStart w:id="352" w:name="_Toc9123"/>
      <w:bookmarkStart w:id="353" w:name="_Toc2377"/>
      <w:bookmarkStart w:id="354" w:name="_Toc19350"/>
      <w:bookmarkStart w:id="355" w:name="_Toc26884"/>
      <w:bookmarkStart w:id="356" w:name="_Toc20296"/>
      <w:bookmarkStart w:id="357" w:name="_Toc20832"/>
      <w:r>
        <w:rPr>
          <w:rFonts w:hint="eastAsia" w:hAnsi="宋体" w:cs="宋体"/>
          <w:b/>
          <w:color w:val="auto"/>
          <w:sz w:val="36"/>
          <w:highlight w:val="none"/>
        </w:rPr>
        <w:t>第六章 投标文件格式</w:t>
      </w:r>
      <w:bookmarkEnd w:id="345"/>
      <w:bookmarkEnd w:id="346"/>
      <w:bookmarkEnd w:id="347"/>
      <w:bookmarkEnd w:id="348"/>
      <w:bookmarkEnd w:id="349"/>
      <w:bookmarkEnd w:id="350"/>
      <w:bookmarkEnd w:id="351"/>
      <w:bookmarkEnd w:id="352"/>
      <w:bookmarkEnd w:id="353"/>
      <w:bookmarkEnd w:id="354"/>
      <w:bookmarkEnd w:id="355"/>
      <w:bookmarkEnd w:id="356"/>
      <w:bookmarkEnd w:id="357"/>
    </w:p>
    <w:p w14:paraId="54084553">
      <w:pPr>
        <w:widowControl/>
        <w:shd w:val="clear" w:color="auto" w:fill="FFFFFF" w:themeFill="background1"/>
        <w:spacing w:beforeAutospacing="1" w:line="360" w:lineRule="auto"/>
        <w:jc w:val="left"/>
        <w:rPr>
          <w:rFonts w:ascii="宋体" w:hAnsi="宋体" w:cs="宋体"/>
          <w:color w:val="auto"/>
          <w:szCs w:val="20"/>
          <w:highlight w:val="none"/>
        </w:rPr>
        <w:sectPr>
          <w:pgSz w:w="11905" w:h="16838"/>
          <w:pgMar w:top="1134" w:right="1134" w:bottom="1134" w:left="1134" w:header="850" w:footer="850" w:gutter="0"/>
          <w:pgNumType w:fmt="decimal"/>
          <w:cols w:space="0" w:num="1"/>
          <w:titlePg/>
          <w:docGrid w:linePitch="331" w:charSpace="0"/>
        </w:sectPr>
      </w:pPr>
    </w:p>
    <w:p w14:paraId="01C76AA0">
      <w:pPr>
        <w:pStyle w:val="14"/>
        <w:shd w:val="clear" w:color="auto" w:fill="FFFFFF" w:themeFill="background1"/>
        <w:jc w:val="center"/>
        <w:outlineLvl w:val="1"/>
        <w:rPr>
          <w:rFonts w:hAnsi="宋体" w:cs="宋体"/>
          <w:b/>
          <w:bCs/>
          <w:color w:val="auto"/>
          <w:sz w:val="28"/>
          <w:szCs w:val="28"/>
          <w:highlight w:val="none"/>
        </w:rPr>
      </w:pPr>
      <w:bookmarkStart w:id="358" w:name="_Toc7817"/>
      <w:bookmarkStart w:id="359" w:name="_Toc32370"/>
      <w:bookmarkStart w:id="360" w:name="_Toc20281"/>
      <w:bookmarkStart w:id="361" w:name="_Toc16890"/>
      <w:bookmarkStart w:id="362" w:name="_Toc11854"/>
      <w:bookmarkStart w:id="363" w:name="_Toc24486"/>
      <w:bookmarkStart w:id="364" w:name="_Toc32508"/>
      <w:bookmarkStart w:id="365" w:name="_Toc23486"/>
      <w:bookmarkStart w:id="366" w:name="_Toc4270"/>
      <w:bookmarkStart w:id="367" w:name="_Toc21700"/>
      <w:r>
        <w:rPr>
          <w:rFonts w:hint="eastAsia" w:hAnsi="宋体" w:cs="宋体"/>
          <w:b/>
          <w:bCs/>
          <w:color w:val="auto"/>
          <w:sz w:val="28"/>
          <w:szCs w:val="28"/>
          <w:highlight w:val="none"/>
        </w:rPr>
        <w:t>第一节 资格证明文件格式</w:t>
      </w:r>
      <w:bookmarkEnd w:id="358"/>
      <w:bookmarkEnd w:id="359"/>
      <w:bookmarkEnd w:id="360"/>
      <w:bookmarkEnd w:id="361"/>
      <w:bookmarkEnd w:id="362"/>
      <w:bookmarkEnd w:id="363"/>
      <w:bookmarkEnd w:id="364"/>
      <w:bookmarkEnd w:id="365"/>
      <w:bookmarkEnd w:id="366"/>
      <w:bookmarkEnd w:id="367"/>
    </w:p>
    <w:p w14:paraId="22F93A5E">
      <w:pPr>
        <w:pStyle w:val="14"/>
        <w:shd w:val="clear" w:color="auto" w:fill="FFFFFF" w:themeFill="background1"/>
        <w:spacing w:line="360" w:lineRule="auto"/>
        <w:ind w:firstLine="420"/>
        <w:rPr>
          <w:rFonts w:hAnsi="宋体" w:cs="宋体"/>
          <w:color w:val="auto"/>
          <w:sz w:val="30"/>
          <w:highlight w:val="none"/>
        </w:rPr>
      </w:pPr>
    </w:p>
    <w:p w14:paraId="73C82ED0">
      <w:pPr>
        <w:pStyle w:val="9"/>
        <w:shd w:val="clear" w:color="auto" w:fill="FFFFFF" w:themeFill="background1"/>
        <w:ind w:left="0"/>
        <w:jc w:val="left"/>
        <w:rPr>
          <w:rFonts w:ascii="宋体" w:hAnsi="宋体" w:cs="宋体"/>
          <w:color w:val="auto"/>
          <w:sz w:val="30"/>
          <w:highlight w:val="none"/>
        </w:rPr>
      </w:pPr>
      <w:r>
        <w:rPr>
          <w:rFonts w:hint="eastAsia" w:ascii="宋体" w:hAnsi="宋体" w:cs="宋体"/>
          <w:b/>
          <w:bCs/>
          <w:color w:val="auto"/>
          <w:sz w:val="28"/>
          <w:szCs w:val="28"/>
          <w:highlight w:val="none"/>
        </w:rPr>
        <w:t>1.资格证明文件封面的格式（参照此格式自拟）：</w:t>
      </w:r>
    </w:p>
    <w:p w14:paraId="3FF56864">
      <w:pPr>
        <w:shd w:val="clear" w:color="auto" w:fill="FFFFFF" w:themeFill="background1"/>
        <w:rPr>
          <w:rFonts w:ascii="宋体" w:hAnsi="宋体" w:cs="宋体"/>
          <w:color w:val="auto"/>
          <w:highlight w:val="none"/>
        </w:rPr>
      </w:pPr>
    </w:p>
    <w:p w14:paraId="38EBDE11">
      <w:pPr>
        <w:shd w:val="clear" w:color="auto" w:fill="FFFFFF" w:themeFill="background1"/>
        <w:snapToGrid w:val="0"/>
        <w:spacing w:before="120" w:beforeLines="50" w:after="50"/>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电子投标文件</w:t>
      </w:r>
    </w:p>
    <w:p w14:paraId="2D2391D8">
      <w:pPr>
        <w:shd w:val="clear" w:color="auto" w:fill="FFFFFF" w:themeFill="background1"/>
        <w:snapToGrid w:val="0"/>
        <w:spacing w:before="120" w:beforeLines="50" w:after="50"/>
        <w:rPr>
          <w:rFonts w:ascii="宋体" w:hAnsi="宋体" w:cs="宋体"/>
          <w:color w:val="auto"/>
          <w:sz w:val="24"/>
          <w:szCs w:val="20"/>
          <w:highlight w:val="none"/>
        </w:rPr>
      </w:pPr>
    </w:p>
    <w:p w14:paraId="18676ACC">
      <w:pPr>
        <w:shd w:val="clear" w:color="auto" w:fill="FFFFFF" w:themeFill="background1"/>
        <w:snapToGrid w:val="0"/>
        <w:spacing w:before="120" w:beforeLines="50" w:after="50"/>
        <w:jc w:val="center"/>
        <w:rPr>
          <w:rFonts w:ascii="宋体" w:hAnsi="宋体" w:cs="宋体"/>
          <w:b/>
          <w:color w:val="auto"/>
          <w:sz w:val="24"/>
          <w:szCs w:val="20"/>
          <w:highlight w:val="none"/>
        </w:rPr>
      </w:pPr>
      <w:r>
        <w:rPr>
          <w:rFonts w:hint="eastAsia" w:ascii="宋体" w:hAnsi="宋体" w:cs="宋体"/>
          <w:b/>
          <w:color w:val="auto"/>
          <w:sz w:val="32"/>
          <w:szCs w:val="32"/>
          <w:highlight w:val="none"/>
        </w:rPr>
        <w:t>资格证明文件</w:t>
      </w:r>
    </w:p>
    <w:p w14:paraId="64F14423">
      <w:pPr>
        <w:shd w:val="clear" w:color="auto" w:fill="FFFFFF" w:themeFill="background1"/>
        <w:snapToGrid w:val="0"/>
        <w:spacing w:before="120" w:beforeLines="50" w:after="50"/>
        <w:rPr>
          <w:rFonts w:ascii="宋体" w:hAnsi="宋体" w:cs="宋体"/>
          <w:bCs/>
          <w:color w:val="auto"/>
          <w:sz w:val="24"/>
          <w:szCs w:val="20"/>
          <w:highlight w:val="none"/>
        </w:rPr>
      </w:pPr>
    </w:p>
    <w:p w14:paraId="76A3A56B">
      <w:pPr>
        <w:shd w:val="clear" w:color="auto" w:fill="FFFFFF" w:themeFill="background1"/>
        <w:snapToGrid w:val="0"/>
        <w:spacing w:before="120" w:beforeLines="50" w:after="50"/>
        <w:rPr>
          <w:rFonts w:ascii="宋体" w:hAnsi="宋体" w:cs="宋体"/>
          <w:bCs/>
          <w:color w:val="auto"/>
          <w:sz w:val="24"/>
          <w:szCs w:val="20"/>
          <w:highlight w:val="none"/>
        </w:rPr>
      </w:pPr>
    </w:p>
    <w:p w14:paraId="0EE8CDBB">
      <w:pPr>
        <w:shd w:val="clear" w:color="auto" w:fill="FFFFFF" w:themeFill="background1"/>
        <w:snapToGrid w:val="0"/>
        <w:spacing w:before="120" w:beforeLines="50" w:after="50"/>
        <w:rPr>
          <w:rFonts w:ascii="宋体" w:hAnsi="宋体" w:cs="宋体"/>
          <w:bCs/>
          <w:color w:val="auto"/>
          <w:sz w:val="24"/>
          <w:szCs w:val="20"/>
          <w:highlight w:val="none"/>
        </w:rPr>
      </w:pPr>
    </w:p>
    <w:p w14:paraId="04465B4A">
      <w:pPr>
        <w:shd w:val="clear" w:color="auto" w:fill="FFFFFF" w:themeFill="background1"/>
        <w:snapToGrid w:val="0"/>
        <w:spacing w:before="120" w:beforeLines="50" w:after="50"/>
        <w:rPr>
          <w:rFonts w:ascii="宋体" w:hAnsi="宋体" w:cs="宋体"/>
          <w:bCs/>
          <w:color w:val="auto"/>
          <w:sz w:val="24"/>
          <w:szCs w:val="20"/>
          <w:highlight w:val="none"/>
        </w:rPr>
      </w:pPr>
    </w:p>
    <w:p w14:paraId="366E379E">
      <w:pPr>
        <w:shd w:val="clear" w:color="auto" w:fill="FFFFFF" w:themeFill="background1"/>
        <w:snapToGrid w:val="0"/>
        <w:spacing w:before="120" w:beforeLines="50" w:after="50"/>
        <w:rPr>
          <w:rFonts w:ascii="宋体" w:hAnsi="宋体" w:cs="宋体"/>
          <w:bCs/>
          <w:color w:val="auto"/>
          <w:sz w:val="24"/>
          <w:szCs w:val="20"/>
          <w:highlight w:val="none"/>
        </w:rPr>
      </w:pPr>
    </w:p>
    <w:p w14:paraId="5BD173A4">
      <w:pPr>
        <w:shd w:val="clear" w:color="auto" w:fill="FFFFFF" w:themeFill="background1"/>
        <w:snapToGrid w:val="0"/>
        <w:spacing w:before="120" w:beforeLines="50" w:after="50"/>
        <w:rPr>
          <w:rFonts w:ascii="宋体" w:hAnsi="宋体" w:cs="宋体"/>
          <w:bCs/>
          <w:color w:val="auto"/>
          <w:sz w:val="24"/>
          <w:szCs w:val="20"/>
          <w:highlight w:val="none"/>
        </w:rPr>
      </w:pPr>
    </w:p>
    <w:p w14:paraId="07591331">
      <w:pPr>
        <w:shd w:val="clear" w:color="auto" w:fill="FFFFFF" w:themeFill="background1"/>
        <w:snapToGrid w:val="0"/>
        <w:spacing w:before="120" w:beforeLines="50" w:after="50"/>
        <w:rPr>
          <w:rFonts w:ascii="宋体" w:hAnsi="宋体" w:cs="宋体"/>
          <w:bCs/>
          <w:color w:val="auto"/>
          <w:sz w:val="24"/>
          <w:szCs w:val="20"/>
          <w:highlight w:val="none"/>
        </w:rPr>
      </w:pPr>
    </w:p>
    <w:p w14:paraId="443E0FF7">
      <w:pPr>
        <w:shd w:val="clear" w:color="auto" w:fill="FFFFFF" w:themeFill="background1"/>
        <w:snapToGrid w:val="0"/>
        <w:spacing w:before="120" w:beforeLines="50" w:after="50"/>
        <w:ind w:firstLine="540" w:firstLineChars="225"/>
        <w:rPr>
          <w:rFonts w:ascii="宋体" w:hAnsi="宋体" w:cs="宋体"/>
          <w:bCs/>
          <w:color w:val="auto"/>
          <w:sz w:val="24"/>
          <w:szCs w:val="20"/>
          <w:highlight w:val="none"/>
        </w:rPr>
      </w:pPr>
      <w:r>
        <w:rPr>
          <w:rFonts w:hint="eastAsia" w:ascii="宋体" w:hAnsi="宋体" w:cs="宋体"/>
          <w:bCs/>
          <w:color w:val="auto"/>
          <w:sz w:val="24"/>
          <w:highlight w:val="none"/>
        </w:rPr>
        <w:t>项目名称：</w:t>
      </w:r>
    </w:p>
    <w:p w14:paraId="56F29227">
      <w:pPr>
        <w:shd w:val="clear" w:color="auto" w:fill="FFFFFF" w:themeFill="background1"/>
        <w:snapToGrid w:val="0"/>
        <w:spacing w:before="120" w:beforeLines="50" w:after="50"/>
        <w:ind w:firstLine="540" w:firstLineChars="225"/>
        <w:rPr>
          <w:rFonts w:hint="eastAsia" w:ascii="宋体" w:hAnsi="宋体" w:cs="宋体"/>
          <w:bCs/>
          <w:color w:val="auto"/>
          <w:sz w:val="24"/>
          <w:highlight w:val="none"/>
        </w:rPr>
      </w:pPr>
    </w:p>
    <w:p w14:paraId="0B67D769">
      <w:pPr>
        <w:shd w:val="clear" w:color="auto" w:fill="FFFFFF" w:themeFill="background1"/>
        <w:snapToGrid w:val="0"/>
        <w:spacing w:before="120"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项目编号：</w:t>
      </w:r>
    </w:p>
    <w:p w14:paraId="0466C8CF">
      <w:pPr>
        <w:shd w:val="clear" w:color="auto" w:fill="FFFFFF" w:themeFill="background1"/>
        <w:snapToGrid w:val="0"/>
        <w:spacing w:before="120" w:beforeLines="50" w:after="50"/>
        <w:ind w:firstLine="540" w:firstLineChars="225"/>
        <w:rPr>
          <w:rFonts w:ascii="宋体" w:hAnsi="宋体" w:cs="宋体"/>
          <w:bCs/>
          <w:color w:val="auto"/>
          <w:sz w:val="24"/>
          <w:szCs w:val="20"/>
          <w:highlight w:val="none"/>
        </w:rPr>
      </w:pPr>
      <w:r>
        <w:rPr>
          <w:rFonts w:hint="eastAsia" w:ascii="宋体" w:hAnsi="宋体" w:cs="宋体"/>
          <w:bCs/>
          <w:color w:val="auto"/>
          <w:sz w:val="24"/>
          <w:highlight w:val="none"/>
        </w:rPr>
        <w:t xml:space="preserve"> </w:t>
      </w:r>
    </w:p>
    <w:p w14:paraId="19687F78">
      <w:pPr>
        <w:shd w:val="clear" w:color="auto" w:fill="FFFFFF" w:themeFill="background1"/>
        <w:snapToGrid w:val="0"/>
        <w:spacing w:before="120"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所投</w:t>
      </w:r>
      <w:r>
        <w:rPr>
          <w:rFonts w:hint="eastAsia" w:ascii="宋体" w:hAnsi="宋体" w:cs="宋体"/>
          <w:bCs/>
          <w:color w:val="auto"/>
          <w:sz w:val="24"/>
          <w:highlight w:val="none"/>
          <w:lang w:eastAsia="zh-CN"/>
        </w:rPr>
        <w:t>标项</w:t>
      </w:r>
      <w:r>
        <w:rPr>
          <w:rFonts w:hint="eastAsia" w:ascii="宋体" w:hAnsi="宋体" w:cs="宋体"/>
          <w:bCs/>
          <w:color w:val="auto"/>
          <w:sz w:val="24"/>
          <w:highlight w:val="none"/>
        </w:rPr>
        <w:t>（如有则填写，无分标时填写“无”或者留空）：</w:t>
      </w:r>
    </w:p>
    <w:p w14:paraId="0490A232">
      <w:pPr>
        <w:pStyle w:val="8"/>
        <w:shd w:val="clear" w:color="auto" w:fill="FFFFFF" w:themeFill="background1"/>
        <w:snapToGrid w:val="0"/>
        <w:spacing w:before="50" w:after="50"/>
        <w:ind w:firstLine="540" w:firstLineChars="225"/>
        <w:rPr>
          <w:rFonts w:ascii="宋体" w:hAnsi="宋体" w:cs="宋体"/>
          <w:bCs/>
          <w:color w:val="auto"/>
          <w:sz w:val="24"/>
          <w:szCs w:val="24"/>
          <w:highlight w:val="none"/>
        </w:rPr>
      </w:pPr>
    </w:p>
    <w:p w14:paraId="2CC819C6">
      <w:pPr>
        <w:pStyle w:val="8"/>
        <w:shd w:val="clear" w:color="auto" w:fill="FFFFFF" w:themeFill="background1"/>
        <w:snapToGrid w:val="0"/>
        <w:spacing w:before="50" w:after="50"/>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投标人名称：</w:t>
      </w:r>
    </w:p>
    <w:p w14:paraId="2AF364BF">
      <w:pPr>
        <w:pStyle w:val="8"/>
        <w:shd w:val="clear" w:color="auto" w:fill="FFFFFF" w:themeFill="background1"/>
        <w:snapToGrid w:val="0"/>
        <w:spacing w:before="50" w:after="50"/>
        <w:ind w:firstLine="540" w:firstLineChars="225"/>
        <w:rPr>
          <w:rFonts w:ascii="宋体" w:hAnsi="宋体" w:cs="宋体"/>
          <w:bCs/>
          <w:color w:val="auto"/>
          <w:sz w:val="24"/>
          <w:szCs w:val="24"/>
          <w:highlight w:val="none"/>
        </w:rPr>
      </w:pPr>
    </w:p>
    <w:p w14:paraId="2711BAAE">
      <w:pPr>
        <w:pStyle w:val="8"/>
        <w:shd w:val="clear" w:color="auto" w:fill="FFFFFF" w:themeFill="background1"/>
        <w:snapToGrid w:val="0"/>
        <w:spacing w:before="50" w:after="50"/>
        <w:ind w:firstLine="960" w:firstLineChars="400"/>
        <w:rPr>
          <w:rFonts w:ascii="宋体" w:hAnsi="宋体" w:cs="宋体"/>
          <w:bCs/>
          <w:color w:val="auto"/>
          <w:sz w:val="24"/>
          <w:szCs w:val="24"/>
          <w:highlight w:val="none"/>
        </w:rPr>
      </w:pPr>
    </w:p>
    <w:p w14:paraId="320088E6">
      <w:pPr>
        <w:shd w:val="clear" w:color="auto" w:fill="FFFFFF" w:themeFill="background1"/>
        <w:snapToGrid w:val="0"/>
        <w:spacing w:before="120" w:beforeLines="50" w:after="50"/>
        <w:ind w:firstLine="645"/>
        <w:jc w:val="center"/>
        <w:rPr>
          <w:rFonts w:ascii="宋体" w:hAnsi="宋体" w:cs="宋体"/>
          <w:color w:val="auto"/>
          <w:sz w:val="24"/>
          <w:highlight w:val="none"/>
        </w:rPr>
      </w:pPr>
    </w:p>
    <w:p w14:paraId="5001FFFD">
      <w:pPr>
        <w:shd w:val="clear" w:color="auto" w:fill="FFFFFF" w:themeFill="background1"/>
        <w:snapToGrid w:val="0"/>
        <w:spacing w:before="120" w:beforeLines="50" w:after="50"/>
        <w:ind w:firstLine="645"/>
        <w:jc w:val="center"/>
        <w:rPr>
          <w:rFonts w:ascii="宋体" w:hAnsi="宋体" w:cs="宋体"/>
          <w:color w:val="auto"/>
          <w:sz w:val="24"/>
          <w:highlight w:val="none"/>
        </w:rPr>
      </w:pPr>
    </w:p>
    <w:p w14:paraId="453575AF">
      <w:pPr>
        <w:shd w:val="clear" w:color="auto" w:fill="FFFFFF" w:themeFill="background1"/>
        <w:snapToGrid w:val="0"/>
        <w:spacing w:before="120" w:beforeLines="50" w:after="50"/>
        <w:ind w:firstLine="645"/>
        <w:jc w:val="center"/>
        <w:rPr>
          <w:rFonts w:ascii="宋体" w:hAnsi="宋体" w:cs="宋体"/>
          <w:color w:val="auto"/>
          <w:sz w:val="24"/>
          <w:highlight w:val="none"/>
        </w:rPr>
      </w:pPr>
      <w:r>
        <w:rPr>
          <w:rFonts w:hint="eastAsia" w:ascii="宋体" w:hAnsi="宋体" w:cs="宋体"/>
          <w:color w:val="auto"/>
          <w:sz w:val="24"/>
          <w:highlight w:val="none"/>
        </w:rPr>
        <w:t>年  月  日</w:t>
      </w:r>
    </w:p>
    <w:p w14:paraId="352E31B0">
      <w:pPr>
        <w:widowControl/>
        <w:shd w:val="clear" w:color="auto" w:fill="FFFFFF" w:themeFill="background1"/>
        <w:spacing w:line="360" w:lineRule="auto"/>
        <w:jc w:val="left"/>
        <w:rPr>
          <w:rFonts w:ascii="宋体" w:hAnsi="宋体" w:cs="宋体"/>
          <w:color w:val="auto"/>
          <w:sz w:val="30"/>
          <w:szCs w:val="20"/>
          <w:highlight w:val="none"/>
        </w:rPr>
        <w:sectPr>
          <w:pgSz w:w="11905" w:h="16838"/>
          <w:pgMar w:top="1134" w:right="1134" w:bottom="1134" w:left="1134" w:header="850" w:footer="850" w:gutter="0"/>
          <w:pgNumType w:fmt="decimal"/>
          <w:cols w:space="0" w:num="1"/>
          <w:titlePg/>
          <w:docGrid w:linePitch="331" w:charSpace="0"/>
        </w:sectPr>
      </w:pPr>
    </w:p>
    <w:p w14:paraId="126BBAE9">
      <w:pPr>
        <w:shd w:val="clear" w:color="auto" w:fill="FFFFFF" w:themeFill="background1"/>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2.资格证明文件目录</w:t>
      </w:r>
    </w:p>
    <w:p w14:paraId="57FEEB56">
      <w:pPr>
        <w:shd w:val="clear" w:color="auto" w:fill="FFFFFF" w:themeFill="background1"/>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根据招标文件规定及投标人提供的材料自行编写目录（部分格式后附）。</w:t>
      </w:r>
    </w:p>
    <w:p w14:paraId="7865815A">
      <w:pPr>
        <w:shd w:val="clear" w:color="auto" w:fill="FFFFFF" w:themeFill="background1"/>
        <w:spacing w:line="360" w:lineRule="auto"/>
        <w:rPr>
          <w:rFonts w:ascii="宋体" w:hAnsi="宋体" w:cs="宋体"/>
          <w:b/>
          <w:bCs/>
          <w:color w:val="auto"/>
          <w:sz w:val="24"/>
          <w:highlight w:val="none"/>
        </w:rPr>
      </w:pPr>
    </w:p>
    <w:p w14:paraId="56F6D34F">
      <w:pPr>
        <w:shd w:val="clear" w:color="auto" w:fill="FFFFFF" w:themeFill="background1"/>
        <w:snapToGrid w:val="0"/>
        <w:spacing w:line="360" w:lineRule="auto"/>
        <w:rPr>
          <w:rFonts w:ascii="宋体" w:hAnsi="宋体" w:cs="宋体"/>
          <w:b/>
          <w:color w:val="auto"/>
          <w:kern w:val="0"/>
          <w:sz w:val="32"/>
          <w:szCs w:val="32"/>
          <w:highlight w:val="none"/>
          <w:lang w:val="zh-CN"/>
        </w:rPr>
      </w:pPr>
    </w:p>
    <w:p w14:paraId="190EA381">
      <w:pPr>
        <w:shd w:val="clear" w:color="auto" w:fill="FFFFFF" w:themeFill="background1"/>
        <w:snapToGrid w:val="0"/>
        <w:spacing w:line="360" w:lineRule="auto"/>
        <w:ind w:firstLine="5160" w:firstLineChars="2150"/>
        <w:rPr>
          <w:rFonts w:ascii="宋体" w:hAnsi="宋体" w:cs="宋体"/>
          <w:color w:val="auto"/>
          <w:kern w:val="0"/>
          <w:sz w:val="24"/>
          <w:highlight w:val="none"/>
          <w:lang w:val="zh-CN"/>
        </w:rPr>
      </w:pPr>
    </w:p>
    <w:p w14:paraId="10541DC3">
      <w:pPr>
        <w:shd w:val="clear" w:color="auto" w:fill="FFFFFF" w:themeFill="background1"/>
        <w:snapToGrid w:val="0"/>
        <w:spacing w:line="360" w:lineRule="auto"/>
        <w:ind w:right="480"/>
        <w:jc w:val="center"/>
        <w:rPr>
          <w:rFonts w:ascii="宋体" w:hAnsi="宋体" w:cs="宋体"/>
          <w:b/>
          <w:color w:val="auto"/>
          <w:kern w:val="0"/>
          <w:sz w:val="32"/>
          <w:szCs w:val="32"/>
          <w:highlight w:val="none"/>
          <w:lang w:val="zh-CN"/>
        </w:rPr>
      </w:pPr>
    </w:p>
    <w:p w14:paraId="321E018A">
      <w:pPr>
        <w:shd w:val="clear" w:color="auto" w:fill="FFFFFF" w:themeFill="background1"/>
        <w:snapToGrid w:val="0"/>
        <w:spacing w:line="360" w:lineRule="auto"/>
        <w:ind w:right="480"/>
        <w:jc w:val="center"/>
        <w:rPr>
          <w:rFonts w:ascii="宋体" w:hAnsi="宋体" w:cs="宋体"/>
          <w:b/>
          <w:color w:val="auto"/>
          <w:sz w:val="28"/>
          <w:szCs w:val="28"/>
          <w:highlight w:val="none"/>
        </w:rPr>
      </w:pPr>
      <w:r>
        <w:rPr>
          <w:rFonts w:hint="eastAsia" w:ascii="宋体" w:hAnsi="宋体" w:cs="宋体"/>
          <w:b/>
          <w:color w:val="auto"/>
          <w:kern w:val="0"/>
          <w:sz w:val="32"/>
          <w:szCs w:val="32"/>
          <w:highlight w:val="none"/>
        </w:rPr>
        <w:br w:type="page"/>
      </w:r>
    </w:p>
    <w:p w14:paraId="22CC0A9A">
      <w:pPr>
        <w:pStyle w:val="2"/>
        <w:shd w:val="clear" w:color="auto" w:fill="FFFFFF" w:themeFill="background1"/>
        <w:rPr>
          <w:rFonts w:ascii="宋体" w:hAnsi="宋体" w:cs="宋体"/>
          <w:color w:val="auto"/>
          <w:highlight w:val="none"/>
        </w:rPr>
      </w:pPr>
      <w:r>
        <w:rPr>
          <w:rFonts w:hint="eastAsia" w:ascii="宋体" w:hAnsi="宋体" w:cs="宋体"/>
          <w:b/>
          <w:color w:val="auto"/>
          <w:kern w:val="0"/>
          <w:sz w:val="32"/>
          <w:szCs w:val="32"/>
          <w:highlight w:val="none"/>
        </w:rPr>
        <w:t>3.</w:t>
      </w:r>
      <w:r>
        <w:rPr>
          <w:rFonts w:hint="eastAsia" w:ascii="宋体" w:hAnsi="宋体" w:cs="宋体"/>
          <w:b/>
          <w:color w:val="auto"/>
          <w:sz w:val="28"/>
          <w:szCs w:val="28"/>
          <w:highlight w:val="none"/>
        </w:rPr>
        <w:t>声明函的格式</w:t>
      </w:r>
      <w:r>
        <w:rPr>
          <w:rFonts w:hint="eastAsia" w:ascii="宋体" w:hAnsi="宋体" w:cs="宋体"/>
          <w:color w:val="auto"/>
          <w:sz w:val="28"/>
          <w:szCs w:val="28"/>
          <w:highlight w:val="none"/>
        </w:rPr>
        <w:t>：</w:t>
      </w:r>
    </w:p>
    <w:p w14:paraId="6E099DEE">
      <w:pPr>
        <w:shd w:val="clear" w:color="auto" w:fill="FFFFFF" w:themeFill="background1"/>
        <w:snapToGrid w:val="0"/>
        <w:spacing w:before="50" w:after="120" w:afterLines="50"/>
        <w:jc w:val="center"/>
        <w:rPr>
          <w:rFonts w:ascii="宋体" w:hAnsi="宋体" w:cs="宋体"/>
          <w:b/>
          <w:color w:val="auto"/>
          <w:sz w:val="32"/>
          <w:szCs w:val="32"/>
          <w:highlight w:val="none"/>
        </w:rPr>
      </w:pPr>
      <w:r>
        <w:rPr>
          <w:rFonts w:hint="eastAsia" w:ascii="宋体" w:hAnsi="宋体" w:cs="宋体"/>
          <w:b/>
          <w:color w:val="auto"/>
          <w:sz w:val="32"/>
          <w:szCs w:val="32"/>
          <w:highlight w:val="none"/>
        </w:rPr>
        <w:t>声明函</w:t>
      </w:r>
    </w:p>
    <w:p w14:paraId="39A48DB9">
      <w:pPr>
        <w:shd w:val="clear" w:color="auto" w:fill="FFFFFF" w:themeFill="background1"/>
        <w:tabs>
          <w:tab w:val="left" w:pos="7200"/>
        </w:tabs>
        <w:spacing w:line="440" w:lineRule="exact"/>
        <w:rPr>
          <w:rFonts w:ascii="宋体" w:hAnsi="宋体" w:cs="宋体"/>
          <w:color w:val="auto"/>
          <w:szCs w:val="21"/>
          <w:highlight w:val="none"/>
          <w:u w:val="single"/>
        </w:rPr>
      </w:pPr>
      <w:r>
        <w:rPr>
          <w:rFonts w:hint="eastAsia" w:ascii="宋体" w:hAnsi="宋体" w:cs="宋体"/>
          <w:color w:val="auto"/>
          <w:szCs w:val="21"/>
          <w:highlight w:val="none"/>
        </w:rPr>
        <w:t>致：</w:t>
      </w:r>
      <w:bookmarkStart w:id="368" w:name="PO_3000001866_PM031_5"/>
      <w:r>
        <w:rPr>
          <w:rFonts w:hint="eastAsia" w:ascii="宋体" w:hAnsi="宋体" w:cs="宋体"/>
          <w:color w:val="auto"/>
          <w:szCs w:val="21"/>
          <w:highlight w:val="none"/>
          <w:u w:val="single"/>
        </w:rPr>
        <w:t>广西科联招标中心有限公司</w:t>
      </w:r>
      <w:bookmarkEnd w:id="368"/>
      <w:r>
        <w:rPr>
          <w:rFonts w:hint="eastAsia" w:ascii="宋体" w:hAnsi="宋体" w:cs="宋体"/>
          <w:color w:val="auto"/>
          <w:szCs w:val="21"/>
          <w:highlight w:val="none"/>
          <w:u w:val="single"/>
        </w:rPr>
        <w:t xml:space="preserve"> </w:t>
      </w:r>
    </w:p>
    <w:p w14:paraId="52975AE8">
      <w:pPr>
        <w:pStyle w:val="16"/>
        <w:shd w:val="clear" w:color="auto" w:fill="FFFFFF" w:themeFill="background1"/>
        <w:spacing w:line="440" w:lineRule="exact"/>
        <w:ind w:firstLine="420" w:firstLineChars="200"/>
        <w:rPr>
          <w:color w:val="auto"/>
          <w:sz w:val="21"/>
          <w:szCs w:val="21"/>
          <w:highlight w:val="none"/>
        </w:rPr>
      </w:pPr>
      <w:r>
        <w:rPr>
          <w:rFonts w:hint="eastAsia" w:ascii="宋体" w:hAnsi="宋体" w:cs="宋体"/>
          <w:i/>
          <w:iCs/>
          <w:color w:val="auto"/>
          <w:sz w:val="21"/>
          <w:szCs w:val="21"/>
          <w:highlight w:val="none"/>
          <w:u w:val="single"/>
        </w:rPr>
        <w:t>（投标人名称）</w:t>
      </w:r>
      <w:r>
        <w:rPr>
          <w:rFonts w:hint="eastAsia" w:ascii="宋体" w:hAnsi="宋体" w:cs="宋体"/>
          <w:color w:val="auto"/>
          <w:sz w:val="21"/>
          <w:szCs w:val="21"/>
          <w:highlight w:val="none"/>
        </w:rPr>
        <w:t>系中华人民共和国合法供应商，经营地址</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201922C6">
      <w:pPr>
        <w:shd w:val="clear" w:color="auto" w:fill="FFFFFF" w:themeFill="background1"/>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我方愿意参加贵方组织的</w:t>
      </w:r>
      <w:r>
        <w:rPr>
          <w:rFonts w:hint="eastAsia" w:ascii="宋体" w:hAnsi="宋体"/>
          <w:i/>
          <w:iCs/>
          <w:color w:val="auto"/>
          <w:szCs w:val="21"/>
          <w:highlight w:val="none"/>
          <w:u w:val="single"/>
        </w:rPr>
        <w:t xml:space="preserve">（项目名称） </w:t>
      </w:r>
      <w:r>
        <w:rPr>
          <w:rFonts w:hint="eastAsia" w:ascii="宋体" w:hAnsi="宋体"/>
          <w:color w:val="auto"/>
          <w:szCs w:val="21"/>
          <w:highlight w:val="none"/>
        </w:rPr>
        <w:t>（项目编号：            ）项目的投标，为便于贵方公正、择优地确定中标人，我方就本次投标有关事项郑重声明如下：</w:t>
      </w:r>
    </w:p>
    <w:p w14:paraId="3475EBF4">
      <w:pPr>
        <w:pStyle w:val="16"/>
        <w:shd w:val="clear" w:color="auto" w:fill="FFFFFF" w:themeFill="background1"/>
        <w:spacing w:line="440" w:lineRule="exact"/>
        <w:ind w:firstLine="420" w:firstLineChars="200"/>
        <w:rPr>
          <w:color w:val="auto"/>
          <w:sz w:val="21"/>
          <w:szCs w:val="21"/>
          <w:highlight w:val="none"/>
        </w:rPr>
      </w:pPr>
      <w:r>
        <w:rPr>
          <w:rFonts w:hint="eastAsia" w:ascii="宋体" w:hAnsi="宋体" w:cs="宋体"/>
          <w:color w:val="auto"/>
          <w:sz w:val="21"/>
          <w:szCs w:val="21"/>
          <w:highlight w:val="none"/>
        </w:rPr>
        <w:t>1、我方向贵方提交的所有投标文件、资料都是准确的和真实的。</w:t>
      </w:r>
    </w:p>
    <w:p w14:paraId="42CB05F7">
      <w:pPr>
        <w:shd w:val="clear" w:color="auto" w:fill="FFFFFF" w:themeFill="background1"/>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24C764C">
      <w:pPr>
        <w:shd w:val="clear" w:color="auto" w:fill="FFFFFF" w:themeFill="background1"/>
        <w:spacing w:line="44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3、在此，我方宣布同意如下：</w:t>
      </w:r>
    </w:p>
    <w:p w14:paraId="484D6042">
      <w:pPr>
        <w:shd w:val="clear" w:color="auto" w:fill="FFFFFF" w:themeFill="background1"/>
        <w:spacing w:line="44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（1）将按招标文件的约定履行合同责任和义务；</w:t>
      </w:r>
    </w:p>
    <w:p w14:paraId="6344DA44">
      <w:pPr>
        <w:shd w:val="clear" w:color="auto" w:fill="FFFFFF" w:themeFill="background1"/>
        <w:spacing w:line="44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（2）已详细审查招标文件的全部</w:t>
      </w:r>
      <w:r>
        <w:rPr>
          <w:rFonts w:hint="eastAsia" w:ascii="宋体" w:hAnsi="宋体" w:cs="宋体"/>
          <w:color w:val="auto"/>
          <w:kern w:val="0"/>
          <w:szCs w:val="21"/>
          <w:highlight w:val="none"/>
        </w:rPr>
        <w:t>内容</w:t>
      </w:r>
      <w:r>
        <w:rPr>
          <w:rFonts w:hint="eastAsia" w:ascii="宋体" w:hAnsi="宋体" w:cs="宋体"/>
          <w:color w:val="auto"/>
          <w:szCs w:val="21"/>
          <w:highlight w:val="none"/>
        </w:rPr>
        <w:t>，包括澄清或者更正公告（如有）；</w:t>
      </w:r>
    </w:p>
    <w:p w14:paraId="620215B4">
      <w:pPr>
        <w:shd w:val="clear" w:color="auto" w:fill="FFFFFF" w:themeFill="background1"/>
        <w:spacing w:line="44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（3）同意提供按照贵方可能要求的与投标有关的一切数据或者资料。</w:t>
      </w:r>
    </w:p>
    <w:p w14:paraId="64052026">
      <w:pPr>
        <w:shd w:val="clear" w:color="auto" w:fill="FFFFFF" w:themeFill="background1"/>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4、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w:t>
      </w:r>
    </w:p>
    <w:p w14:paraId="5207E30E">
      <w:pPr>
        <w:shd w:val="clear" w:color="auto" w:fill="FFFFFF" w:themeFill="background1"/>
        <w:spacing w:line="440" w:lineRule="exact"/>
        <w:ind w:firstLine="420" w:firstLineChars="200"/>
        <w:contextualSpacing/>
        <w:rPr>
          <w:rFonts w:ascii="宋体" w:hAnsi="宋体" w:cs="宋体"/>
          <w:i/>
          <w:iCs/>
          <w:color w:val="auto"/>
          <w:szCs w:val="21"/>
          <w:highlight w:val="none"/>
        </w:rPr>
      </w:pPr>
      <w:r>
        <w:rPr>
          <w:rFonts w:hint="eastAsia" w:ascii="宋体" w:hAnsi="宋体"/>
          <w:color w:val="auto"/>
          <w:szCs w:val="21"/>
          <w:highlight w:val="none"/>
        </w:rPr>
        <w:t>5、</w:t>
      </w:r>
      <w:r>
        <w:rPr>
          <w:rFonts w:hint="eastAsia" w:ascii="宋体" w:hAnsi="宋体" w:cs="宋体"/>
          <w:color w:val="auto"/>
          <w:szCs w:val="21"/>
          <w:highlight w:val="none"/>
        </w:rPr>
        <w:t>根据《中华人民共和国政府采购法实施条例》第五十条要求对政府采购合同进行公告，但政府采购合同中涉及国家秘密、商业秘密的内容除外。我方就对本次投标文件进行注明如下：</w:t>
      </w:r>
      <w:r>
        <w:rPr>
          <w:rFonts w:hint="eastAsia" w:ascii="宋体" w:hAnsi="宋体" w:cs="宋体"/>
          <w:i/>
          <w:iCs/>
          <w:color w:val="auto"/>
          <w:szCs w:val="21"/>
          <w:highlight w:val="none"/>
        </w:rPr>
        <w:t>（两项内容中必须选择一项）</w:t>
      </w:r>
    </w:p>
    <w:p w14:paraId="118C1565">
      <w:pPr>
        <w:shd w:val="clear" w:color="auto" w:fill="FFFFFF" w:themeFill="background1"/>
        <w:spacing w:line="44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□我方本次投标文件</w:t>
      </w:r>
      <w:r>
        <w:rPr>
          <w:rFonts w:hint="eastAsia" w:ascii="宋体" w:hAnsi="宋体" w:cs="宋体"/>
          <w:color w:val="auto"/>
          <w:kern w:val="0"/>
          <w:szCs w:val="21"/>
          <w:highlight w:val="none"/>
        </w:rPr>
        <w:t>内容中</w:t>
      </w:r>
      <w:r>
        <w:rPr>
          <w:rFonts w:hint="eastAsia" w:ascii="宋体" w:hAnsi="宋体" w:cs="宋体"/>
          <w:color w:val="auto"/>
          <w:szCs w:val="21"/>
          <w:highlight w:val="none"/>
        </w:rPr>
        <w:t>未</w:t>
      </w:r>
      <w:r>
        <w:rPr>
          <w:rFonts w:hint="eastAsia" w:ascii="宋体" w:hAnsi="宋体" w:cs="宋体"/>
          <w:color w:val="auto"/>
          <w:kern w:val="0"/>
          <w:szCs w:val="21"/>
          <w:highlight w:val="none"/>
        </w:rPr>
        <w:t>涉及商业秘密。</w:t>
      </w:r>
    </w:p>
    <w:p w14:paraId="51397775">
      <w:pPr>
        <w:shd w:val="clear" w:color="auto" w:fill="FFFFFF" w:themeFill="background1"/>
        <w:spacing w:line="44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□我方本次投标文件</w:t>
      </w:r>
      <w:r>
        <w:rPr>
          <w:rFonts w:hint="eastAsia" w:ascii="宋体" w:hAnsi="宋体" w:cs="宋体"/>
          <w:color w:val="auto"/>
          <w:kern w:val="0"/>
          <w:szCs w:val="21"/>
          <w:highlight w:val="none"/>
        </w:rPr>
        <w:t>涉及商业秘密的内容有：</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325A371F">
      <w:pPr>
        <w:shd w:val="clear" w:color="auto" w:fill="FFFFFF" w:themeFill="background1"/>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6、以上事项如有虚假或者隐瞒，我方愿意承担一切后果，并不再寻求任何旨在减轻或者免除法律责任的辩解。 </w:t>
      </w:r>
    </w:p>
    <w:p w14:paraId="30CC147C">
      <w:pPr>
        <w:shd w:val="clear" w:color="auto" w:fill="FFFFFF" w:themeFill="background1"/>
        <w:tabs>
          <w:tab w:val="left" w:pos="939"/>
        </w:tabs>
        <w:spacing w:line="440" w:lineRule="exact"/>
        <w:ind w:left="141" w:leftChars="67" w:firstLine="315" w:firstLineChars="150"/>
        <w:contextualSpacing/>
        <w:rPr>
          <w:rFonts w:ascii="宋体" w:hAnsi="宋体" w:cs="宋体"/>
          <w:color w:val="auto"/>
          <w:szCs w:val="21"/>
          <w:highlight w:val="none"/>
        </w:rPr>
      </w:pPr>
      <w:r>
        <w:rPr>
          <w:rFonts w:hint="eastAsia" w:ascii="宋体" w:hAnsi="宋体" w:cs="宋体"/>
          <w:color w:val="auto"/>
          <w:szCs w:val="21"/>
          <w:highlight w:val="none"/>
        </w:rPr>
        <w:t>特此承诺。</w:t>
      </w:r>
    </w:p>
    <w:p w14:paraId="2B5D62A2">
      <w:pPr>
        <w:shd w:val="clear" w:color="auto" w:fill="FFFFFF" w:themeFill="background1"/>
        <w:snapToGrid w:val="0"/>
        <w:spacing w:before="50" w:after="120" w:afterLines="50" w:line="440" w:lineRule="exact"/>
        <w:ind w:firstLine="361" w:firstLineChars="200"/>
        <w:jc w:val="left"/>
        <w:rPr>
          <w:rFonts w:ascii="宋体" w:hAnsi="宋体"/>
          <w:b/>
          <w:color w:val="auto"/>
          <w:sz w:val="18"/>
          <w:szCs w:val="18"/>
          <w:highlight w:val="none"/>
        </w:rPr>
      </w:pPr>
    </w:p>
    <w:p w14:paraId="36BD7097">
      <w:pPr>
        <w:shd w:val="clear" w:color="auto" w:fill="FFFFFF" w:themeFill="background1"/>
        <w:snapToGrid w:val="0"/>
        <w:spacing w:before="50" w:after="120" w:afterLines="50" w:line="440" w:lineRule="exact"/>
        <w:ind w:firstLine="361" w:firstLineChars="200"/>
        <w:jc w:val="left"/>
        <w:rPr>
          <w:rFonts w:ascii="宋体" w:hAnsi="宋体" w:cs="宋体"/>
          <w:color w:val="auto"/>
          <w:szCs w:val="21"/>
          <w:highlight w:val="none"/>
        </w:rPr>
      </w:pPr>
      <w:r>
        <w:rPr>
          <w:rFonts w:hint="eastAsia" w:ascii="宋体" w:hAnsi="宋体"/>
          <w:b/>
          <w:color w:val="auto"/>
          <w:sz w:val="18"/>
          <w:szCs w:val="18"/>
          <w:highlight w:val="none"/>
        </w:rPr>
        <w:t>注： 如为联合体投标，盖章处须加盖联合体各方公章，否则</w:t>
      </w:r>
      <w:r>
        <w:rPr>
          <w:rFonts w:hint="eastAsia" w:ascii="宋体" w:hAnsi="宋体" w:cs="宋体"/>
          <w:b/>
          <w:bCs/>
          <w:color w:val="auto"/>
          <w:sz w:val="18"/>
          <w:szCs w:val="18"/>
          <w:highlight w:val="none"/>
        </w:rPr>
        <w:t>其投标文件作无效响应处理</w:t>
      </w:r>
      <w:r>
        <w:rPr>
          <w:rFonts w:hint="eastAsia" w:ascii="宋体" w:hAnsi="宋体"/>
          <w:b/>
          <w:color w:val="auto"/>
          <w:sz w:val="18"/>
          <w:szCs w:val="18"/>
          <w:highlight w:val="none"/>
        </w:rPr>
        <w:t>。</w:t>
      </w:r>
    </w:p>
    <w:p w14:paraId="0A92B0C8">
      <w:pPr>
        <w:shd w:val="clear" w:color="auto" w:fill="FFFFFF" w:themeFill="background1"/>
        <w:snapToGrid w:val="0"/>
        <w:spacing w:before="50" w:after="240" w:afterLines="100"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p>
    <w:p w14:paraId="73383EA2">
      <w:pPr>
        <w:shd w:val="clear" w:color="auto" w:fill="FFFFFF" w:themeFill="background1"/>
        <w:snapToGrid w:val="0"/>
        <w:spacing w:before="50" w:after="240" w:afterLines="100" w:line="360" w:lineRule="auto"/>
        <w:ind w:left="7428" w:leftChars="2223" w:hanging="2760" w:hangingChars="1150"/>
        <w:jc w:val="left"/>
        <w:rPr>
          <w:rFonts w:ascii="宋体" w:hAnsi="宋体" w:cs="宋体"/>
          <w:color w:val="auto"/>
          <w:kern w:val="0"/>
          <w:sz w:val="24"/>
          <w:highlight w:val="none"/>
          <w:lang w:val="zh-CN"/>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投标人名称(盖公章)：</w:t>
      </w:r>
      <w:r>
        <w:rPr>
          <w:rFonts w:hint="eastAsia" w:ascii="宋体" w:hAnsi="宋体" w:cs="宋体"/>
          <w:color w:val="auto"/>
          <w:szCs w:val="21"/>
          <w:highlight w:val="none"/>
        </w:rPr>
        <w:t xml:space="preserve">                                     年    月    日</w:t>
      </w:r>
    </w:p>
    <w:p w14:paraId="1CF5D9DE">
      <w:pPr>
        <w:shd w:val="clear" w:color="auto" w:fill="FFFFFF" w:themeFill="background1"/>
        <w:rPr>
          <w:rFonts w:ascii="宋体" w:hAnsi="宋体" w:cs="宋体"/>
          <w:b/>
          <w:bCs/>
          <w:color w:val="auto"/>
          <w:sz w:val="30"/>
          <w:szCs w:val="30"/>
          <w:highlight w:val="none"/>
        </w:rPr>
      </w:pPr>
      <w:r>
        <w:rPr>
          <w:rFonts w:hint="eastAsia" w:ascii="宋体" w:hAnsi="宋体" w:cs="宋体"/>
          <w:b/>
          <w:bCs/>
          <w:color w:val="auto"/>
          <w:sz w:val="30"/>
          <w:szCs w:val="30"/>
          <w:highlight w:val="none"/>
        </w:rPr>
        <w:br w:type="page"/>
      </w:r>
    </w:p>
    <w:p w14:paraId="5C397893">
      <w:pPr>
        <w:pStyle w:val="9"/>
        <w:shd w:val="clear" w:color="auto" w:fill="FFFFFF" w:themeFill="background1"/>
        <w:ind w:left="0"/>
        <w:jc w:val="left"/>
        <w:rPr>
          <w:rFonts w:ascii="宋体" w:hAnsi="宋体" w:cs="宋体"/>
          <w:color w:val="auto"/>
          <w:highlight w:val="none"/>
        </w:rPr>
      </w:pPr>
      <w:r>
        <w:rPr>
          <w:rFonts w:hint="eastAsia" w:ascii="宋体" w:hAnsi="宋体" w:cs="宋体"/>
          <w:b/>
          <w:bCs/>
          <w:color w:val="auto"/>
          <w:sz w:val="28"/>
          <w:szCs w:val="28"/>
          <w:highlight w:val="none"/>
        </w:rPr>
        <w:t>4.联合体投标协议书的格式：</w:t>
      </w:r>
    </w:p>
    <w:p w14:paraId="5D22C627">
      <w:pPr>
        <w:pStyle w:val="14"/>
        <w:shd w:val="clear" w:color="auto" w:fill="FFFFFF" w:themeFill="background1"/>
        <w:spacing w:line="600" w:lineRule="exact"/>
        <w:jc w:val="center"/>
        <w:rPr>
          <w:rFonts w:hAnsi="宋体" w:cs="宋体"/>
          <w:b/>
          <w:bCs/>
          <w:color w:val="auto"/>
          <w:sz w:val="28"/>
          <w:szCs w:val="28"/>
          <w:highlight w:val="none"/>
        </w:rPr>
      </w:pPr>
    </w:p>
    <w:p w14:paraId="11A01EF2">
      <w:pPr>
        <w:pStyle w:val="14"/>
        <w:shd w:val="clear" w:color="auto" w:fill="FFFFFF" w:themeFill="background1"/>
        <w:spacing w:line="600" w:lineRule="exact"/>
        <w:jc w:val="center"/>
        <w:rPr>
          <w:rFonts w:hAnsi="宋体" w:cs="宋体"/>
          <w:color w:val="auto"/>
          <w:sz w:val="28"/>
          <w:szCs w:val="28"/>
          <w:highlight w:val="none"/>
        </w:rPr>
      </w:pPr>
      <w:r>
        <w:rPr>
          <w:rFonts w:hint="eastAsia" w:hAnsi="宋体" w:cs="宋体"/>
          <w:b/>
          <w:bCs/>
          <w:color w:val="auto"/>
          <w:sz w:val="28"/>
          <w:szCs w:val="28"/>
          <w:highlight w:val="none"/>
        </w:rPr>
        <w:t>联合体投标协议书</w:t>
      </w:r>
    </w:p>
    <w:p w14:paraId="2A837ECB">
      <w:pPr>
        <w:shd w:val="clear" w:color="auto" w:fill="FFFFFF" w:themeFill="background1"/>
        <w:autoSpaceDE w:val="0"/>
        <w:autoSpaceDN w:val="0"/>
        <w:adjustRightInd w:val="0"/>
        <w:spacing w:line="360" w:lineRule="auto"/>
        <w:jc w:val="left"/>
        <w:rPr>
          <w:rFonts w:ascii="宋体" w:hAnsi="宋体" w:cs="宋体"/>
          <w:color w:val="auto"/>
          <w:kern w:val="0"/>
          <w:szCs w:val="21"/>
          <w:highlight w:val="none"/>
          <w:u w:val="single"/>
        </w:rPr>
      </w:pPr>
    </w:p>
    <w:p w14:paraId="6CEEDD9D">
      <w:pPr>
        <w:shd w:val="clear" w:color="auto" w:fill="FFFFFF" w:themeFill="background1"/>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（所有成员单位名称）自愿组成联合体，共同参加</w:t>
      </w:r>
      <w:r>
        <w:rPr>
          <w:rFonts w:hint="eastAsia" w:ascii="宋体" w:hAnsi="宋体" w:cs="宋体"/>
          <w:color w:val="auto"/>
          <w:kern w:val="0"/>
          <w:szCs w:val="21"/>
          <w:highlight w:val="none"/>
          <w:u w:val="single"/>
        </w:rPr>
        <w:t xml:space="preserve">    </w:t>
      </w:r>
      <w:bookmarkStart w:id="369" w:name="PO_3000001919_PM031_1"/>
      <w:r>
        <w:rPr>
          <w:rFonts w:hint="eastAsia" w:ascii="宋体" w:hAnsi="宋体" w:cs="宋体"/>
          <w:color w:val="auto"/>
          <w:kern w:val="0"/>
          <w:szCs w:val="21"/>
          <w:highlight w:val="none"/>
          <w:u w:val="single"/>
        </w:rPr>
        <w:t>广西科联招标中心有限公司</w:t>
      </w:r>
      <w:bookmarkEnd w:id="369"/>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组织的</w:t>
      </w:r>
      <w:r>
        <w:rPr>
          <w:rFonts w:hint="eastAsia" w:ascii="宋体" w:hAnsi="宋体" w:cs="宋体"/>
          <w:color w:val="auto"/>
          <w:kern w:val="0"/>
          <w:szCs w:val="21"/>
          <w:highlight w:val="none"/>
          <w:u w:val="single"/>
        </w:rPr>
        <w:t xml:space="preserve">   </w:t>
      </w:r>
      <w:r>
        <w:rPr>
          <w:rFonts w:hint="eastAsia" w:ascii="宋体" w:hAnsi="宋体" w:cs="宋体"/>
          <w:i/>
          <w:iCs/>
          <w:color w:val="auto"/>
          <w:kern w:val="0"/>
          <w:szCs w:val="21"/>
          <w:highlight w:val="none"/>
          <w:u w:val="single"/>
        </w:rPr>
        <w:t>（项目名称）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（项目编号：</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）投标。现就联合体投标事宜订立如下协议：</w:t>
      </w:r>
    </w:p>
    <w:p w14:paraId="6F674336">
      <w:pPr>
        <w:shd w:val="clear" w:color="auto" w:fill="FFFFFF" w:themeFill="background1"/>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（某成员单位名称）为联合体名称牵头人。</w:t>
      </w:r>
    </w:p>
    <w:p w14:paraId="317267AE">
      <w:pPr>
        <w:shd w:val="clear" w:color="auto" w:fill="FFFFFF" w:themeFill="background1"/>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4DEEA28E">
      <w:pPr>
        <w:shd w:val="clear" w:color="auto" w:fill="FFFFFF" w:themeFill="background1"/>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3、联合体牵头人在本项目中签署和盖章的一切文件和处理的一切事宜，联合体各成员均予以承认。 联合体各成员将严格按照招标文件、投标文件和合同的要求全面履行义务，并向采购人承担连带责任。</w:t>
      </w:r>
    </w:p>
    <w:p w14:paraId="59D432E4">
      <w:pPr>
        <w:shd w:val="clear" w:color="auto" w:fill="FFFFFF" w:themeFill="background1"/>
        <w:autoSpaceDE w:val="0"/>
        <w:autoSpaceDN w:val="0"/>
        <w:adjustRightInd w:val="0"/>
        <w:spacing w:line="360" w:lineRule="auto"/>
        <w:ind w:firstLine="42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4、联合体各成员单位内部的职责分工如下</w:t>
      </w:r>
      <w:r>
        <w:rPr>
          <w:rFonts w:hint="eastAsia" w:ascii="宋体" w:hAnsi="宋体" w:cs="宋体"/>
          <w:color w:val="auto"/>
          <w:kern w:val="0"/>
          <w:szCs w:val="21"/>
          <w:highlight w:val="none"/>
          <w:u w:val="single"/>
        </w:rPr>
        <w:t>：                             。</w:t>
      </w:r>
    </w:p>
    <w:p w14:paraId="4CE82731">
      <w:pPr>
        <w:pStyle w:val="14"/>
        <w:shd w:val="clear" w:color="auto" w:fill="FFFFFF" w:themeFill="background1"/>
        <w:spacing w:line="360" w:lineRule="auto"/>
        <w:ind w:firstLine="420" w:firstLineChars="200"/>
        <w:rPr>
          <w:rFonts w:hAnsi="宋体" w:cs="宋体"/>
          <w:color w:val="auto"/>
          <w:szCs w:val="21"/>
          <w:highlight w:val="none"/>
        </w:rPr>
      </w:pPr>
      <w:r>
        <w:rPr>
          <w:rFonts w:hint="eastAsia" w:hAnsi="宋体" w:cs="宋体"/>
          <w:color w:val="auto"/>
          <w:kern w:val="0"/>
          <w:highlight w:val="none"/>
        </w:rPr>
        <w:t>5、本联合体中</w:t>
      </w:r>
      <w:r>
        <w:rPr>
          <w:rFonts w:hint="eastAsia" w:hAnsi="宋体" w:cs="宋体"/>
          <w:color w:val="auto"/>
          <w:kern w:val="0"/>
          <w:highlight w:val="none"/>
          <w:u w:val="single"/>
        </w:rPr>
        <w:t>，</w:t>
      </w:r>
      <w:r>
        <w:rPr>
          <w:rFonts w:hint="eastAsia" w:hAnsi="宋体" w:cs="宋体"/>
          <w:color w:val="auto"/>
          <w:kern w:val="0"/>
          <w:szCs w:val="21"/>
          <w:highlight w:val="none"/>
          <w:u w:val="single"/>
        </w:rPr>
        <w:t xml:space="preserve">                          </w:t>
      </w:r>
      <w:r>
        <w:rPr>
          <w:rFonts w:hint="eastAsia" w:hAnsi="宋体" w:cs="宋体"/>
          <w:color w:val="auto"/>
          <w:kern w:val="0"/>
          <w:highlight w:val="none"/>
          <w:u w:val="single"/>
        </w:rPr>
        <w:t>（某成员单位名称）为</w:t>
      </w:r>
      <w:r>
        <w:rPr>
          <w:rFonts w:hint="eastAsia" w:hAnsi="宋体" w:cs="宋体"/>
          <w:color w:val="auto"/>
          <w:kern w:val="0"/>
          <w:szCs w:val="21"/>
          <w:highlight w:val="none"/>
          <w:u w:val="single"/>
        </w:rPr>
        <w:t xml:space="preserve">      </w:t>
      </w:r>
      <w:r>
        <w:rPr>
          <w:rFonts w:hint="eastAsia" w:hAnsi="宋体" w:cs="宋体"/>
          <w:color w:val="auto"/>
          <w:highlight w:val="none"/>
        </w:rPr>
        <w:t>（请填写：中型、小型、微型）企业，其协议合同金额占联合体协议合同总金额的</w:t>
      </w:r>
      <w:r>
        <w:rPr>
          <w:rFonts w:hint="eastAsia" w:hAnsi="宋体" w:cs="宋体"/>
          <w:color w:val="auto"/>
          <w:kern w:val="0"/>
          <w:szCs w:val="21"/>
          <w:highlight w:val="none"/>
          <w:u w:val="single"/>
        </w:rPr>
        <w:t xml:space="preserve">      </w:t>
      </w:r>
      <w:r>
        <w:rPr>
          <w:rFonts w:hint="eastAsia" w:hAnsi="宋体" w:cs="宋体"/>
          <w:color w:val="auto"/>
          <w:highlight w:val="none"/>
        </w:rPr>
        <w:t>%。【如联合体成员中有小型、微型企业的，请填写此条，否则无需填写；如联合体成员中有多个小型、微型企业的，请逐一列出。】</w:t>
      </w:r>
    </w:p>
    <w:p w14:paraId="76F1AA49">
      <w:pPr>
        <w:shd w:val="clear" w:color="auto" w:fill="FFFFFF" w:themeFill="background1"/>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6、本协议书自签署之日起生效，合同履行完毕后自动失效。</w:t>
      </w:r>
    </w:p>
    <w:p w14:paraId="5D4DF3BA">
      <w:pPr>
        <w:shd w:val="clear" w:color="auto" w:fill="FFFFFF" w:themeFill="background1"/>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7、本协议书一式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份，联合体成员和采购代理机构各执一份。</w:t>
      </w:r>
    </w:p>
    <w:p w14:paraId="439185E6">
      <w:pPr>
        <w:shd w:val="clear" w:color="auto" w:fill="FFFFFF" w:themeFill="background1"/>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注：本协议书由法定代表人签字的，应附法定代表人身份证明；本协议书由委托代理人签字的，应附法定代表人授权委托书。</w:t>
      </w:r>
    </w:p>
    <w:p w14:paraId="2610C3F6">
      <w:pPr>
        <w:shd w:val="clear" w:color="auto" w:fill="FFFFFF" w:themeFill="background1"/>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牵头人名称：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（盖公章）</w:t>
      </w:r>
    </w:p>
    <w:p w14:paraId="3031FAF9">
      <w:pPr>
        <w:shd w:val="clear" w:color="auto" w:fill="FFFFFF" w:themeFill="background1"/>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（签字）</w:t>
      </w:r>
    </w:p>
    <w:p w14:paraId="45690BBC">
      <w:pPr>
        <w:shd w:val="clear" w:color="auto" w:fill="FFFFFF" w:themeFill="background1"/>
        <w:autoSpaceDE w:val="0"/>
        <w:autoSpaceDN w:val="0"/>
        <w:adjustRightInd w:val="0"/>
        <w:spacing w:line="360" w:lineRule="auto"/>
        <w:jc w:val="left"/>
        <w:rPr>
          <w:rFonts w:ascii="宋体" w:hAnsi="宋体" w:cs="宋体"/>
          <w:color w:val="auto"/>
          <w:kern w:val="0"/>
          <w:szCs w:val="21"/>
          <w:highlight w:val="none"/>
        </w:rPr>
      </w:pPr>
    </w:p>
    <w:p w14:paraId="6333D177">
      <w:pPr>
        <w:shd w:val="clear" w:color="auto" w:fill="FFFFFF" w:themeFill="background1"/>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成员一名称：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（盖公章）</w:t>
      </w:r>
    </w:p>
    <w:p w14:paraId="09538A89">
      <w:pPr>
        <w:shd w:val="clear" w:color="auto" w:fill="FFFFFF" w:themeFill="background1"/>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（签字）</w:t>
      </w:r>
    </w:p>
    <w:p w14:paraId="551DE5FF">
      <w:pPr>
        <w:shd w:val="clear" w:color="auto" w:fill="FFFFFF" w:themeFill="background1"/>
        <w:autoSpaceDE w:val="0"/>
        <w:autoSpaceDN w:val="0"/>
        <w:adjustRightInd w:val="0"/>
        <w:spacing w:line="360" w:lineRule="auto"/>
        <w:jc w:val="left"/>
        <w:rPr>
          <w:rFonts w:ascii="宋体" w:hAnsi="宋体" w:cs="宋体"/>
          <w:color w:val="auto"/>
          <w:kern w:val="0"/>
          <w:szCs w:val="21"/>
          <w:highlight w:val="none"/>
        </w:rPr>
      </w:pPr>
    </w:p>
    <w:p w14:paraId="3A7A9D71">
      <w:pPr>
        <w:shd w:val="clear" w:color="auto" w:fill="FFFFFF" w:themeFill="background1"/>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成员二名称：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（盖公章）</w:t>
      </w:r>
    </w:p>
    <w:p w14:paraId="73BD9AD3">
      <w:pPr>
        <w:pStyle w:val="14"/>
        <w:shd w:val="clear" w:color="auto" w:fill="FFFFFF" w:themeFill="background1"/>
        <w:spacing w:line="360" w:lineRule="auto"/>
        <w:rPr>
          <w:rFonts w:hAnsi="宋体" w:cs="宋体"/>
          <w:color w:val="auto"/>
          <w:kern w:val="0"/>
          <w:szCs w:val="21"/>
          <w:highlight w:val="none"/>
        </w:rPr>
      </w:pPr>
      <w:r>
        <w:rPr>
          <w:rFonts w:hint="eastAsia" w:hAnsi="宋体" w:cs="宋体"/>
          <w:color w:val="auto"/>
          <w:kern w:val="0"/>
          <w:szCs w:val="21"/>
          <w:highlight w:val="none"/>
        </w:rPr>
        <w:t>法定代表人或其委托代理人：</w:t>
      </w:r>
      <w:r>
        <w:rPr>
          <w:rFonts w:hint="eastAsia" w:hAnsi="宋体" w:cs="宋体"/>
          <w:color w:val="auto"/>
          <w:kern w:val="0"/>
          <w:szCs w:val="21"/>
          <w:highlight w:val="none"/>
          <w:u w:val="single"/>
        </w:rPr>
        <w:t xml:space="preserve">                         </w:t>
      </w:r>
      <w:r>
        <w:rPr>
          <w:rFonts w:hint="eastAsia" w:hAnsi="宋体" w:cs="宋体"/>
          <w:color w:val="auto"/>
          <w:kern w:val="0"/>
          <w:szCs w:val="21"/>
          <w:highlight w:val="none"/>
        </w:rPr>
        <w:t>（签字）</w:t>
      </w:r>
    </w:p>
    <w:p w14:paraId="4D61BF21">
      <w:pPr>
        <w:pStyle w:val="8"/>
        <w:shd w:val="clear" w:color="auto" w:fill="FFFFFF" w:themeFill="background1"/>
        <w:overflowPunct w:val="0"/>
        <w:spacing w:line="360" w:lineRule="auto"/>
        <w:ind w:firstLineChars="175"/>
        <w:rPr>
          <w:rFonts w:ascii="宋体" w:hAnsi="宋体" w:cs="宋体"/>
          <w:color w:val="auto"/>
          <w:sz w:val="24"/>
          <w:highlight w:val="none"/>
        </w:rPr>
      </w:pPr>
      <w:r>
        <w:rPr>
          <w:rFonts w:hint="eastAsia" w:ascii="宋体" w:hAnsi="宋体" w:cs="宋体"/>
          <w:color w:val="auto"/>
          <w:sz w:val="24"/>
          <w:highlight w:val="none"/>
        </w:rPr>
        <w:t>……</w:t>
      </w:r>
    </w:p>
    <w:p w14:paraId="09DE15A0">
      <w:pPr>
        <w:pStyle w:val="8"/>
        <w:shd w:val="clear" w:color="auto" w:fill="FFFFFF" w:themeFill="background1"/>
        <w:overflowPunct w:val="0"/>
        <w:spacing w:line="360" w:lineRule="auto"/>
        <w:ind w:firstLineChars="175"/>
        <w:rPr>
          <w:rFonts w:ascii="宋体" w:hAnsi="宋体" w:cs="宋体"/>
          <w:color w:val="auto"/>
          <w:sz w:val="24"/>
          <w:highlight w:val="none"/>
        </w:rPr>
      </w:pPr>
    </w:p>
    <w:p w14:paraId="30A1FFDE">
      <w:pPr>
        <w:pStyle w:val="8"/>
        <w:shd w:val="clear" w:color="auto" w:fill="FFFFFF" w:themeFill="background1"/>
        <w:overflowPunct w:val="0"/>
        <w:spacing w:line="360" w:lineRule="auto"/>
        <w:ind w:firstLine="7140" w:firstLineChars="2975"/>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rPr>
        <w:tab/>
      </w:r>
      <w:r>
        <w:rPr>
          <w:rFonts w:hint="eastAsia" w:ascii="宋体" w:hAnsi="宋体" w:cs="宋体"/>
          <w:color w:val="auto"/>
          <w:sz w:val="24"/>
          <w:highlight w:val="none"/>
        </w:rPr>
        <w:t xml:space="preserve">年  </w:t>
      </w:r>
      <w:r>
        <w:rPr>
          <w:rFonts w:hint="eastAsia" w:ascii="宋体" w:hAnsi="宋体" w:cs="宋体"/>
          <w:color w:val="auto"/>
          <w:sz w:val="24"/>
          <w:highlight w:val="none"/>
        </w:rPr>
        <w:tab/>
      </w:r>
      <w:r>
        <w:rPr>
          <w:rFonts w:hint="eastAsia" w:ascii="宋体" w:hAnsi="宋体" w:cs="宋体"/>
          <w:color w:val="auto"/>
          <w:sz w:val="24"/>
          <w:highlight w:val="none"/>
        </w:rPr>
        <w:t xml:space="preserve">月  </w:t>
      </w:r>
      <w:r>
        <w:rPr>
          <w:rFonts w:hint="eastAsia" w:ascii="宋体" w:hAnsi="宋体" w:cs="宋体"/>
          <w:color w:val="auto"/>
          <w:sz w:val="24"/>
          <w:highlight w:val="none"/>
        </w:rPr>
        <w:tab/>
      </w:r>
      <w:r>
        <w:rPr>
          <w:rFonts w:hint="eastAsia" w:ascii="宋体" w:hAnsi="宋体" w:cs="宋体"/>
          <w:color w:val="auto"/>
          <w:sz w:val="24"/>
          <w:highlight w:val="none"/>
        </w:rPr>
        <w:t>日</w:t>
      </w:r>
    </w:p>
    <w:p w14:paraId="57D7FC91">
      <w:pPr>
        <w:shd w:val="clear" w:color="auto" w:fill="FFFFFF" w:themeFill="background1"/>
        <w:rPr>
          <w:rFonts w:ascii="宋体" w:hAnsi="宋体" w:cs="宋体"/>
          <w:color w:val="auto"/>
          <w:sz w:val="24"/>
          <w:highlight w:val="none"/>
        </w:rPr>
      </w:pPr>
      <w:r>
        <w:rPr>
          <w:rFonts w:hint="eastAsia" w:ascii="宋体" w:hAnsi="宋体" w:cs="宋体"/>
          <w:color w:val="auto"/>
          <w:sz w:val="24"/>
          <w:highlight w:val="none"/>
        </w:rPr>
        <w:br w:type="page"/>
      </w:r>
    </w:p>
    <w:p w14:paraId="0FCFB9C8">
      <w:pPr>
        <w:pStyle w:val="14"/>
        <w:shd w:val="clear" w:color="auto" w:fill="FFFFFF" w:themeFill="background1"/>
        <w:jc w:val="left"/>
        <w:rPr>
          <w:rFonts w:hAnsi="宋体" w:cs="宋体"/>
          <w:b/>
          <w:color w:val="auto"/>
          <w:sz w:val="28"/>
          <w:szCs w:val="28"/>
          <w:highlight w:val="none"/>
        </w:rPr>
      </w:pPr>
    </w:p>
    <w:p w14:paraId="38F61DE7">
      <w:pPr>
        <w:pStyle w:val="14"/>
        <w:shd w:val="clear" w:color="auto" w:fill="FFFFFF" w:themeFill="background1"/>
        <w:jc w:val="center"/>
        <w:outlineLvl w:val="1"/>
        <w:rPr>
          <w:rFonts w:hAnsi="宋体" w:cs="宋体"/>
          <w:b/>
          <w:bCs/>
          <w:color w:val="auto"/>
          <w:sz w:val="28"/>
          <w:szCs w:val="28"/>
          <w:highlight w:val="none"/>
        </w:rPr>
      </w:pPr>
      <w:bookmarkStart w:id="370" w:name="_Toc8189"/>
      <w:bookmarkStart w:id="371" w:name="_Toc6839"/>
      <w:bookmarkStart w:id="372" w:name="_Toc31528"/>
      <w:bookmarkStart w:id="373" w:name="_Toc13159"/>
      <w:bookmarkStart w:id="374" w:name="_Toc19686838"/>
      <w:bookmarkStart w:id="375" w:name="_Toc16062"/>
      <w:bookmarkStart w:id="376" w:name="_Toc24133"/>
      <w:bookmarkStart w:id="377" w:name="_Toc12624"/>
      <w:bookmarkStart w:id="378" w:name="_Toc2566"/>
      <w:bookmarkStart w:id="379" w:name="_Toc20777"/>
      <w:bookmarkStart w:id="380" w:name="_Toc3944"/>
    </w:p>
    <w:p w14:paraId="3BC89085">
      <w:pPr>
        <w:pStyle w:val="14"/>
        <w:shd w:val="clear" w:color="auto" w:fill="FFFFFF" w:themeFill="background1"/>
        <w:jc w:val="center"/>
        <w:outlineLvl w:val="1"/>
        <w:rPr>
          <w:rFonts w:hAnsi="宋体" w:cs="宋体"/>
          <w:b/>
          <w:bCs/>
          <w:color w:val="auto"/>
          <w:sz w:val="28"/>
          <w:szCs w:val="28"/>
          <w:highlight w:val="none"/>
        </w:rPr>
      </w:pPr>
    </w:p>
    <w:p w14:paraId="34760D5E">
      <w:pPr>
        <w:pStyle w:val="14"/>
        <w:shd w:val="clear" w:color="auto" w:fill="FFFFFF" w:themeFill="background1"/>
        <w:jc w:val="center"/>
        <w:outlineLvl w:val="1"/>
        <w:rPr>
          <w:rFonts w:hAnsi="宋体" w:cs="宋体"/>
          <w:b/>
          <w:bCs/>
          <w:color w:val="auto"/>
          <w:sz w:val="28"/>
          <w:szCs w:val="28"/>
          <w:highlight w:val="none"/>
        </w:rPr>
      </w:pPr>
      <w:r>
        <w:rPr>
          <w:rFonts w:hint="eastAsia" w:hAnsi="宋体" w:cs="宋体"/>
          <w:b/>
          <w:bCs/>
          <w:color w:val="auto"/>
          <w:sz w:val="28"/>
          <w:szCs w:val="28"/>
          <w:highlight w:val="none"/>
        </w:rPr>
        <w:t>第二节 商务文件格式</w:t>
      </w:r>
      <w:bookmarkEnd w:id="370"/>
      <w:bookmarkEnd w:id="371"/>
      <w:bookmarkEnd w:id="372"/>
      <w:bookmarkEnd w:id="373"/>
      <w:bookmarkEnd w:id="374"/>
      <w:bookmarkEnd w:id="375"/>
      <w:bookmarkEnd w:id="376"/>
      <w:bookmarkEnd w:id="377"/>
      <w:bookmarkEnd w:id="378"/>
      <w:bookmarkEnd w:id="379"/>
      <w:bookmarkEnd w:id="380"/>
    </w:p>
    <w:p w14:paraId="7D001B55">
      <w:pPr>
        <w:shd w:val="clear" w:color="auto" w:fill="FFFFFF" w:themeFill="background1"/>
        <w:snapToGrid w:val="0"/>
        <w:spacing w:before="120" w:beforeLines="50" w:after="50"/>
        <w:rPr>
          <w:rFonts w:ascii="宋体" w:hAnsi="宋体" w:cs="宋体"/>
          <w:color w:val="auto"/>
          <w:sz w:val="30"/>
          <w:szCs w:val="20"/>
          <w:highlight w:val="none"/>
        </w:rPr>
      </w:pPr>
    </w:p>
    <w:p w14:paraId="2C5A8319">
      <w:pPr>
        <w:pStyle w:val="16"/>
        <w:shd w:val="clear" w:color="auto" w:fill="FFFFFF" w:themeFill="background1"/>
        <w:rPr>
          <w:rFonts w:ascii="宋体" w:hAnsi="宋体" w:cs="宋体"/>
          <w:color w:val="auto"/>
          <w:highlight w:val="none"/>
        </w:rPr>
      </w:pPr>
      <w:r>
        <w:rPr>
          <w:rFonts w:hint="eastAsia" w:ascii="宋体" w:hAnsi="宋体" w:cs="宋体"/>
          <w:b/>
          <w:color w:val="auto"/>
          <w:sz w:val="28"/>
          <w:szCs w:val="28"/>
          <w:highlight w:val="none"/>
        </w:rPr>
        <w:t>1.商务文件封面的格式</w:t>
      </w:r>
      <w:r>
        <w:rPr>
          <w:rFonts w:hint="eastAsia" w:hAnsi="宋体" w:cs="宋体"/>
          <w:b/>
          <w:bCs/>
          <w:color w:val="auto"/>
          <w:sz w:val="28"/>
          <w:szCs w:val="28"/>
          <w:highlight w:val="none"/>
        </w:rPr>
        <w:t>（参照此格式自拟）</w:t>
      </w:r>
      <w:r>
        <w:rPr>
          <w:rFonts w:hint="eastAsia" w:ascii="宋体" w:hAnsi="宋体" w:cs="宋体"/>
          <w:b/>
          <w:color w:val="auto"/>
          <w:sz w:val="28"/>
          <w:szCs w:val="28"/>
          <w:highlight w:val="none"/>
        </w:rPr>
        <w:t>：</w:t>
      </w:r>
    </w:p>
    <w:p w14:paraId="09313184">
      <w:pPr>
        <w:shd w:val="clear" w:color="auto" w:fill="FFFFFF" w:themeFill="background1"/>
        <w:snapToGrid w:val="0"/>
        <w:spacing w:before="120" w:beforeLines="50" w:after="50"/>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 xml:space="preserve">             电子投标文件</w:t>
      </w:r>
    </w:p>
    <w:p w14:paraId="535B4DCA">
      <w:pPr>
        <w:shd w:val="clear" w:color="auto" w:fill="FFFFFF" w:themeFill="background1"/>
        <w:snapToGrid w:val="0"/>
        <w:spacing w:before="120" w:beforeLines="50" w:after="50"/>
        <w:rPr>
          <w:rFonts w:ascii="宋体" w:hAnsi="宋体" w:cs="宋体"/>
          <w:color w:val="auto"/>
          <w:sz w:val="24"/>
          <w:szCs w:val="20"/>
          <w:highlight w:val="none"/>
        </w:rPr>
      </w:pPr>
    </w:p>
    <w:p w14:paraId="41D2E50F">
      <w:pPr>
        <w:shd w:val="clear" w:color="auto" w:fill="FFFFFF" w:themeFill="background1"/>
        <w:snapToGrid w:val="0"/>
        <w:spacing w:before="120" w:beforeLines="50" w:after="50"/>
        <w:jc w:val="center"/>
        <w:rPr>
          <w:rFonts w:ascii="宋体" w:hAnsi="宋体" w:cs="宋体"/>
          <w:b/>
          <w:color w:val="auto"/>
          <w:sz w:val="24"/>
          <w:szCs w:val="20"/>
          <w:highlight w:val="none"/>
        </w:rPr>
      </w:pPr>
      <w:r>
        <w:rPr>
          <w:rFonts w:hint="eastAsia" w:ascii="宋体" w:hAnsi="宋体" w:cs="宋体"/>
          <w:b/>
          <w:color w:val="auto"/>
          <w:sz w:val="32"/>
          <w:szCs w:val="32"/>
          <w:highlight w:val="none"/>
        </w:rPr>
        <w:t>商务文件</w:t>
      </w:r>
    </w:p>
    <w:p w14:paraId="7BE315F2">
      <w:pPr>
        <w:shd w:val="clear" w:color="auto" w:fill="FFFFFF" w:themeFill="background1"/>
        <w:snapToGrid w:val="0"/>
        <w:spacing w:before="120" w:beforeLines="50" w:after="50"/>
        <w:rPr>
          <w:rFonts w:ascii="宋体" w:hAnsi="宋体" w:cs="宋体"/>
          <w:bCs/>
          <w:color w:val="auto"/>
          <w:sz w:val="24"/>
          <w:szCs w:val="20"/>
          <w:highlight w:val="none"/>
        </w:rPr>
      </w:pPr>
    </w:p>
    <w:p w14:paraId="083B775F">
      <w:pPr>
        <w:shd w:val="clear" w:color="auto" w:fill="FFFFFF" w:themeFill="background1"/>
        <w:snapToGrid w:val="0"/>
        <w:spacing w:before="120" w:beforeLines="50" w:after="50"/>
        <w:ind w:firstLine="540" w:firstLineChars="225"/>
        <w:rPr>
          <w:rFonts w:ascii="宋体" w:hAnsi="宋体" w:cs="宋体"/>
          <w:bCs/>
          <w:color w:val="auto"/>
          <w:sz w:val="24"/>
          <w:highlight w:val="none"/>
        </w:rPr>
      </w:pPr>
    </w:p>
    <w:p w14:paraId="29D6110E">
      <w:pPr>
        <w:shd w:val="clear" w:color="auto" w:fill="FFFFFF" w:themeFill="background1"/>
        <w:snapToGrid w:val="0"/>
        <w:spacing w:before="120" w:beforeLines="50" w:after="50"/>
        <w:ind w:firstLine="540" w:firstLineChars="225"/>
        <w:rPr>
          <w:rFonts w:ascii="宋体" w:hAnsi="宋体" w:cs="宋体"/>
          <w:bCs/>
          <w:color w:val="auto"/>
          <w:sz w:val="24"/>
          <w:szCs w:val="20"/>
          <w:highlight w:val="none"/>
        </w:rPr>
      </w:pPr>
      <w:r>
        <w:rPr>
          <w:rFonts w:hint="eastAsia" w:ascii="宋体" w:hAnsi="宋体" w:cs="宋体"/>
          <w:bCs/>
          <w:color w:val="auto"/>
          <w:sz w:val="24"/>
          <w:highlight w:val="none"/>
        </w:rPr>
        <w:t>项目名称：</w:t>
      </w:r>
    </w:p>
    <w:p w14:paraId="3D8C4403">
      <w:pPr>
        <w:shd w:val="clear" w:color="auto" w:fill="FFFFFF" w:themeFill="background1"/>
        <w:snapToGrid w:val="0"/>
        <w:spacing w:before="120" w:beforeLines="50" w:after="50"/>
        <w:ind w:firstLine="540" w:firstLineChars="225"/>
        <w:rPr>
          <w:rFonts w:ascii="宋体" w:hAnsi="宋体" w:cs="宋体"/>
          <w:bCs/>
          <w:color w:val="auto"/>
          <w:sz w:val="24"/>
          <w:highlight w:val="none"/>
        </w:rPr>
      </w:pPr>
    </w:p>
    <w:p w14:paraId="6E51112F">
      <w:pPr>
        <w:shd w:val="clear" w:color="auto" w:fill="FFFFFF" w:themeFill="background1"/>
        <w:snapToGrid w:val="0"/>
        <w:spacing w:before="120" w:beforeLines="50" w:after="50"/>
        <w:ind w:firstLine="540" w:firstLineChars="225"/>
        <w:rPr>
          <w:rFonts w:ascii="宋体" w:hAnsi="宋体" w:cs="宋体"/>
          <w:bCs/>
          <w:color w:val="auto"/>
          <w:sz w:val="24"/>
          <w:szCs w:val="20"/>
          <w:highlight w:val="none"/>
        </w:rPr>
      </w:pPr>
      <w:r>
        <w:rPr>
          <w:rFonts w:hint="eastAsia" w:ascii="宋体" w:hAnsi="宋体" w:cs="宋体"/>
          <w:bCs/>
          <w:color w:val="auto"/>
          <w:sz w:val="24"/>
          <w:highlight w:val="none"/>
        </w:rPr>
        <w:t xml:space="preserve">项目编号： </w:t>
      </w:r>
    </w:p>
    <w:p w14:paraId="627E7257">
      <w:pPr>
        <w:shd w:val="clear" w:color="auto" w:fill="FFFFFF" w:themeFill="background1"/>
        <w:snapToGrid w:val="0"/>
        <w:spacing w:before="120" w:beforeLines="50" w:after="50"/>
        <w:ind w:firstLine="540" w:firstLineChars="225"/>
        <w:rPr>
          <w:rFonts w:ascii="宋体" w:hAnsi="宋体" w:cs="宋体"/>
          <w:bCs/>
          <w:color w:val="auto"/>
          <w:sz w:val="24"/>
          <w:highlight w:val="none"/>
        </w:rPr>
      </w:pPr>
    </w:p>
    <w:p w14:paraId="38C8E7C1">
      <w:pPr>
        <w:shd w:val="clear" w:color="auto" w:fill="FFFFFF" w:themeFill="background1"/>
        <w:snapToGrid w:val="0"/>
        <w:spacing w:before="120"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所投</w:t>
      </w:r>
      <w:r>
        <w:rPr>
          <w:rFonts w:hint="eastAsia" w:ascii="宋体" w:hAnsi="宋体" w:cs="宋体"/>
          <w:bCs/>
          <w:color w:val="auto"/>
          <w:sz w:val="24"/>
          <w:highlight w:val="none"/>
          <w:lang w:eastAsia="zh-CN"/>
        </w:rPr>
        <w:t>标项</w:t>
      </w:r>
      <w:r>
        <w:rPr>
          <w:rFonts w:hint="eastAsia" w:ascii="宋体" w:hAnsi="宋体" w:cs="宋体"/>
          <w:bCs/>
          <w:color w:val="auto"/>
          <w:sz w:val="24"/>
          <w:highlight w:val="none"/>
        </w:rPr>
        <w:t>（如有则填写，无分标时填写“无”或者留空）：</w:t>
      </w:r>
    </w:p>
    <w:p w14:paraId="4C685185">
      <w:pPr>
        <w:shd w:val="clear" w:color="auto" w:fill="FFFFFF" w:themeFill="background1"/>
        <w:snapToGrid w:val="0"/>
        <w:spacing w:before="120" w:beforeLines="50" w:after="50"/>
        <w:ind w:firstLine="540" w:firstLineChars="225"/>
        <w:rPr>
          <w:rFonts w:ascii="宋体" w:hAnsi="宋体" w:cs="宋体"/>
          <w:bCs/>
          <w:color w:val="auto"/>
          <w:sz w:val="24"/>
          <w:szCs w:val="20"/>
          <w:highlight w:val="none"/>
        </w:rPr>
      </w:pPr>
    </w:p>
    <w:p w14:paraId="5C291F4E">
      <w:pPr>
        <w:pStyle w:val="8"/>
        <w:shd w:val="clear" w:color="auto" w:fill="FFFFFF" w:themeFill="background1"/>
        <w:snapToGrid w:val="0"/>
        <w:spacing w:before="50" w:after="50"/>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投标人名称：</w:t>
      </w:r>
    </w:p>
    <w:p w14:paraId="59ACDB06">
      <w:pPr>
        <w:pStyle w:val="8"/>
        <w:shd w:val="clear" w:color="auto" w:fill="FFFFFF" w:themeFill="background1"/>
        <w:snapToGrid w:val="0"/>
        <w:spacing w:before="50" w:after="50"/>
        <w:ind w:firstLine="540" w:firstLineChars="225"/>
        <w:rPr>
          <w:rFonts w:ascii="宋体" w:hAnsi="宋体" w:cs="宋体"/>
          <w:bCs/>
          <w:color w:val="auto"/>
          <w:sz w:val="24"/>
          <w:szCs w:val="24"/>
          <w:highlight w:val="none"/>
        </w:rPr>
      </w:pPr>
    </w:p>
    <w:p w14:paraId="47CC50E6">
      <w:pPr>
        <w:pStyle w:val="8"/>
        <w:shd w:val="clear" w:color="auto" w:fill="FFFFFF" w:themeFill="background1"/>
        <w:snapToGrid w:val="0"/>
        <w:spacing w:before="50" w:after="50"/>
        <w:ind w:firstLine="960" w:firstLineChars="400"/>
        <w:rPr>
          <w:rFonts w:ascii="宋体" w:hAnsi="宋体" w:cs="宋体"/>
          <w:bCs/>
          <w:color w:val="auto"/>
          <w:sz w:val="24"/>
          <w:szCs w:val="24"/>
          <w:highlight w:val="none"/>
        </w:rPr>
      </w:pPr>
    </w:p>
    <w:p w14:paraId="5B3123B6">
      <w:pPr>
        <w:shd w:val="clear" w:color="auto" w:fill="FFFFFF" w:themeFill="background1"/>
        <w:snapToGrid w:val="0"/>
        <w:spacing w:before="120" w:beforeLines="50" w:after="50"/>
        <w:ind w:firstLine="645"/>
        <w:rPr>
          <w:rFonts w:ascii="宋体" w:hAnsi="宋体" w:cs="宋体"/>
          <w:color w:val="auto"/>
          <w:sz w:val="24"/>
          <w:highlight w:val="none"/>
        </w:rPr>
      </w:pPr>
      <w:r>
        <w:rPr>
          <w:rFonts w:hint="eastAsia" w:ascii="宋体" w:hAnsi="宋体" w:cs="宋体"/>
          <w:color w:val="auto"/>
          <w:sz w:val="24"/>
          <w:highlight w:val="none"/>
        </w:rPr>
        <w:t xml:space="preserve">                             </w:t>
      </w:r>
    </w:p>
    <w:p w14:paraId="7AB8A1CD">
      <w:pPr>
        <w:shd w:val="clear" w:color="auto" w:fill="FFFFFF" w:themeFill="background1"/>
        <w:snapToGrid w:val="0"/>
        <w:spacing w:before="120" w:beforeLines="50" w:after="50"/>
        <w:ind w:firstLine="645"/>
        <w:rPr>
          <w:rFonts w:ascii="宋体" w:hAnsi="宋体" w:cs="宋体"/>
          <w:color w:val="auto"/>
          <w:sz w:val="24"/>
          <w:highlight w:val="none"/>
        </w:rPr>
      </w:pPr>
    </w:p>
    <w:p w14:paraId="589AC291">
      <w:pPr>
        <w:shd w:val="clear" w:color="auto" w:fill="FFFFFF" w:themeFill="background1"/>
        <w:snapToGrid w:val="0"/>
        <w:spacing w:before="120" w:beforeLines="50" w:after="50"/>
        <w:ind w:firstLine="645"/>
        <w:rPr>
          <w:rFonts w:ascii="宋体" w:hAnsi="宋体" w:cs="宋体"/>
          <w:color w:val="auto"/>
          <w:sz w:val="24"/>
          <w:highlight w:val="none"/>
        </w:rPr>
      </w:pPr>
    </w:p>
    <w:p w14:paraId="60E1CA17">
      <w:pPr>
        <w:shd w:val="clear" w:color="auto" w:fill="FFFFFF" w:themeFill="background1"/>
        <w:snapToGrid w:val="0"/>
        <w:spacing w:before="120" w:beforeLines="50" w:after="50"/>
        <w:ind w:firstLine="645"/>
        <w:rPr>
          <w:rFonts w:ascii="宋体" w:hAnsi="宋体" w:cs="宋体"/>
          <w:color w:val="auto"/>
          <w:sz w:val="24"/>
          <w:highlight w:val="none"/>
        </w:rPr>
      </w:pPr>
    </w:p>
    <w:p w14:paraId="2B42081B">
      <w:pPr>
        <w:shd w:val="clear" w:color="auto" w:fill="FFFFFF" w:themeFill="background1"/>
        <w:snapToGrid w:val="0"/>
        <w:spacing w:before="120" w:beforeLines="50" w:after="50"/>
        <w:ind w:firstLine="645"/>
        <w:rPr>
          <w:rFonts w:ascii="宋体" w:hAnsi="宋体" w:cs="宋体"/>
          <w:color w:val="auto"/>
          <w:sz w:val="24"/>
          <w:highlight w:val="none"/>
        </w:rPr>
      </w:pPr>
    </w:p>
    <w:p w14:paraId="01D5181C">
      <w:pPr>
        <w:shd w:val="clear" w:color="auto" w:fill="FFFFFF" w:themeFill="background1"/>
        <w:snapToGrid w:val="0"/>
        <w:spacing w:before="120" w:beforeLines="50" w:after="50"/>
        <w:ind w:firstLine="4329" w:firstLineChars="1804"/>
        <w:rPr>
          <w:rFonts w:ascii="宋体" w:hAnsi="宋体" w:cs="宋体"/>
          <w:color w:val="auto"/>
          <w:sz w:val="24"/>
          <w:highlight w:val="none"/>
        </w:rPr>
      </w:pPr>
      <w:r>
        <w:rPr>
          <w:rFonts w:hint="eastAsia" w:ascii="宋体" w:hAnsi="宋体" w:cs="宋体"/>
          <w:color w:val="auto"/>
          <w:sz w:val="24"/>
          <w:highlight w:val="none"/>
        </w:rPr>
        <w:t xml:space="preserve"> 年  月  日</w:t>
      </w:r>
    </w:p>
    <w:p w14:paraId="776C6351">
      <w:pPr>
        <w:shd w:val="clear" w:color="auto" w:fill="FFFFFF" w:themeFill="background1"/>
        <w:spacing w:line="360" w:lineRule="auto"/>
        <w:ind w:right="420"/>
        <w:rPr>
          <w:rFonts w:ascii="宋体" w:hAnsi="宋体" w:cs="宋体"/>
          <w:b/>
          <w:color w:val="auto"/>
          <w:kern w:val="0"/>
          <w:sz w:val="36"/>
          <w:szCs w:val="36"/>
          <w:highlight w:val="none"/>
        </w:rPr>
      </w:pPr>
      <w:r>
        <w:rPr>
          <w:rFonts w:hint="eastAsia" w:ascii="宋体" w:hAnsi="宋体" w:cs="宋体"/>
          <w:color w:val="auto"/>
          <w:sz w:val="24"/>
          <w:szCs w:val="20"/>
          <w:highlight w:val="none"/>
        </w:rPr>
        <w:t xml:space="preserve"> </w:t>
      </w:r>
    </w:p>
    <w:p w14:paraId="2974B973">
      <w:pPr>
        <w:shd w:val="clear" w:color="auto" w:fill="FFFFFF" w:themeFill="background1"/>
        <w:rPr>
          <w:rFonts w:ascii="宋体" w:hAnsi="宋体" w:cs="宋体"/>
          <w:b/>
          <w:color w:val="auto"/>
          <w:kern w:val="0"/>
          <w:sz w:val="24"/>
          <w:highlight w:val="none"/>
        </w:rPr>
      </w:pPr>
      <w:r>
        <w:rPr>
          <w:rFonts w:hint="eastAsia" w:ascii="宋体" w:hAnsi="宋体" w:cs="宋体"/>
          <w:b/>
          <w:color w:val="auto"/>
          <w:kern w:val="0"/>
          <w:sz w:val="24"/>
          <w:highlight w:val="none"/>
        </w:rPr>
        <w:br w:type="page"/>
      </w:r>
    </w:p>
    <w:p w14:paraId="76754A3F">
      <w:pPr>
        <w:shd w:val="clear" w:color="auto" w:fill="FFFFFF" w:themeFill="background1"/>
        <w:spacing w:line="360" w:lineRule="auto"/>
        <w:ind w:right="420"/>
        <w:rPr>
          <w:rFonts w:ascii="宋体" w:hAnsi="宋体" w:cs="宋体"/>
          <w:color w:val="auto"/>
          <w:sz w:val="24"/>
          <w:szCs w:val="20"/>
          <w:highlight w:val="none"/>
        </w:rPr>
      </w:pPr>
      <w:r>
        <w:rPr>
          <w:rFonts w:hint="eastAsia" w:ascii="宋体" w:hAnsi="宋体" w:cs="宋体"/>
          <w:b/>
          <w:bCs/>
          <w:color w:val="auto"/>
          <w:sz w:val="28"/>
          <w:szCs w:val="28"/>
          <w:highlight w:val="none"/>
        </w:rPr>
        <w:t>2.商务文件目录</w:t>
      </w:r>
    </w:p>
    <w:p w14:paraId="2D5D9FFF">
      <w:pPr>
        <w:shd w:val="clear" w:color="auto" w:fill="FFFFFF" w:themeFill="background1"/>
        <w:jc w:val="left"/>
        <w:rPr>
          <w:rFonts w:ascii="宋体" w:hAnsi="宋体" w:cs="宋体"/>
          <w:b/>
          <w:bCs/>
          <w:color w:val="auto"/>
          <w:sz w:val="30"/>
          <w:szCs w:val="30"/>
          <w:highlight w:val="none"/>
        </w:rPr>
      </w:pPr>
      <w:r>
        <w:rPr>
          <w:rFonts w:hint="eastAsia" w:ascii="宋体" w:hAnsi="宋体" w:cs="宋体"/>
          <w:color w:val="auto"/>
          <w:kern w:val="0"/>
          <w:sz w:val="24"/>
          <w:highlight w:val="none"/>
        </w:rPr>
        <w:t>根据招标文件规定及投标人提供的材料自行编写目录（部分格式后附）。</w:t>
      </w:r>
      <w:r>
        <w:rPr>
          <w:rFonts w:hint="eastAsia" w:ascii="宋体" w:hAnsi="宋体" w:cs="宋体"/>
          <w:b/>
          <w:bCs/>
          <w:color w:val="auto"/>
          <w:sz w:val="30"/>
          <w:szCs w:val="30"/>
          <w:highlight w:val="none"/>
        </w:rPr>
        <w:br w:type="page"/>
      </w:r>
    </w:p>
    <w:p w14:paraId="7827208A">
      <w:pPr>
        <w:shd w:val="clear" w:color="auto" w:fill="FFFFFF" w:themeFill="background1"/>
        <w:snapToGrid w:val="0"/>
        <w:spacing w:before="120" w:beforeLines="50" w:after="50"/>
        <w:rPr>
          <w:rFonts w:ascii="宋体" w:hAnsi="宋体" w:cs="宋体"/>
          <w:b/>
          <w:bCs/>
          <w:color w:val="auto"/>
          <w:sz w:val="30"/>
          <w:szCs w:val="30"/>
          <w:highlight w:val="none"/>
        </w:rPr>
      </w:pPr>
      <w:r>
        <w:rPr>
          <w:rFonts w:hint="eastAsia" w:ascii="宋体" w:hAnsi="宋体" w:cs="宋体"/>
          <w:b/>
          <w:bCs/>
          <w:color w:val="auto"/>
          <w:sz w:val="28"/>
          <w:szCs w:val="28"/>
          <w:highlight w:val="none"/>
        </w:rPr>
        <w:t>3.无串通投标行为的承诺函的格式：</w:t>
      </w:r>
    </w:p>
    <w:p w14:paraId="15868C44">
      <w:pPr>
        <w:shd w:val="clear" w:color="auto" w:fill="FFFFFF" w:themeFill="background1"/>
        <w:snapToGrid w:val="0"/>
        <w:spacing w:before="120" w:beforeLines="50" w:after="50"/>
        <w:ind w:left="420"/>
        <w:jc w:val="center"/>
        <w:rPr>
          <w:rFonts w:ascii="宋体" w:hAnsi="宋体" w:cs="宋体"/>
          <w:b/>
          <w:color w:val="auto"/>
          <w:sz w:val="32"/>
          <w:szCs w:val="32"/>
          <w:highlight w:val="none"/>
        </w:rPr>
      </w:pPr>
    </w:p>
    <w:p w14:paraId="53CDFB92">
      <w:pPr>
        <w:shd w:val="clear" w:color="auto" w:fill="FFFFFF" w:themeFill="background1"/>
        <w:snapToGrid w:val="0"/>
        <w:spacing w:before="120" w:beforeLines="50" w:after="50"/>
        <w:ind w:left="420"/>
        <w:jc w:val="center"/>
        <w:rPr>
          <w:rFonts w:ascii="宋体" w:hAnsi="宋体" w:cs="宋体"/>
          <w:b/>
          <w:color w:val="auto"/>
          <w:sz w:val="32"/>
          <w:szCs w:val="32"/>
          <w:highlight w:val="none"/>
        </w:rPr>
      </w:pPr>
      <w:r>
        <w:rPr>
          <w:rFonts w:hint="eastAsia" w:ascii="宋体" w:hAnsi="宋体" w:cs="宋体"/>
          <w:b/>
          <w:color w:val="auto"/>
          <w:sz w:val="32"/>
          <w:szCs w:val="32"/>
          <w:highlight w:val="none"/>
        </w:rPr>
        <w:t>参加本项目无</w:t>
      </w:r>
      <w:r>
        <w:rPr>
          <w:rFonts w:hint="eastAsia" w:ascii="宋体" w:hAnsi="宋体" w:cs="宋体"/>
          <w:b/>
          <w:bCs/>
          <w:color w:val="auto"/>
          <w:sz w:val="32"/>
          <w:szCs w:val="32"/>
          <w:highlight w:val="none"/>
        </w:rPr>
        <w:t>串通投</w:t>
      </w:r>
      <w:r>
        <w:rPr>
          <w:rFonts w:hint="eastAsia" w:ascii="宋体" w:hAnsi="宋体" w:cs="宋体"/>
          <w:b/>
          <w:color w:val="auto"/>
          <w:sz w:val="32"/>
          <w:szCs w:val="32"/>
          <w:highlight w:val="none"/>
        </w:rPr>
        <w:t>标行为的承诺函</w:t>
      </w:r>
    </w:p>
    <w:p w14:paraId="6653EF82">
      <w:pPr>
        <w:shd w:val="clear" w:color="auto" w:fill="FFFFFF" w:themeFill="background1"/>
        <w:snapToGrid w:val="0"/>
        <w:spacing w:before="120" w:beforeLines="50" w:after="50"/>
        <w:rPr>
          <w:rFonts w:ascii="宋体" w:hAnsi="宋体" w:cs="宋体"/>
          <w:b/>
          <w:color w:val="auto"/>
          <w:szCs w:val="21"/>
          <w:highlight w:val="none"/>
        </w:rPr>
      </w:pPr>
    </w:p>
    <w:p w14:paraId="695DFA12">
      <w:pPr>
        <w:shd w:val="clear" w:color="auto" w:fill="FFFFFF" w:themeFill="background1"/>
        <w:snapToGrid w:val="0"/>
        <w:spacing w:before="120" w:beforeLines="50" w:after="50" w:line="360" w:lineRule="auto"/>
        <w:jc w:val="left"/>
        <w:rPr>
          <w:rFonts w:ascii="宋体" w:hAnsi="宋体" w:cs="宋体"/>
          <w:b/>
          <w:color w:val="auto"/>
          <w:szCs w:val="21"/>
          <w:highlight w:val="none"/>
        </w:rPr>
      </w:pPr>
      <w:r>
        <w:rPr>
          <w:rFonts w:hint="eastAsia" w:ascii="宋体" w:hAnsi="宋体" w:cs="宋体"/>
          <w:b/>
          <w:color w:val="auto"/>
          <w:szCs w:val="21"/>
          <w:highlight w:val="none"/>
        </w:rPr>
        <w:t>一、我方承诺无下列相互串通投标的情形：</w:t>
      </w:r>
    </w:p>
    <w:p w14:paraId="31C1F749">
      <w:pPr>
        <w:shd w:val="clear" w:color="auto" w:fill="FFFFFF" w:themeFill="background1"/>
        <w:snapToGrid w:val="0"/>
        <w:spacing w:before="120"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1.不同投标人的投标文件由同一单位或者个人编制；或者不同投标人报名的IP地址一致的；</w:t>
      </w:r>
    </w:p>
    <w:p w14:paraId="15794C60">
      <w:pPr>
        <w:shd w:val="clear" w:color="auto" w:fill="FFFFFF" w:themeFill="background1"/>
        <w:snapToGrid w:val="0"/>
        <w:spacing w:before="120"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2.不同投标人委托同一单位或者个人办理投标事宜；</w:t>
      </w:r>
    </w:p>
    <w:p w14:paraId="54DC9921">
      <w:pPr>
        <w:shd w:val="clear" w:color="auto" w:fill="FFFFFF" w:themeFill="background1"/>
        <w:snapToGrid w:val="0"/>
        <w:spacing w:before="120"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3.不同的投标人的投标文件载明的项目管理员为同一个人；</w:t>
      </w:r>
    </w:p>
    <w:p w14:paraId="729EC6CF">
      <w:pPr>
        <w:shd w:val="clear" w:color="auto" w:fill="FFFFFF" w:themeFill="background1"/>
        <w:snapToGrid w:val="0"/>
        <w:spacing w:before="120"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4.不同投标人的投标文件异常一致或者投标报价呈规律性差异；</w:t>
      </w:r>
    </w:p>
    <w:p w14:paraId="1C52A1E4">
      <w:pPr>
        <w:shd w:val="clear" w:color="auto" w:fill="FFFFFF" w:themeFill="background1"/>
        <w:snapToGrid w:val="0"/>
        <w:spacing w:before="120"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5.不同投标人的投标文件相互混装；</w:t>
      </w:r>
    </w:p>
    <w:p w14:paraId="679EFD54">
      <w:pPr>
        <w:shd w:val="clear" w:color="auto" w:fill="FFFFFF" w:themeFill="background1"/>
        <w:snapToGrid w:val="0"/>
        <w:spacing w:before="120"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6.不同投标人的投标保证金从同一单位或者个人账户转出。</w:t>
      </w:r>
    </w:p>
    <w:p w14:paraId="21E2BAE6">
      <w:pPr>
        <w:shd w:val="clear" w:color="auto" w:fill="FFFFFF" w:themeFill="background1"/>
        <w:snapToGrid w:val="0"/>
        <w:spacing w:before="120" w:beforeLines="50" w:after="50" w:line="360" w:lineRule="auto"/>
        <w:jc w:val="left"/>
        <w:rPr>
          <w:rFonts w:ascii="宋体" w:hAnsi="宋体" w:cs="宋体"/>
          <w:color w:val="auto"/>
          <w:szCs w:val="21"/>
          <w:highlight w:val="none"/>
        </w:rPr>
      </w:pPr>
      <w:r>
        <w:rPr>
          <w:rFonts w:hint="eastAsia" w:ascii="宋体" w:hAnsi="宋体" w:cs="宋体"/>
          <w:b/>
          <w:color w:val="auto"/>
          <w:szCs w:val="21"/>
          <w:highlight w:val="none"/>
        </w:rPr>
        <w:t>二、我方承诺无下列恶意串通的情形：</w:t>
      </w:r>
    </w:p>
    <w:p w14:paraId="501B4723">
      <w:pPr>
        <w:shd w:val="clear" w:color="auto" w:fill="FFFFFF" w:themeFill="background1"/>
        <w:snapToGrid w:val="0"/>
        <w:spacing w:before="120"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1.投标人直接或者间接从采购人或者采购代理机构处获得其他投标人的相关信息并修改其投标文件；</w:t>
      </w:r>
    </w:p>
    <w:p w14:paraId="197E066F">
      <w:pPr>
        <w:shd w:val="clear" w:color="auto" w:fill="FFFFFF" w:themeFill="background1"/>
        <w:snapToGrid w:val="0"/>
        <w:spacing w:before="120"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2.投标人按照采购人或者采购代理机构的授意撤换、修改投标文件；</w:t>
      </w:r>
    </w:p>
    <w:p w14:paraId="7F236DE3">
      <w:pPr>
        <w:shd w:val="clear" w:color="auto" w:fill="FFFFFF" w:themeFill="background1"/>
        <w:snapToGrid w:val="0"/>
        <w:spacing w:before="120"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3.投标人之间协商报价、技术方案等投标文件的实质性内容；</w:t>
      </w:r>
    </w:p>
    <w:p w14:paraId="0D57716C">
      <w:pPr>
        <w:shd w:val="clear" w:color="auto" w:fill="FFFFFF" w:themeFill="background1"/>
        <w:snapToGrid w:val="0"/>
        <w:spacing w:before="120"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4.属于同一集团、协会、商会等组织成员的投标人按照该组织要求协同参加政府采购活动；</w:t>
      </w:r>
    </w:p>
    <w:p w14:paraId="01B70E8B">
      <w:pPr>
        <w:shd w:val="clear" w:color="auto" w:fill="FFFFFF" w:themeFill="background1"/>
        <w:snapToGrid w:val="0"/>
        <w:spacing w:before="120"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0D337A27">
      <w:pPr>
        <w:shd w:val="clear" w:color="auto" w:fill="FFFFFF" w:themeFill="background1"/>
        <w:snapToGrid w:val="0"/>
        <w:spacing w:before="120"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6.投标人之间商定部分投标人放弃参加政府采购活动或者放弃中标；</w:t>
      </w:r>
    </w:p>
    <w:p w14:paraId="3A79C11A">
      <w:pPr>
        <w:shd w:val="clear" w:color="auto" w:fill="FFFFFF" w:themeFill="background1"/>
        <w:snapToGrid w:val="0"/>
        <w:spacing w:before="120"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7.投标人与采购人或者采购代理机构之间、投标人相互之间，为谋求特定投标人中标或者排斥其他投标人的其他串通行为。</w:t>
      </w:r>
    </w:p>
    <w:p w14:paraId="41F94AD4">
      <w:pPr>
        <w:shd w:val="clear" w:color="auto" w:fill="FFFFFF" w:themeFill="background1"/>
        <w:snapToGrid w:val="0"/>
        <w:spacing w:before="120" w:beforeLines="50" w:after="50"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以上情形一经核查属实，接受政府采购监管部门对我方认定存在围标串标行为，我方愿意承担一切后果，并不再寻求任何旨在减轻或者免除法律责任的辩解。</w:t>
      </w:r>
    </w:p>
    <w:p w14:paraId="2DD3F261">
      <w:pPr>
        <w:pStyle w:val="2"/>
        <w:shd w:val="clear" w:color="auto" w:fill="FFFFFF" w:themeFill="background1"/>
        <w:rPr>
          <w:rFonts w:ascii="宋体" w:hAnsi="宋体" w:cs="宋体"/>
          <w:color w:val="auto"/>
          <w:highlight w:val="none"/>
        </w:rPr>
      </w:pPr>
    </w:p>
    <w:p w14:paraId="250A0EE7">
      <w:pPr>
        <w:shd w:val="clear" w:color="auto" w:fill="FFFFFF" w:themeFill="background1"/>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投标人名称(盖公章)：</w:t>
      </w:r>
    </w:p>
    <w:p w14:paraId="126505D1">
      <w:pPr>
        <w:shd w:val="clear" w:color="auto" w:fill="FFFFFF" w:themeFill="background1"/>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18B574A">
      <w:pPr>
        <w:pStyle w:val="14"/>
        <w:shd w:val="clear" w:color="auto" w:fill="FFFFFF" w:themeFill="background1"/>
        <w:snapToGrid w:val="0"/>
        <w:spacing w:before="295" w:after="295" w:line="360" w:lineRule="auto"/>
        <w:rPr>
          <w:rFonts w:hAnsi="宋体" w:cs="宋体"/>
          <w:b/>
          <w:color w:val="auto"/>
          <w:sz w:val="24"/>
          <w:highlight w:val="none"/>
        </w:rPr>
      </w:pPr>
      <w:r>
        <w:rPr>
          <w:rFonts w:hint="eastAsia" w:hAnsi="宋体" w:cs="宋体"/>
          <w:b/>
          <w:color w:val="auto"/>
          <w:sz w:val="24"/>
          <w:highlight w:val="none"/>
        </w:rPr>
        <w:br w:type="page"/>
      </w:r>
      <w:r>
        <w:rPr>
          <w:rFonts w:hint="eastAsia" w:hAnsi="宋体" w:cs="宋体"/>
          <w:b/>
          <w:bCs/>
          <w:color w:val="auto"/>
          <w:sz w:val="28"/>
          <w:szCs w:val="28"/>
          <w:highlight w:val="none"/>
        </w:rPr>
        <w:t>4.法定代表人身份证明的格式：</w:t>
      </w:r>
    </w:p>
    <w:p w14:paraId="34EA47F4">
      <w:pPr>
        <w:shd w:val="clear" w:color="auto" w:fill="FFFFFF" w:themeFill="background1"/>
        <w:spacing w:before="240" w:beforeLines="100" w:after="120" w:afterLines="50"/>
        <w:ind w:left="540"/>
        <w:jc w:val="center"/>
        <w:rPr>
          <w:rFonts w:ascii="宋体" w:hAnsi="宋体" w:cs="宋体"/>
          <w:b/>
          <w:color w:val="auto"/>
          <w:sz w:val="32"/>
          <w:szCs w:val="32"/>
          <w:highlight w:val="none"/>
        </w:rPr>
      </w:pPr>
    </w:p>
    <w:p w14:paraId="02AB4C67">
      <w:pPr>
        <w:shd w:val="clear" w:color="auto" w:fill="FFFFFF" w:themeFill="background1"/>
        <w:spacing w:before="240" w:beforeLines="100" w:after="120" w:afterLines="50"/>
        <w:ind w:left="540"/>
        <w:jc w:val="center"/>
        <w:rPr>
          <w:rFonts w:ascii="宋体" w:hAnsi="宋体" w:cs="宋体"/>
          <w:color w:val="auto"/>
          <w:sz w:val="32"/>
          <w:szCs w:val="32"/>
          <w:highlight w:val="none"/>
        </w:rPr>
      </w:pPr>
      <w:r>
        <w:rPr>
          <w:rFonts w:hint="eastAsia" w:ascii="宋体" w:hAnsi="宋体" w:cs="宋体"/>
          <w:b/>
          <w:color w:val="auto"/>
          <w:sz w:val="32"/>
          <w:szCs w:val="32"/>
          <w:highlight w:val="none"/>
        </w:rPr>
        <w:t>法定代表人身份证明</w:t>
      </w:r>
    </w:p>
    <w:p w14:paraId="081D9D2C">
      <w:pPr>
        <w:shd w:val="clear" w:color="auto" w:fill="FFFFFF" w:themeFill="background1"/>
        <w:spacing w:line="500" w:lineRule="exact"/>
        <w:ind w:left="540"/>
        <w:rPr>
          <w:rFonts w:ascii="宋体" w:hAnsi="宋体" w:cs="宋体"/>
          <w:color w:val="auto"/>
          <w:sz w:val="24"/>
          <w:highlight w:val="none"/>
        </w:rPr>
      </w:pPr>
      <w:r>
        <w:rPr>
          <w:rFonts w:hint="eastAsia" w:ascii="宋体" w:hAnsi="宋体" w:cs="宋体"/>
          <w:color w:val="auto"/>
          <w:sz w:val="24"/>
          <w:highlight w:val="none"/>
        </w:rPr>
        <w:t>投 标 人：</w:t>
      </w:r>
      <w:r>
        <w:rPr>
          <w:rFonts w:hint="eastAsia" w:ascii="宋体" w:hAnsi="宋体" w:cs="宋体"/>
          <w:color w:val="auto"/>
          <w:sz w:val="24"/>
          <w:highlight w:val="none"/>
          <w:u w:val="single"/>
        </w:rPr>
        <w:t xml:space="preserve">                                                        </w:t>
      </w:r>
    </w:p>
    <w:p w14:paraId="6848C329">
      <w:pPr>
        <w:shd w:val="clear" w:color="auto" w:fill="FFFFFF" w:themeFill="background1"/>
        <w:spacing w:line="500" w:lineRule="exact"/>
        <w:ind w:left="54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14:paraId="7C1FA26A">
      <w:pPr>
        <w:shd w:val="clear" w:color="auto" w:fill="FFFFFF" w:themeFill="background1"/>
        <w:spacing w:line="500" w:lineRule="exact"/>
        <w:ind w:left="540"/>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性      别：</w:t>
      </w:r>
      <w:r>
        <w:rPr>
          <w:rFonts w:hint="eastAsia" w:ascii="宋体" w:hAnsi="宋体" w:cs="宋体"/>
          <w:color w:val="auto"/>
          <w:sz w:val="24"/>
          <w:highlight w:val="none"/>
          <w:u w:val="single"/>
        </w:rPr>
        <w:t xml:space="preserve">                </w:t>
      </w:r>
    </w:p>
    <w:p w14:paraId="41D354F9">
      <w:pPr>
        <w:shd w:val="clear" w:color="auto" w:fill="FFFFFF" w:themeFill="background1"/>
        <w:spacing w:line="500" w:lineRule="exact"/>
        <w:ind w:left="540"/>
        <w:rPr>
          <w:rFonts w:ascii="宋体" w:hAnsi="宋体" w:cs="宋体"/>
          <w:color w:val="auto"/>
          <w:sz w:val="24"/>
          <w:highlight w:val="none"/>
          <w:u w:val="single"/>
        </w:rPr>
      </w:pPr>
      <w:r>
        <w:rPr>
          <w:rFonts w:hint="eastAsia" w:ascii="宋体" w:hAnsi="宋体" w:cs="宋体"/>
          <w:color w:val="auto"/>
          <w:sz w:val="24"/>
          <w:highlight w:val="none"/>
        </w:rPr>
        <w:t>年    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19C591B4">
      <w:pPr>
        <w:shd w:val="clear" w:color="auto" w:fill="FFFFFF" w:themeFill="background1"/>
        <w:spacing w:line="500" w:lineRule="exact"/>
        <w:ind w:left="540"/>
        <w:rPr>
          <w:rFonts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2E635C45">
      <w:pPr>
        <w:shd w:val="clear" w:color="auto" w:fill="FFFFFF" w:themeFill="background1"/>
        <w:spacing w:line="500" w:lineRule="exact"/>
        <w:ind w:left="540"/>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w:t>
      </w:r>
      <w:r>
        <w:rPr>
          <w:rFonts w:hint="eastAsia" w:ascii="宋体" w:hAnsi="宋体" w:cs="宋体"/>
          <w:i/>
          <w:iCs/>
          <w:color w:val="auto"/>
          <w:sz w:val="24"/>
          <w:highlight w:val="none"/>
          <w:u w:val="single"/>
        </w:rPr>
        <w:t>（投标人名称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的法定代表人。</w:t>
      </w:r>
    </w:p>
    <w:p w14:paraId="059702CC">
      <w:pPr>
        <w:shd w:val="clear" w:color="auto" w:fill="FFFFFF" w:themeFill="background1"/>
        <w:spacing w:line="500" w:lineRule="exact"/>
        <w:ind w:left="540"/>
        <w:rPr>
          <w:rFonts w:ascii="宋体" w:hAnsi="宋体" w:cs="宋体"/>
          <w:color w:val="auto"/>
          <w:sz w:val="24"/>
          <w:highlight w:val="none"/>
        </w:rPr>
      </w:pPr>
      <w:r>
        <w:rPr>
          <w:rFonts w:hint="eastAsia" w:ascii="宋体" w:hAnsi="宋体" w:cs="宋体"/>
          <w:color w:val="auto"/>
          <w:sz w:val="24"/>
          <w:highlight w:val="none"/>
        </w:rPr>
        <w:t>特此证明。</w:t>
      </w:r>
    </w:p>
    <w:p w14:paraId="791AD169">
      <w:pPr>
        <w:shd w:val="clear" w:color="auto" w:fill="FFFFFF" w:themeFill="background1"/>
        <w:spacing w:line="500" w:lineRule="exact"/>
        <w:ind w:left="540"/>
        <w:rPr>
          <w:rFonts w:ascii="宋体" w:hAnsi="宋体" w:cs="宋体"/>
          <w:color w:val="auto"/>
          <w:sz w:val="24"/>
          <w:highlight w:val="none"/>
        </w:rPr>
      </w:pPr>
    </w:p>
    <w:p w14:paraId="7A503A1E">
      <w:pPr>
        <w:shd w:val="clear" w:color="auto" w:fill="FFFFFF" w:themeFill="background1"/>
        <w:spacing w:line="500" w:lineRule="exact"/>
        <w:ind w:left="540"/>
        <w:rPr>
          <w:rFonts w:ascii="宋体" w:hAnsi="宋体" w:cs="宋体"/>
          <w:color w:val="auto"/>
          <w:sz w:val="24"/>
          <w:highlight w:val="none"/>
        </w:rPr>
      </w:pPr>
    </w:p>
    <w:p w14:paraId="3D1BA309">
      <w:pPr>
        <w:shd w:val="clear" w:color="auto" w:fill="FFFFFF" w:themeFill="background1"/>
        <w:spacing w:line="500" w:lineRule="exact"/>
        <w:ind w:left="540"/>
        <w:rPr>
          <w:rFonts w:ascii="宋体" w:hAnsi="宋体" w:cs="宋体"/>
          <w:color w:val="auto"/>
          <w:sz w:val="24"/>
          <w:highlight w:val="none"/>
        </w:rPr>
      </w:pPr>
      <w:r>
        <w:rPr>
          <w:rFonts w:hint="eastAsia" w:ascii="宋体" w:hAnsi="宋体" w:cs="宋体"/>
          <w:color w:val="auto"/>
          <w:sz w:val="24"/>
          <w:highlight w:val="none"/>
        </w:rPr>
        <w:t>附件：法定代表人有效身份证正反面复印件</w:t>
      </w:r>
    </w:p>
    <w:p w14:paraId="3642937D">
      <w:pPr>
        <w:shd w:val="clear" w:color="auto" w:fill="FFFFFF" w:themeFill="background1"/>
        <w:spacing w:line="500" w:lineRule="exact"/>
        <w:ind w:left="540"/>
        <w:rPr>
          <w:rFonts w:ascii="宋体" w:hAnsi="宋体" w:cs="宋体"/>
          <w:color w:val="auto"/>
          <w:sz w:val="24"/>
          <w:highlight w:val="none"/>
        </w:rPr>
      </w:pPr>
    </w:p>
    <w:p w14:paraId="65892A57">
      <w:pPr>
        <w:shd w:val="clear" w:color="auto" w:fill="FFFFFF" w:themeFill="background1"/>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投标人名称(盖公章)：</w:t>
      </w:r>
    </w:p>
    <w:p w14:paraId="25195E1B">
      <w:pPr>
        <w:shd w:val="clear" w:color="auto" w:fill="FFFFFF" w:themeFill="background1"/>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5142762">
      <w:pPr>
        <w:shd w:val="clear" w:color="auto" w:fill="FFFFFF" w:themeFill="background1"/>
        <w:snapToGrid w:val="0"/>
        <w:spacing w:before="120" w:beforeLines="50" w:after="50"/>
        <w:jc w:val="center"/>
        <w:rPr>
          <w:rFonts w:ascii="宋体" w:hAnsi="宋体" w:cs="宋体"/>
          <w:b/>
          <w:color w:val="auto"/>
          <w:sz w:val="24"/>
          <w:highlight w:val="none"/>
        </w:rPr>
      </w:pPr>
    </w:p>
    <w:p w14:paraId="254FC411">
      <w:pPr>
        <w:shd w:val="clear" w:color="auto" w:fill="FFFFFF" w:themeFill="background1"/>
        <w:snapToGrid w:val="0"/>
        <w:spacing w:before="120" w:beforeLines="50" w:after="50"/>
        <w:ind w:firstLine="600" w:firstLineChars="250"/>
        <w:jc w:val="left"/>
        <w:rPr>
          <w:rFonts w:ascii="宋体" w:hAnsi="宋体" w:cs="宋体"/>
          <w:color w:val="auto"/>
          <w:sz w:val="24"/>
          <w:highlight w:val="none"/>
        </w:rPr>
      </w:pPr>
      <w:r>
        <w:rPr>
          <w:rFonts w:hint="eastAsia" w:ascii="宋体" w:hAnsi="宋体" w:cs="宋体"/>
          <w:color w:val="auto"/>
          <w:sz w:val="24"/>
          <w:highlight w:val="none"/>
        </w:rPr>
        <w:t>注：自然人投标的无需提供</w:t>
      </w:r>
    </w:p>
    <w:p w14:paraId="3C837EA2">
      <w:pPr>
        <w:shd w:val="clear" w:color="auto" w:fill="FFFFFF" w:themeFill="background1"/>
        <w:snapToGrid w:val="0"/>
        <w:spacing w:before="120" w:beforeLines="50" w:after="50"/>
        <w:ind w:firstLine="600" w:firstLineChars="250"/>
        <w:jc w:val="left"/>
        <w:rPr>
          <w:rFonts w:ascii="宋体" w:hAnsi="宋体" w:cs="宋体"/>
          <w:color w:val="auto"/>
          <w:sz w:val="24"/>
          <w:highlight w:val="none"/>
        </w:rPr>
      </w:pPr>
    </w:p>
    <w:p w14:paraId="2A934500">
      <w:pPr>
        <w:shd w:val="clear" w:color="auto" w:fill="FFFFFF" w:themeFill="background1"/>
        <w:snapToGrid w:val="0"/>
        <w:spacing w:before="120" w:beforeLines="50" w:after="50"/>
        <w:ind w:firstLine="602" w:firstLineChars="250"/>
        <w:jc w:val="left"/>
        <w:rPr>
          <w:rFonts w:ascii="宋体" w:hAnsi="宋体" w:cs="宋体"/>
          <w:b/>
          <w:color w:val="auto"/>
          <w:sz w:val="24"/>
          <w:szCs w:val="20"/>
          <w:highlight w:val="none"/>
        </w:rPr>
      </w:pPr>
    </w:p>
    <w:tbl>
      <w:tblPr>
        <w:tblStyle w:val="25"/>
        <w:tblpPr w:leftFromText="180" w:rightFromText="180" w:vertAnchor="text" w:horzAnchor="margin" w:tblpXSpec="center" w:tblpY="1169"/>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3B472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0" w:type="dxa"/>
            <w:tcBorders>
              <w:top w:val="single" w:color="auto" w:sz="4" w:space="0"/>
              <w:left w:val="single" w:color="auto" w:sz="4" w:space="0"/>
              <w:bottom w:val="single" w:color="auto" w:sz="4" w:space="0"/>
              <w:right w:val="single" w:color="auto" w:sz="4" w:space="0"/>
            </w:tcBorders>
          </w:tcPr>
          <w:p w14:paraId="61B1F796">
            <w:pPr>
              <w:shd w:val="clear" w:color="auto" w:fill="FFFFFF" w:themeFill="background1"/>
              <w:spacing w:line="360" w:lineRule="auto"/>
              <w:rPr>
                <w:rFonts w:ascii="宋体" w:hAnsi="宋体" w:cs="宋体"/>
                <w:b/>
                <w:color w:val="auto"/>
                <w:sz w:val="24"/>
                <w:highlight w:val="none"/>
              </w:rPr>
            </w:pPr>
          </w:p>
          <w:p w14:paraId="2BBDC244">
            <w:pPr>
              <w:shd w:val="clear" w:color="auto" w:fill="FFFFFF" w:themeFill="background1"/>
              <w:spacing w:line="360" w:lineRule="auto"/>
              <w:rPr>
                <w:rFonts w:ascii="宋体" w:hAnsi="宋体" w:cs="宋体"/>
                <w:b/>
                <w:color w:val="auto"/>
                <w:sz w:val="24"/>
                <w:highlight w:val="none"/>
              </w:rPr>
            </w:pPr>
            <w:r>
              <w:rPr>
                <w:rFonts w:hint="eastAsia" w:ascii="宋体" w:hAnsi="宋体" w:cs="宋体"/>
                <w:b/>
                <w:color w:val="auto"/>
                <w:sz w:val="24"/>
                <w:highlight w:val="none"/>
              </w:rPr>
              <w:t>法定代表人有效身份证复印件粘帖处（正、反面）</w:t>
            </w:r>
          </w:p>
        </w:tc>
      </w:tr>
    </w:tbl>
    <w:p w14:paraId="2FD6A62F">
      <w:pPr>
        <w:pStyle w:val="14"/>
        <w:shd w:val="clear" w:color="auto" w:fill="FFFFFF" w:themeFill="background1"/>
        <w:snapToGrid w:val="0"/>
        <w:spacing w:before="295" w:after="295" w:line="360" w:lineRule="auto"/>
        <w:jc w:val="left"/>
        <w:rPr>
          <w:rFonts w:hAnsi="宋体" w:cs="宋体"/>
          <w:b/>
          <w:color w:val="auto"/>
          <w:sz w:val="24"/>
          <w:highlight w:val="none"/>
        </w:rPr>
      </w:pPr>
      <w:r>
        <w:rPr>
          <w:rFonts w:hint="eastAsia" w:hAnsi="宋体" w:cs="宋体"/>
          <w:b/>
          <w:color w:val="auto"/>
          <w:sz w:val="24"/>
          <w:highlight w:val="none"/>
        </w:rPr>
        <w:t>附件：</w:t>
      </w:r>
      <w:r>
        <w:rPr>
          <w:rFonts w:hint="eastAsia" w:hAnsi="宋体" w:cs="宋体"/>
          <w:b/>
          <w:color w:val="auto"/>
          <w:sz w:val="24"/>
          <w:highlight w:val="none"/>
        </w:rPr>
        <w:br w:type="page"/>
      </w:r>
      <w:r>
        <w:rPr>
          <w:rFonts w:hint="eastAsia" w:hAnsi="宋体" w:cs="宋体"/>
          <w:b/>
          <w:bCs/>
          <w:color w:val="auto"/>
          <w:sz w:val="30"/>
          <w:szCs w:val="30"/>
          <w:highlight w:val="none"/>
        </w:rPr>
        <w:t>5.法定代表人授权委托书的格式：</w:t>
      </w:r>
    </w:p>
    <w:p w14:paraId="3B970612">
      <w:pPr>
        <w:shd w:val="clear" w:color="auto" w:fill="FFFFFF" w:themeFill="background1"/>
        <w:snapToGrid w:val="0"/>
        <w:spacing w:before="120" w:beforeLines="50" w:after="50"/>
        <w:jc w:val="center"/>
        <w:rPr>
          <w:rFonts w:ascii="宋体" w:hAnsi="宋体" w:cs="宋体"/>
          <w:b/>
          <w:color w:val="auto"/>
          <w:sz w:val="32"/>
          <w:szCs w:val="32"/>
          <w:highlight w:val="none"/>
        </w:rPr>
      </w:pPr>
    </w:p>
    <w:p w14:paraId="106B3D4B">
      <w:pPr>
        <w:shd w:val="clear" w:color="auto" w:fill="FFFFFF" w:themeFill="background1"/>
        <w:snapToGrid w:val="0"/>
        <w:spacing w:before="120" w:beforeLines="50" w:after="50"/>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法定代表人授权委托书（如有委托时）</w:t>
      </w:r>
    </w:p>
    <w:p w14:paraId="589230A2">
      <w:pPr>
        <w:shd w:val="clear" w:color="auto" w:fill="FFFFFF" w:themeFill="background1"/>
        <w:snapToGrid w:val="0"/>
        <w:spacing w:before="120" w:beforeLines="50" w:after="50"/>
        <w:jc w:val="center"/>
        <w:rPr>
          <w:rFonts w:ascii="宋体" w:hAnsi="宋体" w:cs="宋体"/>
          <w:b/>
          <w:color w:val="auto"/>
          <w:sz w:val="24"/>
          <w:highlight w:val="none"/>
        </w:rPr>
      </w:pPr>
    </w:p>
    <w:p w14:paraId="2F6F5893">
      <w:pPr>
        <w:pStyle w:val="14"/>
        <w:shd w:val="clear" w:color="auto" w:fill="FFFFFF" w:themeFill="background1"/>
        <w:spacing w:line="360" w:lineRule="exact"/>
        <w:ind w:firstLine="420" w:firstLineChars="200"/>
        <w:rPr>
          <w:rFonts w:hAnsi="宋体" w:cs="宋体"/>
          <w:color w:val="auto"/>
          <w:highlight w:val="none"/>
        </w:rPr>
      </w:pPr>
      <w:r>
        <w:rPr>
          <w:rFonts w:hint="eastAsia" w:hAnsi="宋体" w:cs="宋体"/>
          <w:color w:val="auto"/>
          <w:highlight w:val="none"/>
        </w:rPr>
        <w:t>致：</w:t>
      </w:r>
      <w:r>
        <w:rPr>
          <w:rFonts w:hint="eastAsia" w:hAnsi="宋体" w:cs="宋体"/>
          <w:color w:val="auto"/>
          <w:highlight w:val="none"/>
          <w:u w:val="single"/>
        </w:rPr>
        <w:t xml:space="preserve"> </w:t>
      </w:r>
      <w:bookmarkStart w:id="381" w:name="PO_3000001866_PM031_7"/>
      <w:r>
        <w:rPr>
          <w:rFonts w:hint="eastAsia" w:hAnsi="宋体" w:cs="宋体"/>
          <w:color w:val="auto"/>
          <w:highlight w:val="none"/>
          <w:u w:val="single"/>
        </w:rPr>
        <w:t>广西科联招标中心有限公司</w:t>
      </w:r>
      <w:bookmarkEnd w:id="381"/>
      <w:r>
        <w:rPr>
          <w:rFonts w:hint="eastAsia" w:hAnsi="宋体" w:cs="宋体"/>
          <w:color w:val="auto"/>
          <w:highlight w:val="none"/>
          <w:u w:val="single"/>
        </w:rPr>
        <w:t xml:space="preserve"> </w:t>
      </w:r>
    </w:p>
    <w:p w14:paraId="14240A04">
      <w:pPr>
        <w:pStyle w:val="14"/>
        <w:shd w:val="clear" w:color="auto" w:fill="FFFFFF" w:themeFill="background1"/>
        <w:spacing w:line="360" w:lineRule="exact"/>
        <w:ind w:firstLine="420" w:firstLineChars="200"/>
        <w:rPr>
          <w:rFonts w:hAnsi="宋体" w:cs="宋体"/>
          <w:color w:val="auto"/>
          <w:highlight w:val="none"/>
        </w:rPr>
      </w:pPr>
      <w:r>
        <w:rPr>
          <w:rFonts w:hint="eastAsia" w:hAnsi="宋体" w:cs="宋体"/>
          <w:color w:val="auto"/>
          <w:highlight w:val="none"/>
        </w:rPr>
        <w:t>本人</w:t>
      </w:r>
      <w:r>
        <w:rPr>
          <w:rFonts w:hint="eastAsia" w:hAnsi="宋体" w:cs="宋体"/>
          <w:color w:val="auto"/>
          <w:highlight w:val="none"/>
          <w:u w:val="single"/>
        </w:rPr>
        <w:t xml:space="preserve">        </w:t>
      </w:r>
      <w:r>
        <w:rPr>
          <w:rFonts w:hint="eastAsia" w:hAnsi="宋体" w:cs="宋体"/>
          <w:color w:val="auto"/>
          <w:highlight w:val="none"/>
        </w:rPr>
        <w:t>（姓名）系</w:t>
      </w:r>
      <w:r>
        <w:rPr>
          <w:rFonts w:hint="eastAsia" w:hAnsi="宋体" w:cs="宋体"/>
          <w:color w:val="auto"/>
          <w:highlight w:val="none"/>
          <w:u w:val="single"/>
        </w:rPr>
        <w:t xml:space="preserve">                 </w:t>
      </w:r>
      <w:r>
        <w:rPr>
          <w:rFonts w:hint="eastAsia" w:hAnsi="宋体" w:cs="宋体"/>
          <w:color w:val="auto"/>
          <w:highlight w:val="none"/>
        </w:rPr>
        <w:t>（投标人名称）的法定代表人，现授权我单位在职正式员工</w:t>
      </w:r>
      <w:r>
        <w:rPr>
          <w:rFonts w:hint="eastAsia" w:hAnsi="宋体" w:cs="宋体"/>
          <w:color w:val="auto"/>
          <w:highlight w:val="none"/>
          <w:u w:val="single"/>
        </w:rPr>
        <w:t xml:space="preserve">        </w:t>
      </w:r>
      <w:r>
        <w:rPr>
          <w:rFonts w:hint="eastAsia" w:hAnsi="宋体" w:cs="宋体"/>
          <w:color w:val="auto"/>
          <w:highlight w:val="none"/>
        </w:rPr>
        <w:t>（姓名和职务）为我方代理人。代理人根据授权，以我方名义签署、澄清、说明、补正、递交、撤回、修改贵方组织的</w:t>
      </w:r>
      <w:r>
        <w:rPr>
          <w:rFonts w:hint="eastAsia" w:hAnsi="宋体" w:cs="宋体"/>
          <w:color w:val="auto"/>
          <w:highlight w:val="none"/>
          <w:u w:val="single"/>
        </w:rPr>
        <w:t xml:space="preserve"> </w:t>
      </w:r>
      <w:r>
        <w:rPr>
          <w:rFonts w:hint="eastAsia" w:hAnsi="宋体" w:cs="宋体"/>
          <w:i/>
          <w:iCs/>
          <w:color w:val="auto"/>
          <w:highlight w:val="none"/>
          <w:u w:val="single"/>
        </w:rPr>
        <w:t>（项目名称）</w:t>
      </w:r>
      <w:r>
        <w:rPr>
          <w:rFonts w:hint="eastAsia" w:hAnsi="宋体" w:cs="宋体"/>
          <w:color w:val="auto"/>
          <w:highlight w:val="none"/>
          <w:u w:val="single"/>
        </w:rPr>
        <w:t xml:space="preserve"> </w:t>
      </w:r>
      <w:r>
        <w:rPr>
          <w:rFonts w:hint="eastAsia" w:hAnsi="宋体" w:cs="宋体"/>
          <w:color w:val="auto"/>
          <w:highlight w:val="none"/>
        </w:rPr>
        <w:t>项目（项目编号：</w:t>
      </w:r>
      <w:r>
        <w:rPr>
          <w:rFonts w:hint="eastAsia" w:hAnsi="宋体" w:cs="宋体"/>
          <w:color w:val="auto"/>
          <w:highlight w:val="none"/>
          <w:u w:val="single"/>
        </w:rPr>
        <w:t xml:space="preserve">            </w:t>
      </w:r>
      <w:r>
        <w:rPr>
          <w:rFonts w:hint="eastAsia" w:hAnsi="宋体" w:cs="宋体"/>
          <w:color w:val="auto"/>
          <w:highlight w:val="none"/>
        </w:rPr>
        <w:t>）的投标文件、签订合同和处理一切有关事宜，其法律后果由我方承担。</w:t>
      </w:r>
    </w:p>
    <w:p w14:paraId="47B360FA">
      <w:pPr>
        <w:pStyle w:val="14"/>
        <w:shd w:val="clear" w:color="auto" w:fill="FFFFFF" w:themeFill="background1"/>
        <w:spacing w:line="360" w:lineRule="exact"/>
        <w:ind w:firstLine="420" w:firstLineChars="200"/>
        <w:rPr>
          <w:rFonts w:hAnsi="宋体" w:cs="宋体"/>
          <w:color w:val="auto"/>
          <w:highlight w:val="none"/>
        </w:rPr>
      </w:pPr>
      <w:r>
        <w:rPr>
          <w:rFonts w:hint="eastAsia" w:hAnsi="宋体" w:cs="宋体"/>
          <w:color w:val="auto"/>
          <w:highlight w:val="none"/>
        </w:rPr>
        <w:t>本授权书于</w:t>
      </w:r>
      <w:r>
        <w:rPr>
          <w:rFonts w:hint="eastAsia" w:hAnsi="宋体" w:cs="宋体"/>
          <w:color w:val="auto"/>
          <w:spacing w:val="10"/>
          <w:sz w:val="24"/>
          <w:highlight w:val="none"/>
          <w:u w:val="single"/>
        </w:rPr>
        <w:t xml:space="preserve">    </w:t>
      </w:r>
      <w:r>
        <w:rPr>
          <w:rFonts w:hint="eastAsia" w:hAnsi="宋体" w:cs="宋体"/>
          <w:color w:val="auto"/>
          <w:highlight w:val="none"/>
        </w:rPr>
        <w:t>年</w:t>
      </w:r>
      <w:r>
        <w:rPr>
          <w:rFonts w:hint="eastAsia" w:hAnsi="宋体" w:cs="宋体"/>
          <w:color w:val="auto"/>
          <w:spacing w:val="10"/>
          <w:sz w:val="24"/>
          <w:highlight w:val="none"/>
          <w:u w:val="single"/>
        </w:rPr>
        <w:t xml:space="preserve">    </w:t>
      </w:r>
      <w:r>
        <w:rPr>
          <w:rFonts w:hint="eastAsia" w:hAnsi="宋体" w:cs="宋体"/>
          <w:color w:val="auto"/>
          <w:highlight w:val="none"/>
        </w:rPr>
        <w:t>月</w:t>
      </w:r>
      <w:r>
        <w:rPr>
          <w:rFonts w:hint="eastAsia" w:hAnsi="宋体" w:cs="宋体"/>
          <w:color w:val="auto"/>
          <w:spacing w:val="10"/>
          <w:sz w:val="24"/>
          <w:highlight w:val="none"/>
          <w:u w:val="single"/>
        </w:rPr>
        <w:t xml:space="preserve">    </w:t>
      </w:r>
      <w:r>
        <w:rPr>
          <w:rFonts w:hint="eastAsia" w:hAnsi="宋体" w:cs="宋体"/>
          <w:color w:val="auto"/>
          <w:highlight w:val="none"/>
        </w:rPr>
        <w:t>日签字生效，委托期限：</w:t>
      </w:r>
      <w:r>
        <w:rPr>
          <w:rFonts w:hint="eastAsia" w:hAnsi="宋体" w:cs="宋体"/>
          <w:color w:val="auto"/>
          <w:spacing w:val="10"/>
          <w:sz w:val="24"/>
          <w:highlight w:val="none"/>
          <w:u w:val="single"/>
        </w:rPr>
        <w:t xml:space="preserve">    </w:t>
      </w:r>
      <w:r>
        <w:rPr>
          <w:rFonts w:hint="eastAsia" w:hAnsi="宋体" w:cs="宋体"/>
          <w:color w:val="auto"/>
          <w:highlight w:val="none"/>
        </w:rPr>
        <w:t>。</w:t>
      </w:r>
    </w:p>
    <w:p w14:paraId="0BA7B812">
      <w:pPr>
        <w:pStyle w:val="14"/>
        <w:shd w:val="clear" w:color="auto" w:fill="FFFFFF" w:themeFill="background1"/>
        <w:spacing w:line="360" w:lineRule="exact"/>
        <w:ind w:firstLine="420"/>
        <w:rPr>
          <w:rFonts w:hAnsi="宋体" w:cs="宋体"/>
          <w:color w:val="auto"/>
          <w:highlight w:val="none"/>
        </w:rPr>
      </w:pPr>
      <w:r>
        <w:rPr>
          <w:rFonts w:hint="eastAsia" w:hAnsi="宋体" w:cs="宋体"/>
          <w:color w:val="auto"/>
          <w:highlight w:val="none"/>
        </w:rPr>
        <w:t>代理人无转委托权。</w:t>
      </w:r>
    </w:p>
    <w:p w14:paraId="6258226E">
      <w:pPr>
        <w:pStyle w:val="14"/>
        <w:shd w:val="clear" w:color="auto" w:fill="FFFFFF" w:themeFill="background1"/>
        <w:spacing w:line="360" w:lineRule="exact"/>
        <w:ind w:firstLine="420"/>
        <w:rPr>
          <w:rFonts w:hAnsi="宋体" w:cs="宋体"/>
          <w:color w:val="auto"/>
          <w:highlight w:val="none"/>
        </w:rPr>
      </w:pPr>
    </w:p>
    <w:p w14:paraId="1B1B324E">
      <w:pPr>
        <w:pStyle w:val="14"/>
        <w:shd w:val="clear" w:color="auto" w:fill="FFFFFF" w:themeFill="background1"/>
        <w:spacing w:line="360" w:lineRule="exact"/>
        <w:ind w:firstLine="420"/>
        <w:rPr>
          <w:rFonts w:hAnsi="宋体" w:cs="宋体"/>
          <w:color w:val="auto"/>
          <w:highlight w:val="none"/>
          <w:u w:val="single"/>
        </w:rPr>
      </w:pPr>
      <w:r>
        <w:rPr>
          <w:rFonts w:hint="eastAsia" w:hAnsi="宋体" w:cs="宋体"/>
          <w:color w:val="auto"/>
          <w:highlight w:val="none"/>
        </w:rPr>
        <w:t>投标人名称（或联合体投标</w:t>
      </w:r>
      <w:r>
        <w:rPr>
          <w:rFonts w:hint="eastAsia" w:hAnsi="宋体" w:cs="宋体"/>
          <w:color w:val="auto"/>
          <w:kern w:val="0"/>
          <w:szCs w:val="21"/>
          <w:highlight w:val="none"/>
        </w:rPr>
        <w:t>牵头人名称</w:t>
      </w:r>
      <w:r>
        <w:rPr>
          <w:rFonts w:hint="eastAsia" w:hAnsi="宋体" w:cs="宋体"/>
          <w:color w:val="auto"/>
          <w:highlight w:val="none"/>
        </w:rPr>
        <w:t>）（盖公章）：</w:t>
      </w:r>
      <w:r>
        <w:rPr>
          <w:rFonts w:hint="eastAsia" w:hAnsi="宋体" w:cs="宋体"/>
          <w:color w:val="auto"/>
          <w:highlight w:val="none"/>
          <w:u w:val="single"/>
        </w:rPr>
        <w:t xml:space="preserve">                                    </w:t>
      </w:r>
    </w:p>
    <w:p w14:paraId="4DD578DF">
      <w:pPr>
        <w:pStyle w:val="14"/>
        <w:shd w:val="clear" w:color="auto" w:fill="FFFFFF" w:themeFill="background1"/>
        <w:spacing w:line="360" w:lineRule="exact"/>
        <w:ind w:firstLine="420"/>
        <w:rPr>
          <w:rFonts w:hAnsi="宋体" w:cs="宋体"/>
          <w:color w:val="auto"/>
          <w:highlight w:val="none"/>
          <w:u w:val="single"/>
        </w:rPr>
      </w:pPr>
      <w:r>
        <w:rPr>
          <w:rFonts w:hint="eastAsia" w:hAnsi="宋体" w:cs="宋体"/>
          <w:color w:val="auto"/>
          <w:highlight w:val="none"/>
        </w:rPr>
        <w:t>法定代表人（签字）：</w:t>
      </w:r>
      <w:r>
        <w:rPr>
          <w:rFonts w:hint="eastAsia" w:hAnsi="宋体" w:cs="宋体"/>
          <w:color w:val="auto"/>
          <w:highlight w:val="none"/>
          <w:u w:val="single"/>
        </w:rPr>
        <w:t xml:space="preserve">                                      </w:t>
      </w:r>
    </w:p>
    <w:p w14:paraId="62623D08">
      <w:pPr>
        <w:pStyle w:val="14"/>
        <w:shd w:val="clear" w:color="auto" w:fill="FFFFFF" w:themeFill="background1"/>
        <w:spacing w:line="360" w:lineRule="exact"/>
        <w:ind w:firstLine="420"/>
        <w:rPr>
          <w:rFonts w:hAnsi="宋体" w:cs="宋体"/>
          <w:color w:val="auto"/>
          <w:highlight w:val="none"/>
          <w:u w:val="single"/>
        </w:rPr>
      </w:pPr>
      <w:r>
        <w:rPr>
          <w:rFonts w:hint="eastAsia" w:hAnsi="宋体" w:cs="宋体"/>
          <w:color w:val="auto"/>
          <w:highlight w:val="none"/>
        </w:rPr>
        <w:t>法定代表人身份证号码：</w:t>
      </w:r>
      <w:r>
        <w:rPr>
          <w:rFonts w:hint="eastAsia" w:hAnsi="宋体" w:cs="宋体"/>
          <w:color w:val="auto"/>
          <w:highlight w:val="none"/>
          <w:u w:val="single"/>
        </w:rPr>
        <w:t xml:space="preserve">                                   </w:t>
      </w:r>
    </w:p>
    <w:p w14:paraId="6EBEBF60">
      <w:pPr>
        <w:pStyle w:val="14"/>
        <w:shd w:val="clear" w:color="auto" w:fill="FFFFFF" w:themeFill="background1"/>
        <w:spacing w:line="360" w:lineRule="exact"/>
        <w:ind w:firstLine="420" w:firstLineChars="200"/>
        <w:rPr>
          <w:rFonts w:hAnsi="宋体" w:cs="宋体"/>
          <w:color w:val="auto"/>
          <w:highlight w:val="none"/>
        </w:rPr>
      </w:pPr>
      <w:r>
        <w:rPr>
          <w:rFonts w:hint="eastAsia" w:hAnsi="宋体" w:cs="宋体"/>
          <w:color w:val="auto"/>
          <w:highlight w:val="none"/>
        </w:rPr>
        <w:t>委托代理人（签字）：</w:t>
      </w:r>
      <w:r>
        <w:rPr>
          <w:rFonts w:hint="eastAsia" w:hAnsi="宋体" w:cs="宋体"/>
          <w:color w:val="auto"/>
          <w:highlight w:val="none"/>
          <w:u w:val="single"/>
        </w:rPr>
        <w:t xml:space="preserve">                                      </w:t>
      </w:r>
    </w:p>
    <w:p w14:paraId="4FB5660D">
      <w:pPr>
        <w:pStyle w:val="14"/>
        <w:shd w:val="clear" w:color="auto" w:fill="FFFFFF" w:themeFill="background1"/>
        <w:spacing w:line="360" w:lineRule="exact"/>
        <w:ind w:firstLine="420"/>
        <w:rPr>
          <w:rFonts w:hAnsi="宋体" w:cs="宋体"/>
          <w:color w:val="auto"/>
          <w:highlight w:val="none"/>
          <w:u w:val="single"/>
        </w:rPr>
      </w:pPr>
      <w:r>
        <w:rPr>
          <w:rFonts w:hint="eastAsia" w:hAnsi="宋体" w:cs="宋体"/>
          <w:color w:val="auto"/>
          <w:highlight w:val="none"/>
        </w:rPr>
        <w:t>委托代理人身份证号码：</w:t>
      </w:r>
      <w:r>
        <w:rPr>
          <w:rFonts w:hint="eastAsia" w:hAnsi="宋体" w:cs="宋体"/>
          <w:color w:val="auto"/>
          <w:highlight w:val="none"/>
          <w:u w:val="single"/>
        </w:rPr>
        <w:t xml:space="preserve">                                   </w:t>
      </w:r>
    </w:p>
    <w:p w14:paraId="60913A72">
      <w:pPr>
        <w:pStyle w:val="14"/>
        <w:shd w:val="clear" w:color="auto" w:fill="FFFFFF" w:themeFill="background1"/>
        <w:spacing w:line="360" w:lineRule="exact"/>
        <w:ind w:firstLine="420"/>
        <w:rPr>
          <w:rFonts w:hAnsi="宋体" w:cs="宋体"/>
          <w:color w:val="auto"/>
          <w:highlight w:val="none"/>
          <w:u w:val="single"/>
        </w:rPr>
      </w:pPr>
    </w:p>
    <w:p w14:paraId="1C9E8AB5">
      <w:pPr>
        <w:pStyle w:val="14"/>
        <w:shd w:val="clear" w:color="auto" w:fill="FFFFFF" w:themeFill="background1"/>
        <w:spacing w:line="360" w:lineRule="exact"/>
        <w:ind w:firstLine="420"/>
        <w:rPr>
          <w:rFonts w:hAnsi="宋体" w:cs="宋体"/>
          <w:color w:val="auto"/>
          <w:highlight w:val="none"/>
          <w:u w:val="single"/>
        </w:rPr>
      </w:pPr>
      <w:r>
        <w:rPr>
          <w:rFonts w:hint="eastAsia" w:hAnsi="宋体" w:cs="宋体"/>
          <w:color w:val="auto"/>
          <w:kern w:val="0"/>
          <w:szCs w:val="21"/>
          <w:highlight w:val="none"/>
        </w:rPr>
        <w:t>成员一名称</w:t>
      </w:r>
      <w:r>
        <w:rPr>
          <w:rFonts w:hint="eastAsia" w:hAnsi="宋体" w:cs="宋体"/>
          <w:color w:val="auto"/>
          <w:highlight w:val="none"/>
        </w:rPr>
        <w:t>（盖公章）：</w:t>
      </w:r>
      <w:r>
        <w:rPr>
          <w:rFonts w:hint="eastAsia" w:hAnsi="宋体" w:cs="宋体"/>
          <w:color w:val="auto"/>
          <w:highlight w:val="none"/>
          <w:u w:val="single"/>
        </w:rPr>
        <w:t xml:space="preserve">                                    </w:t>
      </w:r>
    </w:p>
    <w:p w14:paraId="66B4F885">
      <w:pPr>
        <w:pStyle w:val="14"/>
        <w:shd w:val="clear" w:color="auto" w:fill="FFFFFF" w:themeFill="background1"/>
        <w:spacing w:line="360" w:lineRule="exact"/>
        <w:ind w:firstLine="420"/>
        <w:rPr>
          <w:rFonts w:hAnsi="宋体" w:cs="宋体"/>
          <w:color w:val="auto"/>
          <w:highlight w:val="none"/>
          <w:u w:val="single"/>
        </w:rPr>
      </w:pPr>
      <w:r>
        <w:rPr>
          <w:rFonts w:hint="eastAsia" w:hAnsi="宋体" w:cs="宋体"/>
          <w:color w:val="auto"/>
          <w:highlight w:val="none"/>
        </w:rPr>
        <w:t>法定代表人（签字）：</w:t>
      </w:r>
      <w:r>
        <w:rPr>
          <w:rFonts w:hint="eastAsia" w:hAnsi="宋体" w:cs="宋体"/>
          <w:color w:val="auto"/>
          <w:highlight w:val="none"/>
          <w:u w:val="single"/>
        </w:rPr>
        <w:t xml:space="preserve">                                      </w:t>
      </w:r>
    </w:p>
    <w:p w14:paraId="2654E091">
      <w:pPr>
        <w:pStyle w:val="9"/>
        <w:shd w:val="clear" w:color="auto" w:fill="FFFFFF" w:themeFill="background1"/>
        <w:spacing w:line="360" w:lineRule="exact"/>
        <w:ind w:left="0" w:firstLine="420" w:firstLineChars="200"/>
        <w:rPr>
          <w:rFonts w:ascii="宋体" w:hAnsi="宋体" w:cs="宋体"/>
          <w:color w:val="auto"/>
          <w:highlight w:val="none"/>
          <w:u w:val="single"/>
        </w:rPr>
      </w:pPr>
      <w:r>
        <w:rPr>
          <w:rFonts w:hint="eastAsia" w:ascii="宋体" w:hAnsi="宋体" w:cs="宋体"/>
          <w:color w:val="auto"/>
          <w:highlight w:val="none"/>
        </w:rPr>
        <w:t>委托代理人（签字）：</w:t>
      </w:r>
      <w:r>
        <w:rPr>
          <w:rFonts w:hint="eastAsia" w:ascii="宋体" w:hAnsi="宋体" w:cs="宋体"/>
          <w:color w:val="auto"/>
          <w:highlight w:val="none"/>
          <w:u w:val="single"/>
        </w:rPr>
        <w:t xml:space="preserve">                                      </w:t>
      </w:r>
    </w:p>
    <w:p w14:paraId="22646BDA">
      <w:pPr>
        <w:shd w:val="clear" w:color="auto" w:fill="FFFFFF" w:themeFill="background1"/>
        <w:spacing w:line="360" w:lineRule="exact"/>
        <w:ind w:firstLine="420" w:firstLineChars="200"/>
        <w:rPr>
          <w:rFonts w:ascii="宋体" w:hAnsi="宋体" w:cs="宋体"/>
          <w:color w:val="auto"/>
          <w:highlight w:val="none"/>
        </w:rPr>
      </w:pPr>
      <w:r>
        <w:rPr>
          <w:rFonts w:hint="eastAsia" w:ascii="宋体" w:hAnsi="宋体" w:cs="宋体"/>
          <w:color w:val="auto"/>
          <w:highlight w:val="none"/>
        </w:rPr>
        <w:t>委托代理人身份证号码：</w:t>
      </w:r>
      <w:r>
        <w:rPr>
          <w:rFonts w:hint="eastAsia" w:ascii="宋体" w:hAnsi="宋体" w:cs="宋体"/>
          <w:color w:val="auto"/>
          <w:highlight w:val="none"/>
          <w:u w:val="single"/>
        </w:rPr>
        <w:t xml:space="preserve">                                    </w:t>
      </w:r>
    </w:p>
    <w:p w14:paraId="5731DA13">
      <w:pPr>
        <w:pStyle w:val="14"/>
        <w:shd w:val="clear" w:color="auto" w:fill="FFFFFF" w:themeFill="background1"/>
        <w:spacing w:line="360" w:lineRule="exact"/>
        <w:ind w:firstLine="420"/>
        <w:rPr>
          <w:rFonts w:hAnsi="宋体" w:cs="宋体"/>
          <w:color w:val="auto"/>
          <w:highlight w:val="none"/>
          <w:u w:val="single"/>
        </w:rPr>
      </w:pPr>
    </w:p>
    <w:p w14:paraId="24F300DB">
      <w:pPr>
        <w:shd w:val="clear" w:color="auto" w:fill="FFFFFF" w:themeFill="background1"/>
        <w:autoSpaceDE w:val="0"/>
        <w:autoSpaceDN w:val="0"/>
        <w:adjustRightInd w:val="0"/>
        <w:spacing w:line="3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成员二名称（盖公章）：</w:t>
      </w:r>
      <w:r>
        <w:rPr>
          <w:rFonts w:hint="eastAsia" w:ascii="宋体" w:hAnsi="宋体" w:cs="宋体"/>
          <w:color w:val="auto"/>
          <w:kern w:val="0"/>
          <w:szCs w:val="21"/>
          <w:highlight w:val="none"/>
          <w:u w:val="single"/>
        </w:rPr>
        <w:t xml:space="preserve">                                    </w:t>
      </w:r>
    </w:p>
    <w:p w14:paraId="4C9D7FA6">
      <w:pPr>
        <w:shd w:val="clear" w:color="auto" w:fill="FFFFFF" w:themeFill="background1"/>
        <w:autoSpaceDE w:val="0"/>
        <w:autoSpaceDN w:val="0"/>
        <w:adjustRightInd w:val="0"/>
        <w:spacing w:line="3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法定代表人（签字）：</w:t>
      </w:r>
      <w:r>
        <w:rPr>
          <w:rFonts w:hint="eastAsia" w:ascii="宋体" w:hAnsi="宋体" w:cs="宋体"/>
          <w:color w:val="auto"/>
          <w:kern w:val="0"/>
          <w:szCs w:val="21"/>
          <w:highlight w:val="none"/>
          <w:u w:val="single"/>
        </w:rPr>
        <w:t xml:space="preserve">                                      </w:t>
      </w:r>
    </w:p>
    <w:p w14:paraId="2E14D0FF">
      <w:pPr>
        <w:pStyle w:val="9"/>
        <w:shd w:val="clear" w:color="auto" w:fill="FFFFFF" w:themeFill="background1"/>
        <w:spacing w:line="360" w:lineRule="exact"/>
        <w:ind w:left="0" w:firstLine="420" w:firstLineChars="200"/>
        <w:rPr>
          <w:rFonts w:ascii="宋体" w:hAnsi="宋体" w:cs="宋体"/>
          <w:color w:val="auto"/>
          <w:highlight w:val="none"/>
          <w:u w:val="single"/>
        </w:rPr>
      </w:pPr>
      <w:r>
        <w:rPr>
          <w:rFonts w:hint="eastAsia" w:ascii="宋体" w:hAnsi="宋体" w:cs="宋体"/>
          <w:color w:val="auto"/>
          <w:highlight w:val="none"/>
        </w:rPr>
        <w:t>委托代理人（签字）：</w:t>
      </w:r>
      <w:r>
        <w:rPr>
          <w:rFonts w:hint="eastAsia" w:ascii="宋体" w:hAnsi="宋体" w:cs="宋体"/>
          <w:color w:val="auto"/>
          <w:highlight w:val="none"/>
          <w:u w:val="single"/>
        </w:rPr>
        <w:t xml:space="preserve">                                       </w:t>
      </w:r>
    </w:p>
    <w:p w14:paraId="71C593C1">
      <w:pPr>
        <w:shd w:val="clear" w:color="auto" w:fill="FFFFFF" w:themeFill="background1"/>
        <w:spacing w:line="360" w:lineRule="exact"/>
        <w:ind w:firstLine="420" w:firstLineChars="200"/>
        <w:rPr>
          <w:rFonts w:ascii="宋体" w:hAnsi="宋体" w:cs="宋体"/>
          <w:color w:val="auto"/>
          <w:highlight w:val="none"/>
        </w:rPr>
      </w:pPr>
      <w:r>
        <w:rPr>
          <w:rFonts w:hint="eastAsia" w:ascii="宋体" w:hAnsi="宋体" w:cs="宋体"/>
          <w:color w:val="auto"/>
          <w:highlight w:val="none"/>
        </w:rPr>
        <w:t>委托代理人身份证号码：</w:t>
      </w:r>
      <w:r>
        <w:rPr>
          <w:rFonts w:hint="eastAsia" w:ascii="宋体" w:hAnsi="宋体" w:cs="宋体"/>
          <w:color w:val="auto"/>
          <w:highlight w:val="none"/>
          <w:u w:val="single"/>
        </w:rPr>
        <w:t xml:space="preserve">                                    </w:t>
      </w:r>
    </w:p>
    <w:p w14:paraId="559EBC32">
      <w:pPr>
        <w:pStyle w:val="14"/>
        <w:shd w:val="clear" w:color="auto" w:fill="FFFFFF" w:themeFill="background1"/>
        <w:spacing w:line="360" w:lineRule="exact"/>
        <w:ind w:firstLine="420" w:firstLineChars="200"/>
        <w:rPr>
          <w:rFonts w:hAnsi="宋体" w:cs="宋体"/>
          <w:color w:val="auto"/>
          <w:highlight w:val="none"/>
        </w:rPr>
      </w:pPr>
      <w:r>
        <w:rPr>
          <w:rFonts w:hint="eastAsia" w:hAnsi="宋体" w:cs="宋体"/>
          <w:color w:val="auto"/>
          <w:highlight w:val="none"/>
        </w:rPr>
        <w:t>......</w:t>
      </w:r>
    </w:p>
    <w:p w14:paraId="18810302">
      <w:pPr>
        <w:shd w:val="clear" w:color="auto" w:fill="FFFFFF" w:themeFill="background1"/>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注：</w:t>
      </w:r>
    </w:p>
    <w:p w14:paraId="4ED4173D">
      <w:pPr>
        <w:shd w:val="clear" w:color="auto" w:fill="FFFFFF" w:themeFill="background1"/>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1.法定代表人和委托代理人必须在授权委托书上签字，</w:t>
      </w:r>
      <w:r>
        <w:rPr>
          <w:rFonts w:hint="eastAsia" w:ascii="宋体" w:hAnsi="宋体" w:cs="宋体"/>
          <w:b/>
          <w:bCs/>
          <w:color w:val="auto"/>
          <w:szCs w:val="21"/>
          <w:highlight w:val="none"/>
        </w:rPr>
        <w:t>否则作无效投标处理；</w:t>
      </w:r>
    </w:p>
    <w:p w14:paraId="45A1F775">
      <w:pPr>
        <w:shd w:val="clear" w:color="auto" w:fill="FFFFFF" w:themeFill="background1"/>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2.以联合体形式投标的，本授权委托书应由联合体牵头人的法定代表人按上述规定签署。</w:t>
      </w:r>
    </w:p>
    <w:p w14:paraId="1CF827A9">
      <w:pPr>
        <w:shd w:val="clear" w:color="auto" w:fill="FFFFFF" w:themeFill="background1"/>
        <w:snapToGrid w:val="0"/>
        <w:spacing w:before="50" w:after="120" w:afterLines="50"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 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624A74B0">
      <w:pPr>
        <w:shd w:val="clear" w:color="auto" w:fill="FFFFFF" w:themeFill="background1"/>
        <w:snapToGrid w:val="0"/>
        <w:spacing w:before="50" w:after="120" w:afterLines="50"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 若为联合体投标须各方签字或盖章。</w:t>
      </w:r>
    </w:p>
    <w:p w14:paraId="7B328405">
      <w:pPr>
        <w:shd w:val="clear" w:color="auto" w:fill="FFFFFF" w:themeFill="background1"/>
        <w:spacing w:line="360" w:lineRule="auto"/>
        <w:rPr>
          <w:rFonts w:ascii="宋体" w:hAnsi="宋体" w:cs="宋体"/>
          <w:b/>
          <w:color w:val="auto"/>
          <w:sz w:val="24"/>
          <w:highlight w:val="none"/>
        </w:rPr>
      </w:pPr>
    </w:p>
    <w:p w14:paraId="75C5B8A4">
      <w:pPr>
        <w:shd w:val="clear" w:color="auto" w:fill="FFFFFF" w:themeFill="background1"/>
        <w:rPr>
          <w:rFonts w:ascii="宋体" w:hAnsi="宋体" w:cs="宋体"/>
          <w:b/>
          <w:color w:val="auto"/>
          <w:sz w:val="24"/>
          <w:highlight w:val="none"/>
        </w:rPr>
      </w:pPr>
      <w:r>
        <w:rPr>
          <w:rFonts w:hint="eastAsia" w:ascii="宋体" w:hAnsi="宋体" w:cs="宋体"/>
          <w:b/>
          <w:color w:val="auto"/>
          <w:sz w:val="24"/>
          <w:highlight w:val="none"/>
        </w:rPr>
        <w:br w:type="page"/>
      </w:r>
    </w:p>
    <w:p w14:paraId="5D68B830">
      <w:pPr>
        <w:shd w:val="clear" w:color="auto" w:fill="FFFFFF" w:themeFill="background1"/>
        <w:spacing w:line="360" w:lineRule="auto"/>
        <w:rPr>
          <w:rFonts w:ascii="宋体" w:hAnsi="宋体" w:cs="宋体"/>
          <w:b/>
          <w:color w:val="auto"/>
          <w:sz w:val="24"/>
          <w:highlight w:val="none"/>
        </w:rPr>
      </w:pPr>
      <w:r>
        <w:rPr>
          <w:rFonts w:hint="eastAsia" w:ascii="宋体" w:hAnsi="宋体" w:cs="宋体"/>
          <w:b/>
          <w:color w:val="auto"/>
          <w:sz w:val="24"/>
          <w:highlight w:val="none"/>
        </w:rPr>
        <w:t>附件：</w:t>
      </w:r>
    </w:p>
    <w:tbl>
      <w:tblPr>
        <w:tblStyle w:val="25"/>
        <w:tblpPr w:leftFromText="180" w:rightFromText="180" w:vertAnchor="text" w:horzAnchor="margin" w:tblpXSpec="center" w:tblpY="263"/>
        <w:tblW w:w="7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45563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jc w:val="center"/>
        </w:trPr>
        <w:tc>
          <w:tcPr>
            <w:tcW w:w="7990" w:type="dxa"/>
            <w:tcBorders>
              <w:top w:val="single" w:color="auto" w:sz="4" w:space="0"/>
              <w:left w:val="single" w:color="auto" w:sz="4" w:space="0"/>
              <w:bottom w:val="single" w:color="auto" w:sz="4" w:space="0"/>
              <w:right w:val="single" w:color="auto" w:sz="4" w:space="0"/>
            </w:tcBorders>
          </w:tcPr>
          <w:p w14:paraId="53117D8F">
            <w:pPr>
              <w:shd w:val="clear" w:color="auto" w:fill="FFFFFF" w:themeFill="background1"/>
              <w:spacing w:line="360" w:lineRule="auto"/>
              <w:rPr>
                <w:rFonts w:ascii="宋体" w:hAnsi="宋体" w:cs="宋体"/>
                <w:b/>
                <w:color w:val="auto"/>
                <w:sz w:val="24"/>
                <w:highlight w:val="none"/>
              </w:rPr>
            </w:pPr>
          </w:p>
          <w:p w14:paraId="3ED99BA8">
            <w:pPr>
              <w:shd w:val="clear" w:color="auto" w:fill="FFFFFF" w:themeFill="background1"/>
              <w:spacing w:line="360" w:lineRule="auto"/>
              <w:rPr>
                <w:rFonts w:ascii="宋体" w:hAnsi="宋体" w:cs="宋体"/>
                <w:b/>
                <w:color w:val="auto"/>
                <w:sz w:val="24"/>
                <w:highlight w:val="none"/>
              </w:rPr>
            </w:pPr>
            <w:r>
              <w:rPr>
                <w:rFonts w:hint="eastAsia" w:ascii="宋体" w:hAnsi="宋体" w:cs="宋体"/>
                <w:b/>
                <w:bCs/>
                <w:color w:val="auto"/>
                <w:sz w:val="24"/>
                <w:highlight w:val="none"/>
              </w:rPr>
              <w:t>委托代理人有效</w:t>
            </w:r>
            <w:r>
              <w:rPr>
                <w:rFonts w:hint="eastAsia" w:ascii="宋体" w:hAnsi="宋体" w:cs="宋体"/>
                <w:b/>
                <w:color w:val="auto"/>
                <w:sz w:val="24"/>
                <w:highlight w:val="none"/>
              </w:rPr>
              <w:t>身份证复印件粘帖处（正、反面）</w:t>
            </w:r>
          </w:p>
        </w:tc>
      </w:tr>
    </w:tbl>
    <w:p w14:paraId="6D305187">
      <w:pPr>
        <w:shd w:val="clear" w:color="auto" w:fill="FFFFFF" w:themeFill="background1"/>
        <w:snapToGrid w:val="0"/>
        <w:spacing w:before="50" w:after="120" w:afterLines="50" w:line="360" w:lineRule="auto"/>
        <w:jc w:val="left"/>
        <w:rPr>
          <w:rFonts w:ascii="宋体" w:hAnsi="宋体" w:cs="宋体"/>
          <w:color w:val="auto"/>
          <w:szCs w:val="21"/>
          <w:highlight w:val="none"/>
        </w:rPr>
      </w:pPr>
    </w:p>
    <w:p w14:paraId="4FF05E1B">
      <w:pPr>
        <w:shd w:val="clear" w:color="auto" w:fill="FFFFFF" w:themeFill="background1"/>
        <w:snapToGrid w:val="0"/>
        <w:spacing w:before="120" w:beforeLines="50" w:after="50"/>
        <w:ind w:firstLine="566" w:firstLineChars="236"/>
        <w:jc w:val="center"/>
        <w:rPr>
          <w:rFonts w:ascii="宋体" w:hAnsi="宋体" w:cs="宋体"/>
          <w:color w:val="auto"/>
          <w:sz w:val="24"/>
          <w:highlight w:val="none"/>
        </w:rPr>
      </w:pPr>
      <w:r>
        <w:rPr>
          <w:rFonts w:hint="eastAsia" w:ascii="宋体" w:hAnsi="宋体" w:cs="宋体"/>
          <w:color w:val="auto"/>
          <w:sz w:val="24"/>
          <w:highlight w:val="none"/>
        </w:rPr>
        <w:t xml:space="preserve"> </w:t>
      </w:r>
    </w:p>
    <w:p w14:paraId="139B1C4C">
      <w:pPr>
        <w:shd w:val="clear" w:color="auto" w:fill="FFFFFF" w:themeFill="background1"/>
        <w:snapToGrid w:val="0"/>
        <w:spacing w:before="120" w:beforeLines="50" w:after="50"/>
        <w:ind w:firstLine="660" w:firstLineChars="236"/>
        <w:rPr>
          <w:rFonts w:ascii="宋体" w:hAnsi="宋体" w:cs="宋体"/>
          <w:color w:val="auto"/>
          <w:sz w:val="28"/>
          <w:szCs w:val="28"/>
          <w:highlight w:val="none"/>
        </w:rPr>
      </w:pPr>
    </w:p>
    <w:p w14:paraId="4BDBCBFC">
      <w:pPr>
        <w:shd w:val="clear" w:color="auto" w:fill="FFFFFF" w:themeFill="background1"/>
        <w:snapToGrid w:val="0"/>
        <w:spacing w:before="120" w:beforeLines="50" w:after="50"/>
        <w:ind w:firstLine="660" w:firstLineChars="236"/>
        <w:rPr>
          <w:rFonts w:ascii="宋体" w:hAnsi="宋体" w:cs="宋体"/>
          <w:color w:val="auto"/>
          <w:sz w:val="28"/>
          <w:szCs w:val="28"/>
          <w:highlight w:val="none"/>
        </w:rPr>
      </w:pPr>
    </w:p>
    <w:p w14:paraId="57F01638">
      <w:pPr>
        <w:shd w:val="clear" w:color="auto" w:fill="FFFFFF" w:themeFill="background1"/>
        <w:snapToGrid w:val="0"/>
        <w:spacing w:before="120" w:beforeLines="50" w:after="50"/>
        <w:ind w:firstLine="660" w:firstLineChars="236"/>
        <w:rPr>
          <w:rFonts w:ascii="宋体" w:hAnsi="宋体" w:cs="宋体"/>
          <w:color w:val="auto"/>
          <w:sz w:val="28"/>
          <w:szCs w:val="28"/>
          <w:highlight w:val="none"/>
        </w:rPr>
      </w:pPr>
    </w:p>
    <w:p w14:paraId="169F88C1">
      <w:pPr>
        <w:shd w:val="clear" w:color="auto" w:fill="FFFFFF" w:themeFill="background1"/>
        <w:snapToGrid w:val="0"/>
        <w:spacing w:before="120" w:beforeLines="50" w:after="50"/>
        <w:ind w:firstLine="660" w:firstLineChars="236"/>
        <w:rPr>
          <w:rFonts w:ascii="宋体" w:hAnsi="宋体" w:cs="宋体"/>
          <w:color w:val="auto"/>
          <w:sz w:val="28"/>
          <w:szCs w:val="28"/>
          <w:highlight w:val="none"/>
        </w:rPr>
      </w:pPr>
    </w:p>
    <w:p w14:paraId="2E5D6516">
      <w:pPr>
        <w:shd w:val="clear" w:color="auto" w:fill="FFFFFF" w:themeFill="background1"/>
        <w:snapToGrid w:val="0"/>
        <w:spacing w:before="120" w:beforeLines="50" w:after="50"/>
        <w:ind w:firstLine="660" w:firstLineChars="236"/>
        <w:rPr>
          <w:rFonts w:ascii="宋体" w:hAnsi="宋体" w:cs="宋体"/>
          <w:color w:val="auto"/>
          <w:sz w:val="28"/>
          <w:szCs w:val="28"/>
          <w:highlight w:val="none"/>
        </w:rPr>
      </w:pPr>
    </w:p>
    <w:p w14:paraId="0B703C85">
      <w:pPr>
        <w:shd w:val="clear" w:color="auto" w:fill="FFFFFF" w:themeFill="background1"/>
        <w:snapToGrid w:val="0"/>
        <w:spacing w:before="120" w:beforeLines="50" w:after="50"/>
        <w:ind w:firstLine="660" w:firstLineChars="236"/>
        <w:rPr>
          <w:rFonts w:ascii="宋体" w:hAnsi="宋体" w:cs="宋体"/>
          <w:color w:val="auto"/>
          <w:sz w:val="28"/>
          <w:szCs w:val="28"/>
          <w:highlight w:val="none"/>
        </w:rPr>
      </w:pPr>
    </w:p>
    <w:p w14:paraId="13C01D81">
      <w:pPr>
        <w:shd w:val="clear" w:color="auto" w:fill="FFFFFF" w:themeFill="background1"/>
        <w:snapToGrid w:val="0"/>
        <w:spacing w:before="120" w:beforeLines="50" w:after="50"/>
        <w:ind w:firstLine="566" w:firstLineChars="236"/>
        <w:rPr>
          <w:rFonts w:ascii="宋体" w:hAnsi="宋体" w:cs="宋体"/>
          <w:color w:val="auto"/>
          <w:highlight w:val="none"/>
        </w:rPr>
      </w:pPr>
      <w:r>
        <w:rPr>
          <w:rFonts w:hint="eastAsia" w:ascii="宋体" w:hAnsi="宋体" w:cs="宋体"/>
          <w:color w:val="auto"/>
          <w:sz w:val="24"/>
          <w:highlight w:val="none"/>
        </w:rPr>
        <w:br w:type="page"/>
      </w:r>
    </w:p>
    <w:p w14:paraId="66F3D6E9">
      <w:pPr>
        <w:shd w:val="clear" w:color="auto" w:fill="FFFFFF" w:themeFill="background1"/>
        <w:jc w:val="left"/>
        <w:rPr>
          <w:rFonts w:ascii="宋体" w:hAnsi="宋体" w:cs="宋体"/>
          <w:b/>
          <w:bCs/>
          <w:color w:val="auto"/>
          <w:sz w:val="30"/>
          <w:szCs w:val="30"/>
          <w:highlight w:val="none"/>
        </w:rPr>
      </w:pPr>
      <w:r>
        <w:rPr>
          <w:rFonts w:hint="eastAsia" w:ascii="宋体" w:hAnsi="宋体" w:cs="宋体"/>
          <w:b/>
          <w:color w:val="auto"/>
          <w:sz w:val="28"/>
          <w:szCs w:val="28"/>
          <w:highlight w:val="none"/>
        </w:rPr>
        <w:t>6.商务条款偏离表的格式：</w:t>
      </w:r>
    </w:p>
    <w:p w14:paraId="6B558B53">
      <w:pPr>
        <w:shd w:val="clear" w:color="auto" w:fill="FFFFFF" w:themeFill="background1"/>
        <w:jc w:val="center"/>
        <w:rPr>
          <w:rFonts w:ascii="宋体" w:hAnsi="宋体" w:cs="宋体"/>
          <w:b/>
          <w:bCs/>
          <w:color w:val="auto"/>
          <w:sz w:val="30"/>
          <w:szCs w:val="30"/>
          <w:highlight w:val="none"/>
        </w:rPr>
      </w:pPr>
    </w:p>
    <w:p w14:paraId="5EA2E7E2">
      <w:pPr>
        <w:shd w:val="clear" w:color="auto" w:fill="FFFFFF" w:themeFill="background1"/>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商务条款偏离表</w:t>
      </w:r>
    </w:p>
    <w:p w14:paraId="0E91E970">
      <w:pPr>
        <w:shd w:val="clear" w:color="auto" w:fill="FFFFFF" w:themeFill="background1"/>
        <w:spacing w:line="360" w:lineRule="auto"/>
        <w:contextualSpacing/>
        <w:rPr>
          <w:rFonts w:ascii="宋体" w:hAnsi="宋体" w:cs="宋体"/>
          <w:color w:val="auto"/>
          <w:sz w:val="24"/>
          <w:highlight w:val="none"/>
        </w:rPr>
      </w:pPr>
    </w:p>
    <w:p w14:paraId="05800575">
      <w:pPr>
        <w:shd w:val="clear" w:color="auto" w:fill="FFFFFF" w:themeFill="background1"/>
        <w:spacing w:line="360" w:lineRule="auto"/>
        <w:contextualSpacing/>
        <w:rPr>
          <w:rFonts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276C5C4A">
      <w:pPr>
        <w:shd w:val="clear" w:color="auto" w:fill="FFFFFF" w:themeFill="background1"/>
        <w:spacing w:line="360" w:lineRule="auto"/>
        <w:contextualSpacing/>
        <w:jc w:val="left"/>
        <w:rPr>
          <w:rFonts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p>
    <w:p w14:paraId="2982F084">
      <w:pPr>
        <w:pStyle w:val="14"/>
        <w:shd w:val="clear" w:color="auto" w:fill="FFFFFF" w:themeFill="background1"/>
        <w:spacing w:line="480" w:lineRule="auto"/>
        <w:ind w:left="-422" w:leftChars="-201" w:firstLine="424"/>
        <w:rPr>
          <w:rFonts w:hAnsi="宋体" w:cs="宋体"/>
          <w:color w:val="auto"/>
          <w:highlight w:val="none"/>
        </w:rPr>
      </w:pPr>
      <w:r>
        <w:rPr>
          <w:rFonts w:hint="eastAsia" w:hAnsi="宋体" w:cs="宋体"/>
          <w:color w:val="auto"/>
          <w:sz w:val="24"/>
          <w:szCs w:val="24"/>
          <w:highlight w:val="none"/>
        </w:rPr>
        <w:t>所投</w:t>
      </w:r>
      <w:r>
        <w:rPr>
          <w:rFonts w:hint="eastAsia" w:hAnsi="宋体" w:cs="宋体"/>
          <w:color w:val="auto"/>
          <w:sz w:val="24"/>
          <w:szCs w:val="24"/>
          <w:highlight w:val="none"/>
          <w:lang w:eastAsia="zh-CN"/>
        </w:rPr>
        <w:t>标项</w:t>
      </w:r>
      <w:r>
        <w:rPr>
          <w:rFonts w:hint="eastAsia" w:hAnsi="宋体" w:cs="宋体"/>
          <w:color w:val="auto"/>
          <w:sz w:val="24"/>
          <w:szCs w:val="24"/>
          <w:highlight w:val="none"/>
        </w:rPr>
        <w:t>（此处有分标时填写具体分标号，无分标时填写“无”）：</w:t>
      </w:r>
      <w:r>
        <w:rPr>
          <w:rFonts w:hint="eastAsia" w:hAnsi="宋体" w:cs="宋体"/>
          <w:color w:val="auto"/>
          <w:sz w:val="24"/>
          <w:highlight w:val="none"/>
          <w:u w:val="single"/>
        </w:rPr>
        <w:t xml:space="preserve">           </w:t>
      </w:r>
    </w:p>
    <w:tbl>
      <w:tblPr>
        <w:tblStyle w:val="25"/>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3379"/>
        <w:gridCol w:w="3229"/>
        <w:gridCol w:w="1917"/>
      </w:tblGrid>
      <w:tr w14:paraId="3C348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74" w:type="dxa"/>
            <w:tcBorders>
              <w:top w:val="single" w:color="auto" w:sz="4" w:space="0"/>
              <w:left w:val="single" w:color="auto" w:sz="4" w:space="0"/>
              <w:bottom w:val="single" w:color="auto" w:sz="4" w:space="0"/>
              <w:right w:val="single" w:color="auto" w:sz="4" w:space="0"/>
            </w:tcBorders>
            <w:vAlign w:val="center"/>
          </w:tcPr>
          <w:p w14:paraId="00B63869">
            <w:pPr>
              <w:shd w:val="clear" w:color="auto" w:fill="FFFFFF" w:themeFill="background1"/>
              <w:spacing w:line="340" w:lineRule="exact"/>
              <w:jc w:val="center"/>
              <w:rPr>
                <w:rFonts w:ascii="宋体" w:hAnsi="宋体" w:cs="宋体"/>
                <w:color w:val="auto"/>
                <w:szCs w:val="21"/>
                <w:highlight w:val="none"/>
              </w:rPr>
            </w:pPr>
            <w:r>
              <w:rPr>
                <w:rFonts w:hint="eastAsia" w:ascii="宋体" w:hAnsi="宋体" w:cs="宋体"/>
                <w:color w:val="auto"/>
                <w:szCs w:val="21"/>
                <w:highlight w:val="none"/>
              </w:rPr>
              <w:t>项号</w:t>
            </w:r>
          </w:p>
        </w:tc>
        <w:tc>
          <w:tcPr>
            <w:tcW w:w="3379" w:type="dxa"/>
            <w:tcBorders>
              <w:top w:val="single" w:color="auto" w:sz="4" w:space="0"/>
              <w:left w:val="single" w:color="auto" w:sz="4" w:space="0"/>
              <w:bottom w:val="single" w:color="auto" w:sz="4" w:space="0"/>
              <w:right w:val="single" w:color="auto" w:sz="4" w:space="0"/>
            </w:tcBorders>
            <w:vAlign w:val="center"/>
          </w:tcPr>
          <w:p w14:paraId="7EEBF1C3">
            <w:pPr>
              <w:shd w:val="clear" w:color="auto" w:fill="FFFFFF" w:themeFill="background1"/>
              <w:spacing w:line="340" w:lineRule="exact"/>
              <w:jc w:val="center"/>
              <w:rPr>
                <w:rFonts w:ascii="宋体" w:hAnsi="宋体" w:cs="宋体"/>
                <w:color w:val="auto"/>
                <w:szCs w:val="21"/>
                <w:highlight w:val="none"/>
              </w:rPr>
            </w:pPr>
            <w:r>
              <w:rPr>
                <w:rFonts w:hint="eastAsia" w:ascii="宋体" w:hAnsi="宋体" w:cs="宋体"/>
                <w:color w:val="auto"/>
                <w:szCs w:val="21"/>
                <w:highlight w:val="none"/>
              </w:rPr>
              <w:t>招标文件的商务条款</w:t>
            </w:r>
          </w:p>
        </w:tc>
        <w:tc>
          <w:tcPr>
            <w:tcW w:w="3229" w:type="dxa"/>
            <w:tcBorders>
              <w:top w:val="single" w:color="auto" w:sz="4" w:space="0"/>
              <w:left w:val="single" w:color="auto" w:sz="4" w:space="0"/>
              <w:bottom w:val="single" w:color="auto" w:sz="4" w:space="0"/>
              <w:right w:val="single" w:color="auto" w:sz="4" w:space="0"/>
            </w:tcBorders>
            <w:vAlign w:val="center"/>
          </w:tcPr>
          <w:p w14:paraId="00105F61">
            <w:pPr>
              <w:shd w:val="clear" w:color="auto" w:fill="FFFFFF" w:themeFill="background1"/>
              <w:spacing w:line="340" w:lineRule="exact"/>
              <w:jc w:val="center"/>
              <w:rPr>
                <w:rFonts w:ascii="宋体" w:hAnsi="宋体" w:cs="宋体"/>
                <w:color w:val="auto"/>
                <w:szCs w:val="21"/>
                <w:highlight w:val="none"/>
              </w:rPr>
            </w:pPr>
            <w:r>
              <w:rPr>
                <w:rFonts w:hint="eastAsia" w:ascii="宋体" w:hAnsi="宋体" w:cs="宋体"/>
                <w:color w:val="auto"/>
                <w:szCs w:val="21"/>
                <w:highlight w:val="none"/>
              </w:rPr>
              <w:t>投标文件响应的商务条款</w:t>
            </w:r>
          </w:p>
        </w:tc>
        <w:tc>
          <w:tcPr>
            <w:tcW w:w="1917" w:type="dxa"/>
            <w:tcBorders>
              <w:top w:val="single" w:color="auto" w:sz="4" w:space="0"/>
              <w:left w:val="single" w:color="auto" w:sz="4" w:space="0"/>
              <w:bottom w:val="single" w:color="auto" w:sz="4" w:space="0"/>
              <w:right w:val="single" w:color="auto" w:sz="4" w:space="0"/>
            </w:tcBorders>
            <w:vAlign w:val="center"/>
          </w:tcPr>
          <w:p w14:paraId="3A2D1626">
            <w:pPr>
              <w:shd w:val="clear" w:color="auto" w:fill="FFFFFF" w:themeFill="background1"/>
              <w:spacing w:line="340" w:lineRule="exact"/>
              <w:jc w:val="center"/>
              <w:rPr>
                <w:rFonts w:ascii="宋体" w:hAnsi="宋体" w:cs="宋体"/>
                <w:color w:val="auto"/>
                <w:szCs w:val="21"/>
                <w:highlight w:val="none"/>
              </w:rPr>
            </w:pPr>
            <w:r>
              <w:rPr>
                <w:rFonts w:hint="eastAsia" w:ascii="宋体" w:hAnsi="宋体" w:cs="宋体"/>
                <w:color w:val="auto"/>
                <w:szCs w:val="21"/>
                <w:highlight w:val="none"/>
              </w:rPr>
              <w:t>偏离说明</w:t>
            </w:r>
          </w:p>
        </w:tc>
      </w:tr>
      <w:tr w14:paraId="21077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tcPr>
          <w:p w14:paraId="0DB50C04">
            <w:pPr>
              <w:shd w:val="clear" w:color="auto" w:fill="FFFFFF" w:themeFill="background1"/>
              <w:spacing w:line="340" w:lineRule="exact"/>
              <w:rPr>
                <w:rFonts w:ascii="宋体" w:hAnsi="宋体" w:cs="宋体"/>
                <w:color w:val="auto"/>
                <w:szCs w:val="21"/>
                <w:highlight w:val="none"/>
              </w:rPr>
            </w:pPr>
            <w:r>
              <w:rPr>
                <w:rFonts w:hint="eastAsia" w:ascii="宋体" w:hAnsi="宋体" w:cs="宋体"/>
                <w:color w:val="auto"/>
                <w:szCs w:val="21"/>
                <w:highlight w:val="none"/>
              </w:rPr>
              <w:t>一</w:t>
            </w:r>
          </w:p>
        </w:tc>
        <w:tc>
          <w:tcPr>
            <w:tcW w:w="3379" w:type="dxa"/>
            <w:tcBorders>
              <w:top w:val="single" w:color="auto" w:sz="4" w:space="0"/>
              <w:left w:val="single" w:color="auto" w:sz="4" w:space="0"/>
              <w:bottom w:val="single" w:color="auto" w:sz="4" w:space="0"/>
              <w:right w:val="single" w:color="auto" w:sz="4" w:space="0"/>
            </w:tcBorders>
          </w:tcPr>
          <w:p w14:paraId="74576B1A">
            <w:pPr>
              <w:shd w:val="clear" w:color="auto" w:fill="FFFFFF" w:themeFill="background1"/>
              <w:spacing w:line="340" w:lineRule="exact"/>
              <w:rPr>
                <w:rFonts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tcPr>
          <w:p w14:paraId="5EBF9472">
            <w:pPr>
              <w:shd w:val="clear" w:color="auto" w:fill="FFFFFF" w:themeFill="background1"/>
              <w:spacing w:line="340" w:lineRule="exact"/>
              <w:rPr>
                <w:rFonts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tcPr>
          <w:p w14:paraId="7C008D92">
            <w:pPr>
              <w:shd w:val="clear" w:color="auto" w:fill="FFFFFF" w:themeFill="background1"/>
              <w:spacing w:line="300" w:lineRule="exact"/>
              <w:rPr>
                <w:rFonts w:ascii="宋体" w:hAnsi="宋体" w:cs="宋体"/>
                <w:color w:val="auto"/>
                <w:szCs w:val="21"/>
                <w:highlight w:val="none"/>
              </w:rPr>
            </w:pPr>
          </w:p>
        </w:tc>
      </w:tr>
      <w:tr w14:paraId="60B16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tcPr>
          <w:p w14:paraId="18961325">
            <w:pPr>
              <w:shd w:val="clear" w:color="auto" w:fill="FFFFFF" w:themeFill="background1"/>
              <w:spacing w:line="340" w:lineRule="exact"/>
              <w:rPr>
                <w:rFonts w:ascii="宋体" w:hAnsi="宋体" w:cs="宋体"/>
                <w:color w:val="auto"/>
                <w:szCs w:val="21"/>
                <w:highlight w:val="none"/>
              </w:rPr>
            </w:pPr>
            <w:r>
              <w:rPr>
                <w:rFonts w:hint="eastAsia" w:ascii="宋体" w:hAnsi="宋体" w:cs="宋体"/>
                <w:color w:val="auto"/>
                <w:szCs w:val="21"/>
                <w:highlight w:val="none"/>
              </w:rPr>
              <w:t>二</w:t>
            </w:r>
          </w:p>
        </w:tc>
        <w:tc>
          <w:tcPr>
            <w:tcW w:w="3379" w:type="dxa"/>
            <w:tcBorders>
              <w:top w:val="single" w:color="auto" w:sz="4" w:space="0"/>
              <w:left w:val="single" w:color="auto" w:sz="4" w:space="0"/>
              <w:bottom w:val="single" w:color="auto" w:sz="4" w:space="0"/>
              <w:right w:val="single" w:color="auto" w:sz="4" w:space="0"/>
            </w:tcBorders>
          </w:tcPr>
          <w:p w14:paraId="47BD7012">
            <w:pPr>
              <w:shd w:val="clear" w:color="auto" w:fill="FFFFFF" w:themeFill="background1"/>
              <w:spacing w:line="340" w:lineRule="exact"/>
              <w:rPr>
                <w:rFonts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tcPr>
          <w:p w14:paraId="52919C5C">
            <w:pPr>
              <w:shd w:val="clear" w:color="auto" w:fill="FFFFFF" w:themeFill="background1"/>
              <w:spacing w:line="340" w:lineRule="exact"/>
              <w:rPr>
                <w:rFonts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tcPr>
          <w:p w14:paraId="7D80523B">
            <w:pPr>
              <w:shd w:val="clear" w:color="auto" w:fill="FFFFFF" w:themeFill="background1"/>
              <w:spacing w:line="300" w:lineRule="exact"/>
              <w:rPr>
                <w:rFonts w:ascii="宋体" w:hAnsi="宋体" w:cs="宋体"/>
                <w:color w:val="auto"/>
                <w:szCs w:val="21"/>
                <w:highlight w:val="none"/>
              </w:rPr>
            </w:pPr>
          </w:p>
        </w:tc>
      </w:tr>
      <w:tr w14:paraId="2770E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774" w:type="dxa"/>
            <w:tcBorders>
              <w:top w:val="single" w:color="auto" w:sz="4" w:space="0"/>
              <w:left w:val="single" w:color="auto" w:sz="4" w:space="0"/>
              <w:bottom w:val="single" w:color="auto" w:sz="4" w:space="0"/>
              <w:right w:val="single" w:color="auto" w:sz="4" w:space="0"/>
            </w:tcBorders>
          </w:tcPr>
          <w:p w14:paraId="035FD7CD">
            <w:pPr>
              <w:shd w:val="clear" w:color="auto" w:fill="FFFFFF" w:themeFill="background1"/>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3379" w:type="dxa"/>
            <w:tcBorders>
              <w:top w:val="single" w:color="auto" w:sz="4" w:space="0"/>
              <w:left w:val="single" w:color="auto" w:sz="4" w:space="0"/>
              <w:bottom w:val="single" w:color="auto" w:sz="4" w:space="0"/>
              <w:right w:val="single" w:color="auto" w:sz="4" w:space="0"/>
            </w:tcBorders>
          </w:tcPr>
          <w:p w14:paraId="07051703">
            <w:pPr>
              <w:shd w:val="clear" w:color="auto" w:fill="FFFFFF" w:themeFill="background1"/>
              <w:spacing w:line="340" w:lineRule="exact"/>
              <w:rPr>
                <w:rFonts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tcPr>
          <w:p w14:paraId="64DECDD3">
            <w:pPr>
              <w:shd w:val="clear" w:color="auto" w:fill="FFFFFF" w:themeFill="background1"/>
              <w:spacing w:line="340" w:lineRule="exact"/>
              <w:rPr>
                <w:rFonts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tcPr>
          <w:p w14:paraId="33AD8ACC">
            <w:pPr>
              <w:shd w:val="clear" w:color="auto" w:fill="FFFFFF" w:themeFill="background1"/>
              <w:spacing w:line="300" w:lineRule="exact"/>
              <w:rPr>
                <w:rFonts w:ascii="宋体" w:hAnsi="宋体" w:cs="宋体"/>
                <w:color w:val="auto"/>
                <w:szCs w:val="21"/>
                <w:highlight w:val="none"/>
              </w:rPr>
            </w:pPr>
          </w:p>
        </w:tc>
      </w:tr>
    </w:tbl>
    <w:p w14:paraId="5D1A5C47">
      <w:pPr>
        <w:pStyle w:val="14"/>
        <w:shd w:val="clear" w:color="auto" w:fill="FFFFFF" w:themeFill="background1"/>
        <w:spacing w:line="360" w:lineRule="auto"/>
        <w:ind w:left="-708" w:leftChars="-337"/>
        <w:rPr>
          <w:rFonts w:hAnsi="宋体" w:cs="宋体"/>
          <w:color w:val="auto"/>
          <w:highlight w:val="none"/>
        </w:rPr>
      </w:pPr>
    </w:p>
    <w:p w14:paraId="5F62668B">
      <w:pPr>
        <w:pStyle w:val="14"/>
        <w:shd w:val="clear" w:color="auto" w:fill="FFFFFF" w:themeFill="background1"/>
        <w:spacing w:line="360" w:lineRule="auto"/>
        <w:ind w:firstLine="420" w:firstLineChars="200"/>
        <w:rPr>
          <w:rFonts w:hAnsi="宋体" w:cs="宋体"/>
          <w:color w:val="auto"/>
          <w:highlight w:val="none"/>
        </w:rPr>
      </w:pPr>
      <w:r>
        <w:rPr>
          <w:rFonts w:hint="eastAsia" w:hAnsi="宋体" w:cs="宋体"/>
          <w:color w:val="auto"/>
          <w:highlight w:val="none"/>
        </w:rPr>
        <w:t>注：</w:t>
      </w:r>
    </w:p>
    <w:p w14:paraId="42DAF5A0">
      <w:pPr>
        <w:pStyle w:val="14"/>
        <w:shd w:val="clear" w:color="auto" w:fill="FFFFFF" w:themeFill="background1"/>
        <w:spacing w:line="360" w:lineRule="auto"/>
        <w:ind w:firstLine="420" w:firstLineChars="200"/>
        <w:rPr>
          <w:rFonts w:hAnsi="宋体" w:cs="宋体"/>
          <w:color w:val="auto"/>
          <w:highlight w:val="none"/>
        </w:rPr>
      </w:pPr>
      <w:r>
        <w:rPr>
          <w:rFonts w:hint="eastAsia" w:hAnsi="宋体" w:cs="宋体"/>
          <w:color w:val="auto"/>
          <w:highlight w:val="none"/>
        </w:rPr>
        <w:t>1.表格内容均需按要求填写并加盖投标人公章。</w:t>
      </w:r>
    </w:p>
    <w:p w14:paraId="1707DCB1">
      <w:pPr>
        <w:pStyle w:val="14"/>
        <w:shd w:val="clear" w:color="auto" w:fill="FFFFFF" w:themeFill="background1"/>
        <w:spacing w:line="360" w:lineRule="auto"/>
        <w:ind w:left="-424" w:leftChars="-202" w:firstLine="846"/>
        <w:rPr>
          <w:rFonts w:hAnsi="宋体" w:cs="宋体"/>
          <w:color w:val="auto"/>
          <w:highlight w:val="none"/>
        </w:rPr>
      </w:pPr>
      <w:r>
        <w:rPr>
          <w:rFonts w:hint="eastAsia" w:hAnsi="宋体" w:cs="宋体"/>
          <w:color w:val="auto"/>
          <w:highlight w:val="none"/>
        </w:rPr>
        <w:t xml:space="preserve">2.请逐条对应本项目招标文件“第二章  </w:t>
      </w:r>
      <w:r>
        <w:rPr>
          <w:rFonts w:hint="eastAsia" w:hAnsi="宋体" w:cs="宋体"/>
          <w:b/>
          <w:color w:val="auto"/>
          <w:szCs w:val="21"/>
          <w:highlight w:val="none"/>
        </w:rPr>
        <w:t>采购需求</w:t>
      </w:r>
      <w:r>
        <w:rPr>
          <w:rFonts w:hint="eastAsia" w:hAnsi="宋体" w:cs="宋体"/>
          <w:color w:val="auto"/>
          <w:highlight w:val="none"/>
        </w:rPr>
        <w:t>”中“商务条款”的要求，详细填写相应的具体内容。“偏离说明”一栏应当选择“正偏离”或“负偏离”或“无偏离”进行填写。</w:t>
      </w:r>
    </w:p>
    <w:p w14:paraId="367BA7F9">
      <w:pPr>
        <w:pStyle w:val="14"/>
        <w:shd w:val="clear" w:color="auto" w:fill="FFFFFF" w:themeFill="background1"/>
        <w:spacing w:line="360" w:lineRule="auto"/>
        <w:ind w:left="-603" w:leftChars="-287" w:firstLine="945" w:firstLineChars="450"/>
        <w:rPr>
          <w:rFonts w:hAnsi="宋体" w:cs="宋体"/>
          <w:color w:val="auto"/>
          <w:highlight w:val="none"/>
        </w:rPr>
      </w:pPr>
      <w:r>
        <w:rPr>
          <w:rFonts w:hint="eastAsia" w:hAnsi="宋体" w:cs="宋体"/>
          <w:color w:val="auto"/>
          <w:highlight w:val="none"/>
        </w:rPr>
        <w:t>3.当投标文件的商务内容低于招标文件要求时，投标人应当如实写明“负偏离”。</w:t>
      </w:r>
    </w:p>
    <w:p w14:paraId="72B61712">
      <w:pPr>
        <w:pStyle w:val="14"/>
        <w:shd w:val="clear" w:color="auto" w:fill="FFFFFF" w:themeFill="background1"/>
        <w:spacing w:line="360" w:lineRule="auto"/>
        <w:ind w:left="-708" w:leftChars="-337" w:firstLine="1050" w:firstLineChars="500"/>
        <w:rPr>
          <w:rFonts w:hAnsi="宋体" w:cs="宋体"/>
          <w:color w:val="auto"/>
          <w:szCs w:val="21"/>
          <w:highlight w:val="none"/>
        </w:rPr>
      </w:pPr>
    </w:p>
    <w:p w14:paraId="018C9EA7">
      <w:pPr>
        <w:shd w:val="clear" w:color="auto" w:fill="FFFFFF" w:themeFill="background1"/>
        <w:snapToGrid w:val="0"/>
        <w:spacing w:before="50" w:after="50"/>
        <w:rPr>
          <w:rFonts w:ascii="宋体" w:hAnsi="宋体" w:cs="宋体"/>
          <w:color w:val="auto"/>
          <w:sz w:val="24"/>
          <w:highlight w:val="none"/>
        </w:rPr>
      </w:pPr>
    </w:p>
    <w:p w14:paraId="0596774C">
      <w:pPr>
        <w:shd w:val="clear" w:color="auto" w:fill="FFFFFF" w:themeFill="background1"/>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投标人名称(盖公章)：</w:t>
      </w:r>
    </w:p>
    <w:p w14:paraId="6FB6E483">
      <w:pPr>
        <w:shd w:val="clear" w:color="auto" w:fill="FFFFFF" w:themeFill="background1"/>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9AA0B33">
      <w:pPr>
        <w:shd w:val="clear" w:color="auto" w:fill="FFFFFF" w:themeFill="background1"/>
        <w:rPr>
          <w:rFonts w:ascii="宋体" w:hAnsi="宋体" w:cs="宋体"/>
          <w:color w:val="auto"/>
          <w:highlight w:val="none"/>
        </w:rPr>
      </w:pPr>
    </w:p>
    <w:p w14:paraId="18487105">
      <w:pPr>
        <w:widowControl/>
        <w:shd w:val="clear" w:color="auto" w:fill="FFFFFF" w:themeFill="background1"/>
        <w:jc w:val="left"/>
        <w:rPr>
          <w:rFonts w:ascii="宋体" w:hAnsi="宋体" w:cs="宋体"/>
          <w:b/>
          <w:bCs/>
          <w:color w:val="auto"/>
          <w:sz w:val="30"/>
          <w:szCs w:val="30"/>
          <w:highlight w:val="none"/>
        </w:rPr>
        <w:sectPr>
          <w:pgSz w:w="11905" w:h="16838"/>
          <w:pgMar w:top="1134" w:right="1134" w:bottom="1134" w:left="1134" w:header="850" w:footer="850" w:gutter="0"/>
          <w:pgNumType w:fmt="decimal"/>
          <w:cols w:space="0" w:num="1"/>
          <w:titlePg/>
          <w:docGrid w:linePitch="331" w:charSpace="0"/>
        </w:sectPr>
      </w:pPr>
    </w:p>
    <w:p w14:paraId="046C342A">
      <w:pPr>
        <w:pStyle w:val="14"/>
        <w:shd w:val="clear" w:color="auto" w:fill="FFFFFF" w:themeFill="background1"/>
        <w:jc w:val="center"/>
        <w:outlineLvl w:val="1"/>
        <w:rPr>
          <w:rFonts w:hAnsi="宋体" w:cs="宋体"/>
          <w:b/>
          <w:bCs/>
          <w:color w:val="auto"/>
          <w:sz w:val="28"/>
          <w:szCs w:val="28"/>
          <w:highlight w:val="none"/>
        </w:rPr>
      </w:pPr>
      <w:bookmarkStart w:id="382" w:name="_Toc8889"/>
      <w:bookmarkStart w:id="383" w:name="_Toc24407"/>
      <w:bookmarkStart w:id="384" w:name="_Toc17437"/>
      <w:bookmarkStart w:id="385" w:name="_Toc10197"/>
      <w:bookmarkStart w:id="386" w:name="_Toc27757"/>
      <w:bookmarkStart w:id="387" w:name="_Toc585"/>
      <w:bookmarkStart w:id="388" w:name="_Toc24098"/>
      <w:bookmarkStart w:id="389" w:name="_Toc1161"/>
      <w:bookmarkStart w:id="390" w:name="_Toc10435"/>
      <w:bookmarkStart w:id="391" w:name="_Toc19686839"/>
      <w:bookmarkStart w:id="392" w:name="_Toc23685"/>
      <w:r>
        <w:rPr>
          <w:rFonts w:hint="eastAsia" w:hAnsi="宋体" w:cs="宋体"/>
          <w:b/>
          <w:bCs/>
          <w:color w:val="auto"/>
          <w:sz w:val="28"/>
          <w:szCs w:val="28"/>
          <w:highlight w:val="none"/>
        </w:rPr>
        <w:t>第三节 技术文件格式</w:t>
      </w:r>
      <w:bookmarkEnd w:id="382"/>
      <w:bookmarkEnd w:id="383"/>
      <w:bookmarkEnd w:id="384"/>
      <w:bookmarkEnd w:id="385"/>
      <w:bookmarkEnd w:id="386"/>
      <w:bookmarkEnd w:id="387"/>
      <w:bookmarkEnd w:id="388"/>
      <w:bookmarkEnd w:id="389"/>
      <w:bookmarkEnd w:id="390"/>
      <w:bookmarkEnd w:id="391"/>
      <w:bookmarkEnd w:id="392"/>
    </w:p>
    <w:p w14:paraId="18E032A9">
      <w:pPr>
        <w:shd w:val="clear" w:color="auto" w:fill="FFFFFF" w:themeFill="background1"/>
        <w:snapToGrid w:val="0"/>
        <w:spacing w:before="120" w:beforeLines="50" w:after="50"/>
        <w:rPr>
          <w:rFonts w:ascii="宋体" w:hAnsi="宋体" w:cs="宋体"/>
          <w:color w:val="auto"/>
          <w:sz w:val="24"/>
          <w:highlight w:val="none"/>
        </w:rPr>
      </w:pPr>
      <w:r>
        <w:rPr>
          <w:rFonts w:hint="eastAsia" w:ascii="宋体" w:hAnsi="宋体" w:cs="宋体"/>
          <w:color w:val="auto"/>
          <w:sz w:val="24"/>
          <w:highlight w:val="none"/>
        </w:rPr>
        <w:t xml:space="preserve">   </w:t>
      </w:r>
    </w:p>
    <w:p w14:paraId="126FA560">
      <w:pPr>
        <w:shd w:val="clear" w:color="auto" w:fill="FFFFFF" w:themeFill="background1"/>
        <w:snapToGrid w:val="0"/>
        <w:spacing w:before="120" w:beforeLines="50" w:after="50"/>
        <w:rPr>
          <w:rFonts w:ascii="宋体" w:hAnsi="宋体" w:cs="宋体"/>
          <w:color w:val="auto"/>
          <w:sz w:val="24"/>
          <w:highlight w:val="none"/>
        </w:rPr>
      </w:pPr>
      <w:r>
        <w:rPr>
          <w:rFonts w:hint="eastAsia" w:ascii="宋体" w:hAnsi="宋体" w:cs="宋体"/>
          <w:b/>
          <w:color w:val="auto"/>
          <w:sz w:val="28"/>
          <w:szCs w:val="28"/>
          <w:highlight w:val="none"/>
        </w:rPr>
        <w:t>1. 技术文件封面的格式（参照此格式自拟）：</w:t>
      </w:r>
    </w:p>
    <w:p w14:paraId="0A90F3CE">
      <w:pPr>
        <w:shd w:val="clear" w:color="auto" w:fill="FFFFFF" w:themeFill="background1"/>
        <w:snapToGrid w:val="0"/>
        <w:spacing w:before="120" w:beforeLines="50" w:after="50"/>
        <w:ind w:firstLine="1200" w:firstLineChars="500"/>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电子投标文件</w:t>
      </w:r>
    </w:p>
    <w:p w14:paraId="3B9636FA">
      <w:pPr>
        <w:shd w:val="clear" w:color="auto" w:fill="FFFFFF" w:themeFill="background1"/>
        <w:snapToGrid w:val="0"/>
        <w:spacing w:before="120" w:beforeLines="50" w:after="50"/>
        <w:rPr>
          <w:rFonts w:ascii="宋体" w:hAnsi="宋体" w:cs="宋体"/>
          <w:color w:val="auto"/>
          <w:sz w:val="24"/>
          <w:szCs w:val="20"/>
          <w:highlight w:val="none"/>
        </w:rPr>
      </w:pPr>
    </w:p>
    <w:p w14:paraId="67155FDF">
      <w:pPr>
        <w:shd w:val="clear" w:color="auto" w:fill="FFFFFF" w:themeFill="background1"/>
        <w:snapToGrid w:val="0"/>
        <w:spacing w:before="120" w:beforeLines="50" w:after="50"/>
        <w:jc w:val="center"/>
        <w:rPr>
          <w:rFonts w:ascii="宋体" w:hAnsi="宋体" w:cs="宋体"/>
          <w:b/>
          <w:bCs/>
          <w:color w:val="auto"/>
          <w:sz w:val="32"/>
          <w:szCs w:val="32"/>
          <w:highlight w:val="none"/>
        </w:rPr>
      </w:pPr>
    </w:p>
    <w:p w14:paraId="1169125E">
      <w:pPr>
        <w:shd w:val="clear" w:color="auto" w:fill="FFFFFF" w:themeFill="background1"/>
        <w:snapToGrid w:val="0"/>
        <w:spacing w:before="120" w:beforeLines="50" w:after="5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技术文件</w:t>
      </w:r>
    </w:p>
    <w:p w14:paraId="4735F844">
      <w:pPr>
        <w:shd w:val="clear" w:color="auto" w:fill="FFFFFF" w:themeFill="background1"/>
        <w:snapToGrid w:val="0"/>
        <w:spacing w:before="120" w:beforeLines="50" w:after="50"/>
        <w:rPr>
          <w:rFonts w:ascii="宋体" w:hAnsi="宋体" w:cs="宋体"/>
          <w:bCs/>
          <w:color w:val="auto"/>
          <w:sz w:val="24"/>
          <w:szCs w:val="20"/>
          <w:highlight w:val="none"/>
        </w:rPr>
      </w:pPr>
    </w:p>
    <w:p w14:paraId="48946599">
      <w:pPr>
        <w:shd w:val="clear" w:color="auto" w:fill="FFFFFF" w:themeFill="background1"/>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729862CC">
      <w:pPr>
        <w:shd w:val="clear" w:color="auto" w:fill="FFFFFF" w:themeFill="background1"/>
        <w:snapToGrid w:val="0"/>
        <w:spacing w:before="120" w:beforeLines="50" w:after="50" w:line="400" w:lineRule="exact"/>
        <w:ind w:firstLine="360" w:firstLineChars="150"/>
        <w:rPr>
          <w:rFonts w:hint="eastAsia" w:ascii="宋体" w:hAnsi="宋体" w:cs="宋体"/>
          <w:bCs/>
          <w:color w:val="auto"/>
          <w:sz w:val="24"/>
          <w:highlight w:val="none"/>
        </w:rPr>
      </w:pPr>
    </w:p>
    <w:p w14:paraId="4D31647E">
      <w:pPr>
        <w:shd w:val="clear" w:color="auto" w:fill="FFFFFF" w:themeFill="background1"/>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项目编号： </w:t>
      </w:r>
    </w:p>
    <w:p w14:paraId="20404AD5">
      <w:pPr>
        <w:shd w:val="clear" w:color="auto" w:fill="FFFFFF" w:themeFill="background1"/>
        <w:snapToGrid w:val="0"/>
        <w:spacing w:before="120" w:beforeLines="50" w:after="50" w:line="400" w:lineRule="exact"/>
        <w:ind w:firstLine="360" w:firstLineChars="150"/>
        <w:rPr>
          <w:rFonts w:hint="eastAsia" w:ascii="宋体" w:hAnsi="宋体" w:cs="宋体"/>
          <w:bCs/>
          <w:color w:val="auto"/>
          <w:sz w:val="24"/>
          <w:highlight w:val="none"/>
        </w:rPr>
      </w:pPr>
    </w:p>
    <w:p w14:paraId="081E3158">
      <w:pPr>
        <w:shd w:val="clear" w:color="auto" w:fill="FFFFFF" w:themeFill="background1"/>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所投</w:t>
      </w:r>
      <w:r>
        <w:rPr>
          <w:rFonts w:hint="eastAsia" w:ascii="宋体" w:hAnsi="宋体" w:cs="宋体"/>
          <w:bCs/>
          <w:color w:val="auto"/>
          <w:sz w:val="24"/>
          <w:highlight w:val="none"/>
          <w:lang w:eastAsia="zh-CN"/>
        </w:rPr>
        <w:t>标项</w:t>
      </w:r>
      <w:r>
        <w:rPr>
          <w:rFonts w:hint="eastAsia" w:ascii="宋体" w:hAnsi="宋体" w:cs="宋体"/>
          <w:bCs/>
          <w:color w:val="auto"/>
          <w:sz w:val="24"/>
          <w:highlight w:val="none"/>
        </w:rPr>
        <w:t>（如有则填写，无分标时填写“无”或者留空）：</w:t>
      </w:r>
    </w:p>
    <w:p w14:paraId="761B0A99">
      <w:pPr>
        <w:shd w:val="clear" w:color="auto" w:fill="FFFFFF" w:themeFill="background1"/>
        <w:snapToGrid w:val="0"/>
        <w:spacing w:before="120" w:beforeLines="50" w:after="50" w:line="400" w:lineRule="exact"/>
        <w:ind w:firstLine="360" w:firstLineChars="150"/>
        <w:rPr>
          <w:rFonts w:hint="eastAsia" w:ascii="宋体" w:hAnsi="宋体" w:cs="宋体"/>
          <w:bCs/>
          <w:color w:val="auto"/>
          <w:sz w:val="24"/>
          <w:highlight w:val="none"/>
        </w:rPr>
      </w:pPr>
    </w:p>
    <w:p w14:paraId="431A7169">
      <w:pPr>
        <w:shd w:val="clear" w:color="auto" w:fill="FFFFFF" w:themeFill="background1"/>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投标人名称：</w:t>
      </w:r>
    </w:p>
    <w:p w14:paraId="23DA003A">
      <w:pPr>
        <w:shd w:val="clear" w:color="auto" w:fill="FFFFFF" w:themeFill="background1"/>
        <w:snapToGrid w:val="0"/>
        <w:spacing w:before="120" w:beforeLines="50" w:after="50"/>
        <w:ind w:firstLine="645"/>
        <w:jc w:val="center"/>
        <w:rPr>
          <w:rFonts w:ascii="宋体" w:hAnsi="宋体" w:cs="宋体"/>
          <w:color w:val="auto"/>
          <w:sz w:val="24"/>
          <w:highlight w:val="none"/>
        </w:rPr>
      </w:pPr>
      <w:r>
        <w:rPr>
          <w:rFonts w:hint="eastAsia" w:ascii="宋体" w:hAnsi="宋体" w:cs="宋体"/>
          <w:color w:val="auto"/>
          <w:sz w:val="24"/>
          <w:highlight w:val="none"/>
        </w:rPr>
        <w:t xml:space="preserve">                       </w:t>
      </w:r>
    </w:p>
    <w:p w14:paraId="25084C90">
      <w:pPr>
        <w:shd w:val="clear" w:color="auto" w:fill="FFFFFF" w:themeFill="background1"/>
        <w:snapToGrid w:val="0"/>
        <w:spacing w:before="120" w:beforeLines="50" w:after="50"/>
        <w:ind w:firstLine="645"/>
        <w:jc w:val="center"/>
        <w:rPr>
          <w:rFonts w:ascii="宋体" w:hAnsi="宋体" w:cs="宋体"/>
          <w:color w:val="auto"/>
          <w:sz w:val="24"/>
          <w:highlight w:val="none"/>
        </w:rPr>
      </w:pPr>
    </w:p>
    <w:p w14:paraId="14D15886">
      <w:pPr>
        <w:shd w:val="clear" w:color="auto" w:fill="FFFFFF" w:themeFill="background1"/>
        <w:snapToGrid w:val="0"/>
        <w:spacing w:before="120" w:beforeLines="50" w:after="50"/>
        <w:ind w:firstLine="645"/>
        <w:jc w:val="center"/>
        <w:rPr>
          <w:rFonts w:ascii="宋体" w:hAnsi="宋体" w:cs="宋体"/>
          <w:color w:val="auto"/>
          <w:sz w:val="24"/>
          <w:highlight w:val="none"/>
        </w:rPr>
      </w:pPr>
    </w:p>
    <w:p w14:paraId="0A34866A">
      <w:pPr>
        <w:shd w:val="clear" w:color="auto" w:fill="FFFFFF" w:themeFill="background1"/>
        <w:snapToGrid w:val="0"/>
        <w:spacing w:before="120" w:beforeLines="50" w:after="50"/>
        <w:ind w:firstLine="645"/>
        <w:jc w:val="center"/>
        <w:rPr>
          <w:rFonts w:ascii="宋体" w:hAnsi="宋体" w:cs="宋体"/>
          <w:color w:val="auto"/>
          <w:sz w:val="24"/>
          <w:highlight w:val="none"/>
        </w:rPr>
      </w:pPr>
    </w:p>
    <w:p w14:paraId="37D9DC3A">
      <w:pPr>
        <w:shd w:val="clear" w:color="auto" w:fill="FFFFFF" w:themeFill="background1"/>
        <w:snapToGrid w:val="0"/>
        <w:spacing w:before="120" w:beforeLines="50" w:after="50"/>
        <w:ind w:firstLine="645"/>
        <w:jc w:val="center"/>
        <w:rPr>
          <w:rFonts w:ascii="宋体" w:hAnsi="宋体" w:cs="宋体"/>
          <w:color w:val="auto"/>
          <w:sz w:val="24"/>
          <w:highlight w:val="none"/>
        </w:rPr>
      </w:pPr>
    </w:p>
    <w:p w14:paraId="7562349D">
      <w:pPr>
        <w:shd w:val="clear" w:color="auto" w:fill="FFFFFF" w:themeFill="background1"/>
        <w:snapToGrid w:val="0"/>
        <w:spacing w:before="120" w:beforeLines="50" w:after="50"/>
        <w:ind w:firstLine="645"/>
        <w:jc w:val="center"/>
        <w:rPr>
          <w:rFonts w:ascii="宋体" w:hAnsi="宋体" w:cs="宋体"/>
          <w:color w:val="auto"/>
          <w:sz w:val="24"/>
          <w:highlight w:val="none"/>
        </w:rPr>
      </w:pPr>
    </w:p>
    <w:p w14:paraId="52534997">
      <w:pPr>
        <w:shd w:val="clear" w:color="auto" w:fill="FFFFFF" w:themeFill="background1"/>
        <w:snapToGrid w:val="0"/>
        <w:spacing w:before="120" w:beforeLines="50" w:after="50"/>
        <w:ind w:firstLine="645"/>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14:paraId="150C08BC">
      <w:pPr>
        <w:shd w:val="clear" w:color="auto" w:fill="FFFFFF" w:themeFill="background1"/>
        <w:snapToGrid w:val="0"/>
        <w:spacing w:before="120" w:beforeLines="50" w:after="50"/>
        <w:ind w:firstLine="645"/>
        <w:jc w:val="center"/>
        <w:rPr>
          <w:rFonts w:ascii="宋体" w:hAnsi="宋体" w:cs="宋体"/>
          <w:color w:val="auto"/>
          <w:sz w:val="24"/>
          <w:szCs w:val="20"/>
          <w:highlight w:val="none"/>
        </w:rPr>
      </w:pPr>
    </w:p>
    <w:p w14:paraId="3155B9D7">
      <w:pPr>
        <w:shd w:val="clear" w:color="auto" w:fill="FFFFFF" w:themeFill="background1"/>
        <w:jc w:val="center"/>
        <w:rPr>
          <w:rFonts w:ascii="宋体" w:hAnsi="宋体" w:cs="宋体"/>
          <w:b/>
          <w:bCs/>
          <w:color w:val="auto"/>
          <w:sz w:val="24"/>
          <w:highlight w:val="none"/>
        </w:rPr>
      </w:pPr>
      <w:r>
        <w:rPr>
          <w:rFonts w:hint="eastAsia" w:ascii="宋体" w:hAnsi="宋体" w:cs="宋体"/>
          <w:b/>
          <w:bCs/>
          <w:color w:val="auto"/>
          <w:sz w:val="24"/>
          <w:highlight w:val="none"/>
        </w:rPr>
        <w:br w:type="page"/>
      </w:r>
    </w:p>
    <w:p w14:paraId="37D03F4E">
      <w:pPr>
        <w:numPr>
          <w:ilvl w:val="0"/>
          <w:numId w:val="4"/>
        </w:numPr>
        <w:shd w:val="clear" w:color="auto" w:fill="FFFFFF" w:themeFill="background1"/>
        <w:snapToGrid w:val="0"/>
        <w:spacing w:before="120" w:beforeLines="50" w:after="50"/>
        <w:ind w:left="142"/>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技术文件目录</w:t>
      </w:r>
    </w:p>
    <w:p w14:paraId="5D45936F">
      <w:pPr>
        <w:shd w:val="clear" w:color="auto" w:fill="FFFFFF" w:themeFill="background1"/>
        <w:snapToGrid w:val="0"/>
        <w:spacing w:before="120" w:beforeLines="50" w:after="50"/>
        <w:ind w:left="142"/>
        <w:jc w:val="left"/>
        <w:rPr>
          <w:rFonts w:ascii="宋体" w:hAnsi="宋体" w:cs="宋体"/>
          <w:b/>
          <w:color w:val="auto"/>
          <w:sz w:val="24"/>
          <w:highlight w:val="none"/>
        </w:rPr>
      </w:pPr>
      <w:r>
        <w:rPr>
          <w:rFonts w:hint="eastAsia" w:ascii="宋体" w:hAnsi="宋体" w:cs="宋体"/>
          <w:color w:val="auto"/>
          <w:kern w:val="0"/>
          <w:sz w:val="24"/>
          <w:highlight w:val="none"/>
        </w:rPr>
        <w:t>根据招标文件规定及投标人提供的材料自行编写目录（部分格式后附）。</w:t>
      </w:r>
    </w:p>
    <w:p w14:paraId="7F170CE6">
      <w:pPr>
        <w:shd w:val="clear" w:color="auto" w:fill="FFFFFF" w:themeFill="background1"/>
        <w:snapToGrid w:val="0"/>
        <w:spacing w:before="120" w:beforeLines="50" w:after="50"/>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 xml:space="preserve"> </w:t>
      </w:r>
      <w:r>
        <w:rPr>
          <w:rFonts w:hint="eastAsia" w:ascii="宋体" w:hAnsi="宋体" w:cs="宋体"/>
          <w:b/>
          <w:color w:val="auto"/>
          <w:sz w:val="28"/>
          <w:szCs w:val="28"/>
          <w:highlight w:val="none"/>
        </w:rPr>
        <w:t>3. 服务要求偏离表的格式：</w:t>
      </w:r>
    </w:p>
    <w:p w14:paraId="585A18B5">
      <w:pPr>
        <w:pStyle w:val="14"/>
        <w:shd w:val="clear" w:color="auto" w:fill="FFFFFF" w:themeFill="background1"/>
        <w:spacing w:line="500" w:lineRule="exact"/>
        <w:jc w:val="center"/>
        <w:rPr>
          <w:rFonts w:hAnsi="宋体" w:cs="宋体"/>
          <w:b/>
          <w:bCs/>
          <w:color w:val="auto"/>
          <w:sz w:val="30"/>
          <w:szCs w:val="30"/>
          <w:highlight w:val="none"/>
        </w:rPr>
      </w:pPr>
      <w:r>
        <w:rPr>
          <w:rFonts w:hint="eastAsia" w:hAnsi="宋体" w:cs="宋体"/>
          <w:b/>
          <w:bCs/>
          <w:color w:val="auto"/>
          <w:sz w:val="30"/>
          <w:szCs w:val="30"/>
          <w:highlight w:val="none"/>
        </w:rPr>
        <w:t>服务要求偏离表</w:t>
      </w:r>
    </w:p>
    <w:p w14:paraId="14927FF0">
      <w:pPr>
        <w:pStyle w:val="14"/>
        <w:shd w:val="clear" w:color="auto" w:fill="FFFFFF" w:themeFill="background1"/>
        <w:spacing w:line="440" w:lineRule="exact"/>
        <w:ind w:firstLine="420" w:firstLineChars="200"/>
        <w:rPr>
          <w:rFonts w:hAnsi="宋体" w:cs="宋体"/>
          <w:color w:val="auto"/>
          <w:highlight w:val="none"/>
        </w:rPr>
      </w:pPr>
    </w:p>
    <w:p w14:paraId="6AFA4843">
      <w:pPr>
        <w:shd w:val="clear" w:color="auto" w:fill="FFFFFF" w:themeFill="background1"/>
        <w:spacing w:line="360" w:lineRule="auto"/>
        <w:contextualSpacing/>
        <w:rPr>
          <w:rFonts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351F8236">
      <w:pPr>
        <w:pStyle w:val="14"/>
        <w:shd w:val="clear" w:color="auto" w:fill="FFFFFF" w:themeFill="background1"/>
        <w:spacing w:line="600" w:lineRule="exact"/>
        <w:rPr>
          <w:rFonts w:hAnsi="宋体" w:cs="宋体"/>
          <w:color w:val="auto"/>
          <w:sz w:val="24"/>
          <w:highlight w:val="none"/>
          <w:u w:val="single"/>
        </w:rPr>
      </w:pPr>
      <w:r>
        <w:rPr>
          <w:rFonts w:hint="eastAsia" w:hAnsi="宋体" w:cs="宋体"/>
          <w:color w:val="auto"/>
          <w:sz w:val="24"/>
          <w:highlight w:val="none"/>
        </w:rPr>
        <w:t>项目编号：</w:t>
      </w:r>
      <w:r>
        <w:rPr>
          <w:rFonts w:hint="eastAsia" w:hAnsi="宋体" w:cs="宋体"/>
          <w:color w:val="auto"/>
          <w:sz w:val="24"/>
          <w:highlight w:val="none"/>
          <w:u w:val="single"/>
        </w:rPr>
        <w:t xml:space="preserve">                 </w:t>
      </w:r>
    </w:p>
    <w:p w14:paraId="050FAC5E">
      <w:pPr>
        <w:pStyle w:val="9"/>
        <w:shd w:val="clear" w:color="auto" w:fill="FFFFFF" w:themeFill="background1"/>
        <w:rPr>
          <w:rFonts w:ascii="宋体" w:hAnsi="宋体" w:cs="宋体"/>
          <w:color w:val="auto"/>
          <w:highlight w:val="none"/>
        </w:rPr>
      </w:pPr>
    </w:p>
    <w:p w14:paraId="29CE58F9">
      <w:pPr>
        <w:pStyle w:val="9"/>
        <w:shd w:val="clear" w:color="auto" w:fill="FFFFFF" w:themeFill="background1"/>
        <w:ind w:left="0"/>
        <w:rPr>
          <w:rFonts w:ascii="宋体" w:hAnsi="宋体" w:cs="宋体"/>
          <w:color w:val="auto"/>
          <w:sz w:val="24"/>
          <w:highlight w:val="none"/>
          <w:u w:val="single"/>
        </w:rPr>
      </w:pPr>
      <w:r>
        <w:rPr>
          <w:rFonts w:hint="eastAsia" w:ascii="宋体" w:hAnsi="宋体" w:cs="宋体"/>
          <w:color w:val="auto"/>
          <w:sz w:val="24"/>
          <w:szCs w:val="20"/>
          <w:highlight w:val="none"/>
        </w:rPr>
        <w:t>所投</w:t>
      </w:r>
      <w:r>
        <w:rPr>
          <w:rFonts w:hint="eastAsia" w:ascii="宋体" w:hAnsi="宋体" w:cs="宋体"/>
          <w:color w:val="auto"/>
          <w:sz w:val="24"/>
          <w:szCs w:val="20"/>
          <w:highlight w:val="none"/>
          <w:lang w:eastAsia="zh-CN"/>
        </w:rPr>
        <w:t>标项</w:t>
      </w:r>
      <w:r>
        <w:rPr>
          <w:rFonts w:hint="eastAsia" w:ascii="宋体" w:hAnsi="宋体" w:cs="宋体"/>
          <w:color w:val="auto"/>
          <w:sz w:val="24"/>
          <w:szCs w:val="24"/>
          <w:highlight w:val="none"/>
        </w:rPr>
        <w:t>（此处有分标时填写具体分标号，无分标时填写“无”）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417D6E1C">
      <w:pPr>
        <w:shd w:val="clear" w:color="auto" w:fill="FFFFFF" w:themeFill="background1"/>
        <w:rPr>
          <w:rFonts w:ascii="宋体" w:hAnsi="宋体" w:cs="宋体"/>
          <w:color w:val="auto"/>
          <w:highlight w:val="none"/>
        </w:rPr>
      </w:pPr>
    </w:p>
    <w:tbl>
      <w:tblPr>
        <w:tblStyle w:val="25"/>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262"/>
        <w:gridCol w:w="3133"/>
        <w:gridCol w:w="3769"/>
        <w:gridCol w:w="1168"/>
      </w:tblGrid>
      <w:tr w14:paraId="1BCDC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1"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3CC957B5">
            <w:pPr>
              <w:shd w:val="clear" w:color="auto" w:fill="FFFFFF" w:themeFill="background1"/>
              <w:rPr>
                <w:rFonts w:ascii="宋体" w:hAnsi="宋体" w:cs="宋体"/>
                <w:color w:val="auto"/>
                <w:szCs w:val="21"/>
                <w:highlight w:val="none"/>
              </w:rPr>
            </w:pPr>
            <w:r>
              <w:rPr>
                <w:rFonts w:hint="eastAsia" w:ascii="宋体" w:hAnsi="宋体" w:cs="宋体"/>
                <w:color w:val="auto"/>
                <w:szCs w:val="21"/>
                <w:highlight w:val="none"/>
              </w:rPr>
              <w:t>项号</w:t>
            </w:r>
          </w:p>
        </w:tc>
        <w:tc>
          <w:tcPr>
            <w:tcW w:w="1262" w:type="dxa"/>
            <w:tcBorders>
              <w:top w:val="single" w:color="auto" w:sz="4" w:space="0"/>
              <w:left w:val="single" w:color="auto" w:sz="4" w:space="0"/>
              <w:right w:val="single" w:color="auto" w:sz="4" w:space="0"/>
            </w:tcBorders>
            <w:vAlign w:val="center"/>
          </w:tcPr>
          <w:p w14:paraId="34DDC911">
            <w:pPr>
              <w:shd w:val="clear" w:color="auto" w:fill="FFFFFF" w:themeFill="background1"/>
              <w:jc w:val="center"/>
              <w:rPr>
                <w:rFonts w:ascii="宋体" w:hAnsi="宋体" w:cs="宋体"/>
                <w:color w:val="auto"/>
                <w:szCs w:val="21"/>
                <w:highlight w:val="none"/>
              </w:rPr>
            </w:pPr>
            <w:r>
              <w:rPr>
                <w:rFonts w:hint="eastAsia" w:ascii="宋体" w:hAnsi="宋体" w:cs="宋体"/>
                <w:color w:val="auto"/>
                <w:szCs w:val="21"/>
                <w:highlight w:val="none"/>
              </w:rPr>
              <w:t>标的名称</w:t>
            </w:r>
          </w:p>
        </w:tc>
        <w:tc>
          <w:tcPr>
            <w:tcW w:w="3133" w:type="dxa"/>
            <w:tcBorders>
              <w:top w:val="single" w:color="auto" w:sz="4" w:space="0"/>
              <w:left w:val="single" w:color="auto" w:sz="4" w:space="0"/>
              <w:bottom w:val="single" w:color="auto" w:sz="4" w:space="0"/>
              <w:right w:val="single" w:color="auto" w:sz="4" w:space="0"/>
            </w:tcBorders>
            <w:vAlign w:val="center"/>
          </w:tcPr>
          <w:p w14:paraId="1225EBD1">
            <w:pPr>
              <w:shd w:val="clear" w:color="auto" w:fill="FFFFFF" w:themeFill="background1"/>
              <w:jc w:val="center"/>
              <w:rPr>
                <w:rFonts w:ascii="宋体" w:hAnsi="宋体" w:cs="宋体"/>
                <w:color w:val="auto"/>
                <w:szCs w:val="21"/>
                <w:highlight w:val="none"/>
              </w:rPr>
            </w:pPr>
            <w:r>
              <w:rPr>
                <w:rFonts w:hint="eastAsia" w:ascii="宋体" w:hAnsi="宋体" w:cs="宋体"/>
                <w:color w:val="auto"/>
                <w:szCs w:val="21"/>
                <w:highlight w:val="none"/>
              </w:rPr>
              <w:t>招标文件采购需求中的服务内容</w:t>
            </w:r>
          </w:p>
        </w:tc>
        <w:tc>
          <w:tcPr>
            <w:tcW w:w="3769" w:type="dxa"/>
            <w:tcBorders>
              <w:top w:val="single" w:color="auto" w:sz="4" w:space="0"/>
              <w:left w:val="single" w:color="auto" w:sz="4" w:space="0"/>
              <w:right w:val="single" w:color="auto" w:sz="4" w:space="0"/>
            </w:tcBorders>
            <w:vAlign w:val="center"/>
          </w:tcPr>
          <w:p w14:paraId="70CD464D">
            <w:pPr>
              <w:shd w:val="clear" w:color="auto" w:fill="FFFFFF" w:themeFill="background1"/>
              <w:jc w:val="center"/>
              <w:rPr>
                <w:rFonts w:ascii="宋体" w:hAnsi="宋体" w:cs="宋体"/>
                <w:color w:val="auto"/>
                <w:szCs w:val="21"/>
                <w:highlight w:val="none"/>
              </w:rPr>
            </w:pPr>
            <w:r>
              <w:rPr>
                <w:rFonts w:hint="eastAsia" w:ascii="宋体" w:hAnsi="宋体" w:cs="宋体"/>
                <w:color w:val="auto"/>
                <w:szCs w:val="21"/>
                <w:highlight w:val="none"/>
              </w:rPr>
              <w:t>投标文件响应的服务内容</w:t>
            </w:r>
          </w:p>
        </w:tc>
        <w:tc>
          <w:tcPr>
            <w:tcW w:w="1168" w:type="dxa"/>
            <w:tcBorders>
              <w:top w:val="single" w:color="auto" w:sz="4" w:space="0"/>
              <w:left w:val="single" w:color="auto" w:sz="4" w:space="0"/>
              <w:bottom w:val="single" w:color="auto" w:sz="4" w:space="0"/>
              <w:right w:val="single" w:color="auto" w:sz="4" w:space="0"/>
            </w:tcBorders>
            <w:vAlign w:val="center"/>
          </w:tcPr>
          <w:p w14:paraId="2EAD8235">
            <w:pPr>
              <w:shd w:val="clear" w:color="auto" w:fill="FFFFFF" w:themeFill="background1"/>
              <w:rPr>
                <w:rFonts w:ascii="宋体" w:hAnsi="宋体" w:cs="宋体"/>
                <w:color w:val="auto"/>
                <w:szCs w:val="21"/>
                <w:highlight w:val="none"/>
              </w:rPr>
            </w:pPr>
            <w:r>
              <w:rPr>
                <w:rFonts w:hint="eastAsia" w:ascii="宋体" w:hAnsi="宋体" w:cs="宋体"/>
                <w:color w:val="auto"/>
                <w:szCs w:val="21"/>
                <w:highlight w:val="none"/>
              </w:rPr>
              <w:t>偏离说明</w:t>
            </w:r>
          </w:p>
        </w:tc>
      </w:tr>
      <w:tr w14:paraId="220FF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75D979D3">
            <w:pPr>
              <w:shd w:val="clear" w:color="auto" w:fill="FFFFFF" w:themeFill="background1"/>
              <w:rPr>
                <w:rFonts w:ascii="宋体" w:hAnsi="宋体" w:cs="宋体"/>
                <w:color w:val="auto"/>
                <w:szCs w:val="21"/>
                <w:highlight w:val="none"/>
              </w:rPr>
            </w:pPr>
            <w:r>
              <w:rPr>
                <w:rFonts w:hint="eastAsia" w:ascii="宋体" w:hAnsi="宋体" w:cs="宋体"/>
                <w:color w:val="auto"/>
                <w:szCs w:val="21"/>
                <w:highlight w:val="none"/>
              </w:rPr>
              <w:t>1</w:t>
            </w:r>
          </w:p>
        </w:tc>
        <w:tc>
          <w:tcPr>
            <w:tcW w:w="1262" w:type="dxa"/>
            <w:tcBorders>
              <w:top w:val="single" w:color="auto" w:sz="4" w:space="0"/>
              <w:left w:val="single" w:color="auto" w:sz="4" w:space="0"/>
              <w:bottom w:val="single" w:color="auto" w:sz="4" w:space="0"/>
              <w:right w:val="single" w:color="auto" w:sz="4" w:space="0"/>
            </w:tcBorders>
            <w:vAlign w:val="center"/>
          </w:tcPr>
          <w:p w14:paraId="43749442">
            <w:pPr>
              <w:shd w:val="clear" w:color="auto" w:fill="FFFFFF" w:themeFill="background1"/>
              <w:rPr>
                <w:rFonts w:ascii="宋体" w:hAnsi="宋体" w:cs="宋体"/>
                <w:color w:val="auto"/>
                <w:szCs w:val="21"/>
                <w:highlight w:val="none"/>
              </w:rPr>
            </w:pPr>
          </w:p>
        </w:tc>
        <w:tc>
          <w:tcPr>
            <w:tcW w:w="3133" w:type="dxa"/>
            <w:tcBorders>
              <w:top w:val="single" w:color="auto" w:sz="4" w:space="0"/>
              <w:left w:val="single" w:color="auto" w:sz="4" w:space="0"/>
              <w:bottom w:val="single" w:color="auto" w:sz="4" w:space="0"/>
              <w:right w:val="single" w:color="auto" w:sz="4" w:space="0"/>
            </w:tcBorders>
            <w:vAlign w:val="center"/>
          </w:tcPr>
          <w:p w14:paraId="1009A81F">
            <w:pPr>
              <w:shd w:val="clear" w:color="auto" w:fill="FFFFFF" w:themeFill="background1"/>
              <w:rPr>
                <w:rFonts w:ascii="宋体" w:hAnsi="宋体" w:cs="宋体"/>
                <w:color w:val="auto"/>
                <w:szCs w:val="21"/>
                <w:highlight w:val="none"/>
              </w:rPr>
            </w:pPr>
          </w:p>
        </w:tc>
        <w:tc>
          <w:tcPr>
            <w:tcW w:w="3769" w:type="dxa"/>
            <w:tcBorders>
              <w:top w:val="single" w:color="auto" w:sz="4" w:space="0"/>
              <w:left w:val="single" w:color="auto" w:sz="4" w:space="0"/>
              <w:bottom w:val="single" w:color="auto" w:sz="4" w:space="0"/>
              <w:right w:val="single" w:color="auto" w:sz="4" w:space="0"/>
            </w:tcBorders>
            <w:vAlign w:val="center"/>
          </w:tcPr>
          <w:p w14:paraId="2ACD082E">
            <w:pPr>
              <w:shd w:val="clear" w:color="auto" w:fill="FFFFFF" w:themeFill="background1"/>
              <w:rPr>
                <w:rFonts w:ascii="宋体" w:hAnsi="宋体" w:cs="宋体"/>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32A6CB61">
            <w:pPr>
              <w:shd w:val="clear" w:color="auto" w:fill="FFFFFF" w:themeFill="background1"/>
              <w:rPr>
                <w:rFonts w:ascii="宋体" w:hAnsi="宋体" w:cs="宋体"/>
                <w:color w:val="auto"/>
                <w:szCs w:val="21"/>
                <w:highlight w:val="none"/>
              </w:rPr>
            </w:pPr>
          </w:p>
        </w:tc>
      </w:tr>
      <w:tr w14:paraId="56D6C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4599150A">
            <w:pPr>
              <w:shd w:val="clear" w:color="auto" w:fill="FFFFFF" w:themeFill="background1"/>
              <w:rPr>
                <w:rFonts w:ascii="宋体" w:hAnsi="宋体" w:cs="宋体"/>
                <w:color w:val="auto"/>
                <w:szCs w:val="21"/>
                <w:highlight w:val="none"/>
              </w:rPr>
            </w:pPr>
            <w:r>
              <w:rPr>
                <w:rFonts w:hint="eastAsia" w:ascii="宋体" w:hAnsi="宋体" w:cs="宋体"/>
                <w:color w:val="auto"/>
                <w:szCs w:val="21"/>
                <w:highlight w:val="none"/>
              </w:rPr>
              <w:t>2</w:t>
            </w:r>
          </w:p>
        </w:tc>
        <w:tc>
          <w:tcPr>
            <w:tcW w:w="1262" w:type="dxa"/>
            <w:tcBorders>
              <w:top w:val="single" w:color="auto" w:sz="4" w:space="0"/>
              <w:left w:val="single" w:color="auto" w:sz="4" w:space="0"/>
              <w:bottom w:val="single" w:color="auto" w:sz="4" w:space="0"/>
              <w:right w:val="single" w:color="auto" w:sz="4" w:space="0"/>
            </w:tcBorders>
            <w:vAlign w:val="center"/>
          </w:tcPr>
          <w:p w14:paraId="7A96116F">
            <w:pPr>
              <w:shd w:val="clear" w:color="auto" w:fill="FFFFFF" w:themeFill="background1"/>
              <w:rPr>
                <w:rFonts w:ascii="宋体" w:hAnsi="宋体" w:cs="宋体"/>
                <w:color w:val="auto"/>
                <w:szCs w:val="21"/>
                <w:highlight w:val="none"/>
              </w:rPr>
            </w:pPr>
          </w:p>
        </w:tc>
        <w:tc>
          <w:tcPr>
            <w:tcW w:w="3133" w:type="dxa"/>
            <w:tcBorders>
              <w:top w:val="single" w:color="auto" w:sz="4" w:space="0"/>
              <w:left w:val="single" w:color="auto" w:sz="4" w:space="0"/>
              <w:bottom w:val="single" w:color="auto" w:sz="4" w:space="0"/>
              <w:right w:val="single" w:color="auto" w:sz="4" w:space="0"/>
            </w:tcBorders>
            <w:vAlign w:val="center"/>
          </w:tcPr>
          <w:p w14:paraId="6AD60C71">
            <w:pPr>
              <w:shd w:val="clear" w:color="auto" w:fill="FFFFFF" w:themeFill="background1"/>
              <w:rPr>
                <w:rFonts w:ascii="宋体" w:hAnsi="宋体" w:cs="宋体"/>
                <w:color w:val="auto"/>
                <w:szCs w:val="21"/>
                <w:highlight w:val="none"/>
              </w:rPr>
            </w:pPr>
          </w:p>
        </w:tc>
        <w:tc>
          <w:tcPr>
            <w:tcW w:w="3769" w:type="dxa"/>
            <w:tcBorders>
              <w:top w:val="single" w:color="auto" w:sz="4" w:space="0"/>
              <w:left w:val="single" w:color="auto" w:sz="4" w:space="0"/>
              <w:bottom w:val="single" w:color="auto" w:sz="4" w:space="0"/>
              <w:right w:val="single" w:color="auto" w:sz="4" w:space="0"/>
            </w:tcBorders>
            <w:vAlign w:val="center"/>
          </w:tcPr>
          <w:p w14:paraId="75D44903">
            <w:pPr>
              <w:shd w:val="clear" w:color="auto" w:fill="FFFFFF" w:themeFill="background1"/>
              <w:rPr>
                <w:rFonts w:ascii="宋体" w:hAnsi="宋体" w:cs="宋体"/>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1EC31126">
            <w:pPr>
              <w:shd w:val="clear" w:color="auto" w:fill="FFFFFF" w:themeFill="background1"/>
              <w:rPr>
                <w:rFonts w:ascii="宋体" w:hAnsi="宋体" w:cs="宋体"/>
                <w:color w:val="auto"/>
                <w:szCs w:val="21"/>
                <w:highlight w:val="none"/>
              </w:rPr>
            </w:pPr>
          </w:p>
        </w:tc>
      </w:tr>
      <w:tr w14:paraId="5C28A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74352FFA">
            <w:pPr>
              <w:shd w:val="clear" w:color="auto" w:fill="FFFFFF" w:themeFill="background1"/>
              <w:rPr>
                <w:rFonts w:ascii="宋体" w:hAnsi="宋体" w:cs="宋体"/>
                <w:color w:val="auto"/>
                <w:szCs w:val="21"/>
                <w:highlight w:val="none"/>
              </w:rPr>
            </w:pPr>
            <w:r>
              <w:rPr>
                <w:rFonts w:hint="eastAsia" w:ascii="宋体" w:hAnsi="宋体" w:cs="宋体"/>
                <w:color w:val="auto"/>
                <w:szCs w:val="21"/>
                <w:highlight w:val="none"/>
              </w:rPr>
              <w:t>...</w:t>
            </w:r>
          </w:p>
        </w:tc>
        <w:tc>
          <w:tcPr>
            <w:tcW w:w="1262" w:type="dxa"/>
            <w:tcBorders>
              <w:top w:val="single" w:color="auto" w:sz="4" w:space="0"/>
              <w:left w:val="single" w:color="auto" w:sz="4" w:space="0"/>
              <w:bottom w:val="single" w:color="auto" w:sz="4" w:space="0"/>
              <w:right w:val="single" w:color="auto" w:sz="4" w:space="0"/>
            </w:tcBorders>
            <w:vAlign w:val="center"/>
          </w:tcPr>
          <w:p w14:paraId="6A45875E">
            <w:pPr>
              <w:shd w:val="clear" w:color="auto" w:fill="FFFFFF" w:themeFill="background1"/>
              <w:rPr>
                <w:rFonts w:ascii="宋体" w:hAnsi="宋体" w:cs="宋体"/>
                <w:color w:val="auto"/>
                <w:szCs w:val="21"/>
                <w:highlight w:val="none"/>
              </w:rPr>
            </w:pPr>
          </w:p>
        </w:tc>
        <w:tc>
          <w:tcPr>
            <w:tcW w:w="3133" w:type="dxa"/>
            <w:tcBorders>
              <w:top w:val="single" w:color="auto" w:sz="4" w:space="0"/>
              <w:left w:val="single" w:color="auto" w:sz="4" w:space="0"/>
              <w:bottom w:val="single" w:color="auto" w:sz="4" w:space="0"/>
              <w:right w:val="single" w:color="auto" w:sz="4" w:space="0"/>
            </w:tcBorders>
            <w:vAlign w:val="center"/>
          </w:tcPr>
          <w:p w14:paraId="14B2493C">
            <w:pPr>
              <w:shd w:val="clear" w:color="auto" w:fill="FFFFFF" w:themeFill="background1"/>
              <w:rPr>
                <w:rFonts w:ascii="宋体" w:hAnsi="宋体" w:cs="宋体"/>
                <w:color w:val="auto"/>
                <w:szCs w:val="21"/>
                <w:highlight w:val="none"/>
              </w:rPr>
            </w:pPr>
          </w:p>
        </w:tc>
        <w:tc>
          <w:tcPr>
            <w:tcW w:w="3769" w:type="dxa"/>
            <w:tcBorders>
              <w:top w:val="single" w:color="auto" w:sz="4" w:space="0"/>
              <w:left w:val="single" w:color="auto" w:sz="4" w:space="0"/>
              <w:bottom w:val="single" w:color="auto" w:sz="4" w:space="0"/>
              <w:right w:val="single" w:color="auto" w:sz="4" w:space="0"/>
            </w:tcBorders>
            <w:vAlign w:val="center"/>
          </w:tcPr>
          <w:p w14:paraId="18DF85EB">
            <w:pPr>
              <w:shd w:val="clear" w:color="auto" w:fill="FFFFFF" w:themeFill="background1"/>
              <w:rPr>
                <w:rFonts w:ascii="宋体" w:hAnsi="宋体" w:cs="宋体"/>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2B8C09A4">
            <w:pPr>
              <w:shd w:val="clear" w:color="auto" w:fill="FFFFFF" w:themeFill="background1"/>
              <w:rPr>
                <w:rFonts w:ascii="宋体" w:hAnsi="宋体" w:cs="宋体"/>
                <w:color w:val="auto"/>
                <w:szCs w:val="21"/>
                <w:highlight w:val="none"/>
              </w:rPr>
            </w:pPr>
          </w:p>
        </w:tc>
      </w:tr>
    </w:tbl>
    <w:p w14:paraId="316364CA">
      <w:pPr>
        <w:pStyle w:val="14"/>
        <w:shd w:val="clear" w:color="auto" w:fill="FFFFFF" w:themeFill="background1"/>
        <w:spacing w:line="360" w:lineRule="auto"/>
        <w:rPr>
          <w:rFonts w:hAnsi="宋体" w:cs="宋体"/>
          <w:color w:val="auto"/>
          <w:szCs w:val="21"/>
          <w:highlight w:val="none"/>
        </w:rPr>
      </w:pPr>
    </w:p>
    <w:p w14:paraId="5CF7642C">
      <w:pPr>
        <w:pStyle w:val="14"/>
        <w:shd w:val="clear" w:color="auto" w:fill="FFFFFF" w:themeFill="background1"/>
        <w:spacing w:line="360" w:lineRule="auto"/>
        <w:ind w:firstLine="420" w:firstLineChars="200"/>
        <w:rPr>
          <w:rFonts w:hAnsi="宋体" w:cs="宋体"/>
          <w:color w:val="auto"/>
          <w:szCs w:val="21"/>
          <w:highlight w:val="none"/>
        </w:rPr>
      </w:pPr>
      <w:r>
        <w:rPr>
          <w:rFonts w:hint="eastAsia" w:hAnsi="宋体" w:cs="宋体"/>
          <w:color w:val="auto"/>
          <w:szCs w:val="21"/>
          <w:highlight w:val="none"/>
        </w:rPr>
        <w:t>注：</w:t>
      </w:r>
    </w:p>
    <w:p w14:paraId="6BF6EEE2">
      <w:pPr>
        <w:pStyle w:val="14"/>
        <w:shd w:val="clear" w:color="auto" w:fill="FFFFFF" w:themeFill="background1"/>
        <w:spacing w:line="360" w:lineRule="auto"/>
        <w:ind w:firstLine="420" w:firstLineChars="200"/>
        <w:rPr>
          <w:rFonts w:hAnsi="宋体" w:cs="宋体"/>
          <w:color w:val="auto"/>
          <w:szCs w:val="21"/>
          <w:highlight w:val="none"/>
        </w:rPr>
      </w:pPr>
      <w:r>
        <w:rPr>
          <w:rFonts w:hint="eastAsia" w:hAnsi="宋体" w:cs="宋体"/>
          <w:color w:val="auto"/>
          <w:szCs w:val="21"/>
          <w:highlight w:val="none"/>
        </w:rPr>
        <w:t>1.表格内容均需按要求填写并加盖投标人公章。</w:t>
      </w:r>
    </w:p>
    <w:p w14:paraId="6D1044F3">
      <w:pPr>
        <w:pStyle w:val="14"/>
        <w:shd w:val="clear" w:color="auto" w:fill="FFFFFF" w:themeFill="background1"/>
        <w:spacing w:line="360" w:lineRule="auto"/>
        <w:ind w:firstLine="420" w:firstLineChars="200"/>
        <w:rPr>
          <w:rFonts w:hAnsi="宋体" w:cs="宋体"/>
          <w:color w:val="auto"/>
          <w:szCs w:val="21"/>
          <w:highlight w:val="none"/>
        </w:rPr>
      </w:pPr>
      <w:r>
        <w:rPr>
          <w:rFonts w:hint="eastAsia" w:hAnsi="宋体" w:cs="宋体"/>
          <w:bCs/>
          <w:color w:val="auto"/>
          <w:szCs w:val="21"/>
          <w:highlight w:val="none"/>
        </w:rPr>
        <w:t>2.</w:t>
      </w:r>
      <w:r>
        <w:rPr>
          <w:rFonts w:hint="eastAsia" w:hAnsi="宋体" w:cs="宋体"/>
          <w:color w:val="auto"/>
          <w:szCs w:val="21"/>
          <w:highlight w:val="none"/>
        </w:rPr>
        <w:t>请根据所投服务内容，逐条对应本项目招标文件“第二章 采购需求”中“服务要求”的服务内容作出明确响应，并作出偏离说明。“偏离说明”一栏应当选择“正偏离”或“负偏离”或“无偏离”进行填写。</w:t>
      </w:r>
    </w:p>
    <w:p w14:paraId="22A68AEC">
      <w:pPr>
        <w:pStyle w:val="14"/>
        <w:shd w:val="clear" w:color="auto" w:fill="FFFFFF" w:themeFill="background1"/>
        <w:spacing w:line="360" w:lineRule="auto"/>
        <w:ind w:firstLine="420" w:firstLineChars="200"/>
        <w:rPr>
          <w:rFonts w:hAnsi="宋体" w:cs="宋体"/>
          <w:color w:val="auto"/>
          <w:szCs w:val="21"/>
          <w:highlight w:val="none"/>
        </w:rPr>
      </w:pPr>
      <w:r>
        <w:rPr>
          <w:rFonts w:hint="eastAsia" w:hAnsi="宋体" w:cs="宋体"/>
          <w:bCs/>
          <w:color w:val="auto"/>
          <w:szCs w:val="21"/>
          <w:highlight w:val="none"/>
        </w:rPr>
        <w:t>3.当投标文件的服务内容低于招标文件要求时，投标人应当如实写明“负偏离”。</w:t>
      </w:r>
    </w:p>
    <w:p w14:paraId="3F8B432B">
      <w:pPr>
        <w:pStyle w:val="9"/>
        <w:shd w:val="clear" w:color="auto" w:fill="FFFFFF" w:themeFill="background1"/>
        <w:rPr>
          <w:rFonts w:ascii="宋体" w:hAnsi="宋体" w:cs="宋体"/>
          <w:color w:val="auto"/>
          <w:szCs w:val="21"/>
          <w:highlight w:val="none"/>
        </w:rPr>
      </w:pPr>
    </w:p>
    <w:p w14:paraId="63E2FC78">
      <w:pPr>
        <w:shd w:val="clear" w:color="auto" w:fill="FFFFFF" w:themeFill="background1"/>
        <w:rPr>
          <w:rFonts w:ascii="宋体" w:hAnsi="宋体" w:cs="宋体"/>
          <w:color w:val="auto"/>
          <w:szCs w:val="21"/>
          <w:highlight w:val="none"/>
        </w:rPr>
      </w:pPr>
    </w:p>
    <w:p w14:paraId="3EE8D4BF">
      <w:pPr>
        <w:shd w:val="clear" w:color="auto" w:fill="FFFFFF" w:themeFill="background1"/>
        <w:snapToGrid w:val="0"/>
        <w:spacing w:line="360" w:lineRule="auto"/>
        <w:ind w:firstLine="5640" w:firstLineChars="2350"/>
        <w:rPr>
          <w:rFonts w:ascii="宋体" w:hAnsi="宋体" w:cs="宋体"/>
          <w:color w:val="auto"/>
          <w:kern w:val="0"/>
          <w:sz w:val="24"/>
          <w:highlight w:val="none"/>
          <w:lang w:val="zh-CN"/>
        </w:rPr>
      </w:pPr>
    </w:p>
    <w:p w14:paraId="17210113">
      <w:pPr>
        <w:shd w:val="clear" w:color="auto" w:fill="FFFFFF" w:themeFill="background1"/>
        <w:snapToGrid w:val="0"/>
        <w:spacing w:line="360" w:lineRule="auto"/>
        <w:ind w:firstLine="5640" w:firstLineChars="23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投标人名称(盖公章)：</w:t>
      </w:r>
    </w:p>
    <w:p w14:paraId="2680518F">
      <w:pPr>
        <w:shd w:val="clear" w:color="auto" w:fill="FFFFFF" w:themeFill="background1"/>
        <w:snapToGrid w:val="0"/>
        <w:spacing w:line="360" w:lineRule="auto"/>
        <w:ind w:firstLine="5640" w:firstLineChars="23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1C64C73">
      <w:pPr>
        <w:widowControl/>
        <w:shd w:val="clear" w:color="auto" w:fill="FFFFFF" w:themeFill="background1"/>
        <w:jc w:val="left"/>
        <w:rPr>
          <w:rFonts w:ascii="宋体" w:hAnsi="宋体" w:cs="宋体"/>
          <w:color w:val="auto"/>
          <w:sz w:val="30"/>
          <w:szCs w:val="20"/>
          <w:highlight w:val="none"/>
        </w:rPr>
        <w:sectPr>
          <w:pgSz w:w="11905" w:h="16838"/>
          <w:pgMar w:top="1134" w:right="1134" w:bottom="1134" w:left="1134" w:header="850" w:footer="850" w:gutter="0"/>
          <w:pgNumType w:fmt="decimal"/>
          <w:cols w:space="0" w:num="1"/>
          <w:titlePg/>
          <w:docGrid w:linePitch="331" w:charSpace="0"/>
        </w:sectPr>
      </w:pPr>
    </w:p>
    <w:p w14:paraId="772E7264">
      <w:pPr>
        <w:pStyle w:val="19"/>
        <w:shd w:val="clear" w:color="auto" w:fill="FFFFFF" w:themeFill="background1"/>
        <w:snapToGrid w:val="0"/>
        <w:ind w:left="562" w:hanging="562"/>
        <w:rPr>
          <w:rFonts w:ascii="宋体" w:hAnsi="宋体" w:cs="宋体"/>
          <w:i/>
          <w:iCs/>
          <w:color w:val="auto"/>
          <w:sz w:val="24"/>
          <w:highlight w:val="none"/>
        </w:rPr>
      </w:pPr>
      <w:r>
        <w:rPr>
          <w:rFonts w:hint="eastAsia" w:ascii="宋体" w:hAnsi="宋体" w:cs="宋体"/>
          <w:b/>
          <w:color w:val="auto"/>
          <w:szCs w:val="28"/>
          <w:highlight w:val="none"/>
        </w:rPr>
        <w:t>4.项目实施人员一览表的格式</w:t>
      </w:r>
      <w:r>
        <w:rPr>
          <w:rFonts w:hint="eastAsia" w:ascii="宋体" w:hAnsi="宋体" w:cs="宋体"/>
          <w:b/>
          <w:bCs/>
          <w:color w:val="auto"/>
          <w:sz w:val="30"/>
          <w:szCs w:val="30"/>
          <w:highlight w:val="none"/>
        </w:rPr>
        <w:t>：</w:t>
      </w:r>
    </w:p>
    <w:p w14:paraId="087DF684">
      <w:pPr>
        <w:shd w:val="clear" w:color="auto" w:fill="FFFFFF" w:themeFill="background1"/>
        <w:snapToGrid w:val="0"/>
        <w:spacing w:before="120" w:beforeLines="50" w:after="50"/>
        <w:ind w:left="142"/>
        <w:jc w:val="left"/>
        <w:rPr>
          <w:rFonts w:ascii="宋体" w:hAnsi="宋体"/>
          <w:b/>
          <w:color w:val="auto"/>
          <w:sz w:val="32"/>
          <w:szCs w:val="32"/>
          <w:highlight w:val="none"/>
        </w:rPr>
      </w:pPr>
    </w:p>
    <w:p w14:paraId="209376E8">
      <w:pPr>
        <w:shd w:val="clear" w:color="auto" w:fill="FFFFFF" w:themeFill="background1"/>
        <w:snapToGrid w:val="0"/>
        <w:spacing w:before="120" w:beforeLines="50" w:after="50"/>
        <w:ind w:left="142"/>
        <w:jc w:val="center"/>
        <w:rPr>
          <w:rFonts w:ascii="宋体" w:hAnsi="宋体"/>
          <w:b/>
          <w:color w:val="auto"/>
          <w:sz w:val="32"/>
          <w:szCs w:val="32"/>
          <w:highlight w:val="none"/>
        </w:rPr>
      </w:pPr>
      <w:r>
        <w:rPr>
          <w:rFonts w:hint="eastAsia" w:ascii="宋体" w:hAnsi="宋体"/>
          <w:b/>
          <w:color w:val="auto"/>
          <w:sz w:val="32"/>
          <w:szCs w:val="32"/>
          <w:highlight w:val="none"/>
        </w:rPr>
        <w:t>项目实施人员一览表</w:t>
      </w:r>
      <w:r>
        <w:rPr>
          <w:rFonts w:hint="eastAsia" w:ascii="宋体" w:hAnsi="宋体"/>
          <w:b/>
          <w:i/>
          <w:iCs/>
          <w:color w:val="auto"/>
          <w:sz w:val="32"/>
          <w:szCs w:val="32"/>
          <w:highlight w:val="none"/>
        </w:rPr>
        <w:t>（如有要求）</w:t>
      </w:r>
    </w:p>
    <w:p w14:paraId="0D518460">
      <w:pPr>
        <w:shd w:val="clear" w:color="auto" w:fill="FFFFFF" w:themeFill="background1"/>
        <w:spacing w:line="360" w:lineRule="auto"/>
        <w:jc w:val="center"/>
        <w:rPr>
          <w:rFonts w:ascii="仿宋_GB2312" w:hAnsi="仿宋" w:eastAsia="仿宋_GB2312" w:cs="仿宋_GB2312"/>
          <w:b/>
          <w:bCs/>
          <w:color w:val="auto"/>
          <w:sz w:val="24"/>
          <w:highlight w:val="none"/>
        </w:rPr>
      </w:pPr>
      <w:r>
        <w:rPr>
          <w:rFonts w:hint="eastAsia" w:ascii="仿宋_GB2312" w:hAnsi="仿宋" w:eastAsia="仿宋_GB2312" w:cs="仿宋_GB2312"/>
          <w:color w:val="auto"/>
          <w:sz w:val="24"/>
          <w:highlight w:val="none"/>
        </w:rPr>
        <w:t>（由投标人根据采购需求及招标文件要求编制）</w:t>
      </w:r>
    </w:p>
    <w:p w14:paraId="40183942">
      <w:pPr>
        <w:pStyle w:val="14"/>
        <w:shd w:val="clear" w:color="auto" w:fill="FFFFFF" w:themeFill="background1"/>
        <w:rPr>
          <w:color w:val="auto"/>
          <w:sz w:val="24"/>
          <w:szCs w:val="24"/>
          <w:highlight w:val="none"/>
        </w:rPr>
      </w:pPr>
    </w:p>
    <w:p w14:paraId="2929CB9F">
      <w:pPr>
        <w:pStyle w:val="14"/>
        <w:shd w:val="clear" w:color="auto" w:fill="FFFFFF" w:themeFill="background1"/>
        <w:rPr>
          <w:color w:val="auto"/>
          <w:sz w:val="24"/>
          <w:szCs w:val="24"/>
          <w:highlight w:val="none"/>
        </w:rPr>
      </w:pPr>
      <w:r>
        <w:rPr>
          <w:rFonts w:hint="eastAsia"/>
          <w:color w:val="auto"/>
          <w:sz w:val="24"/>
          <w:szCs w:val="24"/>
          <w:highlight w:val="none"/>
        </w:rPr>
        <w:t>所投分标（此处有分标时填写具体分标号，无分标时填写“无”）：</w:t>
      </w:r>
    </w:p>
    <w:p w14:paraId="396959A4">
      <w:pPr>
        <w:keepNext/>
        <w:shd w:val="clear" w:color="auto" w:fill="FFFFFF" w:themeFill="background1"/>
        <w:autoSpaceDE w:val="0"/>
        <w:autoSpaceDN w:val="0"/>
        <w:spacing w:line="360" w:lineRule="auto"/>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附表A：本项目的项目经理情况表</w:t>
      </w:r>
    </w:p>
    <w:tbl>
      <w:tblPr>
        <w:tblStyle w:val="25"/>
        <w:tblW w:w="8755" w:type="dxa"/>
        <w:tblInd w:w="116" w:type="dxa"/>
        <w:tblLayout w:type="fixed"/>
        <w:tblCellMar>
          <w:top w:w="0" w:type="dxa"/>
          <w:left w:w="108" w:type="dxa"/>
          <w:bottom w:w="0" w:type="dxa"/>
          <w:right w:w="108" w:type="dxa"/>
        </w:tblCellMar>
      </w:tblPr>
      <w:tblGrid>
        <w:gridCol w:w="2061"/>
        <w:gridCol w:w="1287"/>
        <w:gridCol w:w="1260"/>
        <w:gridCol w:w="4147"/>
      </w:tblGrid>
      <w:tr w14:paraId="6EA953C5">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47EBEE10">
            <w:pPr>
              <w:shd w:val="clear" w:color="auto" w:fill="FFFFFF" w:themeFill="background1"/>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320619F9">
            <w:pPr>
              <w:shd w:val="clear" w:color="auto" w:fill="FFFFFF" w:themeFill="background1"/>
              <w:autoSpaceDE w:val="0"/>
              <w:autoSpaceDN w:val="0"/>
              <w:spacing w:line="360" w:lineRule="auto"/>
              <w:jc w:val="center"/>
              <w:rPr>
                <w:rFonts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05F675C8">
            <w:pPr>
              <w:shd w:val="clear" w:color="auto" w:fill="FFFFFF" w:themeFill="background1"/>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738BB7FA">
            <w:pPr>
              <w:shd w:val="clear" w:color="auto" w:fill="FFFFFF" w:themeFill="background1"/>
              <w:autoSpaceDE w:val="0"/>
              <w:autoSpaceDN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投标截止时间前三年业绩及承担的主要工作情况，曾担任项目经理的项目应列明细</w:t>
            </w:r>
          </w:p>
        </w:tc>
      </w:tr>
      <w:tr w14:paraId="093B7559">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379F7706">
            <w:pPr>
              <w:shd w:val="clear" w:color="auto" w:fill="FFFFFF" w:themeFill="background1"/>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64CF6E45">
            <w:pPr>
              <w:shd w:val="clear" w:color="auto" w:fill="FFFFFF" w:themeFill="background1"/>
              <w:autoSpaceDE w:val="0"/>
              <w:autoSpaceDN w:val="0"/>
              <w:spacing w:line="360" w:lineRule="auto"/>
              <w:jc w:val="center"/>
              <w:rPr>
                <w:rFonts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435A4BE3">
            <w:pPr>
              <w:shd w:val="clear" w:color="auto" w:fill="FFFFFF" w:themeFill="background1"/>
              <w:autoSpaceDE w:val="0"/>
              <w:autoSpaceDN w:val="0"/>
              <w:spacing w:line="360" w:lineRule="auto"/>
              <w:jc w:val="center"/>
              <w:rPr>
                <w:rFonts w:ascii="仿宋_GB2312" w:hAnsi="仿宋" w:eastAsia="仿宋_GB2312" w:cs="仿宋_GB2312"/>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2CAB608F">
            <w:pPr>
              <w:shd w:val="clear" w:color="auto" w:fill="FFFFFF" w:themeFill="background1"/>
              <w:autoSpaceDE w:val="0"/>
              <w:autoSpaceDN w:val="0"/>
              <w:spacing w:line="360" w:lineRule="auto"/>
              <w:jc w:val="center"/>
              <w:rPr>
                <w:rFonts w:ascii="仿宋_GB2312" w:hAnsi="仿宋" w:eastAsia="仿宋_GB2312" w:cs="仿宋_GB2312"/>
                <w:color w:val="auto"/>
                <w:sz w:val="24"/>
                <w:highlight w:val="none"/>
              </w:rPr>
            </w:pPr>
          </w:p>
        </w:tc>
      </w:tr>
      <w:tr w14:paraId="77A14632">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3E433092">
            <w:pPr>
              <w:shd w:val="clear" w:color="auto" w:fill="FFFFFF" w:themeFill="background1"/>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4D469E79">
            <w:pPr>
              <w:shd w:val="clear" w:color="auto" w:fill="FFFFFF" w:themeFill="background1"/>
              <w:autoSpaceDE w:val="0"/>
              <w:autoSpaceDN w:val="0"/>
              <w:spacing w:line="360" w:lineRule="auto"/>
              <w:jc w:val="center"/>
              <w:rPr>
                <w:rFonts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627921B8">
            <w:pPr>
              <w:shd w:val="clear" w:color="auto" w:fill="FFFFFF" w:themeFill="background1"/>
              <w:autoSpaceDE w:val="0"/>
              <w:autoSpaceDN w:val="0"/>
              <w:spacing w:line="360" w:lineRule="auto"/>
              <w:jc w:val="center"/>
              <w:rPr>
                <w:rFonts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1459C8D">
            <w:pPr>
              <w:widowControl/>
              <w:shd w:val="clear" w:color="auto" w:fill="FFFFFF" w:themeFill="background1"/>
              <w:jc w:val="left"/>
              <w:rPr>
                <w:rFonts w:ascii="仿宋_GB2312" w:hAnsi="仿宋" w:eastAsia="仿宋_GB2312" w:cs="仿宋_GB2312"/>
                <w:color w:val="auto"/>
                <w:sz w:val="24"/>
                <w:highlight w:val="none"/>
              </w:rPr>
            </w:pPr>
          </w:p>
        </w:tc>
      </w:tr>
      <w:tr w14:paraId="457044FE">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02A9ACDE">
            <w:pPr>
              <w:shd w:val="clear" w:color="auto" w:fill="FFFFFF" w:themeFill="background1"/>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41940A17">
            <w:pPr>
              <w:shd w:val="clear" w:color="auto" w:fill="FFFFFF" w:themeFill="background1"/>
              <w:autoSpaceDE w:val="0"/>
              <w:autoSpaceDN w:val="0"/>
              <w:spacing w:line="360" w:lineRule="auto"/>
              <w:jc w:val="center"/>
              <w:rPr>
                <w:rFonts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5EC2733B">
            <w:pPr>
              <w:shd w:val="clear" w:color="auto" w:fill="FFFFFF" w:themeFill="background1"/>
              <w:autoSpaceDE w:val="0"/>
              <w:autoSpaceDN w:val="0"/>
              <w:spacing w:line="360" w:lineRule="auto"/>
              <w:jc w:val="center"/>
              <w:rPr>
                <w:rFonts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CF558B6">
            <w:pPr>
              <w:widowControl/>
              <w:shd w:val="clear" w:color="auto" w:fill="FFFFFF" w:themeFill="background1"/>
              <w:jc w:val="left"/>
              <w:rPr>
                <w:rFonts w:ascii="仿宋_GB2312" w:hAnsi="仿宋" w:eastAsia="仿宋_GB2312" w:cs="仿宋_GB2312"/>
                <w:color w:val="auto"/>
                <w:sz w:val="24"/>
                <w:highlight w:val="none"/>
              </w:rPr>
            </w:pPr>
          </w:p>
        </w:tc>
      </w:tr>
      <w:tr w14:paraId="7773D7AA">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0BF89174">
            <w:pPr>
              <w:shd w:val="clear" w:color="auto" w:fill="FFFFFF" w:themeFill="background1"/>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1E57ACC7">
            <w:pPr>
              <w:shd w:val="clear" w:color="auto" w:fill="FFFFFF" w:themeFill="background1"/>
              <w:autoSpaceDE w:val="0"/>
              <w:autoSpaceDN w:val="0"/>
              <w:spacing w:line="360" w:lineRule="auto"/>
              <w:jc w:val="center"/>
              <w:rPr>
                <w:rFonts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67BA363F">
            <w:pPr>
              <w:shd w:val="clear" w:color="auto" w:fill="FFFFFF" w:themeFill="background1"/>
              <w:autoSpaceDE w:val="0"/>
              <w:autoSpaceDN w:val="0"/>
              <w:spacing w:line="360" w:lineRule="auto"/>
              <w:jc w:val="center"/>
              <w:rPr>
                <w:rFonts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EC4CFF1">
            <w:pPr>
              <w:widowControl/>
              <w:shd w:val="clear" w:color="auto" w:fill="FFFFFF" w:themeFill="background1"/>
              <w:jc w:val="left"/>
              <w:rPr>
                <w:rFonts w:ascii="仿宋_GB2312" w:hAnsi="仿宋" w:eastAsia="仿宋_GB2312" w:cs="仿宋_GB2312"/>
                <w:color w:val="auto"/>
                <w:sz w:val="24"/>
                <w:highlight w:val="none"/>
              </w:rPr>
            </w:pPr>
          </w:p>
        </w:tc>
      </w:tr>
      <w:tr w14:paraId="12F1EDD9">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3BB9A960">
            <w:pPr>
              <w:shd w:val="clear" w:color="auto" w:fill="FFFFFF" w:themeFill="background1"/>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497F832B">
            <w:pPr>
              <w:shd w:val="clear" w:color="auto" w:fill="FFFFFF" w:themeFill="background1"/>
              <w:autoSpaceDE w:val="0"/>
              <w:autoSpaceDN w:val="0"/>
              <w:spacing w:line="360" w:lineRule="auto"/>
              <w:jc w:val="center"/>
              <w:rPr>
                <w:rFonts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43DEC32F">
            <w:pPr>
              <w:shd w:val="clear" w:color="auto" w:fill="FFFFFF" w:themeFill="background1"/>
              <w:autoSpaceDE w:val="0"/>
              <w:autoSpaceDN w:val="0"/>
              <w:spacing w:line="360" w:lineRule="auto"/>
              <w:jc w:val="center"/>
              <w:rPr>
                <w:rFonts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B55658B">
            <w:pPr>
              <w:widowControl/>
              <w:shd w:val="clear" w:color="auto" w:fill="FFFFFF" w:themeFill="background1"/>
              <w:jc w:val="left"/>
              <w:rPr>
                <w:rFonts w:ascii="仿宋_GB2312" w:hAnsi="仿宋" w:eastAsia="仿宋_GB2312" w:cs="仿宋_GB2312"/>
                <w:color w:val="auto"/>
                <w:sz w:val="24"/>
                <w:highlight w:val="none"/>
              </w:rPr>
            </w:pPr>
          </w:p>
        </w:tc>
      </w:tr>
      <w:tr w14:paraId="0C066D25">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44F88015">
            <w:pPr>
              <w:shd w:val="clear" w:color="auto" w:fill="FFFFFF" w:themeFill="background1"/>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4A711736">
            <w:pPr>
              <w:shd w:val="clear" w:color="auto" w:fill="FFFFFF" w:themeFill="background1"/>
              <w:autoSpaceDE w:val="0"/>
              <w:autoSpaceDN w:val="0"/>
              <w:spacing w:line="360" w:lineRule="auto"/>
              <w:jc w:val="center"/>
              <w:rPr>
                <w:rFonts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51119B61">
            <w:pPr>
              <w:shd w:val="clear" w:color="auto" w:fill="FFFFFF" w:themeFill="background1"/>
              <w:autoSpaceDE w:val="0"/>
              <w:autoSpaceDN w:val="0"/>
              <w:spacing w:line="360" w:lineRule="auto"/>
              <w:jc w:val="center"/>
              <w:rPr>
                <w:rFonts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9F5260F">
            <w:pPr>
              <w:widowControl/>
              <w:shd w:val="clear" w:color="auto" w:fill="FFFFFF" w:themeFill="background1"/>
              <w:jc w:val="left"/>
              <w:rPr>
                <w:rFonts w:ascii="仿宋_GB2312" w:hAnsi="仿宋" w:eastAsia="仿宋_GB2312" w:cs="仿宋_GB2312"/>
                <w:color w:val="auto"/>
                <w:sz w:val="24"/>
                <w:highlight w:val="none"/>
              </w:rPr>
            </w:pPr>
          </w:p>
        </w:tc>
      </w:tr>
      <w:tr w14:paraId="5DD4D117">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246D0219">
            <w:pPr>
              <w:shd w:val="clear" w:color="auto" w:fill="FFFFFF" w:themeFill="background1"/>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0611F26E">
            <w:pPr>
              <w:shd w:val="clear" w:color="auto" w:fill="FFFFFF" w:themeFill="background1"/>
              <w:autoSpaceDE w:val="0"/>
              <w:autoSpaceDN w:val="0"/>
              <w:spacing w:line="360" w:lineRule="auto"/>
              <w:jc w:val="center"/>
              <w:rPr>
                <w:rFonts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739E6214">
            <w:pPr>
              <w:shd w:val="clear" w:color="auto" w:fill="FFFFFF" w:themeFill="background1"/>
              <w:autoSpaceDE w:val="0"/>
              <w:autoSpaceDN w:val="0"/>
              <w:spacing w:line="360" w:lineRule="auto"/>
              <w:jc w:val="center"/>
              <w:rPr>
                <w:rFonts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512ABE1">
            <w:pPr>
              <w:widowControl/>
              <w:shd w:val="clear" w:color="auto" w:fill="FFFFFF" w:themeFill="background1"/>
              <w:jc w:val="left"/>
              <w:rPr>
                <w:rFonts w:ascii="仿宋_GB2312" w:hAnsi="仿宋" w:eastAsia="仿宋_GB2312" w:cs="仿宋_GB2312"/>
                <w:color w:val="auto"/>
                <w:sz w:val="24"/>
                <w:highlight w:val="none"/>
              </w:rPr>
            </w:pPr>
          </w:p>
        </w:tc>
      </w:tr>
      <w:tr w14:paraId="5D66D5DB">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48B2F7E9">
            <w:pPr>
              <w:shd w:val="clear" w:color="auto" w:fill="FFFFFF" w:themeFill="background1"/>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038009CB">
            <w:pPr>
              <w:shd w:val="clear" w:color="auto" w:fill="FFFFFF" w:themeFill="background1"/>
              <w:autoSpaceDE w:val="0"/>
              <w:autoSpaceDN w:val="0"/>
              <w:spacing w:line="360" w:lineRule="auto"/>
              <w:jc w:val="center"/>
              <w:rPr>
                <w:rFonts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6031590B">
            <w:pPr>
              <w:shd w:val="clear" w:color="auto" w:fill="FFFFFF" w:themeFill="background1"/>
              <w:autoSpaceDE w:val="0"/>
              <w:autoSpaceDN w:val="0"/>
              <w:spacing w:line="360" w:lineRule="auto"/>
              <w:jc w:val="center"/>
              <w:rPr>
                <w:rFonts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BB7BDD1">
            <w:pPr>
              <w:widowControl/>
              <w:shd w:val="clear" w:color="auto" w:fill="FFFFFF" w:themeFill="background1"/>
              <w:jc w:val="left"/>
              <w:rPr>
                <w:rFonts w:ascii="仿宋_GB2312" w:hAnsi="仿宋" w:eastAsia="仿宋_GB2312" w:cs="仿宋_GB2312"/>
                <w:color w:val="auto"/>
                <w:sz w:val="24"/>
                <w:highlight w:val="none"/>
              </w:rPr>
            </w:pPr>
          </w:p>
        </w:tc>
      </w:tr>
      <w:tr w14:paraId="650A5698">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514ABE0B">
            <w:pPr>
              <w:shd w:val="clear" w:color="auto" w:fill="FFFFFF" w:themeFill="background1"/>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0EC50F7A">
            <w:pPr>
              <w:shd w:val="clear" w:color="auto" w:fill="FFFFFF" w:themeFill="background1"/>
              <w:autoSpaceDE w:val="0"/>
              <w:autoSpaceDN w:val="0"/>
              <w:spacing w:line="360" w:lineRule="auto"/>
              <w:jc w:val="center"/>
              <w:rPr>
                <w:rFonts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2C276594">
            <w:pPr>
              <w:shd w:val="clear" w:color="auto" w:fill="FFFFFF" w:themeFill="background1"/>
              <w:autoSpaceDE w:val="0"/>
              <w:autoSpaceDN w:val="0"/>
              <w:spacing w:line="360" w:lineRule="auto"/>
              <w:jc w:val="center"/>
              <w:rPr>
                <w:rFonts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1FD528B">
            <w:pPr>
              <w:widowControl/>
              <w:shd w:val="clear" w:color="auto" w:fill="FFFFFF" w:themeFill="background1"/>
              <w:jc w:val="left"/>
              <w:rPr>
                <w:rFonts w:ascii="仿宋_GB2312" w:hAnsi="仿宋" w:eastAsia="仿宋_GB2312" w:cs="仿宋_GB2312"/>
                <w:color w:val="auto"/>
                <w:sz w:val="24"/>
                <w:highlight w:val="none"/>
              </w:rPr>
            </w:pPr>
          </w:p>
        </w:tc>
      </w:tr>
    </w:tbl>
    <w:p w14:paraId="488B47E6">
      <w:pPr>
        <w:shd w:val="clear" w:color="auto" w:fill="FFFFFF" w:themeFill="background1"/>
        <w:autoSpaceDE w:val="0"/>
        <w:autoSpaceDN w:val="0"/>
        <w:spacing w:line="360" w:lineRule="auto"/>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注：投标人可参照上述的格式自行编制，并注明所在投标技术文件页码。</w:t>
      </w:r>
    </w:p>
    <w:p w14:paraId="166060F1">
      <w:pPr>
        <w:shd w:val="clear" w:color="auto" w:fill="FFFFFF" w:themeFill="background1"/>
        <w:autoSpaceDE w:val="0"/>
        <w:autoSpaceDN w:val="0"/>
        <w:spacing w:line="360" w:lineRule="auto"/>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附表B：本项目的项目小组人员情况表</w:t>
      </w:r>
      <w:r>
        <w:rPr>
          <w:rFonts w:hint="eastAsia" w:ascii="仿宋_GB2312" w:hAnsi="仿宋" w:eastAsia="仿宋_GB2312" w:cs="仿宋_GB2312"/>
          <w:color w:val="auto"/>
          <w:sz w:val="24"/>
          <w:highlight w:val="none"/>
        </w:rPr>
        <w:t>（参照此格式自制）</w:t>
      </w:r>
    </w:p>
    <w:tbl>
      <w:tblPr>
        <w:tblStyle w:val="25"/>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63286B5D">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34C55D7C">
            <w:pPr>
              <w:shd w:val="clear" w:color="auto" w:fill="FFFFFF" w:themeFill="background1"/>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22E3AB54">
            <w:pPr>
              <w:shd w:val="clear" w:color="auto" w:fill="FFFFFF" w:themeFill="background1"/>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66371FE3">
            <w:pPr>
              <w:shd w:val="clear" w:color="auto" w:fill="FFFFFF" w:themeFill="background1"/>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5DEC4518">
            <w:pPr>
              <w:shd w:val="clear" w:color="auto" w:fill="FFFFFF" w:themeFill="background1"/>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41CB18E4">
            <w:pPr>
              <w:shd w:val="clear" w:color="auto" w:fill="FFFFFF" w:themeFill="background1"/>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学历</w:t>
            </w:r>
          </w:p>
          <w:p w14:paraId="44C23A5D">
            <w:pPr>
              <w:shd w:val="clear" w:color="auto" w:fill="FFFFFF" w:themeFill="background1"/>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3D82D029">
            <w:pPr>
              <w:shd w:val="clear" w:color="auto" w:fill="FFFFFF" w:themeFill="background1"/>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专业</w:t>
            </w:r>
          </w:p>
          <w:p w14:paraId="3B0BA666">
            <w:pPr>
              <w:shd w:val="clear" w:color="auto" w:fill="FFFFFF" w:themeFill="background1"/>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64562F14">
            <w:pPr>
              <w:shd w:val="clear" w:color="auto" w:fill="FFFFFF" w:themeFill="background1"/>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职称</w:t>
            </w:r>
          </w:p>
          <w:p w14:paraId="0A8D195E">
            <w:pPr>
              <w:shd w:val="clear" w:color="auto" w:fill="FFFFFF" w:themeFill="background1"/>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6C83989D">
            <w:pPr>
              <w:shd w:val="clear" w:color="auto" w:fill="FFFFFF" w:themeFill="background1"/>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4D65D935">
            <w:pPr>
              <w:shd w:val="clear" w:color="auto" w:fill="FFFFFF" w:themeFill="background1"/>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5BC7CAF2">
            <w:pPr>
              <w:shd w:val="clear" w:color="auto" w:fill="FFFFFF" w:themeFill="background1"/>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参与本项目的到位情况</w:t>
            </w:r>
          </w:p>
        </w:tc>
      </w:tr>
      <w:tr w14:paraId="22F5728C">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0DA253DF">
            <w:pPr>
              <w:shd w:val="clear" w:color="auto" w:fill="FFFFFF" w:themeFill="background1"/>
              <w:autoSpaceDE w:val="0"/>
              <w:autoSpaceDN w:val="0"/>
              <w:spacing w:line="360" w:lineRule="auto"/>
              <w:jc w:val="center"/>
              <w:rPr>
                <w:rFonts w:ascii="仿宋_GB2312" w:hAnsi="仿宋"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57CC1479">
            <w:pPr>
              <w:shd w:val="clear" w:color="auto" w:fill="FFFFFF" w:themeFill="background1"/>
              <w:autoSpaceDE w:val="0"/>
              <w:autoSpaceDN w:val="0"/>
              <w:spacing w:line="360" w:lineRule="auto"/>
              <w:rPr>
                <w:rFonts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4E20DF5B">
            <w:pPr>
              <w:shd w:val="clear" w:color="auto" w:fill="FFFFFF" w:themeFill="background1"/>
              <w:autoSpaceDE w:val="0"/>
              <w:autoSpaceDN w:val="0"/>
              <w:spacing w:line="360" w:lineRule="auto"/>
              <w:rPr>
                <w:rFonts w:ascii="仿宋_GB2312" w:hAnsi="仿宋" w:eastAsia="仿宋_GB2312" w:cs="仿宋_GB2312"/>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582B91F6">
            <w:pPr>
              <w:shd w:val="clear" w:color="auto" w:fill="FFFFFF" w:themeFill="background1"/>
              <w:autoSpaceDE w:val="0"/>
              <w:autoSpaceDN w:val="0"/>
              <w:spacing w:line="360" w:lineRule="auto"/>
              <w:rPr>
                <w:rFonts w:ascii="仿宋_GB2312" w:hAnsi="仿宋" w:eastAsia="仿宋_GB2312" w:cs="仿宋_GB2312"/>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1E876181">
            <w:pPr>
              <w:shd w:val="clear" w:color="auto" w:fill="FFFFFF" w:themeFill="background1"/>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8F3BAC5">
            <w:pPr>
              <w:shd w:val="clear" w:color="auto" w:fill="FFFFFF" w:themeFill="background1"/>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FF47948">
            <w:pPr>
              <w:shd w:val="clear" w:color="auto" w:fill="FFFFFF" w:themeFill="background1"/>
              <w:autoSpaceDE w:val="0"/>
              <w:autoSpaceDN w:val="0"/>
              <w:spacing w:line="360" w:lineRule="auto"/>
              <w:rPr>
                <w:rFonts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8FAC61B">
            <w:pPr>
              <w:shd w:val="clear" w:color="auto" w:fill="FFFFFF" w:themeFill="background1"/>
              <w:autoSpaceDE w:val="0"/>
              <w:autoSpaceDN w:val="0"/>
              <w:spacing w:line="360" w:lineRule="auto"/>
              <w:rPr>
                <w:rFonts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5A62918A">
            <w:pPr>
              <w:shd w:val="clear" w:color="auto" w:fill="FFFFFF" w:themeFill="background1"/>
              <w:autoSpaceDE w:val="0"/>
              <w:autoSpaceDN w:val="0"/>
              <w:spacing w:line="360" w:lineRule="auto"/>
              <w:rPr>
                <w:rFonts w:ascii="仿宋_GB2312" w:hAnsi="仿宋" w:eastAsia="仿宋_GB2312" w:cs="仿宋_GB2312"/>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3D7A35A5">
            <w:pPr>
              <w:shd w:val="clear" w:color="auto" w:fill="FFFFFF" w:themeFill="background1"/>
              <w:autoSpaceDE w:val="0"/>
              <w:autoSpaceDN w:val="0"/>
              <w:spacing w:line="360" w:lineRule="auto"/>
              <w:rPr>
                <w:rFonts w:ascii="仿宋_GB2312" w:hAnsi="仿宋" w:eastAsia="仿宋_GB2312" w:cs="仿宋_GB2312"/>
                <w:color w:val="auto"/>
                <w:sz w:val="24"/>
                <w:highlight w:val="none"/>
              </w:rPr>
            </w:pPr>
          </w:p>
        </w:tc>
      </w:tr>
      <w:tr w14:paraId="611105D7">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26181260">
            <w:pPr>
              <w:shd w:val="clear" w:color="auto" w:fill="FFFFFF" w:themeFill="background1"/>
              <w:autoSpaceDE w:val="0"/>
              <w:autoSpaceDN w:val="0"/>
              <w:spacing w:line="360" w:lineRule="auto"/>
              <w:jc w:val="center"/>
              <w:rPr>
                <w:rFonts w:ascii="仿宋_GB2312" w:hAnsi="仿宋"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6B410E1A">
            <w:pPr>
              <w:shd w:val="clear" w:color="auto" w:fill="FFFFFF" w:themeFill="background1"/>
              <w:autoSpaceDE w:val="0"/>
              <w:autoSpaceDN w:val="0"/>
              <w:spacing w:line="360" w:lineRule="auto"/>
              <w:rPr>
                <w:rFonts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47DEB547">
            <w:pPr>
              <w:shd w:val="clear" w:color="auto" w:fill="FFFFFF" w:themeFill="background1"/>
              <w:autoSpaceDE w:val="0"/>
              <w:autoSpaceDN w:val="0"/>
              <w:spacing w:line="360" w:lineRule="auto"/>
              <w:rPr>
                <w:rFonts w:ascii="仿宋_GB2312" w:hAnsi="仿宋" w:eastAsia="仿宋_GB2312" w:cs="仿宋_GB2312"/>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0F587497">
            <w:pPr>
              <w:shd w:val="clear" w:color="auto" w:fill="FFFFFF" w:themeFill="background1"/>
              <w:autoSpaceDE w:val="0"/>
              <w:autoSpaceDN w:val="0"/>
              <w:spacing w:line="360" w:lineRule="auto"/>
              <w:rPr>
                <w:rFonts w:ascii="仿宋_GB2312" w:hAnsi="仿宋" w:eastAsia="仿宋_GB2312" w:cs="仿宋_GB2312"/>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109FA907">
            <w:pPr>
              <w:shd w:val="clear" w:color="auto" w:fill="FFFFFF" w:themeFill="background1"/>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3624CB1">
            <w:pPr>
              <w:shd w:val="clear" w:color="auto" w:fill="FFFFFF" w:themeFill="background1"/>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68B3BD4">
            <w:pPr>
              <w:shd w:val="clear" w:color="auto" w:fill="FFFFFF" w:themeFill="background1"/>
              <w:autoSpaceDE w:val="0"/>
              <w:autoSpaceDN w:val="0"/>
              <w:spacing w:line="360" w:lineRule="auto"/>
              <w:rPr>
                <w:rFonts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C4E71EE">
            <w:pPr>
              <w:shd w:val="clear" w:color="auto" w:fill="FFFFFF" w:themeFill="background1"/>
              <w:autoSpaceDE w:val="0"/>
              <w:autoSpaceDN w:val="0"/>
              <w:spacing w:line="360" w:lineRule="auto"/>
              <w:rPr>
                <w:rFonts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A66E118">
            <w:pPr>
              <w:shd w:val="clear" w:color="auto" w:fill="FFFFFF" w:themeFill="background1"/>
              <w:autoSpaceDE w:val="0"/>
              <w:autoSpaceDN w:val="0"/>
              <w:spacing w:line="360" w:lineRule="auto"/>
              <w:rPr>
                <w:rFonts w:ascii="仿宋_GB2312" w:hAnsi="仿宋" w:eastAsia="仿宋_GB2312" w:cs="仿宋_GB2312"/>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7A42D5E9">
            <w:pPr>
              <w:shd w:val="clear" w:color="auto" w:fill="FFFFFF" w:themeFill="background1"/>
              <w:autoSpaceDE w:val="0"/>
              <w:autoSpaceDN w:val="0"/>
              <w:spacing w:line="360" w:lineRule="auto"/>
              <w:rPr>
                <w:rFonts w:ascii="仿宋_GB2312" w:hAnsi="仿宋" w:eastAsia="仿宋_GB2312" w:cs="仿宋_GB2312"/>
                <w:color w:val="auto"/>
                <w:sz w:val="24"/>
                <w:highlight w:val="none"/>
              </w:rPr>
            </w:pPr>
          </w:p>
        </w:tc>
      </w:tr>
    </w:tbl>
    <w:p w14:paraId="27A19DD3">
      <w:pPr>
        <w:shd w:val="clear" w:color="auto" w:fill="FFFFFF" w:themeFill="background1"/>
        <w:spacing w:line="360" w:lineRule="auto"/>
        <w:rPr>
          <w:rFonts w:ascii="仿宋_GB2312" w:hAnsi="仿宋" w:eastAsia="仿宋_GB2312" w:cs="仿宋_GB2312"/>
          <w:b/>
          <w:bCs/>
          <w:color w:val="auto"/>
          <w:sz w:val="24"/>
          <w:highlight w:val="none"/>
        </w:rPr>
      </w:pPr>
      <w:r>
        <w:rPr>
          <w:rFonts w:hint="eastAsia" w:ascii="仿宋_GB2312" w:hAnsi="仿宋" w:eastAsia="仿宋_GB2312" w:cs="仿宋_GB2312"/>
          <w:b/>
          <w:color w:val="auto"/>
          <w:sz w:val="24"/>
          <w:highlight w:val="none"/>
        </w:rPr>
        <w:t>注：投标人可参照上述的格式自行编制，并注明所在投标技术文件页码。</w:t>
      </w:r>
    </w:p>
    <w:p w14:paraId="3B5FC814">
      <w:pPr>
        <w:shd w:val="clear" w:color="auto" w:fill="FFFFFF" w:themeFill="background1"/>
        <w:snapToGrid w:val="0"/>
        <w:spacing w:line="360" w:lineRule="auto"/>
        <w:ind w:firstLine="4320" w:firstLineChars="1800"/>
        <w:rPr>
          <w:rFonts w:ascii="仿宋_GB2312" w:hAnsi="仿宋" w:eastAsia="仿宋_GB2312" w:cs="仿宋_GB2312"/>
          <w:color w:val="auto"/>
          <w:kern w:val="0"/>
          <w:sz w:val="24"/>
          <w:highlight w:val="none"/>
          <w:lang w:val="zh-CN"/>
        </w:rPr>
      </w:pPr>
    </w:p>
    <w:p w14:paraId="2476EBD5">
      <w:pPr>
        <w:shd w:val="clear" w:color="auto" w:fill="FFFFFF" w:themeFill="background1"/>
        <w:snapToGrid w:val="0"/>
        <w:spacing w:line="360" w:lineRule="auto"/>
        <w:ind w:firstLine="4320" w:firstLineChars="1800"/>
        <w:rPr>
          <w:rFonts w:ascii="仿宋_GB2312" w:hAnsi="仿宋" w:eastAsia="仿宋_GB2312" w:cs="仿宋_GB2312"/>
          <w:color w:val="auto"/>
          <w:kern w:val="0"/>
          <w:sz w:val="24"/>
          <w:highlight w:val="none"/>
          <w:lang w:val="zh-CN"/>
        </w:rPr>
      </w:pPr>
    </w:p>
    <w:p w14:paraId="385D677E">
      <w:pPr>
        <w:shd w:val="clear" w:color="auto" w:fill="FFFFFF" w:themeFill="background1"/>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投标人名称(盖公章)：</w:t>
      </w:r>
    </w:p>
    <w:p w14:paraId="65075BE7">
      <w:pPr>
        <w:shd w:val="clear" w:color="auto" w:fill="FFFFFF" w:themeFill="background1"/>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   日</w:t>
      </w:r>
    </w:p>
    <w:p w14:paraId="5370E694">
      <w:pPr>
        <w:rPr>
          <w:rFonts w:ascii="宋体" w:hAnsi="宋体" w:cs="宋体"/>
          <w:color w:val="auto"/>
          <w:sz w:val="24"/>
          <w:highlight w:val="none"/>
        </w:rPr>
      </w:pPr>
      <w:r>
        <w:rPr>
          <w:rFonts w:ascii="宋体" w:hAnsi="宋体" w:cs="宋体"/>
          <w:color w:val="auto"/>
          <w:sz w:val="24"/>
          <w:highlight w:val="none"/>
        </w:rPr>
        <w:br w:type="page"/>
      </w:r>
    </w:p>
    <w:p w14:paraId="5D012B6D">
      <w:pPr>
        <w:pStyle w:val="19"/>
        <w:shd w:val="clear" w:color="auto" w:fill="FFFFFF" w:themeFill="background1"/>
        <w:snapToGrid w:val="0"/>
        <w:ind w:left="562" w:hanging="562"/>
        <w:rPr>
          <w:rFonts w:hint="eastAsia" w:ascii="宋体" w:hAnsi="宋体" w:cs="宋体"/>
          <w:b/>
          <w:color w:val="auto"/>
          <w:szCs w:val="28"/>
          <w:highlight w:val="none"/>
        </w:rPr>
      </w:pPr>
      <w:r>
        <w:rPr>
          <w:rFonts w:hint="eastAsia" w:ascii="宋体" w:hAnsi="宋体" w:cs="宋体"/>
          <w:b/>
          <w:color w:val="auto"/>
          <w:szCs w:val="28"/>
          <w:highlight w:val="none"/>
          <w:lang w:val="en-US" w:eastAsia="zh-CN"/>
        </w:rPr>
        <w:t>5.</w:t>
      </w:r>
      <w:r>
        <w:rPr>
          <w:rFonts w:hint="eastAsia" w:ascii="宋体" w:hAnsi="宋体" w:cs="宋体"/>
          <w:b/>
          <w:color w:val="auto"/>
          <w:szCs w:val="28"/>
          <w:highlight w:val="none"/>
        </w:rPr>
        <w:t>投标人责任免除承诺书</w:t>
      </w:r>
    </w:p>
    <w:p w14:paraId="19CC0EA9">
      <w:pPr>
        <w:pStyle w:val="21"/>
        <w:shd w:val="clear" w:color="auto" w:fill="FFFFFF"/>
        <w:spacing w:before="0" w:beforeAutospacing="0" w:after="0" w:afterAutospacing="0" w:line="500" w:lineRule="atLeast"/>
        <w:jc w:val="center"/>
        <w:rPr>
          <w:b/>
          <w:bCs/>
          <w:color w:val="auto"/>
          <w:sz w:val="36"/>
          <w:szCs w:val="36"/>
          <w:highlight w:val="none"/>
        </w:rPr>
      </w:pPr>
    </w:p>
    <w:p w14:paraId="2BB3083C">
      <w:pPr>
        <w:snapToGrid w:val="0"/>
        <w:spacing w:before="120" w:beforeLines="50" w:after="50"/>
        <w:ind w:left="142"/>
        <w:jc w:val="center"/>
        <w:rPr>
          <w:rFonts w:ascii="宋体" w:hAnsi="宋体"/>
          <w:b/>
          <w:color w:val="auto"/>
          <w:sz w:val="32"/>
          <w:szCs w:val="32"/>
          <w:highlight w:val="none"/>
        </w:rPr>
      </w:pPr>
      <w:r>
        <w:rPr>
          <w:rFonts w:hint="eastAsia" w:ascii="宋体" w:hAnsi="宋体"/>
          <w:b/>
          <w:color w:val="auto"/>
          <w:sz w:val="32"/>
          <w:szCs w:val="32"/>
          <w:highlight w:val="none"/>
        </w:rPr>
        <w:t>投标人责任免除承诺书</w:t>
      </w:r>
    </w:p>
    <w:p w14:paraId="273AC97A">
      <w:pPr>
        <w:pBdr>
          <w:top w:val="none" w:color="000000" w:sz="0" w:space="0"/>
          <w:left w:val="none" w:color="000000" w:sz="0" w:space="0"/>
          <w:bottom w:val="none" w:color="000000" w:sz="0" w:space="0"/>
          <w:right w:val="none" w:color="000000" w:sz="0" w:space="0"/>
          <w:between w:val="none" w:color="000000" w:sz="0" w:space="0"/>
        </w:pBdr>
        <w:jc w:val="center"/>
        <w:rPr>
          <w:rFonts w:hAnsi="宋体" w:cs="黑体"/>
          <w:b/>
          <w:bCs/>
          <w:color w:val="auto"/>
          <w:sz w:val="24"/>
          <w:highlight w:val="none"/>
        </w:rPr>
      </w:pPr>
    </w:p>
    <w:p w14:paraId="1CD7981E">
      <w:pPr>
        <w:pBdr>
          <w:top w:val="none" w:color="000000" w:sz="0" w:space="0"/>
          <w:left w:val="none" w:color="000000" w:sz="0" w:space="0"/>
          <w:bottom w:val="none" w:color="000000" w:sz="0" w:space="0"/>
          <w:right w:val="none" w:color="000000" w:sz="0" w:space="0"/>
          <w:between w:val="none" w:color="000000" w:sz="0" w:space="0"/>
        </w:pBdr>
        <w:jc w:val="center"/>
        <w:rPr>
          <w:rFonts w:hAnsi="宋体" w:cs="黑体"/>
          <w:b/>
          <w:bCs/>
          <w:color w:val="auto"/>
          <w:sz w:val="24"/>
          <w:highlight w:val="none"/>
        </w:rPr>
      </w:pPr>
    </w:p>
    <w:p w14:paraId="3B18928A">
      <w:pPr>
        <w:pBdr>
          <w:top w:val="none" w:color="000000" w:sz="0" w:space="0"/>
          <w:left w:val="none" w:color="000000" w:sz="0" w:space="0"/>
          <w:bottom w:val="none" w:color="000000" w:sz="0" w:space="0"/>
          <w:right w:val="none" w:color="000000" w:sz="0" w:space="0"/>
          <w:between w:val="none" w:color="000000" w:sz="0" w:space="0"/>
        </w:pBdr>
        <w:spacing w:line="500" w:lineRule="exact"/>
        <w:rPr>
          <w:rFonts w:hAnsi="宋体" w:cs="宋体"/>
          <w:b/>
          <w:bCs/>
          <w:color w:val="auto"/>
          <w:sz w:val="24"/>
          <w:highlight w:val="none"/>
        </w:rPr>
      </w:pPr>
      <w:r>
        <w:rPr>
          <w:rFonts w:hint="eastAsia" w:hAnsi="宋体" w:cs="宋体"/>
          <w:b/>
          <w:bCs/>
          <w:color w:val="auto"/>
          <w:sz w:val="24"/>
          <w:highlight w:val="none"/>
          <w:lang w:eastAsia="zh-CN"/>
        </w:rPr>
        <w:t>广西科联招标中心有限公司</w:t>
      </w:r>
      <w:r>
        <w:rPr>
          <w:rFonts w:hint="eastAsia" w:hAnsi="宋体" w:cs="宋体"/>
          <w:b/>
          <w:bCs/>
          <w:color w:val="auto"/>
          <w:sz w:val="24"/>
          <w:highlight w:val="none"/>
        </w:rPr>
        <w:t>：</w:t>
      </w:r>
    </w:p>
    <w:p w14:paraId="620A0E01">
      <w:pPr>
        <w:pBdr>
          <w:top w:val="none" w:color="000000" w:sz="0" w:space="0"/>
          <w:left w:val="none" w:color="000000" w:sz="0" w:space="0"/>
          <w:bottom w:val="none" w:color="000000" w:sz="0" w:space="0"/>
          <w:right w:val="none" w:color="000000" w:sz="0" w:space="0"/>
          <w:between w:val="none" w:color="000000" w:sz="0" w:space="0"/>
        </w:pBdr>
        <w:spacing w:line="500" w:lineRule="exact"/>
        <w:ind w:firstLine="480" w:firstLineChars="200"/>
        <w:rPr>
          <w:rFonts w:hAnsi="宋体" w:cs="宋体"/>
          <w:bCs/>
          <w:color w:val="auto"/>
          <w:sz w:val="24"/>
          <w:highlight w:val="none"/>
        </w:rPr>
      </w:pPr>
      <w:r>
        <w:rPr>
          <w:rFonts w:hint="eastAsia" w:hAnsi="宋体" w:cs="宋体"/>
          <w:bCs/>
          <w:color w:val="auto"/>
          <w:sz w:val="24"/>
          <w:highlight w:val="none"/>
        </w:rPr>
        <w:t>我司参加贵公司代理的公开招标项目（</w:t>
      </w:r>
      <w:r>
        <w:rPr>
          <w:rFonts w:hint="eastAsia" w:hAnsi="宋体" w:cs="宋体"/>
          <w:bCs/>
          <w:color w:val="auto"/>
          <w:sz w:val="24"/>
          <w:highlight w:val="none"/>
          <w:u w:val="single"/>
        </w:rPr>
        <w:t xml:space="preserve">项目名称：       ，项目编号：      </w:t>
      </w:r>
      <w:r>
        <w:rPr>
          <w:rFonts w:hint="eastAsia" w:hAnsi="宋体" w:cs="宋体"/>
          <w:bCs/>
          <w:color w:val="auto"/>
          <w:sz w:val="24"/>
          <w:highlight w:val="none"/>
        </w:rPr>
        <w:t>）的投标，现就我司投标文件中所附条款（</w:t>
      </w:r>
      <w:r>
        <w:rPr>
          <w:rFonts w:hint="eastAsia" w:hAnsi="宋体" w:cs="宋体"/>
          <w:bCs/>
          <w:color w:val="auto"/>
          <w:sz w:val="24"/>
          <w:highlight w:val="none"/>
          <w:u w:val="single"/>
        </w:rPr>
        <w:t>投标人</w:t>
      </w:r>
      <w:r>
        <w:rPr>
          <w:rFonts w:hint="eastAsia" w:hAnsi="宋体" w:cs="宋体"/>
          <w:bCs/>
          <w:color w:val="auto"/>
          <w:sz w:val="24"/>
          <w:highlight w:val="none"/>
        </w:rPr>
        <w:t>团体人身意外伤害保险条款）内容进行承诺：</w:t>
      </w:r>
    </w:p>
    <w:p w14:paraId="32CCAF5C">
      <w:pPr>
        <w:pBdr>
          <w:top w:val="none" w:color="000000" w:sz="0" w:space="0"/>
          <w:left w:val="none" w:color="000000" w:sz="0" w:space="0"/>
          <w:bottom w:val="none" w:color="000000" w:sz="0" w:space="0"/>
          <w:right w:val="none" w:color="000000" w:sz="0" w:space="0"/>
          <w:between w:val="none" w:color="000000" w:sz="0" w:space="0"/>
        </w:pBdr>
        <w:spacing w:line="500" w:lineRule="exact"/>
        <w:ind w:firstLine="480" w:firstLineChars="200"/>
        <w:rPr>
          <w:rFonts w:hAnsi="宋体" w:cs="宋体"/>
          <w:bCs/>
          <w:color w:val="auto"/>
          <w:sz w:val="24"/>
          <w:highlight w:val="none"/>
        </w:rPr>
      </w:pPr>
      <w:r>
        <w:rPr>
          <w:rFonts w:hint="eastAsia" w:hAnsi="宋体" w:cs="宋体"/>
          <w:bCs/>
          <w:color w:val="auto"/>
          <w:sz w:val="24"/>
          <w:highlight w:val="none"/>
        </w:rPr>
        <w:t>1、投标文件中所附“</w:t>
      </w:r>
      <w:r>
        <w:rPr>
          <w:rFonts w:hint="eastAsia" w:hAnsi="宋体" w:cs="宋体"/>
          <w:bCs/>
          <w:color w:val="auto"/>
          <w:sz w:val="24"/>
          <w:highlight w:val="none"/>
          <w:u w:val="single"/>
        </w:rPr>
        <w:t>投标人</w:t>
      </w:r>
      <w:r>
        <w:rPr>
          <w:rFonts w:hint="eastAsia" w:hAnsi="宋体" w:cs="宋体"/>
          <w:bCs/>
          <w:color w:val="auto"/>
          <w:sz w:val="24"/>
          <w:highlight w:val="none"/>
        </w:rPr>
        <w:t>团体人身意外伤害保险条款”文中“责任免除”部分内容与本项目“见义勇为保险”的“责任免除”无关；</w:t>
      </w:r>
    </w:p>
    <w:p w14:paraId="4052F678">
      <w:pPr>
        <w:pBdr>
          <w:top w:val="none" w:color="000000" w:sz="0" w:space="0"/>
          <w:left w:val="none" w:color="000000" w:sz="0" w:space="0"/>
          <w:bottom w:val="none" w:color="000000" w:sz="0" w:space="0"/>
          <w:right w:val="none" w:color="000000" w:sz="0" w:space="0"/>
          <w:between w:val="none" w:color="000000" w:sz="0" w:space="0"/>
        </w:pBdr>
        <w:spacing w:line="500" w:lineRule="exact"/>
        <w:ind w:firstLine="480" w:firstLineChars="200"/>
        <w:rPr>
          <w:rFonts w:hAnsi="宋体" w:cs="宋体"/>
          <w:b/>
          <w:bCs/>
          <w:color w:val="auto"/>
          <w:sz w:val="24"/>
          <w:highlight w:val="none"/>
        </w:rPr>
      </w:pPr>
      <w:r>
        <w:rPr>
          <w:rFonts w:hint="eastAsia" w:hAnsi="宋体" w:cs="宋体"/>
          <w:bCs/>
          <w:color w:val="auto"/>
          <w:sz w:val="24"/>
          <w:highlight w:val="none"/>
        </w:rPr>
        <w:t>2、针对本项目，我司响应的责任免除内容如下：无</w:t>
      </w:r>
      <w:r>
        <w:rPr>
          <w:rFonts w:hint="eastAsia" w:ascii="宋体" w:hAnsi="宋体" w:cs="宋体"/>
          <w:b/>
          <w:bCs/>
          <w:color w:val="auto"/>
          <w:szCs w:val="21"/>
          <w:highlight w:val="none"/>
        </w:rPr>
        <w:t>。</w:t>
      </w:r>
    </w:p>
    <w:p w14:paraId="632DE545">
      <w:pPr>
        <w:pStyle w:val="2"/>
        <w:rPr>
          <w:color w:val="auto"/>
          <w:highlight w:val="none"/>
        </w:rPr>
      </w:pPr>
    </w:p>
    <w:p w14:paraId="705DA461">
      <w:pPr>
        <w:pBdr>
          <w:top w:val="none" w:color="000000" w:sz="0" w:space="0"/>
          <w:left w:val="none" w:color="000000" w:sz="0" w:space="0"/>
          <w:bottom w:val="none" w:color="000000" w:sz="0" w:space="0"/>
          <w:right w:val="none" w:color="000000" w:sz="0" w:space="0"/>
          <w:between w:val="none" w:color="000000" w:sz="0" w:space="0"/>
        </w:pBdr>
        <w:spacing w:line="500" w:lineRule="exact"/>
        <w:ind w:firstLine="723" w:firstLineChars="300"/>
        <w:rPr>
          <w:rFonts w:hAnsi="宋体" w:cs="宋体"/>
          <w:b/>
          <w:bCs/>
          <w:color w:val="auto"/>
          <w:sz w:val="24"/>
          <w:highlight w:val="none"/>
        </w:rPr>
      </w:pPr>
      <w:r>
        <w:rPr>
          <w:rFonts w:hint="eastAsia" w:hAnsi="宋体" w:cs="宋体"/>
          <w:b/>
          <w:bCs/>
          <w:color w:val="auto"/>
          <w:sz w:val="24"/>
          <w:highlight w:val="none"/>
        </w:rPr>
        <w:t>特此承诺。</w:t>
      </w:r>
    </w:p>
    <w:p w14:paraId="0FB70170">
      <w:pPr>
        <w:pBdr>
          <w:top w:val="none" w:color="000000" w:sz="0" w:space="0"/>
          <w:left w:val="none" w:color="000000" w:sz="0" w:space="0"/>
          <w:bottom w:val="none" w:color="000000" w:sz="0" w:space="0"/>
          <w:right w:val="none" w:color="000000" w:sz="0" w:space="0"/>
          <w:between w:val="none" w:color="000000" w:sz="0" w:space="0"/>
        </w:pBdr>
        <w:spacing w:line="500" w:lineRule="exact"/>
        <w:rPr>
          <w:rFonts w:hAnsi="宋体" w:cs="宋体"/>
          <w:b/>
          <w:bCs/>
          <w:color w:val="auto"/>
          <w:sz w:val="24"/>
          <w:highlight w:val="none"/>
        </w:rPr>
      </w:pPr>
    </w:p>
    <w:p w14:paraId="6FD318B9">
      <w:pPr>
        <w:pBdr>
          <w:top w:val="none" w:color="000000" w:sz="0" w:space="0"/>
          <w:left w:val="none" w:color="000000" w:sz="0" w:space="0"/>
          <w:bottom w:val="none" w:color="000000" w:sz="0" w:space="0"/>
          <w:right w:val="none" w:color="000000" w:sz="0" w:space="0"/>
          <w:between w:val="none" w:color="000000" w:sz="0" w:space="0"/>
        </w:pBdr>
        <w:spacing w:line="500" w:lineRule="exact"/>
        <w:rPr>
          <w:rFonts w:hAnsi="宋体" w:cs="宋体"/>
          <w:b/>
          <w:bCs/>
          <w:color w:val="auto"/>
          <w:sz w:val="24"/>
          <w:highlight w:val="none"/>
        </w:rPr>
      </w:pPr>
    </w:p>
    <w:p w14:paraId="34754498">
      <w:pPr>
        <w:shd w:val="clear" w:color="auto" w:fill="FFFFFF" w:themeFill="background1"/>
        <w:snapToGrid w:val="0"/>
        <w:spacing w:line="360" w:lineRule="auto"/>
        <w:ind w:firstLine="5640" w:firstLineChars="23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投标人名称(盖公章)：</w:t>
      </w:r>
    </w:p>
    <w:p w14:paraId="5397C2D5">
      <w:pPr>
        <w:shd w:val="clear" w:color="auto" w:fill="FFFFFF" w:themeFill="background1"/>
        <w:snapToGrid w:val="0"/>
        <w:spacing w:line="360" w:lineRule="auto"/>
        <w:ind w:firstLine="5640" w:firstLineChars="2350"/>
        <w:rPr>
          <w:rFonts w:ascii="宋体" w:hAnsi="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C6CA866">
      <w:pPr>
        <w:pStyle w:val="2"/>
        <w:rPr>
          <w:color w:val="auto"/>
          <w:highlight w:val="none"/>
        </w:rPr>
      </w:pPr>
    </w:p>
    <w:p w14:paraId="4C0A66DA">
      <w:pPr>
        <w:pStyle w:val="14"/>
        <w:shd w:val="clear" w:color="auto" w:fill="FFFFFF" w:themeFill="background1"/>
        <w:jc w:val="center"/>
        <w:outlineLvl w:val="1"/>
        <w:rPr>
          <w:rFonts w:hAnsi="宋体" w:cs="宋体"/>
          <w:b/>
          <w:bCs/>
          <w:color w:val="auto"/>
          <w:sz w:val="28"/>
          <w:szCs w:val="28"/>
          <w:highlight w:val="none"/>
        </w:rPr>
      </w:pPr>
      <w:bookmarkStart w:id="393" w:name="_Toc22926"/>
      <w:bookmarkStart w:id="394" w:name="_Toc31920"/>
      <w:bookmarkStart w:id="395" w:name="_Toc28617"/>
      <w:bookmarkStart w:id="396" w:name="_Toc12675"/>
      <w:bookmarkStart w:id="397" w:name="_Toc17719"/>
      <w:bookmarkStart w:id="398" w:name="_Toc30951"/>
      <w:bookmarkStart w:id="399" w:name="_Toc12868"/>
      <w:bookmarkStart w:id="400" w:name="_Toc1343"/>
      <w:bookmarkStart w:id="401" w:name="_Toc3481"/>
      <w:bookmarkStart w:id="402" w:name="_Toc9015"/>
    </w:p>
    <w:p w14:paraId="691D03D0">
      <w:pPr>
        <w:pStyle w:val="14"/>
        <w:shd w:val="clear" w:color="auto" w:fill="FFFFFF" w:themeFill="background1"/>
        <w:jc w:val="center"/>
        <w:outlineLvl w:val="1"/>
        <w:rPr>
          <w:rFonts w:hAnsi="宋体" w:cs="宋体"/>
          <w:b/>
          <w:bCs/>
          <w:color w:val="auto"/>
          <w:sz w:val="28"/>
          <w:szCs w:val="28"/>
          <w:highlight w:val="none"/>
        </w:rPr>
      </w:pPr>
    </w:p>
    <w:p w14:paraId="3654BB51">
      <w:pPr>
        <w:rPr>
          <w:rFonts w:hint="eastAsia" w:hAnsi="宋体" w:cs="宋体"/>
          <w:b/>
          <w:bCs/>
          <w:color w:val="auto"/>
          <w:sz w:val="28"/>
          <w:szCs w:val="28"/>
          <w:highlight w:val="none"/>
        </w:rPr>
      </w:pPr>
      <w:r>
        <w:rPr>
          <w:rFonts w:hint="eastAsia" w:hAnsi="宋体" w:cs="宋体"/>
          <w:b/>
          <w:bCs/>
          <w:color w:val="auto"/>
          <w:sz w:val="28"/>
          <w:szCs w:val="28"/>
          <w:highlight w:val="none"/>
        </w:rPr>
        <w:br w:type="page"/>
      </w:r>
    </w:p>
    <w:p w14:paraId="51F1D9E3">
      <w:pPr>
        <w:pStyle w:val="14"/>
        <w:shd w:val="clear" w:color="auto" w:fill="FFFFFF" w:themeFill="background1"/>
        <w:jc w:val="center"/>
        <w:outlineLvl w:val="1"/>
        <w:rPr>
          <w:rFonts w:hAnsi="宋体" w:cs="宋体"/>
          <w:b/>
          <w:bCs/>
          <w:color w:val="auto"/>
          <w:sz w:val="28"/>
          <w:szCs w:val="28"/>
          <w:highlight w:val="none"/>
        </w:rPr>
      </w:pPr>
      <w:r>
        <w:rPr>
          <w:rFonts w:hint="eastAsia" w:hAnsi="宋体" w:cs="宋体"/>
          <w:b/>
          <w:bCs/>
          <w:color w:val="auto"/>
          <w:sz w:val="28"/>
          <w:szCs w:val="28"/>
          <w:highlight w:val="none"/>
        </w:rPr>
        <w:t>第四节 报价文件格式</w:t>
      </w:r>
      <w:bookmarkEnd w:id="393"/>
      <w:bookmarkEnd w:id="394"/>
      <w:bookmarkEnd w:id="395"/>
      <w:bookmarkEnd w:id="396"/>
      <w:bookmarkEnd w:id="397"/>
      <w:bookmarkEnd w:id="398"/>
      <w:bookmarkEnd w:id="399"/>
      <w:bookmarkEnd w:id="400"/>
      <w:bookmarkEnd w:id="401"/>
      <w:bookmarkEnd w:id="402"/>
    </w:p>
    <w:p w14:paraId="7E49B2B7">
      <w:pPr>
        <w:shd w:val="clear" w:color="auto" w:fill="FFFFFF" w:themeFill="background1"/>
        <w:snapToGrid w:val="0"/>
        <w:spacing w:before="120" w:beforeLines="50" w:after="50" w:line="400" w:lineRule="exact"/>
        <w:jc w:val="left"/>
        <w:rPr>
          <w:rFonts w:ascii="宋体" w:hAnsi="宋体" w:cs="宋体"/>
          <w:color w:val="auto"/>
          <w:sz w:val="24"/>
          <w:highlight w:val="none"/>
        </w:rPr>
      </w:pPr>
      <w:r>
        <w:rPr>
          <w:rFonts w:hint="eastAsia" w:ascii="宋体" w:hAnsi="宋体" w:cs="宋体"/>
          <w:color w:val="auto"/>
          <w:sz w:val="24"/>
          <w:highlight w:val="none"/>
        </w:rPr>
        <w:t xml:space="preserve"> </w:t>
      </w:r>
    </w:p>
    <w:p w14:paraId="4AA3EF53">
      <w:pPr>
        <w:shd w:val="clear" w:color="auto" w:fill="FFFFFF" w:themeFill="background1"/>
        <w:snapToGrid w:val="0"/>
        <w:spacing w:before="120" w:beforeLines="50" w:after="50" w:line="400" w:lineRule="exact"/>
        <w:jc w:val="left"/>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bCs/>
          <w:color w:val="auto"/>
          <w:sz w:val="28"/>
          <w:szCs w:val="28"/>
          <w:highlight w:val="none"/>
        </w:rPr>
        <w:t>1.报价文件封面的格式（参照此格式自拟）：</w:t>
      </w:r>
      <w:r>
        <w:rPr>
          <w:rFonts w:hint="eastAsia" w:ascii="宋体" w:hAnsi="宋体" w:cs="宋体"/>
          <w:color w:val="auto"/>
          <w:sz w:val="24"/>
          <w:highlight w:val="none"/>
        </w:rPr>
        <w:t xml:space="preserve">                                </w:t>
      </w:r>
    </w:p>
    <w:p w14:paraId="1160A7E0">
      <w:pPr>
        <w:shd w:val="clear" w:color="auto" w:fill="FFFFFF" w:themeFill="background1"/>
        <w:snapToGrid w:val="0"/>
        <w:spacing w:before="120" w:beforeLines="50" w:after="50" w:line="400" w:lineRule="exact"/>
        <w:rPr>
          <w:rFonts w:ascii="宋体" w:hAnsi="宋体" w:cs="宋体"/>
          <w:color w:val="auto"/>
          <w:sz w:val="24"/>
          <w:highlight w:val="none"/>
        </w:rPr>
      </w:pPr>
    </w:p>
    <w:p w14:paraId="549473DB">
      <w:pPr>
        <w:shd w:val="clear" w:color="auto" w:fill="FFFFFF" w:themeFill="background1"/>
        <w:snapToGrid w:val="0"/>
        <w:spacing w:before="120" w:beforeLines="50" w:after="50" w:line="400" w:lineRule="exact"/>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电子投标文件</w:t>
      </w:r>
    </w:p>
    <w:p w14:paraId="33957A8B">
      <w:pPr>
        <w:shd w:val="clear" w:color="auto" w:fill="FFFFFF" w:themeFill="background1"/>
        <w:snapToGrid w:val="0"/>
        <w:spacing w:before="120" w:beforeLines="50" w:after="50" w:line="400" w:lineRule="exact"/>
        <w:jc w:val="center"/>
        <w:rPr>
          <w:rFonts w:ascii="宋体" w:hAnsi="宋体" w:cs="宋体"/>
          <w:bCs/>
          <w:color w:val="auto"/>
          <w:sz w:val="24"/>
          <w:szCs w:val="20"/>
          <w:highlight w:val="none"/>
        </w:rPr>
      </w:pPr>
    </w:p>
    <w:p w14:paraId="22E8FA08">
      <w:pPr>
        <w:shd w:val="clear" w:color="auto" w:fill="FFFFFF" w:themeFill="background1"/>
        <w:snapToGrid w:val="0"/>
        <w:spacing w:before="120" w:beforeLines="50" w:after="50" w:line="40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报价文件</w:t>
      </w:r>
    </w:p>
    <w:p w14:paraId="327DBA81">
      <w:pPr>
        <w:shd w:val="clear" w:color="auto" w:fill="FFFFFF" w:themeFill="background1"/>
        <w:snapToGrid w:val="0"/>
        <w:spacing w:before="120" w:beforeLines="50" w:after="50" w:line="400" w:lineRule="exact"/>
        <w:rPr>
          <w:rFonts w:ascii="宋体" w:hAnsi="宋体" w:cs="宋体"/>
          <w:bCs/>
          <w:color w:val="auto"/>
          <w:sz w:val="24"/>
          <w:szCs w:val="20"/>
          <w:highlight w:val="none"/>
        </w:rPr>
      </w:pPr>
    </w:p>
    <w:p w14:paraId="54A2F62A">
      <w:pPr>
        <w:shd w:val="clear" w:color="auto" w:fill="FFFFFF" w:themeFill="background1"/>
        <w:snapToGrid w:val="0"/>
        <w:spacing w:before="120" w:beforeLines="50" w:after="50" w:line="400" w:lineRule="exact"/>
        <w:rPr>
          <w:rFonts w:ascii="宋体" w:hAnsi="宋体" w:cs="宋体"/>
          <w:bCs/>
          <w:color w:val="auto"/>
          <w:sz w:val="24"/>
          <w:szCs w:val="20"/>
          <w:highlight w:val="none"/>
        </w:rPr>
      </w:pPr>
    </w:p>
    <w:p w14:paraId="656F0040">
      <w:pPr>
        <w:shd w:val="clear" w:color="auto" w:fill="FFFFFF" w:themeFill="background1"/>
        <w:snapToGrid w:val="0"/>
        <w:spacing w:before="120" w:beforeLines="50" w:after="50" w:line="400" w:lineRule="exact"/>
        <w:rPr>
          <w:rFonts w:ascii="宋体" w:hAnsi="宋体" w:cs="宋体"/>
          <w:bCs/>
          <w:color w:val="auto"/>
          <w:sz w:val="24"/>
          <w:szCs w:val="20"/>
          <w:highlight w:val="none"/>
        </w:rPr>
      </w:pPr>
    </w:p>
    <w:p w14:paraId="4F9549E0">
      <w:pPr>
        <w:shd w:val="clear" w:color="auto" w:fill="FFFFFF" w:themeFill="background1"/>
        <w:snapToGrid w:val="0"/>
        <w:spacing w:before="120" w:beforeLines="50" w:after="50" w:line="400" w:lineRule="exact"/>
        <w:rPr>
          <w:rFonts w:ascii="宋体" w:hAnsi="宋体" w:cs="宋体"/>
          <w:bCs/>
          <w:color w:val="auto"/>
          <w:sz w:val="24"/>
          <w:szCs w:val="20"/>
          <w:highlight w:val="none"/>
        </w:rPr>
      </w:pPr>
    </w:p>
    <w:p w14:paraId="6BD067DB">
      <w:pPr>
        <w:shd w:val="clear" w:color="auto" w:fill="FFFFFF" w:themeFill="background1"/>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4BEF5BF0">
      <w:pPr>
        <w:shd w:val="clear" w:color="auto" w:fill="FFFFFF" w:themeFill="background1"/>
        <w:snapToGrid w:val="0"/>
        <w:spacing w:before="120" w:beforeLines="50" w:after="50" w:line="400" w:lineRule="exact"/>
        <w:ind w:firstLine="360" w:firstLineChars="150"/>
        <w:rPr>
          <w:rFonts w:ascii="宋体" w:hAnsi="宋体" w:cs="宋体"/>
          <w:bCs/>
          <w:color w:val="auto"/>
          <w:sz w:val="24"/>
          <w:highlight w:val="none"/>
        </w:rPr>
      </w:pPr>
    </w:p>
    <w:p w14:paraId="32D44424">
      <w:pPr>
        <w:shd w:val="clear" w:color="auto" w:fill="FFFFFF" w:themeFill="background1"/>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项目编号： </w:t>
      </w:r>
    </w:p>
    <w:p w14:paraId="7ADA7DE2">
      <w:pPr>
        <w:shd w:val="clear" w:color="auto" w:fill="FFFFFF" w:themeFill="background1"/>
        <w:snapToGrid w:val="0"/>
        <w:spacing w:before="120" w:beforeLines="50" w:after="50" w:line="400" w:lineRule="exact"/>
        <w:ind w:firstLine="360" w:firstLineChars="150"/>
        <w:rPr>
          <w:rFonts w:ascii="宋体" w:hAnsi="宋体" w:cs="宋体"/>
          <w:bCs/>
          <w:color w:val="auto"/>
          <w:sz w:val="24"/>
          <w:highlight w:val="none"/>
        </w:rPr>
      </w:pPr>
    </w:p>
    <w:p w14:paraId="6887C5FB">
      <w:pPr>
        <w:shd w:val="clear" w:color="auto" w:fill="FFFFFF" w:themeFill="background1"/>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所投</w:t>
      </w:r>
      <w:r>
        <w:rPr>
          <w:rFonts w:hint="eastAsia" w:ascii="宋体" w:hAnsi="宋体" w:cs="宋体"/>
          <w:bCs/>
          <w:color w:val="auto"/>
          <w:sz w:val="24"/>
          <w:highlight w:val="none"/>
          <w:lang w:eastAsia="zh-CN"/>
        </w:rPr>
        <w:t>标项</w:t>
      </w:r>
      <w:r>
        <w:rPr>
          <w:rFonts w:hint="eastAsia" w:ascii="宋体" w:hAnsi="宋体" w:cs="宋体"/>
          <w:bCs/>
          <w:color w:val="auto"/>
          <w:sz w:val="24"/>
          <w:highlight w:val="none"/>
        </w:rPr>
        <w:t>（如有则填写，无分标时填写“无”或者留空）：</w:t>
      </w:r>
    </w:p>
    <w:p w14:paraId="71412104">
      <w:pPr>
        <w:shd w:val="clear" w:color="auto" w:fill="FFFFFF" w:themeFill="background1"/>
        <w:snapToGrid w:val="0"/>
        <w:spacing w:before="120" w:beforeLines="50" w:after="50" w:line="400" w:lineRule="exact"/>
        <w:ind w:firstLine="360" w:firstLineChars="150"/>
        <w:rPr>
          <w:rFonts w:ascii="宋体" w:hAnsi="宋体" w:cs="宋体"/>
          <w:bCs/>
          <w:color w:val="auto"/>
          <w:sz w:val="24"/>
          <w:highlight w:val="none"/>
        </w:rPr>
      </w:pPr>
    </w:p>
    <w:p w14:paraId="5EF6C466">
      <w:pPr>
        <w:shd w:val="clear" w:color="auto" w:fill="FFFFFF" w:themeFill="background1"/>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投标人名称：</w:t>
      </w:r>
    </w:p>
    <w:p w14:paraId="03C87675">
      <w:pPr>
        <w:shd w:val="clear" w:color="auto" w:fill="FFFFFF" w:themeFill="background1"/>
        <w:snapToGrid w:val="0"/>
        <w:spacing w:before="120" w:beforeLines="50" w:after="50" w:line="400" w:lineRule="exact"/>
        <w:ind w:firstLine="360" w:firstLineChars="150"/>
        <w:rPr>
          <w:rFonts w:ascii="宋体" w:hAnsi="宋体" w:cs="宋体"/>
          <w:bCs/>
          <w:color w:val="auto"/>
          <w:sz w:val="24"/>
          <w:highlight w:val="none"/>
        </w:rPr>
      </w:pPr>
    </w:p>
    <w:p w14:paraId="1D768AE7">
      <w:pPr>
        <w:pStyle w:val="8"/>
        <w:shd w:val="clear" w:color="auto" w:fill="FFFFFF" w:themeFill="background1"/>
        <w:snapToGrid w:val="0"/>
        <w:spacing w:before="50" w:after="50" w:line="400" w:lineRule="exact"/>
        <w:ind w:firstLine="960" w:firstLineChars="400"/>
        <w:rPr>
          <w:rFonts w:ascii="宋体" w:hAnsi="宋体" w:cs="宋体"/>
          <w:bCs/>
          <w:color w:val="auto"/>
          <w:sz w:val="24"/>
          <w:szCs w:val="24"/>
          <w:highlight w:val="none"/>
        </w:rPr>
      </w:pPr>
    </w:p>
    <w:p w14:paraId="1994E2D6">
      <w:pPr>
        <w:shd w:val="clear" w:color="auto" w:fill="FFFFFF" w:themeFill="background1"/>
        <w:snapToGrid w:val="0"/>
        <w:spacing w:before="120" w:beforeLines="50" w:after="50" w:line="400" w:lineRule="exact"/>
        <w:rPr>
          <w:rFonts w:ascii="宋体" w:hAnsi="宋体" w:cs="宋体"/>
          <w:color w:val="auto"/>
          <w:sz w:val="24"/>
          <w:highlight w:val="none"/>
        </w:rPr>
      </w:pPr>
      <w:r>
        <w:rPr>
          <w:rFonts w:hint="eastAsia" w:ascii="宋体" w:hAnsi="宋体" w:cs="宋体"/>
          <w:color w:val="auto"/>
          <w:sz w:val="24"/>
          <w:highlight w:val="none"/>
        </w:rPr>
        <w:t xml:space="preserve">                                                     </w:t>
      </w:r>
    </w:p>
    <w:p w14:paraId="7C929AF9">
      <w:pPr>
        <w:shd w:val="clear" w:color="auto" w:fill="FFFFFF" w:themeFill="background1"/>
        <w:snapToGrid w:val="0"/>
        <w:spacing w:before="120" w:beforeLines="50" w:after="50" w:line="400" w:lineRule="exact"/>
        <w:ind w:firstLine="3120" w:firstLineChars="1300"/>
        <w:rPr>
          <w:rFonts w:ascii="宋体" w:hAnsi="宋体" w:cs="宋体"/>
          <w:color w:val="auto"/>
          <w:sz w:val="24"/>
          <w:highlight w:val="none"/>
        </w:rPr>
      </w:pPr>
    </w:p>
    <w:p w14:paraId="2EC779AA">
      <w:pPr>
        <w:shd w:val="clear" w:color="auto" w:fill="FFFFFF" w:themeFill="background1"/>
        <w:snapToGrid w:val="0"/>
        <w:spacing w:before="120" w:beforeLines="50" w:after="50" w:line="400" w:lineRule="exact"/>
        <w:ind w:firstLine="4320" w:firstLineChars="1800"/>
        <w:rPr>
          <w:rFonts w:ascii="宋体" w:hAnsi="宋体" w:cs="宋体"/>
          <w:color w:val="auto"/>
          <w:sz w:val="24"/>
          <w:highlight w:val="none"/>
        </w:rPr>
      </w:pPr>
      <w:r>
        <w:rPr>
          <w:rFonts w:hint="eastAsia" w:ascii="宋体" w:hAnsi="宋体" w:cs="宋体"/>
          <w:color w:val="auto"/>
          <w:sz w:val="24"/>
          <w:highlight w:val="none"/>
        </w:rPr>
        <w:t xml:space="preserve">  年  月  日</w:t>
      </w:r>
    </w:p>
    <w:p w14:paraId="73A5347F">
      <w:pPr>
        <w:widowControl/>
        <w:shd w:val="clear" w:color="auto" w:fill="FFFFFF" w:themeFill="background1"/>
        <w:jc w:val="left"/>
        <w:rPr>
          <w:rFonts w:ascii="宋体" w:hAnsi="宋体" w:cs="宋体"/>
          <w:color w:val="auto"/>
          <w:sz w:val="24"/>
          <w:highlight w:val="none"/>
        </w:rPr>
        <w:sectPr>
          <w:pgSz w:w="11905" w:h="16838"/>
          <w:pgMar w:top="1134" w:right="1134" w:bottom="1134" w:left="1134" w:header="850" w:footer="850" w:gutter="0"/>
          <w:pgNumType w:fmt="decimal"/>
          <w:cols w:space="0" w:num="1"/>
          <w:titlePg/>
          <w:docGrid w:linePitch="331" w:charSpace="0"/>
        </w:sectPr>
      </w:pPr>
    </w:p>
    <w:p w14:paraId="1E8FE540">
      <w:pPr>
        <w:shd w:val="clear" w:color="auto" w:fill="FFFFFF" w:themeFill="background1"/>
        <w:snapToGrid w:val="0"/>
        <w:spacing w:before="120" w:beforeLines="50" w:after="50" w:line="360" w:lineRule="auto"/>
        <w:jc w:val="left"/>
        <w:rPr>
          <w:rFonts w:ascii="宋体" w:hAnsi="宋体" w:cs="宋体"/>
          <w:color w:val="auto"/>
          <w:sz w:val="28"/>
          <w:szCs w:val="28"/>
          <w:highlight w:val="none"/>
        </w:rPr>
      </w:pPr>
      <w:r>
        <w:rPr>
          <w:rFonts w:hint="eastAsia" w:ascii="宋体" w:hAnsi="宋体" w:cs="宋体"/>
          <w:b/>
          <w:color w:val="auto"/>
          <w:sz w:val="28"/>
          <w:szCs w:val="28"/>
          <w:highlight w:val="none"/>
        </w:rPr>
        <w:t>2.</w:t>
      </w:r>
      <w:r>
        <w:rPr>
          <w:rFonts w:hint="eastAsia" w:ascii="宋体" w:hAnsi="宋体" w:cs="宋体"/>
          <w:b/>
          <w:bCs/>
          <w:color w:val="auto"/>
          <w:sz w:val="28"/>
          <w:szCs w:val="28"/>
          <w:highlight w:val="none"/>
        </w:rPr>
        <w:t>报价文件目录</w:t>
      </w:r>
    </w:p>
    <w:p w14:paraId="54552737">
      <w:pPr>
        <w:shd w:val="clear" w:color="auto" w:fill="FFFFFF" w:themeFill="background1"/>
        <w:snapToGrid w:val="0"/>
        <w:spacing w:before="50" w:after="120" w:afterLines="50" w:line="360" w:lineRule="auto"/>
        <w:jc w:val="left"/>
        <w:rPr>
          <w:rFonts w:ascii="宋体" w:hAnsi="宋体" w:cs="宋体"/>
          <w:b/>
          <w:color w:val="auto"/>
          <w:sz w:val="28"/>
          <w:szCs w:val="28"/>
          <w:highlight w:val="none"/>
        </w:rPr>
      </w:pPr>
      <w:r>
        <w:rPr>
          <w:rFonts w:hint="eastAsia" w:ascii="宋体" w:hAnsi="宋体" w:cs="宋体"/>
          <w:color w:val="auto"/>
          <w:sz w:val="28"/>
          <w:szCs w:val="28"/>
          <w:highlight w:val="none"/>
        </w:rPr>
        <w:t>根据招标文件规定及投标人提供的材料自行编写目录</w:t>
      </w:r>
      <w:r>
        <w:rPr>
          <w:rFonts w:hint="eastAsia" w:ascii="宋体" w:hAnsi="宋体" w:cs="宋体"/>
          <w:color w:val="auto"/>
          <w:kern w:val="0"/>
          <w:sz w:val="28"/>
          <w:szCs w:val="28"/>
          <w:highlight w:val="none"/>
        </w:rPr>
        <w:t>（部分格式后附）</w:t>
      </w:r>
      <w:r>
        <w:rPr>
          <w:rFonts w:hint="eastAsia" w:ascii="宋体" w:hAnsi="宋体" w:cs="宋体"/>
          <w:color w:val="auto"/>
          <w:sz w:val="28"/>
          <w:szCs w:val="28"/>
          <w:highlight w:val="none"/>
        </w:rPr>
        <w:t>。</w:t>
      </w:r>
    </w:p>
    <w:p w14:paraId="10C245A7">
      <w:pPr>
        <w:shd w:val="clear" w:color="auto" w:fill="FFFFFF" w:themeFill="background1"/>
        <w:spacing w:line="500" w:lineRule="exact"/>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br w:type="page"/>
      </w:r>
    </w:p>
    <w:p w14:paraId="65497DCE">
      <w:pPr>
        <w:pStyle w:val="14"/>
        <w:shd w:val="clear" w:color="auto" w:fill="FFFFFF" w:themeFill="background1"/>
        <w:spacing w:line="500" w:lineRule="exact"/>
        <w:jc w:val="left"/>
        <w:rPr>
          <w:rFonts w:hAnsi="宋体" w:cs="宋体"/>
          <w:b/>
          <w:bCs/>
          <w:color w:val="auto"/>
          <w:sz w:val="30"/>
          <w:szCs w:val="30"/>
          <w:highlight w:val="none"/>
        </w:rPr>
      </w:pPr>
      <w:r>
        <w:rPr>
          <w:rFonts w:hint="eastAsia" w:hAnsi="宋体" w:cs="宋体"/>
          <w:b/>
          <w:bCs/>
          <w:color w:val="auto"/>
          <w:sz w:val="28"/>
          <w:szCs w:val="28"/>
          <w:highlight w:val="none"/>
        </w:rPr>
        <w:t>3.投标函的格式：</w:t>
      </w:r>
    </w:p>
    <w:p w14:paraId="3DB47BC8">
      <w:pPr>
        <w:pStyle w:val="14"/>
        <w:shd w:val="clear" w:color="auto" w:fill="FFFFFF" w:themeFill="background1"/>
        <w:spacing w:line="500" w:lineRule="exact"/>
        <w:jc w:val="center"/>
        <w:rPr>
          <w:rFonts w:hAnsi="宋体" w:cs="宋体"/>
          <w:b/>
          <w:bCs/>
          <w:color w:val="auto"/>
          <w:sz w:val="30"/>
          <w:szCs w:val="30"/>
          <w:highlight w:val="none"/>
        </w:rPr>
      </w:pPr>
      <w:r>
        <w:rPr>
          <w:rFonts w:hint="eastAsia" w:hAnsi="宋体" w:cs="宋体"/>
          <w:b/>
          <w:bCs/>
          <w:color w:val="auto"/>
          <w:sz w:val="30"/>
          <w:szCs w:val="30"/>
          <w:highlight w:val="none"/>
        </w:rPr>
        <w:t>投标函</w:t>
      </w:r>
    </w:p>
    <w:p w14:paraId="48E361A3">
      <w:pPr>
        <w:pStyle w:val="14"/>
        <w:shd w:val="clear" w:color="auto" w:fill="FFFFFF" w:themeFill="background1"/>
        <w:spacing w:line="440" w:lineRule="exact"/>
        <w:ind w:firstLine="420" w:firstLineChars="200"/>
        <w:rPr>
          <w:rFonts w:hAnsi="宋体" w:cs="宋体"/>
          <w:color w:val="auto"/>
          <w:highlight w:val="none"/>
        </w:rPr>
      </w:pPr>
    </w:p>
    <w:p w14:paraId="0910649F">
      <w:pPr>
        <w:pStyle w:val="14"/>
        <w:shd w:val="clear" w:color="auto" w:fill="FFFFFF" w:themeFill="background1"/>
        <w:spacing w:line="440" w:lineRule="exact"/>
        <w:ind w:firstLine="480" w:firstLineChars="200"/>
        <w:rPr>
          <w:rFonts w:hAnsi="宋体" w:cs="宋体"/>
          <w:color w:val="auto"/>
          <w:sz w:val="24"/>
          <w:szCs w:val="22"/>
          <w:highlight w:val="none"/>
        </w:rPr>
      </w:pPr>
      <w:r>
        <w:rPr>
          <w:rFonts w:hint="eastAsia" w:hAnsi="宋体" w:cs="宋体"/>
          <w:color w:val="auto"/>
          <w:sz w:val="24"/>
          <w:szCs w:val="22"/>
          <w:highlight w:val="none"/>
        </w:rPr>
        <w:t>致：</w:t>
      </w:r>
      <w:bookmarkStart w:id="403" w:name="PO_3000001866_PM031_4"/>
      <w:r>
        <w:rPr>
          <w:rFonts w:hint="eastAsia" w:hAnsi="宋体" w:cs="宋体"/>
          <w:color w:val="auto"/>
          <w:sz w:val="24"/>
          <w:szCs w:val="22"/>
          <w:highlight w:val="none"/>
          <w:u w:val="single"/>
        </w:rPr>
        <w:t>广西科联招标中心有限公司</w:t>
      </w:r>
      <w:bookmarkEnd w:id="403"/>
    </w:p>
    <w:p w14:paraId="1D60A41E">
      <w:pPr>
        <w:pStyle w:val="14"/>
        <w:shd w:val="clear" w:color="auto" w:fill="FFFFFF" w:themeFill="background1"/>
        <w:spacing w:line="440" w:lineRule="exact"/>
        <w:ind w:firstLine="480" w:firstLineChars="200"/>
        <w:rPr>
          <w:rFonts w:hAnsi="宋体" w:cs="宋体"/>
          <w:color w:val="auto"/>
          <w:sz w:val="24"/>
          <w:szCs w:val="22"/>
          <w:highlight w:val="none"/>
        </w:rPr>
      </w:pPr>
      <w:r>
        <w:rPr>
          <w:rFonts w:hint="eastAsia" w:hAnsi="宋体" w:cs="宋体"/>
          <w:color w:val="auto"/>
          <w:sz w:val="24"/>
          <w:szCs w:val="22"/>
          <w:highlight w:val="none"/>
        </w:rPr>
        <w:t>我方已仔细阅读了贵方组织的</w:t>
      </w:r>
      <w:r>
        <w:rPr>
          <w:rFonts w:hint="eastAsia" w:hAnsi="宋体" w:cs="宋体"/>
          <w:i/>
          <w:iCs/>
          <w:color w:val="auto"/>
          <w:sz w:val="24"/>
          <w:szCs w:val="22"/>
          <w:highlight w:val="none"/>
          <w:u w:val="single"/>
        </w:rPr>
        <w:t>（项目名称）</w:t>
      </w:r>
      <w:r>
        <w:rPr>
          <w:rFonts w:hint="eastAsia" w:hAnsi="宋体" w:cs="宋体"/>
          <w:color w:val="auto"/>
          <w:sz w:val="24"/>
          <w:szCs w:val="22"/>
          <w:highlight w:val="none"/>
          <w:u w:val="single"/>
        </w:rPr>
        <w:t xml:space="preserve"> </w:t>
      </w:r>
      <w:r>
        <w:rPr>
          <w:rFonts w:hint="eastAsia" w:hAnsi="宋体" w:cs="宋体"/>
          <w:color w:val="auto"/>
          <w:sz w:val="24"/>
          <w:szCs w:val="22"/>
          <w:highlight w:val="none"/>
        </w:rPr>
        <w:t>项目（项目编号：</w:t>
      </w:r>
      <w:r>
        <w:rPr>
          <w:rFonts w:hint="eastAsia" w:hAnsi="宋体" w:cs="宋体"/>
          <w:color w:val="auto"/>
          <w:sz w:val="24"/>
          <w:szCs w:val="22"/>
          <w:highlight w:val="none"/>
          <w:u w:val="single"/>
        </w:rPr>
        <w:t xml:space="preserve">        </w:t>
      </w:r>
      <w:r>
        <w:rPr>
          <w:rFonts w:hint="eastAsia" w:hAnsi="宋体" w:cs="宋体"/>
          <w:color w:val="auto"/>
          <w:sz w:val="24"/>
          <w:szCs w:val="22"/>
          <w:highlight w:val="none"/>
        </w:rPr>
        <w:t>）的招标文件的全部内容，授权</w:t>
      </w:r>
      <w:r>
        <w:rPr>
          <w:rFonts w:hint="eastAsia" w:hAnsi="宋体" w:cs="宋体"/>
          <w:color w:val="auto"/>
          <w:sz w:val="24"/>
          <w:szCs w:val="22"/>
          <w:highlight w:val="none"/>
          <w:u w:val="single"/>
        </w:rPr>
        <w:t xml:space="preserve">                      </w:t>
      </w:r>
      <w:r>
        <w:rPr>
          <w:rFonts w:hint="eastAsia" w:hAnsi="宋体" w:cs="宋体"/>
          <w:color w:val="auto"/>
          <w:sz w:val="24"/>
          <w:szCs w:val="22"/>
          <w:highlight w:val="none"/>
        </w:rPr>
        <w:t>(全权代表姓名)</w:t>
      </w:r>
      <w:r>
        <w:rPr>
          <w:rFonts w:hint="eastAsia" w:hAnsi="宋体" w:cs="宋体"/>
          <w:color w:val="auto"/>
          <w:sz w:val="24"/>
          <w:szCs w:val="22"/>
          <w:highlight w:val="none"/>
          <w:u w:val="single"/>
        </w:rPr>
        <w:t xml:space="preserve">          </w:t>
      </w:r>
      <w:r>
        <w:rPr>
          <w:rFonts w:hint="eastAsia" w:hAnsi="宋体" w:cs="宋体"/>
          <w:color w:val="auto"/>
          <w:sz w:val="24"/>
          <w:szCs w:val="22"/>
          <w:highlight w:val="none"/>
        </w:rPr>
        <w:t xml:space="preserve"> (职务、职称)为全权代表，现正式递交下述文件参加贵方组织的本次政府采购活动： </w:t>
      </w:r>
    </w:p>
    <w:p w14:paraId="786475A9">
      <w:pPr>
        <w:pStyle w:val="14"/>
        <w:shd w:val="clear" w:color="auto" w:fill="FFFFFF" w:themeFill="background1"/>
        <w:spacing w:line="440" w:lineRule="exact"/>
        <w:ind w:firstLine="480" w:firstLineChars="200"/>
        <w:rPr>
          <w:rFonts w:hAnsi="宋体" w:cs="宋体"/>
          <w:color w:val="auto"/>
          <w:sz w:val="24"/>
          <w:szCs w:val="22"/>
          <w:highlight w:val="none"/>
        </w:rPr>
      </w:pPr>
      <w:r>
        <w:rPr>
          <w:rFonts w:hint="eastAsia" w:hAnsi="宋体" w:cs="宋体"/>
          <w:color w:val="auto"/>
          <w:sz w:val="24"/>
          <w:szCs w:val="22"/>
          <w:highlight w:val="none"/>
        </w:rPr>
        <w:t>一、报价文件电子版（包含按投标人须知前附表要求提交的全部文件）；</w:t>
      </w:r>
    </w:p>
    <w:p w14:paraId="25DFB7A5">
      <w:pPr>
        <w:pStyle w:val="14"/>
        <w:shd w:val="clear" w:color="auto" w:fill="FFFFFF" w:themeFill="background1"/>
        <w:spacing w:line="440" w:lineRule="exact"/>
        <w:ind w:firstLine="482"/>
        <w:rPr>
          <w:rFonts w:hAnsi="宋体" w:cs="宋体"/>
          <w:color w:val="auto"/>
          <w:sz w:val="24"/>
          <w:szCs w:val="22"/>
          <w:highlight w:val="none"/>
        </w:rPr>
      </w:pPr>
      <w:r>
        <w:rPr>
          <w:rFonts w:hint="eastAsia" w:hAnsi="宋体" w:cs="宋体"/>
          <w:color w:val="auto"/>
          <w:sz w:val="24"/>
          <w:szCs w:val="22"/>
          <w:highlight w:val="none"/>
        </w:rPr>
        <w:t>二、资格文件电子版（包含按投标人须知前附表要求提交的全部文件）；</w:t>
      </w:r>
    </w:p>
    <w:p w14:paraId="5A9F5243">
      <w:pPr>
        <w:pStyle w:val="14"/>
        <w:shd w:val="clear" w:color="auto" w:fill="FFFFFF" w:themeFill="background1"/>
        <w:spacing w:line="440" w:lineRule="exact"/>
        <w:ind w:firstLine="482"/>
        <w:rPr>
          <w:rFonts w:hAnsi="宋体" w:cs="宋体"/>
          <w:color w:val="auto"/>
          <w:sz w:val="24"/>
          <w:szCs w:val="22"/>
          <w:highlight w:val="none"/>
        </w:rPr>
      </w:pPr>
      <w:r>
        <w:rPr>
          <w:rFonts w:hint="eastAsia" w:hAnsi="宋体" w:cs="宋体"/>
          <w:color w:val="auto"/>
          <w:sz w:val="24"/>
          <w:szCs w:val="22"/>
          <w:highlight w:val="none"/>
        </w:rPr>
        <w:t>三、技术文件电子版（包含按投标人须知前附表要求提交的全部文件）；</w:t>
      </w:r>
    </w:p>
    <w:p w14:paraId="49B34283">
      <w:pPr>
        <w:pStyle w:val="14"/>
        <w:shd w:val="clear" w:color="auto" w:fill="FFFFFF" w:themeFill="background1"/>
        <w:spacing w:line="440" w:lineRule="exact"/>
        <w:ind w:firstLine="482"/>
        <w:rPr>
          <w:rFonts w:hAnsi="宋体" w:cs="宋体"/>
          <w:color w:val="auto"/>
          <w:sz w:val="24"/>
          <w:szCs w:val="22"/>
          <w:highlight w:val="none"/>
        </w:rPr>
      </w:pPr>
      <w:r>
        <w:rPr>
          <w:rFonts w:hint="eastAsia" w:hAnsi="宋体" w:cs="宋体"/>
          <w:color w:val="auto"/>
          <w:sz w:val="24"/>
          <w:szCs w:val="22"/>
          <w:highlight w:val="none"/>
        </w:rPr>
        <w:t>四、商务文件电子版（包含按投标人须知前附表要求提交的全部文件）；</w:t>
      </w:r>
    </w:p>
    <w:p w14:paraId="24DC4B41">
      <w:pPr>
        <w:pStyle w:val="14"/>
        <w:shd w:val="clear" w:color="auto" w:fill="FFFFFF" w:themeFill="background1"/>
        <w:spacing w:line="440" w:lineRule="exact"/>
        <w:ind w:firstLine="482"/>
        <w:rPr>
          <w:rFonts w:hAnsi="宋体" w:cs="宋体"/>
          <w:color w:val="auto"/>
          <w:sz w:val="24"/>
          <w:szCs w:val="22"/>
          <w:highlight w:val="none"/>
        </w:rPr>
      </w:pPr>
      <w:r>
        <w:rPr>
          <w:rFonts w:hint="eastAsia" w:hAnsi="宋体" w:cs="宋体"/>
          <w:color w:val="auto"/>
          <w:sz w:val="24"/>
          <w:szCs w:val="22"/>
          <w:highlight w:val="none"/>
        </w:rPr>
        <w:t>据此函，我方兹宣布：</w:t>
      </w:r>
    </w:p>
    <w:p w14:paraId="7D0DE2A2">
      <w:pPr>
        <w:pStyle w:val="14"/>
        <w:shd w:val="clear" w:color="auto" w:fill="FFFFFF" w:themeFill="background1"/>
        <w:spacing w:line="440" w:lineRule="exact"/>
        <w:ind w:firstLine="480" w:firstLineChars="200"/>
        <w:rPr>
          <w:rFonts w:hAnsi="宋体" w:cs="宋体"/>
          <w:color w:val="auto"/>
          <w:sz w:val="24"/>
          <w:szCs w:val="22"/>
          <w:highlight w:val="none"/>
        </w:rPr>
      </w:pPr>
      <w:r>
        <w:rPr>
          <w:rFonts w:hint="eastAsia" w:hAnsi="宋体" w:cs="宋体"/>
          <w:color w:val="auto"/>
          <w:sz w:val="24"/>
          <w:szCs w:val="22"/>
          <w:highlight w:val="none"/>
        </w:rPr>
        <w:t>1、</w:t>
      </w:r>
      <w:r>
        <w:rPr>
          <w:rFonts w:hint="eastAsia"/>
          <w:color w:val="auto"/>
          <w:sz w:val="24"/>
          <w:szCs w:val="22"/>
          <w:highlight w:val="none"/>
        </w:rPr>
        <w:t>我方愿意以投标时提供</w:t>
      </w:r>
      <w:r>
        <w:rPr>
          <w:rFonts w:hint="eastAsia" w:hAnsi="宋体" w:cs="宋体"/>
          <w:color w:val="auto"/>
          <w:sz w:val="24"/>
          <w:szCs w:val="22"/>
          <w:highlight w:val="none"/>
        </w:rPr>
        <w:t>的开标一览表中的投标单价</w:t>
      </w:r>
      <w:r>
        <w:rPr>
          <w:rFonts w:hint="eastAsia" w:hAnsi="宋体" w:cs="宋体"/>
          <w:color w:val="auto"/>
          <w:sz w:val="24"/>
          <w:szCs w:val="28"/>
          <w:highlight w:val="none"/>
        </w:rPr>
        <w:t>报价，在承诺的服务期限内</w:t>
      </w:r>
      <w:r>
        <w:rPr>
          <w:rFonts w:hint="eastAsia"/>
          <w:color w:val="auto"/>
          <w:sz w:val="24"/>
          <w:szCs w:val="22"/>
          <w:highlight w:val="none"/>
        </w:rPr>
        <w:t>提供本项目</w:t>
      </w:r>
      <w:r>
        <w:rPr>
          <w:rFonts w:hint="eastAsia" w:hAnsi="Times New Roman"/>
          <w:color w:val="auto"/>
          <w:sz w:val="24"/>
          <w:szCs w:val="22"/>
          <w:highlight w:val="none"/>
        </w:rPr>
        <w:t>招标文件“第二章  采购需求”的“服务要求”中</w:t>
      </w:r>
      <w:r>
        <w:rPr>
          <w:rFonts w:hint="eastAsia"/>
          <w:color w:val="auto"/>
          <w:sz w:val="24"/>
          <w:szCs w:val="22"/>
          <w:highlight w:val="none"/>
        </w:rPr>
        <w:t>的相应的采购内容</w:t>
      </w:r>
      <w:r>
        <w:rPr>
          <w:rFonts w:hint="eastAsia" w:hAnsi="宋体" w:cs="宋体"/>
          <w:color w:val="auto"/>
          <w:sz w:val="24"/>
          <w:szCs w:val="22"/>
          <w:highlight w:val="none"/>
        </w:rPr>
        <w:t>，具体详见开标一览表。</w:t>
      </w:r>
    </w:p>
    <w:p w14:paraId="62288D4A">
      <w:pPr>
        <w:pStyle w:val="14"/>
        <w:shd w:val="clear" w:color="auto" w:fill="FFFFFF" w:themeFill="background1"/>
        <w:spacing w:line="360" w:lineRule="exact"/>
        <w:ind w:firstLine="480" w:firstLineChars="200"/>
        <w:rPr>
          <w:rFonts w:hAnsi="宋体" w:cs="宋体"/>
          <w:color w:val="auto"/>
          <w:sz w:val="24"/>
          <w:szCs w:val="22"/>
          <w:highlight w:val="none"/>
          <w:u w:val="single"/>
        </w:rPr>
      </w:pPr>
      <w:r>
        <w:rPr>
          <w:rFonts w:hint="eastAsia" w:hAnsi="宋体" w:cs="宋体"/>
          <w:color w:val="auto"/>
          <w:sz w:val="24"/>
          <w:szCs w:val="22"/>
          <w:highlight w:val="none"/>
        </w:rPr>
        <w:t>2、我方同意自本项目招标文件“第三章 投标人须知”第一节 投标人须知前附表 第21.1项规定的投标截止时间（开标时间）起遵循本投标函，并承诺在“投标人须知前附表”第17.2项规定的投标有效期内不修改、撤销投标文件。</w:t>
      </w:r>
    </w:p>
    <w:p w14:paraId="35DEF610">
      <w:pPr>
        <w:pStyle w:val="14"/>
        <w:shd w:val="clear" w:color="auto" w:fill="FFFFFF" w:themeFill="background1"/>
        <w:spacing w:line="360" w:lineRule="exact"/>
        <w:ind w:firstLine="480" w:firstLineChars="200"/>
        <w:rPr>
          <w:rFonts w:hAnsi="宋体" w:cs="宋体"/>
          <w:color w:val="auto"/>
          <w:sz w:val="24"/>
          <w:szCs w:val="22"/>
          <w:highlight w:val="none"/>
          <w:u w:val="single"/>
        </w:rPr>
      </w:pPr>
      <w:r>
        <w:rPr>
          <w:rFonts w:hint="eastAsia" w:hAnsi="宋体" w:cs="宋体"/>
          <w:color w:val="auto"/>
          <w:sz w:val="24"/>
          <w:szCs w:val="22"/>
          <w:highlight w:val="none"/>
        </w:rPr>
        <w:t>3、我方所递交的投标文件及有关资料都是内容完整、真实和准确的。</w:t>
      </w:r>
    </w:p>
    <w:p w14:paraId="255DF426">
      <w:pPr>
        <w:pStyle w:val="14"/>
        <w:shd w:val="clear" w:color="auto" w:fill="FFFFFF" w:themeFill="background1"/>
        <w:spacing w:line="440" w:lineRule="exact"/>
        <w:ind w:firstLine="480" w:firstLineChars="200"/>
        <w:rPr>
          <w:rFonts w:hAnsi="宋体" w:cs="宋体"/>
          <w:color w:val="auto"/>
          <w:sz w:val="24"/>
          <w:szCs w:val="22"/>
          <w:highlight w:val="none"/>
        </w:rPr>
      </w:pPr>
      <w:r>
        <w:rPr>
          <w:rFonts w:hint="eastAsia" w:hAnsi="宋体" w:cs="宋体"/>
          <w:color w:val="auto"/>
          <w:sz w:val="24"/>
          <w:szCs w:val="22"/>
          <w:highlight w:val="none"/>
        </w:rPr>
        <w:t>4、</w:t>
      </w:r>
      <w:r>
        <w:rPr>
          <w:rFonts w:hint="eastAsia" w:hAnsi="宋体" w:cs="宋体"/>
          <w:color w:val="auto"/>
          <w:sz w:val="24"/>
          <w:szCs w:val="24"/>
          <w:highlight w:val="none"/>
        </w:rPr>
        <w:t>如本项目采购内容涉及须符合国家强制规定的，我方承诺我方本次投标（包括资格条件和所投产品）均符合国家有关强制规定。</w:t>
      </w:r>
    </w:p>
    <w:p w14:paraId="6641D656">
      <w:pPr>
        <w:pStyle w:val="14"/>
        <w:shd w:val="clear" w:color="auto" w:fill="FFFFFF" w:themeFill="background1"/>
        <w:spacing w:line="440" w:lineRule="exact"/>
        <w:ind w:firstLine="480" w:firstLineChars="200"/>
        <w:rPr>
          <w:rFonts w:hAnsi="宋体" w:cs="宋体"/>
          <w:color w:val="auto"/>
          <w:sz w:val="24"/>
          <w:szCs w:val="22"/>
          <w:highlight w:val="none"/>
        </w:rPr>
      </w:pPr>
      <w:r>
        <w:rPr>
          <w:rFonts w:hint="eastAsia" w:hAnsi="宋体" w:cs="宋体"/>
          <w:color w:val="auto"/>
          <w:sz w:val="24"/>
          <w:szCs w:val="22"/>
          <w:highlight w:val="none"/>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14:paraId="41AE1E2D">
      <w:pPr>
        <w:pStyle w:val="14"/>
        <w:shd w:val="clear" w:color="auto" w:fill="FFFFFF" w:themeFill="background1"/>
        <w:spacing w:line="440" w:lineRule="exact"/>
        <w:ind w:firstLine="480" w:firstLineChars="200"/>
        <w:rPr>
          <w:rFonts w:hAnsi="宋体" w:cs="宋体"/>
          <w:color w:val="auto"/>
          <w:sz w:val="24"/>
          <w:szCs w:val="22"/>
          <w:highlight w:val="none"/>
        </w:rPr>
      </w:pPr>
      <w:r>
        <w:rPr>
          <w:rFonts w:hint="eastAsia" w:hAnsi="宋体" w:cs="宋体"/>
          <w:color w:val="auto"/>
          <w:sz w:val="24"/>
          <w:szCs w:val="22"/>
          <w:highlight w:val="none"/>
        </w:rPr>
        <w:t>6、我方已详细审核招标文件，我方知道必须放弃提出含糊不清或误解问题的权利。</w:t>
      </w:r>
    </w:p>
    <w:p w14:paraId="21BB9B5C">
      <w:pPr>
        <w:pStyle w:val="14"/>
        <w:shd w:val="clear" w:color="auto" w:fill="FFFFFF" w:themeFill="background1"/>
        <w:spacing w:line="440" w:lineRule="exact"/>
        <w:ind w:firstLine="480" w:firstLineChars="200"/>
        <w:rPr>
          <w:rFonts w:hAnsi="宋体" w:cs="宋体"/>
          <w:color w:val="auto"/>
          <w:sz w:val="24"/>
          <w:szCs w:val="22"/>
          <w:highlight w:val="none"/>
        </w:rPr>
      </w:pPr>
      <w:r>
        <w:rPr>
          <w:rFonts w:hint="eastAsia" w:hAnsi="宋体" w:cs="宋体"/>
          <w:color w:val="auto"/>
          <w:sz w:val="24"/>
          <w:szCs w:val="22"/>
          <w:highlight w:val="none"/>
        </w:rPr>
        <w:t>7、我方同意应贵方要求提供与本投标有关的任何数据或资料。若贵方需要，我方愿意提供我方作出的一切承诺的证明材料。</w:t>
      </w:r>
    </w:p>
    <w:p w14:paraId="68C966C2">
      <w:pPr>
        <w:pStyle w:val="14"/>
        <w:shd w:val="clear" w:color="auto" w:fill="FFFFFF" w:themeFill="background1"/>
        <w:spacing w:line="440" w:lineRule="exact"/>
        <w:ind w:firstLine="480" w:firstLineChars="200"/>
        <w:rPr>
          <w:rFonts w:hAnsi="宋体" w:cs="宋体"/>
          <w:color w:val="auto"/>
          <w:sz w:val="24"/>
          <w:szCs w:val="22"/>
          <w:highlight w:val="none"/>
        </w:rPr>
      </w:pPr>
      <w:r>
        <w:rPr>
          <w:rFonts w:hint="eastAsia" w:hAnsi="宋体" w:cs="宋体"/>
          <w:color w:val="auto"/>
          <w:sz w:val="24"/>
          <w:szCs w:val="22"/>
          <w:highlight w:val="none"/>
        </w:rPr>
        <w:t>8、我方完全理解贵方不一定接受投标报价最低的投标人为中标人的行为。</w:t>
      </w:r>
    </w:p>
    <w:p w14:paraId="49442DE9">
      <w:pPr>
        <w:pStyle w:val="14"/>
        <w:shd w:val="clear" w:color="auto" w:fill="FFFFFF" w:themeFill="background1"/>
        <w:spacing w:line="440" w:lineRule="exact"/>
        <w:ind w:firstLine="480" w:firstLineChars="200"/>
        <w:rPr>
          <w:rFonts w:hAnsi="宋体" w:cs="宋体"/>
          <w:color w:val="auto"/>
          <w:sz w:val="24"/>
          <w:szCs w:val="22"/>
          <w:highlight w:val="none"/>
        </w:rPr>
      </w:pPr>
      <w:r>
        <w:rPr>
          <w:rFonts w:hint="eastAsia" w:hAnsi="宋体" w:cs="宋体"/>
          <w:color w:val="auto"/>
          <w:sz w:val="24"/>
          <w:szCs w:val="22"/>
          <w:highlight w:val="none"/>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CAD6E2A">
      <w:pPr>
        <w:pStyle w:val="14"/>
        <w:numPr>
          <w:ilvl w:val="0"/>
          <w:numId w:val="5"/>
        </w:numPr>
        <w:shd w:val="clear" w:color="auto" w:fill="FFFFFF" w:themeFill="background1"/>
        <w:spacing w:line="440" w:lineRule="exact"/>
        <w:rPr>
          <w:rFonts w:hAnsi="宋体" w:cs="宋体"/>
          <w:color w:val="auto"/>
          <w:sz w:val="24"/>
          <w:szCs w:val="22"/>
          <w:highlight w:val="none"/>
        </w:rPr>
      </w:pPr>
      <w:r>
        <w:rPr>
          <w:rFonts w:hint="eastAsia" w:hAnsi="宋体" w:cs="宋体"/>
          <w:color w:val="auto"/>
          <w:sz w:val="24"/>
          <w:szCs w:val="22"/>
          <w:highlight w:val="none"/>
        </w:rPr>
        <w:t>提供虚假材料谋取中标、成交的；</w:t>
      </w:r>
    </w:p>
    <w:p w14:paraId="40130807">
      <w:pPr>
        <w:pStyle w:val="14"/>
        <w:numPr>
          <w:ilvl w:val="0"/>
          <w:numId w:val="5"/>
        </w:numPr>
        <w:shd w:val="clear" w:color="auto" w:fill="FFFFFF" w:themeFill="background1"/>
        <w:spacing w:line="440" w:lineRule="exact"/>
        <w:rPr>
          <w:rFonts w:hAnsi="宋体" w:cs="宋体"/>
          <w:color w:val="auto"/>
          <w:sz w:val="24"/>
          <w:szCs w:val="22"/>
          <w:highlight w:val="none"/>
        </w:rPr>
      </w:pPr>
      <w:r>
        <w:rPr>
          <w:rFonts w:hint="eastAsia" w:hAnsi="宋体" w:cs="宋体"/>
          <w:color w:val="auto"/>
          <w:sz w:val="24"/>
          <w:szCs w:val="22"/>
          <w:highlight w:val="none"/>
        </w:rPr>
        <w:t>采取不正当手段诋毁、排挤其他供应商的；</w:t>
      </w:r>
    </w:p>
    <w:p w14:paraId="0D06C280">
      <w:pPr>
        <w:pStyle w:val="14"/>
        <w:numPr>
          <w:ilvl w:val="0"/>
          <w:numId w:val="5"/>
        </w:numPr>
        <w:shd w:val="clear" w:color="auto" w:fill="FFFFFF" w:themeFill="background1"/>
        <w:spacing w:line="440" w:lineRule="exact"/>
        <w:rPr>
          <w:rFonts w:hAnsi="宋体" w:cs="宋体"/>
          <w:color w:val="auto"/>
          <w:sz w:val="24"/>
          <w:szCs w:val="22"/>
          <w:highlight w:val="none"/>
        </w:rPr>
      </w:pPr>
      <w:r>
        <w:rPr>
          <w:rFonts w:hint="eastAsia" w:hAnsi="宋体" w:cs="宋体"/>
          <w:color w:val="auto"/>
          <w:sz w:val="24"/>
          <w:szCs w:val="22"/>
          <w:highlight w:val="none"/>
        </w:rPr>
        <w:t>与采购人、其他供应商或者采购代理机构恶意串通的；</w:t>
      </w:r>
    </w:p>
    <w:p w14:paraId="0D2FF956">
      <w:pPr>
        <w:pStyle w:val="14"/>
        <w:numPr>
          <w:ilvl w:val="0"/>
          <w:numId w:val="5"/>
        </w:numPr>
        <w:shd w:val="clear" w:color="auto" w:fill="FFFFFF" w:themeFill="background1"/>
        <w:spacing w:line="440" w:lineRule="exact"/>
        <w:rPr>
          <w:rFonts w:hAnsi="宋体" w:cs="宋体"/>
          <w:color w:val="auto"/>
          <w:sz w:val="24"/>
          <w:szCs w:val="22"/>
          <w:highlight w:val="none"/>
        </w:rPr>
      </w:pPr>
      <w:r>
        <w:rPr>
          <w:rFonts w:hint="eastAsia" w:hAnsi="宋体" w:cs="宋体"/>
          <w:color w:val="auto"/>
          <w:sz w:val="24"/>
          <w:szCs w:val="22"/>
          <w:highlight w:val="none"/>
        </w:rPr>
        <w:t>向采购人、采购代理机构行贿或者提供其他不正当利益的；</w:t>
      </w:r>
    </w:p>
    <w:p w14:paraId="5AA3F963">
      <w:pPr>
        <w:pStyle w:val="14"/>
        <w:numPr>
          <w:ilvl w:val="0"/>
          <w:numId w:val="5"/>
        </w:numPr>
        <w:shd w:val="clear" w:color="auto" w:fill="FFFFFF" w:themeFill="background1"/>
        <w:spacing w:line="440" w:lineRule="exact"/>
        <w:rPr>
          <w:rFonts w:hAnsi="宋体" w:cs="宋体"/>
          <w:color w:val="auto"/>
          <w:sz w:val="24"/>
          <w:szCs w:val="22"/>
          <w:highlight w:val="none"/>
        </w:rPr>
      </w:pPr>
      <w:r>
        <w:rPr>
          <w:rFonts w:hint="eastAsia" w:hAnsi="宋体" w:cs="宋体"/>
          <w:color w:val="auto"/>
          <w:sz w:val="24"/>
          <w:szCs w:val="22"/>
          <w:highlight w:val="none"/>
        </w:rPr>
        <w:t>在招标采购过程中与采购人进行协商谈判的；</w:t>
      </w:r>
    </w:p>
    <w:p w14:paraId="21FC490D">
      <w:pPr>
        <w:pStyle w:val="14"/>
        <w:numPr>
          <w:ilvl w:val="0"/>
          <w:numId w:val="5"/>
        </w:numPr>
        <w:shd w:val="clear" w:color="auto" w:fill="FFFFFF" w:themeFill="background1"/>
        <w:spacing w:line="440" w:lineRule="exact"/>
        <w:rPr>
          <w:rFonts w:hAnsi="宋体" w:cs="宋体"/>
          <w:color w:val="auto"/>
          <w:sz w:val="24"/>
          <w:szCs w:val="22"/>
          <w:highlight w:val="none"/>
        </w:rPr>
      </w:pPr>
      <w:r>
        <w:rPr>
          <w:rFonts w:hint="eastAsia" w:hAnsi="宋体" w:cs="宋体"/>
          <w:color w:val="auto"/>
          <w:sz w:val="24"/>
          <w:szCs w:val="22"/>
          <w:highlight w:val="none"/>
        </w:rPr>
        <w:t>拒绝有关部门监督检查或提供虚假情况的。</w:t>
      </w:r>
    </w:p>
    <w:p w14:paraId="61E5E1F2">
      <w:pPr>
        <w:pStyle w:val="14"/>
        <w:numPr>
          <w:ilvl w:val="0"/>
          <w:numId w:val="0"/>
        </w:numPr>
        <w:shd w:val="clear" w:color="auto" w:fill="FFFFFF" w:themeFill="background1"/>
        <w:spacing w:line="440" w:lineRule="exact"/>
        <w:ind w:left="420" w:leftChars="0"/>
        <w:rPr>
          <w:rFonts w:hint="eastAsia" w:hAnsi="宋体" w:cs="宋体"/>
          <w:color w:val="auto"/>
          <w:sz w:val="24"/>
          <w:szCs w:val="22"/>
          <w:highlight w:val="none"/>
        </w:rPr>
      </w:pPr>
      <w:r>
        <w:rPr>
          <w:rFonts w:hint="eastAsia" w:ascii="宋体" w:hAnsi="宋体" w:eastAsia="宋体" w:cs="宋体"/>
          <w:color w:val="auto"/>
          <w:kern w:val="2"/>
          <w:sz w:val="24"/>
          <w:szCs w:val="22"/>
          <w:highlight w:val="none"/>
          <w:lang w:val="en-US" w:eastAsia="zh-CN" w:bidi="ar-SA"/>
        </w:rPr>
        <w:t>10、</w:t>
      </w:r>
      <w:r>
        <w:rPr>
          <w:rFonts w:hint="eastAsia" w:hAnsi="宋体" w:cs="宋体"/>
          <w:color w:val="auto"/>
          <w:sz w:val="24"/>
          <w:szCs w:val="22"/>
          <w:highlight w:val="none"/>
        </w:rPr>
        <w:t>以上事项如有虚假或者隐瞒，我方愿意承担一切后果，并不再寻求任何旨在减轻或者免除法律责任的辩解。</w:t>
      </w:r>
    </w:p>
    <w:p w14:paraId="601C5B85">
      <w:pPr>
        <w:pStyle w:val="14"/>
        <w:numPr>
          <w:ilvl w:val="0"/>
          <w:numId w:val="0"/>
        </w:numPr>
        <w:shd w:val="clear" w:color="auto" w:fill="FFFFFF" w:themeFill="background1"/>
        <w:spacing w:line="440" w:lineRule="exact"/>
        <w:ind w:left="420" w:leftChars="0" w:firstLine="0" w:firstLineChars="0"/>
        <w:rPr>
          <w:rFonts w:hint="eastAsia" w:hAnsi="宋体" w:cs="宋体"/>
          <w:color w:val="auto"/>
          <w:sz w:val="24"/>
          <w:szCs w:val="22"/>
          <w:highlight w:val="none"/>
        </w:rPr>
      </w:pPr>
      <w:r>
        <w:rPr>
          <w:rFonts w:hint="eastAsia" w:ascii="宋体" w:hAnsi="宋体" w:eastAsia="宋体" w:cs="宋体"/>
          <w:color w:val="auto"/>
          <w:kern w:val="2"/>
          <w:sz w:val="24"/>
          <w:szCs w:val="22"/>
          <w:highlight w:val="none"/>
          <w:lang w:val="en-US" w:eastAsia="zh-CN" w:bidi="ar-SA"/>
        </w:rPr>
        <w:t>11、</w:t>
      </w:r>
      <w:r>
        <w:rPr>
          <w:rFonts w:hint="eastAsia" w:hAnsi="宋体" w:cs="宋体"/>
          <w:color w:val="auto"/>
          <w:sz w:val="24"/>
          <w:szCs w:val="22"/>
          <w:highlight w:val="none"/>
        </w:rPr>
        <w:t>与本投标有关的一切正式往来信函请寄：</w:t>
      </w:r>
    </w:p>
    <w:p w14:paraId="623710B0">
      <w:pPr>
        <w:pStyle w:val="14"/>
        <w:numPr>
          <w:ilvl w:val="0"/>
          <w:numId w:val="0"/>
        </w:numPr>
        <w:shd w:val="clear" w:color="auto" w:fill="FFFFFF" w:themeFill="background1"/>
        <w:spacing w:line="440" w:lineRule="exact"/>
        <w:ind w:left="420" w:leftChars="0"/>
        <w:rPr>
          <w:rFonts w:hint="eastAsia" w:hAnsi="宋体" w:cs="宋体"/>
          <w:color w:val="auto"/>
          <w:sz w:val="24"/>
          <w:szCs w:val="22"/>
          <w:highlight w:val="none"/>
        </w:rPr>
      </w:pPr>
      <w:r>
        <w:rPr>
          <w:rFonts w:hint="eastAsia" w:hAnsi="宋体" w:cs="宋体"/>
          <w:color w:val="auto"/>
          <w:sz w:val="24"/>
          <w:szCs w:val="22"/>
          <w:highlight w:val="none"/>
        </w:rPr>
        <w:t>地址：</w:t>
      </w:r>
      <w:r>
        <w:rPr>
          <w:rFonts w:hint="eastAsia" w:hAnsi="宋体" w:cs="宋体"/>
          <w:color w:val="auto"/>
          <w:sz w:val="24"/>
          <w:szCs w:val="22"/>
          <w:highlight w:val="none"/>
          <w:u w:val="single"/>
        </w:rPr>
        <w:t xml:space="preserve">                                                        </w:t>
      </w:r>
      <w:r>
        <w:rPr>
          <w:rFonts w:hint="eastAsia" w:hAnsi="宋体" w:cs="宋体"/>
          <w:color w:val="auto"/>
          <w:sz w:val="24"/>
          <w:szCs w:val="22"/>
          <w:highlight w:val="none"/>
        </w:rPr>
        <w:t xml:space="preserve"> </w:t>
      </w:r>
    </w:p>
    <w:p w14:paraId="35AC845A">
      <w:pPr>
        <w:pStyle w:val="14"/>
        <w:numPr>
          <w:ilvl w:val="0"/>
          <w:numId w:val="0"/>
        </w:numPr>
        <w:shd w:val="clear" w:color="auto" w:fill="FFFFFF" w:themeFill="background1"/>
        <w:spacing w:line="440" w:lineRule="exact"/>
        <w:ind w:left="420" w:leftChars="0"/>
        <w:rPr>
          <w:rFonts w:hint="eastAsia" w:hAnsi="宋体" w:cs="宋体"/>
          <w:color w:val="auto"/>
          <w:sz w:val="24"/>
          <w:szCs w:val="22"/>
          <w:highlight w:val="none"/>
          <w:u w:val="single"/>
        </w:rPr>
      </w:pPr>
      <w:r>
        <w:rPr>
          <w:rFonts w:hint="eastAsia" w:hAnsi="宋体" w:cs="宋体"/>
          <w:color w:val="auto"/>
          <w:sz w:val="24"/>
          <w:szCs w:val="22"/>
          <w:highlight w:val="none"/>
        </w:rPr>
        <w:t>电话：</w:t>
      </w:r>
      <w:r>
        <w:rPr>
          <w:rFonts w:hint="eastAsia" w:hAnsi="宋体" w:cs="宋体"/>
          <w:color w:val="auto"/>
          <w:sz w:val="24"/>
          <w:szCs w:val="22"/>
          <w:highlight w:val="none"/>
          <w:u w:val="single"/>
        </w:rPr>
        <w:t xml:space="preserve">                                      　　　　　　　　　</w:t>
      </w:r>
    </w:p>
    <w:p w14:paraId="01BC92E2">
      <w:pPr>
        <w:pStyle w:val="14"/>
        <w:numPr>
          <w:ilvl w:val="0"/>
          <w:numId w:val="0"/>
        </w:numPr>
        <w:shd w:val="clear" w:color="auto" w:fill="FFFFFF" w:themeFill="background1"/>
        <w:spacing w:line="440" w:lineRule="exact"/>
        <w:ind w:left="420" w:leftChars="0"/>
        <w:rPr>
          <w:rFonts w:hint="eastAsia" w:hAnsi="宋体" w:cs="宋体"/>
          <w:color w:val="auto"/>
          <w:sz w:val="24"/>
          <w:szCs w:val="22"/>
          <w:highlight w:val="none"/>
          <w:u w:val="single"/>
        </w:rPr>
      </w:pPr>
      <w:r>
        <w:rPr>
          <w:rFonts w:hint="eastAsia" w:hAnsi="宋体" w:cs="宋体"/>
          <w:color w:val="auto"/>
          <w:sz w:val="24"/>
          <w:szCs w:val="22"/>
          <w:highlight w:val="none"/>
        </w:rPr>
        <w:t>传真：</w:t>
      </w:r>
      <w:r>
        <w:rPr>
          <w:rFonts w:hint="eastAsia" w:hAnsi="宋体" w:cs="宋体"/>
          <w:color w:val="auto"/>
          <w:sz w:val="24"/>
          <w:szCs w:val="22"/>
          <w:highlight w:val="none"/>
          <w:u w:val="single"/>
        </w:rPr>
        <w:t>　　　　　　　　　　　　　　　　　　　　　　　　　　　　</w:t>
      </w:r>
    </w:p>
    <w:p w14:paraId="1CC3F1E8">
      <w:pPr>
        <w:pStyle w:val="14"/>
        <w:numPr>
          <w:ilvl w:val="0"/>
          <w:numId w:val="0"/>
        </w:numPr>
        <w:shd w:val="clear" w:color="auto" w:fill="FFFFFF" w:themeFill="background1"/>
        <w:spacing w:line="440" w:lineRule="exact"/>
        <w:ind w:left="420" w:leftChars="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电子邮箱：</w:t>
      </w:r>
      <w:r>
        <w:rPr>
          <w:rFonts w:hint="eastAsia" w:ascii="宋体" w:hAnsi="宋体" w:cs="宋体"/>
          <w:color w:val="auto"/>
          <w:sz w:val="24"/>
          <w:szCs w:val="32"/>
          <w:highlight w:val="none"/>
          <w:u w:val="single"/>
        </w:rPr>
        <w:t>　　　　　　　　　　　　　　　　　　　　　　　　　　</w:t>
      </w:r>
    </w:p>
    <w:p w14:paraId="0CA25B56">
      <w:pPr>
        <w:pStyle w:val="14"/>
        <w:numPr>
          <w:ilvl w:val="0"/>
          <w:numId w:val="0"/>
        </w:numPr>
        <w:shd w:val="clear" w:color="auto" w:fill="FFFFFF" w:themeFill="background1"/>
        <w:spacing w:line="440" w:lineRule="exact"/>
        <w:ind w:left="420" w:leftChars="0"/>
        <w:rPr>
          <w:rFonts w:hint="eastAsia" w:hAnsi="宋体" w:cs="宋体"/>
          <w:color w:val="auto"/>
          <w:sz w:val="24"/>
          <w:szCs w:val="22"/>
          <w:highlight w:val="none"/>
          <w:u w:val="single"/>
        </w:rPr>
      </w:pPr>
      <w:r>
        <w:rPr>
          <w:rFonts w:hint="eastAsia" w:hAnsi="宋体" w:cs="宋体"/>
          <w:color w:val="auto"/>
          <w:sz w:val="24"/>
          <w:szCs w:val="22"/>
          <w:highlight w:val="none"/>
        </w:rPr>
        <w:t>邮政编码：</w:t>
      </w:r>
      <w:r>
        <w:rPr>
          <w:rFonts w:hint="eastAsia" w:hAnsi="宋体" w:cs="宋体"/>
          <w:color w:val="auto"/>
          <w:sz w:val="24"/>
          <w:szCs w:val="22"/>
          <w:highlight w:val="none"/>
          <w:u w:val="single"/>
        </w:rPr>
        <w:t xml:space="preserve">                                                    </w:t>
      </w:r>
    </w:p>
    <w:p w14:paraId="05F6A540">
      <w:pPr>
        <w:pStyle w:val="14"/>
        <w:numPr>
          <w:ilvl w:val="0"/>
          <w:numId w:val="0"/>
        </w:numPr>
        <w:shd w:val="clear" w:color="auto" w:fill="FFFFFF" w:themeFill="background1"/>
        <w:spacing w:line="440" w:lineRule="exact"/>
        <w:ind w:left="420" w:leftChars="0"/>
        <w:rPr>
          <w:rFonts w:hint="eastAsia" w:hAnsi="宋体" w:cs="宋体"/>
          <w:color w:val="auto"/>
          <w:sz w:val="24"/>
          <w:szCs w:val="22"/>
          <w:highlight w:val="none"/>
          <w:u w:val="single"/>
        </w:rPr>
      </w:pPr>
      <w:r>
        <w:rPr>
          <w:rFonts w:hint="eastAsia" w:hAnsi="宋体" w:cs="宋体"/>
          <w:color w:val="auto"/>
          <w:sz w:val="24"/>
          <w:szCs w:val="22"/>
          <w:highlight w:val="none"/>
        </w:rPr>
        <w:t>开户名称：</w:t>
      </w:r>
      <w:r>
        <w:rPr>
          <w:rFonts w:hint="eastAsia" w:hAnsi="宋体" w:cs="宋体"/>
          <w:color w:val="auto"/>
          <w:sz w:val="24"/>
          <w:szCs w:val="22"/>
          <w:highlight w:val="none"/>
          <w:u w:val="single"/>
        </w:rPr>
        <w:t xml:space="preserve">                                                    </w:t>
      </w:r>
    </w:p>
    <w:p w14:paraId="64C23E6E">
      <w:pPr>
        <w:pStyle w:val="14"/>
        <w:numPr>
          <w:ilvl w:val="0"/>
          <w:numId w:val="0"/>
        </w:numPr>
        <w:shd w:val="clear" w:color="auto" w:fill="FFFFFF" w:themeFill="background1"/>
        <w:spacing w:line="440" w:lineRule="exact"/>
        <w:ind w:left="420" w:leftChars="0"/>
        <w:rPr>
          <w:rFonts w:hint="eastAsia" w:hAnsi="宋体" w:cs="宋体"/>
          <w:color w:val="auto"/>
          <w:sz w:val="24"/>
          <w:szCs w:val="22"/>
          <w:highlight w:val="none"/>
          <w:u w:val="single"/>
        </w:rPr>
      </w:pPr>
      <w:r>
        <w:rPr>
          <w:rFonts w:hint="eastAsia" w:hAnsi="宋体" w:cs="宋体"/>
          <w:color w:val="auto"/>
          <w:sz w:val="24"/>
          <w:szCs w:val="22"/>
          <w:highlight w:val="none"/>
        </w:rPr>
        <w:t>开户银行：</w:t>
      </w:r>
      <w:r>
        <w:rPr>
          <w:rFonts w:hint="eastAsia" w:hAnsi="宋体" w:cs="宋体"/>
          <w:color w:val="auto"/>
          <w:sz w:val="24"/>
          <w:szCs w:val="22"/>
          <w:highlight w:val="none"/>
          <w:u w:val="single"/>
        </w:rPr>
        <w:t xml:space="preserve">                                                    </w:t>
      </w:r>
    </w:p>
    <w:p w14:paraId="06D2BCD2">
      <w:pPr>
        <w:pStyle w:val="14"/>
        <w:numPr>
          <w:ilvl w:val="0"/>
          <w:numId w:val="0"/>
        </w:numPr>
        <w:shd w:val="clear" w:color="auto" w:fill="FFFFFF" w:themeFill="background1"/>
        <w:spacing w:line="440" w:lineRule="exact"/>
        <w:ind w:left="420" w:leftChars="0"/>
        <w:rPr>
          <w:rFonts w:hAnsi="宋体" w:cs="宋体"/>
          <w:color w:val="auto"/>
          <w:highlight w:val="none"/>
          <w:u w:val="single"/>
        </w:rPr>
      </w:pPr>
      <w:r>
        <w:rPr>
          <w:rFonts w:hint="eastAsia" w:hAnsi="宋体" w:cs="宋体"/>
          <w:color w:val="auto"/>
          <w:sz w:val="24"/>
          <w:szCs w:val="22"/>
          <w:highlight w:val="none"/>
        </w:rPr>
        <w:t>银行账号：</w:t>
      </w:r>
      <w:r>
        <w:rPr>
          <w:rFonts w:hint="eastAsia" w:hAnsi="宋体" w:cs="宋体"/>
          <w:color w:val="auto"/>
          <w:sz w:val="24"/>
          <w:szCs w:val="22"/>
          <w:highlight w:val="none"/>
          <w:u w:val="single"/>
        </w:rPr>
        <w:t xml:space="preserve">                                                    </w:t>
      </w:r>
    </w:p>
    <w:p w14:paraId="45BFCC02">
      <w:pPr>
        <w:shd w:val="clear" w:color="auto" w:fill="FFFFFF" w:themeFill="background1"/>
        <w:snapToGrid w:val="0"/>
        <w:spacing w:line="360" w:lineRule="auto"/>
        <w:ind w:firstLine="5040" w:firstLineChars="2100"/>
        <w:rPr>
          <w:rFonts w:ascii="宋体" w:hAnsi="宋体" w:cs="宋体"/>
          <w:color w:val="auto"/>
          <w:kern w:val="0"/>
          <w:sz w:val="24"/>
          <w:highlight w:val="none"/>
          <w:lang w:val="zh-CN"/>
        </w:rPr>
      </w:pPr>
    </w:p>
    <w:p w14:paraId="6AB2F13A">
      <w:pPr>
        <w:shd w:val="clear" w:color="auto" w:fill="FFFFFF" w:themeFill="background1"/>
        <w:snapToGrid w:val="0"/>
        <w:spacing w:line="360" w:lineRule="auto"/>
        <w:ind w:firstLine="5040" w:firstLineChars="2100"/>
        <w:rPr>
          <w:rFonts w:ascii="宋体" w:hAnsi="宋体" w:cs="宋体"/>
          <w:color w:val="auto"/>
          <w:kern w:val="0"/>
          <w:sz w:val="24"/>
          <w:highlight w:val="none"/>
          <w:lang w:val="zh-CN"/>
        </w:rPr>
      </w:pPr>
    </w:p>
    <w:p w14:paraId="56F4D87D">
      <w:pPr>
        <w:shd w:val="clear" w:color="auto" w:fill="FFFFFF" w:themeFill="background1"/>
        <w:snapToGrid w:val="0"/>
        <w:spacing w:line="360" w:lineRule="auto"/>
        <w:ind w:firstLine="5280" w:firstLineChars="22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投标人名称(盖公章)：</w:t>
      </w:r>
    </w:p>
    <w:p w14:paraId="51ED0632">
      <w:pPr>
        <w:shd w:val="clear" w:color="auto" w:fill="FFFFFF" w:themeFill="background1"/>
        <w:snapToGrid w:val="0"/>
        <w:spacing w:line="360" w:lineRule="auto"/>
        <w:ind w:firstLine="5280" w:firstLineChars="2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5731C73">
      <w:pPr>
        <w:widowControl/>
        <w:shd w:val="clear" w:color="auto" w:fill="FFFFFF" w:themeFill="background1"/>
        <w:spacing w:line="360" w:lineRule="auto"/>
        <w:jc w:val="left"/>
        <w:rPr>
          <w:rFonts w:ascii="宋体" w:hAnsi="宋体" w:cs="宋体"/>
          <w:color w:val="auto"/>
          <w:kern w:val="0"/>
          <w:sz w:val="24"/>
          <w:highlight w:val="none"/>
          <w:lang w:val="zh-CN"/>
        </w:rPr>
        <w:sectPr>
          <w:pgSz w:w="11905" w:h="16838"/>
          <w:pgMar w:top="1134" w:right="1134" w:bottom="1134" w:left="1134" w:header="850" w:footer="850" w:gutter="0"/>
          <w:pgNumType w:fmt="decimal"/>
          <w:cols w:space="0" w:num="1"/>
          <w:titlePg/>
          <w:docGrid w:linePitch="331" w:charSpace="0"/>
        </w:sectPr>
      </w:pPr>
    </w:p>
    <w:p w14:paraId="23316177">
      <w:pPr>
        <w:pStyle w:val="14"/>
        <w:shd w:val="clear" w:color="auto" w:fill="FFFFFF" w:themeFill="background1"/>
        <w:spacing w:line="360" w:lineRule="auto"/>
        <w:jc w:val="left"/>
        <w:rPr>
          <w:rFonts w:hAnsi="宋体" w:cs="宋体"/>
          <w:b/>
          <w:color w:val="auto"/>
          <w:sz w:val="28"/>
          <w:szCs w:val="28"/>
          <w:highlight w:val="none"/>
        </w:rPr>
      </w:pPr>
      <w:r>
        <w:rPr>
          <w:rFonts w:hint="eastAsia" w:hAnsi="宋体" w:cs="宋体"/>
          <w:b/>
          <w:color w:val="auto"/>
          <w:sz w:val="28"/>
          <w:szCs w:val="28"/>
          <w:highlight w:val="none"/>
        </w:rPr>
        <w:t>4. 开标一览表的格式：</w:t>
      </w:r>
    </w:p>
    <w:p w14:paraId="28A145E7">
      <w:pPr>
        <w:pStyle w:val="14"/>
        <w:shd w:val="clear" w:color="auto" w:fill="FFFFFF" w:themeFill="background1"/>
        <w:spacing w:line="360" w:lineRule="auto"/>
        <w:jc w:val="center"/>
        <w:rPr>
          <w:rFonts w:hAnsi="宋体" w:cs="宋体"/>
          <w:b/>
          <w:color w:val="auto"/>
          <w:sz w:val="30"/>
          <w:szCs w:val="30"/>
          <w:highlight w:val="none"/>
        </w:rPr>
      </w:pPr>
      <w:r>
        <w:rPr>
          <w:rFonts w:hint="eastAsia" w:hAnsi="宋体" w:cs="宋体"/>
          <w:b/>
          <w:color w:val="auto"/>
          <w:sz w:val="30"/>
          <w:szCs w:val="30"/>
          <w:highlight w:val="none"/>
        </w:rPr>
        <w:t>开标一览表</w:t>
      </w:r>
      <w:r>
        <w:rPr>
          <w:rFonts w:hint="eastAsia" w:hAnsi="宋体" w:cs="宋体"/>
          <w:b/>
          <w:color w:val="auto"/>
          <w:kern w:val="0"/>
          <w:sz w:val="24"/>
          <w:highlight w:val="none"/>
          <w:lang w:val="zh-CN"/>
        </w:rPr>
        <w:t>(单位均为人民币元)</w:t>
      </w:r>
    </w:p>
    <w:p w14:paraId="6B9B963D">
      <w:pPr>
        <w:shd w:val="clear" w:color="auto" w:fill="FFFFFF" w:themeFill="background1"/>
        <w:snapToGrid w:val="0"/>
        <w:spacing w:before="50" w:after="50" w:line="360" w:lineRule="auto"/>
        <w:rPr>
          <w:rFonts w:ascii="宋体" w:hAnsi="宋体" w:cs="宋体"/>
          <w:color w:val="auto"/>
          <w:sz w:val="24"/>
          <w:highlight w:val="none"/>
        </w:rPr>
      </w:pPr>
      <w:r>
        <w:rPr>
          <w:rFonts w:hint="eastAsia" w:ascii="宋体" w:hAnsi="宋体" w:cs="宋体"/>
          <w:color w:val="auto"/>
          <w:sz w:val="24"/>
          <w:highlight w:val="none"/>
        </w:rPr>
        <w:t xml:space="preserve">项目名称：                       </w:t>
      </w:r>
    </w:p>
    <w:p w14:paraId="64CA62F7">
      <w:pPr>
        <w:shd w:val="clear" w:color="auto" w:fill="FFFFFF" w:themeFill="background1"/>
        <w:snapToGrid w:val="0"/>
        <w:spacing w:before="50" w:after="50" w:line="360" w:lineRule="auto"/>
        <w:rPr>
          <w:rFonts w:ascii="宋体" w:hAnsi="宋体" w:cs="宋体"/>
          <w:color w:val="auto"/>
          <w:sz w:val="24"/>
          <w:highlight w:val="none"/>
        </w:rPr>
      </w:pPr>
      <w:r>
        <w:rPr>
          <w:rFonts w:hint="eastAsia" w:ascii="宋体" w:hAnsi="宋体" w:cs="宋体"/>
          <w:color w:val="auto"/>
          <w:sz w:val="24"/>
          <w:highlight w:val="none"/>
        </w:rPr>
        <w:t xml:space="preserve">项目编号：   </w:t>
      </w:r>
    </w:p>
    <w:p w14:paraId="4E100E51">
      <w:pPr>
        <w:shd w:val="clear" w:color="auto" w:fill="FFFFFF" w:themeFill="background1"/>
        <w:snapToGrid w:val="0"/>
        <w:spacing w:before="50" w:after="50" w:line="360" w:lineRule="auto"/>
        <w:rPr>
          <w:rFonts w:hint="eastAsia" w:ascii="宋体" w:hAnsi="宋体" w:cs="宋体"/>
          <w:color w:val="auto"/>
          <w:sz w:val="24"/>
          <w:highlight w:val="none"/>
        </w:rPr>
      </w:pPr>
      <w:r>
        <w:rPr>
          <w:rFonts w:hint="eastAsia" w:ascii="宋体" w:hAnsi="宋体" w:cs="宋体"/>
          <w:bCs/>
          <w:color w:val="auto"/>
          <w:sz w:val="24"/>
          <w:highlight w:val="none"/>
        </w:rPr>
        <w:t>所投</w:t>
      </w:r>
      <w:r>
        <w:rPr>
          <w:rFonts w:hint="eastAsia" w:ascii="宋体" w:hAnsi="宋体" w:cs="宋体"/>
          <w:bCs/>
          <w:color w:val="auto"/>
          <w:sz w:val="24"/>
          <w:highlight w:val="none"/>
          <w:lang w:eastAsia="zh-CN"/>
        </w:rPr>
        <w:t>标项</w:t>
      </w:r>
      <w:r>
        <w:rPr>
          <w:rFonts w:hint="eastAsia" w:ascii="宋体" w:hAnsi="宋体" w:cs="宋体"/>
          <w:bCs/>
          <w:color w:val="auto"/>
          <w:sz w:val="24"/>
          <w:highlight w:val="none"/>
        </w:rPr>
        <w:t>（如有则填写，无分标时填写“无”或者留空）：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tbl>
      <w:tblPr>
        <w:tblStyle w:val="25"/>
        <w:tblW w:w="9839"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5999"/>
        <w:gridCol w:w="1828"/>
        <w:gridCol w:w="1085"/>
      </w:tblGrid>
      <w:tr w14:paraId="11B91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27" w:type="dxa"/>
            <w:tcBorders>
              <w:top w:val="single" w:color="auto" w:sz="4" w:space="0"/>
              <w:left w:val="single" w:color="auto" w:sz="4" w:space="0"/>
              <w:bottom w:val="single" w:color="auto" w:sz="4" w:space="0"/>
              <w:right w:val="single" w:color="auto" w:sz="4" w:space="0"/>
            </w:tcBorders>
            <w:vAlign w:val="center"/>
          </w:tcPr>
          <w:p w14:paraId="5A1EEAE2">
            <w:pPr>
              <w:spacing w:line="360" w:lineRule="auto"/>
              <w:jc w:val="center"/>
              <w:rPr>
                <w:rFonts w:ascii="宋体" w:hAnsi="宋体" w:cs="仿宋_GB2312"/>
                <w:color w:val="auto"/>
                <w:sz w:val="24"/>
                <w:highlight w:val="none"/>
              </w:rPr>
            </w:pPr>
            <w:r>
              <w:rPr>
                <w:rFonts w:ascii="宋体" w:hAnsi="宋体" w:cs="仿宋_GB2312"/>
                <w:color w:val="auto"/>
                <w:sz w:val="24"/>
                <w:highlight w:val="none"/>
              </w:rPr>
              <w:t>序号</w:t>
            </w:r>
          </w:p>
        </w:tc>
        <w:tc>
          <w:tcPr>
            <w:tcW w:w="5999" w:type="dxa"/>
            <w:tcBorders>
              <w:top w:val="single" w:color="auto" w:sz="4" w:space="0"/>
              <w:left w:val="single" w:color="auto" w:sz="4" w:space="0"/>
              <w:bottom w:val="single" w:color="auto" w:sz="4" w:space="0"/>
              <w:right w:val="single" w:color="auto" w:sz="4" w:space="0"/>
            </w:tcBorders>
            <w:vAlign w:val="center"/>
          </w:tcPr>
          <w:p w14:paraId="67F9E891">
            <w:pPr>
              <w:spacing w:line="360" w:lineRule="auto"/>
              <w:jc w:val="center"/>
              <w:rPr>
                <w:rFonts w:ascii="宋体" w:hAnsi="宋体" w:cs="仿宋_GB2312"/>
                <w:color w:val="auto"/>
                <w:sz w:val="24"/>
                <w:highlight w:val="none"/>
              </w:rPr>
            </w:pPr>
            <w:r>
              <w:rPr>
                <w:rFonts w:hint="eastAsia" w:ascii="宋体" w:hAnsi="宋体"/>
                <w:b/>
                <w:color w:val="auto"/>
                <w:sz w:val="24"/>
                <w:highlight w:val="none"/>
              </w:rPr>
              <w:t>标的的名称</w:t>
            </w:r>
          </w:p>
        </w:tc>
        <w:tc>
          <w:tcPr>
            <w:tcW w:w="1828" w:type="dxa"/>
            <w:tcBorders>
              <w:top w:val="single" w:color="auto" w:sz="4" w:space="0"/>
              <w:left w:val="single" w:color="auto" w:sz="4" w:space="0"/>
              <w:bottom w:val="single" w:color="auto" w:sz="4" w:space="0"/>
              <w:right w:val="single" w:color="auto" w:sz="4" w:space="0"/>
            </w:tcBorders>
            <w:vAlign w:val="center"/>
          </w:tcPr>
          <w:p w14:paraId="48128827">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数量及单位</w:t>
            </w:r>
          </w:p>
        </w:tc>
        <w:tc>
          <w:tcPr>
            <w:tcW w:w="1085" w:type="dxa"/>
            <w:tcBorders>
              <w:top w:val="single" w:color="auto" w:sz="4" w:space="0"/>
              <w:left w:val="single" w:color="auto" w:sz="4" w:space="0"/>
              <w:bottom w:val="single" w:color="auto" w:sz="4" w:space="0"/>
              <w:right w:val="single" w:color="auto" w:sz="4" w:space="0"/>
            </w:tcBorders>
            <w:vAlign w:val="center"/>
          </w:tcPr>
          <w:p w14:paraId="61254B76">
            <w:pPr>
              <w:spacing w:line="360" w:lineRule="auto"/>
              <w:jc w:val="center"/>
              <w:rPr>
                <w:rFonts w:ascii="宋体" w:hAnsi="宋体" w:cs="仿宋_GB2312"/>
                <w:color w:val="auto"/>
                <w:sz w:val="24"/>
                <w:highlight w:val="none"/>
              </w:rPr>
            </w:pPr>
            <w:r>
              <w:rPr>
                <w:rFonts w:ascii="宋体" w:hAnsi="宋体" w:cs="仿宋_GB2312"/>
                <w:color w:val="auto"/>
                <w:sz w:val="24"/>
                <w:highlight w:val="none"/>
              </w:rPr>
              <w:t>备注</w:t>
            </w:r>
          </w:p>
        </w:tc>
      </w:tr>
      <w:tr w14:paraId="53C49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right"/>
        </w:trPr>
        <w:tc>
          <w:tcPr>
            <w:tcW w:w="927" w:type="dxa"/>
            <w:tcBorders>
              <w:top w:val="single" w:color="auto" w:sz="4" w:space="0"/>
              <w:left w:val="single" w:color="auto" w:sz="4" w:space="0"/>
              <w:bottom w:val="single" w:color="auto" w:sz="4" w:space="0"/>
              <w:right w:val="single" w:color="auto" w:sz="4" w:space="0"/>
            </w:tcBorders>
            <w:vAlign w:val="center"/>
          </w:tcPr>
          <w:p w14:paraId="5F4DE19A">
            <w:pPr>
              <w:spacing w:line="360" w:lineRule="auto"/>
              <w:jc w:val="center"/>
              <w:rPr>
                <w:rFonts w:ascii="宋体" w:hAnsi="宋体" w:cs="仿宋_GB2312"/>
                <w:color w:val="auto"/>
                <w:sz w:val="24"/>
                <w:highlight w:val="none"/>
              </w:rPr>
            </w:pPr>
            <w:r>
              <w:rPr>
                <w:rFonts w:ascii="宋体" w:hAnsi="宋体" w:cs="仿宋_GB2312"/>
                <w:color w:val="auto"/>
                <w:sz w:val="24"/>
                <w:highlight w:val="none"/>
              </w:rPr>
              <w:t>1</w:t>
            </w:r>
          </w:p>
        </w:tc>
        <w:tc>
          <w:tcPr>
            <w:tcW w:w="5999" w:type="dxa"/>
            <w:tcBorders>
              <w:top w:val="single" w:color="auto" w:sz="4" w:space="0"/>
              <w:left w:val="single" w:color="auto" w:sz="4" w:space="0"/>
              <w:bottom w:val="single" w:color="auto" w:sz="4" w:space="0"/>
              <w:right w:val="single" w:color="auto" w:sz="4" w:space="0"/>
            </w:tcBorders>
            <w:vAlign w:val="center"/>
          </w:tcPr>
          <w:p w14:paraId="58DD4E65">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广西壮族自治区见义勇为人员人身意外伤害无记名保险项目</w:t>
            </w:r>
          </w:p>
        </w:tc>
        <w:tc>
          <w:tcPr>
            <w:tcW w:w="1828" w:type="dxa"/>
            <w:tcBorders>
              <w:top w:val="single" w:color="auto" w:sz="4" w:space="0"/>
              <w:left w:val="single" w:color="auto" w:sz="4" w:space="0"/>
              <w:bottom w:val="single" w:color="auto" w:sz="4" w:space="0"/>
              <w:right w:val="single" w:color="auto" w:sz="4" w:space="0"/>
            </w:tcBorders>
            <w:vAlign w:val="center"/>
          </w:tcPr>
          <w:p w14:paraId="2F69631A">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1项</w:t>
            </w:r>
          </w:p>
        </w:tc>
        <w:tc>
          <w:tcPr>
            <w:tcW w:w="1085" w:type="dxa"/>
            <w:tcBorders>
              <w:top w:val="single" w:color="auto" w:sz="4" w:space="0"/>
              <w:left w:val="single" w:color="auto" w:sz="4" w:space="0"/>
              <w:bottom w:val="single" w:color="auto" w:sz="4" w:space="0"/>
              <w:right w:val="single" w:color="auto" w:sz="4" w:space="0"/>
            </w:tcBorders>
            <w:vAlign w:val="center"/>
          </w:tcPr>
          <w:p w14:paraId="7AE49C33">
            <w:pPr>
              <w:spacing w:line="360" w:lineRule="auto"/>
              <w:rPr>
                <w:rFonts w:ascii="宋体" w:hAnsi="宋体" w:cs="仿宋_GB2312"/>
                <w:color w:val="auto"/>
                <w:sz w:val="24"/>
                <w:highlight w:val="none"/>
              </w:rPr>
            </w:pPr>
          </w:p>
        </w:tc>
      </w:tr>
      <w:tr w14:paraId="11835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right"/>
        </w:trPr>
        <w:tc>
          <w:tcPr>
            <w:tcW w:w="9839" w:type="dxa"/>
            <w:gridSpan w:val="4"/>
            <w:tcBorders>
              <w:top w:val="single" w:color="auto" w:sz="4" w:space="0"/>
              <w:left w:val="single" w:color="auto" w:sz="4" w:space="0"/>
              <w:bottom w:val="single" w:color="auto" w:sz="4" w:space="0"/>
              <w:right w:val="single" w:color="auto" w:sz="4" w:space="0"/>
            </w:tcBorders>
            <w:vAlign w:val="center"/>
          </w:tcPr>
          <w:p w14:paraId="5505573F">
            <w:pPr>
              <w:snapToGrid w:val="0"/>
              <w:spacing w:before="50" w:after="50" w:line="360" w:lineRule="auto"/>
              <w:rPr>
                <w:rFonts w:ascii="宋体" w:hAnsi="宋体" w:cs="仿宋_GB2312"/>
                <w:color w:val="auto"/>
                <w:sz w:val="24"/>
                <w:highlight w:val="none"/>
              </w:rPr>
            </w:pPr>
            <w:r>
              <w:rPr>
                <w:rFonts w:hint="eastAsia" w:ascii="宋体" w:hAnsi="宋体" w:cs="仿宋_GB2312"/>
                <w:color w:val="auto"/>
                <w:sz w:val="24"/>
                <w:highlight w:val="none"/>
              </w:rPr>
              <w:t>合计金额大写：人民币</w:t>
            </w:r>
            <w:r>
              <w:rPr>
                <w:rFonts w:hint="eastAsia" w:ascii="宋体" w:hAnsi="宋体" w:cs="仿宋_GB2312"/>
                <w:color w:val="auto"/>
                <w:sz w:val="24"/>
                <w:highlight w:val="none"/>
                <w:u w:val="single"/>
              </w:rPr>
              <w:t>陆佰万元整</w:t>
            </w:r>
            <w:r>
              <w:rPr>
                <w:rFonts w:hint="eastAsia" w:ascii="宋体" w:hAnsi="宋体" w:cs="仿宋_GB2312"/>
                <w:color w:val="auto"/>
                <w:sz w:val="24"/>
                <w:highlight w:val="none"/>
              </w:rPr>
              <w:t>（¥</w:t>
            </w:r>
            <w:r>
              <w:rPr>
                <w:rFonts w:ascii="宋体" w:hAnsi="宋体" w:cs="仿宋_GB2312"/>
                <w:color w:val="auto"/>
                <w:sz w:val="24"/>
                <w:highlight w:val="none"/>
                <w:u w:val="single"/>
              </w:rPr>
              <w:t>6</w:t>
            </w:r>
            <w:r>
              <w:rPr>
                <w:rFonts w:hint="eastAsia" w:ascii="宋体" w:hAnsi="宋体" w:cs="仿宋_GB2312"/>
                <w:color w:val="auto"/>
                <w:sz w:val="24"/>
                <w:highlight w:val="none"/>
                <w:u w:val="single"/>
              </w:rPr>
              <w:t>000000.00</w:t>
            </w:r>
            <w:r>
              <w:rPr>
                <w:rFonts w:hint="eastAsia" w:ascii="宋体" w:hAnsi="宋体" w:cs="仿宋_GB2312"/>
                <w:color w:val="auto"/>
                <w:sz w:val="24"/>
                <w:highlight w:val="none"/>
              </w:rPr>
              <w:t>）</w:t>
            </w:r>
          </w:p>
        </w:tc>
      </w:tr>
    </w:tbl>
    <w:p w14:paraId="5E6F2ACA">
      <w:pPr>
        <w:shd w:val="clear" w:color="auto" w:fill="FFFFFF" w:themeFill="background1"/>
        <w:snapToGrid w:val="0"/>
        <w:spacing w:before="50" w:after="50"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注： </w:t>
      </w:r>
    </w:p>
    <w:p w14:paraId="02E74A1E">
      <w:pPr>
        <w:shd w:val="clear" w:color="auto" w:fill="FFFFFF" w:themeFill="background1"/>
        <w:snapToGrid w:val="0"/>
        <w:spacing w:before="50" w:after="50" w:line="360" w:lineRule="auto"/>
        <w:ind w:firstLine="480" w:firstLineChars="200"/>
        <w:jc w:val="left"/>
        <w:rPr>
          <w:rFonts w:ascii="宋体" w:hAnsi="宋体" w:cs="宋体"/>
          <w:b/>
          <w:color w:val="auto"/>
          <w:kern w:val="0"/>
          <w:sz w:val="24"/>
          <w:highlight w:val="none"/>
          <w:lang w:val="zh-CN"/>
        </w:rPr>
      </w:pPr>
      <w:r>
        <w:rPr>
          <w:rFonts w:hint="eastAsia" w:ascii="宋体" w:hAnsi="宋体" w:cs="宋体"/>
          <w:bCs/>
          <w:color w:val="auto"/>
          <w:kern w:val="0"/>
          <w:sz w:val="24"/>
          <w:highlight w:val="none"/>
          <w:lang w:val="zh-CN"/>
        </w:rPr>
        <w:t>1、</w:t>
      </w:r>
      <w:r>
        <w:rPr>
          <w:rFonts w:hint="eastAsia" w:ascii="宋体" w:hAnsi="宋体" w:cs="宋体"/>
          <w:color w:val="auto"/>
          <w:kern w:val="0"/>
          <w:sz w:val="24"/>
          <w:highlight w:val="none"/>
          <w:lang w:val="zh-CN"/>
        </w:rPr>
        <w:t>投标人需按本表格式填写，不得自行更改，如有多分标，按分标分别提供开标一览表，必须加盖投标人有效公章，</w:t>
      </w:r>
      <w:r>
        <w:rPr>
          <w:rFonts w:hint="eastAsia" w:ascii="宋体" w:hAnsi="宋体" w:cs="宋体"/>
          <w:b/>
          <w:color w:val="auto"/>
          <w:kern w:val="0"/>
          <w:sz w:val="24"/>
          <w:highlight w:val="none"/>
          <w:lang w:val="zh-CN"/>
        </w:rPr>
        <w:t>否则其投标作无效标处理。</w:t>
      </w:r>
    </w:p>
    <w:p w14:paraId="7F900F32">
      <w:pPr>
        <w:shd w:val="clear" w:color="auto" w:fill="FFFFFF" w:themeFill="background1"/>
        <w:snapToGrid w:val="0"/>
        <w:spacing w:before="50" w:after="50" w:line="360" w:lineRule="auto"/>
        <w:ind w:firstLine="480" w:firstLineChars="200"/>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2、本表内容均不能涂改，</w:t>
      </w:r>
      <w:r>
        <w:rPr>
          <w:rFonts w:hint="eastAsia" w:ascii="宋体" w:hAnsi="宋体" w:cs="宋体"/>
          <w:b/>
          <w:color w:val="auto"/>
          <w:kern w:val="0"/>
          <w:sz w:val="24"/>
          <w:highlight w:val="none"/>
          <w:lang w:val="zh-CN"/>
        </w:rPr>
        <w:t>否则其投标作无效标处理。</w:t>
      </w:r>
    </w:p>
    <w:p w14:paraId="1FC0A28F">
      <w:pPr>
        <w:shd w:val="clear" w:color="auto" w:fill="FFFFFF" w:themeFill="background1"/>
        <w:snapToGrid w:val="0"/>
        <w:spacing w:before="50" w:after="50" w:line="360" w:lineRule="auto"/>
        <w:ind w:firstLine="480" w:firstLineChars="200"/>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3、如为联合体投标，“投标人名称”处必须列明联合体各方名称，并标注联合体牵头人名称，且盖章处须加盖联合体各方公章，</w:t>
      </w:r>
      <w:r>
        <w:rPr>
          <w:rFonts w:hint="eastAsia" w:ascii="宋体" w:hAnsi="宋体" w:cs="宋体"/>
          <w:b/>
          <w:color w:val="auto"/>
          <w:kern w:val="0"/>
          <w:sz w:val="24"/>
          <w:highlight w:val="none"/>
          <w:lang w:val="zh-CN"/>
        </w:rPr>
        <w:t>否则其投标作无效标处理。</w:t>
      </w:r>
    </w:p>
    <w:p w14:paraId="10AE33FA">
      <w:pPr>
        <w:shd w:val="clear" w:color="auto" w:fill="FFFFFF" w:themeFill="background1"/>
        <w:snapToGrid w:val="0"/>
        <w:spacing w:before="50" w:after="50" w:line="360" w:lineRule="auto"/>
        <w:ind w:firstLine="480" w:firstLineChars="200"/>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rPr>
        <w:t>4</w:t>
      </w:r>
      <w:r>
        <w:rPr>
          <w:rFonts w:hint="eastAsia" w:ascii="宋体" w:hAnsi="宋体" w:cs="宋体"/>
          <w:bCs/>
          <w:color w:val="auto"/>
          <w:kern w:val="0"/>
          <w:sz w:val="24"/>
          <w:highlight w:val="none"/>
          <w:lang w:val="zh-CN"/>
        </w:rPr>
        <w:t>、特别提示：采购代理机构将对项目名称和项目编号，中标人名称、地址和中标金额，主要中标标的的名称、服务范围、服务要求、服务时间、服务标准等予以公示。</w:t>
      </w:r>
    </w:p>
    <w:p w14:paraId="63207C67">
      <w:pPr>
        <w:shd w:val="clear" w:color="auto" w:fill="FFFFFF" w:themeFill="background1"/>
        <w:snapToGrid w:val="0"/>
        <w:spacing w:before="50" w:after="50"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szCs w:val="22"/>
          <w:highlight w:val="none"/>
        </w:rPr>
        <w:t>5</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7E514F7">
      <w:pPr>
        <w:pStyle w:val="2"/>
        <w:shd w:val="clear" w:color="auto" w:fill="FFFFFF" w:themeFill="background1"/>
        <w:rPr>
          <w:rFonts w:ascii="宋体" w:hAnsi="宋体" w:cs="宋体"/>
          <w:color w:val="auto"/>
          <w:highlight w:val="none"/>
          <w:lang w:val="zh-CN"/>
        </w:rPr>
      </w:pPr>
    </w:p>
    <w:p w14:paraId="2625FC26">
      <w:pPr>
        <w:shd w:val="clear" w:color="auto" w:fill="FFFFFF" w:themeFill="background1"/>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投标人名称(盖公章)：</w:t>
      </w:r>
    </w:p>
    <w:p w14:paraId="1DAEE8B9">
      <w:pPr>
        <w:shd w:val="clear" w:color="auto" w:fill="FFFFFF" w:themeFill="background1"/>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331D56B">
      <w:pPr>
        <w:widowControl/>
        <w:shd w:val="clear" w:color="auto" w:fill="FFFFFF" w:themeFill="background1"/>
        <w:jc w:val="left"/>
        <w:rPr>
          <w:rFonts w:ascii="宋体" w:hAnsi="宋体" w:cs="宋体"/>
          <w:color w:val="auto"/>
          <w:sz w:val="30"/>
          <w:szCs w:val="20"/>
          <w:highlight w:val="none"/>
        </w:rPr>
        <w:sectPr>
          <w:pgSz w:w="11905" w:h="16838"/>
          <w:pgMar w:top="1134" w:right="1134" w:bottom="1134" w:left="1134" w:header="850" w:footer="850" w:gutter="0"/>
          <w:pgNumType w:fmt="decimal"/>
          <w:cols w:space="0" w:num="1"/>
          <w:titlePg/>
          <w:docGrid w:linePitch="331" w:charSpace="0"/>
        </w:sectPr>
      </w:pPr>
    </w:p>
    <w:p w14:paraId="5B230A5F">
      <w:pPr>
        <w:shd w:val="clear" w:color="auto" w:fill="FFFFFF" w:themeFill="background1"/>
        <w:snapToGrid w:val="0"/>
        <w:spacing w:before="120" w:beforeLines="50" w:after="50"/>
        <w:jc w:val="center"/>
        <w:outlineLvl w:val="1"/>
        <w:rPr>
          <w:rFonts w:ascii="宋体" w:hAnsi="宋体" w:cs="宋体"/>
          <w:b/>
          <w:bCs/>
          <w:color w:val="auto"/>
          <w:sz w:val="28"/>
          <w:szCs w:val="28"/>
          <w:highlight w:val="none"/>
        </w:rPr>
      </w:pPr>
      <w:bookmarkStart w:id="404" w:name="_Toc2783"/>
      <w:r>
        <w:rPr>
          <w:rFonts w:hint="eastAsia" w:ascii="宋体" w:hAnsi="宋体" w:cs="宋体"/>
          <w:b/>
          <w:bCs/>
          <w:color w:val="auto"/>
          <w:sz w:val="28"/>
          <w:szCs w:val="28"/>
          <w:highlight w:val="none"/>
        </w:rPr>
        <w:t>第五节 其他文书、文件格式</w:t>
      </w:r>
      <w:bookmarkEnd w:id="404"/>
    </w:p>
    <w:p w14:paraId="08623FED">
      <w:pPr>
        <w:pStyle w:val="14"/>
        <w:shd w:val="clear" w:color="auto" w:fill="FFFFFF" w:themeFill="background1"/>
        <w:jc w:val="left"/>
        <w:rPr>
          <w:rFonts w:hint="eastAsia" w:hAnsi="宋体" w:cs="宋体"/>
          <w:b/>
          <w:color w:val="auto"/>
          <w:sz w:val="28"/>
          <w:szCs w:val="28"/>
          <w:highlight w:val="none"/>
        </w:rPr>
      </w:pPr>
    </w:p>
    <w:p w14:paraId="597357EE">
      <w:pPr>
        <w:pStyle w:val="14"/>
        <w:shd w:val="clear" w:color="auto" w:fill="FFFFFF" w:themeFill="background1"/>
        <w:jc w:val="left"/>
        <w:rPr>
          <w:rFonts w:ascii="Times New Roman" w:hAnsi="Times New Roman"/>
          <w:b/>
          <w:color w:val="auto"/>
          <w:sz w:val="30"/>
          <w:szCs w:val="30"/>
          <w:highlight w:val="none"/>
        </w:rPr>
      </w:pPr>
      <w:r>
        <w:rPr>
          <w:rFonts w:hint="eastAsia" w:hAnsi="宋体" w:cs="宋体"/>
          <w:b/>
          <w:color w:val="auto"/>
          <w:sz w:val="28"/>
          <w:szCs w:val="28"/>
          <w:highlight w:val="none"/>
        </w:rPr>
        <w:t>1.中小企业声明函的格式：</w:t>
      </w:r>
    </w:p>
    <w:p w14:paraId="15C5EAB3">
      <w:pPr>
        <w:pStyle w:val="14"/>
        <w:shd w:val="clear" w:color="auto" w:fill="FFFFFF" w:themeFill="background1"/>
        <w:jc w:val="center"/>
        <w:rPr>
          <w:rFonts w:ascii="Times New Roman" w:hAnsi="Times New Roman"/>
          <w:b/>
          <w:color w:val="auto"/>
          <w:sz w:val="30"/>
          <w:szCs w:val="30"/>
          <w:highlight w:val="none"/>
        </w:rPr>
      </w:pPr>
      <w:r>
        <w:rPr>
          <w:rFonts w:hint="eastAsia" w:ascii="Times New Roman" w:hAnsi="Times New Roman"/>
          <w:b/>
          <w:color w:val="auto"/>
          <w:sz w:val="30"/>
          <w:szCs w:val="30"/>
          <w:highlight w:val="none"/>
        </w:rPr>
        <w:t>中小企业声明函</w:t>
      </w:r>
    </w:p>
    <w:p w14:paraId="35F9BF54">
      <w:pPr>
        <w:pStyle w:val="11"/>
        <w:shd w:val="clear" w:color="auto" w:fill="FFFFFF" w:themeFill="background1"/>
        <w:spacing w:line="240" w:lineRule="auto"/>
        <w:ind w:firstLine="404" w:firstLineChars="200"/>
        <w:rPr>
          <w:rFonts w:ascii="Times New Roman" w:hAnsi="宋体"/>
          <w:color w:val="auto"/>
          <w:sz w:val="21"/>
          <w:szCs w:val="21"/>
          <w:highlight w:val="none"/>
        </w:rPr>
      </w:pPr>
    </w:p>
    <w:p w14:paraId="64EC9256">
      <w:pPr>
        <w:keepNext w:val="0"/>
        <w:keepLines w:val="0"/>
        <w:pageBreakBefore w:val="0"/>
        <w:widowControl w:val="0"/>
        <w:shd w:val="clear" w:color="auto" w:fill="FFFFFF" w:themeFill="background1"/>
        <w:kinsoku/>
        <w:wordWrap/>
        <w:overflowPunct/>
        <w:topLinePunct w:val="0"/>
        <w:autoSpaceDE w:val="0"/>
        <w:autoSpaceDN w:val="0"/>
        <w:bidi w:val="0"/>
        <w:adjustRightInd w:val="0"/>
        <w:spacing w:line="460" w:lineRule="exact"/>
        <w:ind w:firstLine="484" w:firstLineChars="202"/>
        <w:jc w:val="lef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本公司（联合体）郑重声明，根据《政府采购促进中小企业发展管理办法》（财库﹝2020﹞46 号）的规定，本公司（联合体）参加</w:t>
      </w:r>
      <w:r>
        <w:rPr>
          <w:rFonts w:hint="eastAsia" w:ascii="宋体" w:hAnsi="宋体" w:cs="宋体"/>
          <w:i/>
          <w:color w:val="auto"/>
          <w:kern w:val="0"/>
          <w:sz w:val="24"/>
          <w:szCs w:val="24"/>
          <w:highlight w:val="none"/>
          <w:u w:val="single"/>
        </w:rPr>
        <w:t>（单位名称）</w:t>
      </w:r>
      <w:r>
        <w:rPr>
          <w:rFonts w:hint="eastAsia" w:ascii="宋体" w:hAnsi="宋体" w:cs="宋体"/>
          <w:color w:val="auto"/>
          <w:kern w:val="0"/>
          <w:sz w:val="24"/>
          <w:szCs w:val="24"/>
          <w:highlight w:val="none"/>
        </w:rPr>
        <w:t>的</w:t>
      </w:r>
      <w:r>
        <w:rPr>
          <w:rFonts w:hint="eastAsia" w:ascii="宋体" w:hAnsi="宋体" w:cs="宋体"/>
          <w:i/>
          <w:color w:val="auto"/>
          <w:kern w:val="0"/>
          <w:sz w:val="24"/>
          <w:szCs w:val="24"/>
          <w:highlight w:val="none"/>
          <w:u w:val="single"/>
        </w:rPr>
        <w:t>（项目名称）</w:t>
      </w:r>
      <w:r>
        <w:rPr>
          <w:rFonts w:hint="eastAsia" w:ascii="宋体" w:hAnsi="宋体" w:cs="宋体"/>
          <w:color w:val="auto"/>
          <w:kern w:val="0"/>
          <w:sz w:val="24"/>
          <w:szCs w:val="24"/>
          <w:highlight w:val="none"/>
        </w:rPr>
        <w:t>采购活动，服务全部由符合政策要求的中小企业承接。相关企业（含联合体中的中小企业、签订分包意向协议的中小企业）的具体情况如下：</w:t>
      </w:r>
    </w:p>
    <w:p w14:paraId="00AEE4F9">
      <w:pPr>
        <w:keepNext w:val="0"/>
        <w:keepLines w:val="0"/>
        <w:pageBreakBefore w:val="0"/>
        <w:widowControl w:val="0"/>
        <w:shd w:val="clear" w:color="auto" w:fill="FFFFFF" w:themeFill="background1"/>
        <w:kinsoku/>
        <w:wordWrap/>
        <w:overflowPunct/>
        <w:topLinePunct w:val="0"/>
        <w:autoSpaceDE w:val="0"/>
        <w:autoSpaceDN w:val="0"/>
        <w:bidi w:val="0"/>
        <w:adjustRightInd w:val="0"/>
        <w:spacing w:line="460" w:lineRule="exact"/>
        <w:ind w:firstLine="484" w:firstLineChars="202"/>
        <w:jc w:val="lef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1. </w:t>
      </w:r>
      <w:r>
        <w:rPr>
          <w:rFonts w:hint="eastAsia" w:ascii="宋体" w:hAnsi="宋体" w:cs="宋体"/>
          <w:i/>
          <w:color w:val="auto"/>
          <w:kern w:val="0"/>
          <w:sz w:val="24"/>
          <w:szCs w:val="24"/>
          <w:highlight w:val="none"/>
          <w:u w:val="single"/>
        </w:rPr>
        <w:t>（标的名称）</w:t>
      </w:r>
      <w:r>
        <w:rPr>
          <w:rFonts w:hint="eastAsia" w:ascii="宋体" w:hAnsi="宋体" w:cs="宋体"/>
          <w:color w:val="auto"/>
          <w:kern w:val="0"/>
          <w:sz w:val="24"/>
          <w:szCs w:val="24"/>
          <w:highlight w:val="none"/>
        </w:rPr>
        <w:t xml:space="preserve"> ，属于</w:t>
      </w:r>
      <w:r>
        <w:rPr>
          <w:rFonts w:hint="eastAsia" w:ascii="宋体" w:hAnsi="宋体" w:cs="宋体"/>
          <w:i/>
          <w:color w:val="auto"/>
          <w:kern w:val="0"/>
          <w:sz w:val="24"/>
          <w:szCs w:val="24"/>
          <w:highlight w:val="none"/>
          <w:u w:val="single"/>
        </w:rPr>
        <w:t>（采购文件中明确的所属行业）</w:t>
      </w:r>
      <w:r>
        <w:rPr>
          <w:rFonts w:hint="eastAsia" w:ascii="宋体" w:hAnsi="宋体" w:cs="宋体"/>
          <w:color w:val="auto"/>
          <w:kern w:val="0"/>
          <w:sz w:val="24"/>
          <w:szCs w:val="24"/>
          <w:highlight w:val="none"/>
        </w:rPr>
        <w:t>；承建（承接）企业为</w:t>
      </w:r>
      <w:r>
        <w:rPr>
          <w:rFonts w:hint="eastAsia" w:ascii="宋体" w:hAnsi="宋体" w:cs="宋体"/>
          <w:i/>
          <w:color w:val="auto"/>
          <w:kern w:val="0"/>
          <w:sz w:val="24"/>
          <w:szCs w:val="24"/>
          <w:highlight w:val="none"/>
          <w:u w:val="single"/>
        </w:rPr>
        <w:t>（企业名称）</w:t>
      </w:r>
      <w:r>
        <w:rPr>
          <w:rFonts w:hint="eastAsia" w:ascii="宋体" w:hAnsi="宋体" w:cs="宋体"/>
          <w:color w:val="auto"/>
          <w:kern w:val="0"/>
          <w:sz w:val="24"/>
          <w:szCs w:val="24"/>
          <w:highlight w:val="none"/>
        </w:rPr>
        <w:t>，从业人员</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人，营业收入为</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万元，资产总额为</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万元，属于</w:t>
      </w:r>
      <w:r>
        <w:rPr>
          <w:rFonts w:hint="eastAsia" w:ascii="宋体" w:hAnsi="宋体" w:cs="宋体"/>
          <w:i/>
          <w:color w:val="auto"/>
          <w:kern w:val="0"/>
          <w:sz w:val="24"/>
          <w:szCs w:val="24"/>
          <w:highlight w:val="none"/>
          <w:u w:val="single"/>
        </w:rPr>
        <w:t>（中型企业、小型企业、微型企业）</w:t>
      </w:r>
      <w:r>
        <w:rPr>
          <w:rFonts w:hint="eastAsia" w:ascii="宋体" w:hAnsi="宋体" w:cs="宋体"/>
          <w:color w:val="auto"/>
          <w:kern w:val="0"/>
          <w:sz w:val="24"/>
          <w:szCs w:val="24"/>
          <w:highlight w:val="none"/>
        </w:rPr>
        <w:t>；</w:t>
      </w:r>
    </w:p>
    <w:p w14:paraId="737172E2">
      <w:pPr>
        <w:keepNext w:val="0"/>
        <w:keepLines w:val="0"/>
        <w:pageBreakBefore w:val="0"/>
        <w:widowControl w:val="0"/>
        <w:shd w:val="clear" w:color="auto" w:fill="FFFFFF" w:themeFill="background1"/>
        <w:kinsoku/>
        <w:wordWrap/>
        <w:overflowPunct/>
        <w:topLinePunct w:val="0"/>
        <w:autoSpaceDE w:val="0"/>
        <w:autoSpaceDN w:val="0"/>
        <w:bidi w:val="0"/>
        <w:adjustRightInd w:val="0"/>
        <w:spacing w:line="460" w:lineRule="exact"/>
        <w:ind w:firstLine="484" w:firstLineChars="202"/>
        <w:jc w:val="lef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2. </w:t>
      </w:r>
      <w:r>
        <w:rPr>
          <w:rFonts w:hint="eastAsia" w:ascii="宋体" w:hAnsi="宋体" w:cs="宋体"/>
          <w:i/>
          <w:color w:val="auto"/>
          <w:kern w:val="0"/>
          <w:sz w:val="24"/>
          <w:szCs w:val="24"/>
          <w:highlight w:val="none"/>
          <w:u w:val="single"/>
        </w:rPr>
        <w:t>（标的名称）</w:t>
      </w:r>
      <w:r>
        <w:rPr>
          <w:rFonts w:hint="eastAsia" w:ascii="宋体" w:hAnsi="宋体" w:cs="宋体"/>
          <w:color w:val="auto"/>
          <w:kern w:val="0"/>
          <w:sz w:val="24"/>
          <w:szCs w:val="24"/>
          <w:highlight w:val="none"/>
        </w:rPr>
        <w:t xml:space="preserve"> ，属于</w:t>
      </w:r>
      <w:r>
        <w:rPr>
          <w:rFonts w:hint="eastAsia" w:ascii="宋体" w:hAnsi="宋体" w:cs="宋体"/>
          <w:i/>
          <w:color w:val="auto"/>
          <w:kern w:val="0"/>
          <w:sz w:val="24"/>
          <w:szCs w:val="24"/>
          <w:highlight w:val="none"/>
          <w:u w:val="single"/>
        </w:rPr>
        <w:t>（采购文件中明确的所属行业）</w:t>
      </w:r>
      <w:r>
        <w:rPr>
          <w:rFonts w:hint="eastAsia" w:ascii="宋体" w:hAnsi="宋体" w:cs="宋体"/>
          <w:color w:val="auto"/>
          <w:kern w:val="0"/>
          <w:sz w:val="24"/>
          <w:szCs w:val="24"/>
          <w:highlight w:val="none"/>
        </w:rPr>
        <w:t>；承建（承接）企业为</w:t>
      </w:r>
      <w:r>
        <w:rPr>
          <w:rFonts w:hint="eastAsia" w:ascii="宋体" w:hAnsi="宋体" w:cs="宋体"/>
          <w:i/>
          <w:color w:val="auto"/>
          <w:kern w:val="0"/>
          <w:sz w:val="24"/>
          <w:szCs w:val="24"/>
          <w:highlight w:val="none"/>
          <w:u w:val="single"/>
        </w:rPr>
        <w:t>（企业名称）</w:t>
      </w:r>
      <w:r>
        <w:rPr>
          <w:rFonts w:hint="eastAsia" w:ascii="宋体" w:hAnsi="宋体" w:cs="宋体"/>
          <w:color w:val="auto"/>
          <w:kern w:val="0"/>
          <w:sz w:val="24"/>
          <w:szCs w:val="24"/>
          <w:highlight w:val="none"/>
        </w:rPr>
        <w:t>，从业人员</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人，营业收入为</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万元，资产总额为</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万元，属于</w:t>
      </w:r>
      <w:r>
        <w:rPr>
          <w:rFonts w:hint="eastAsia" w:ascii="宋体" w:hAnsi="宋体" w:cs="宋体"/>
          <w:i/>
          <w:color w:val="auto"/>
          <w:kern w:val="0"/>
          <w:sz w:val="24"/>
          <w:szCs w:val="24"/>
          <w:highlight w:val="none"/>
          <w:u w:val="single"/>
        </w:rPr>
        <w:t>（中型企业、小型企业、微型企业）</w:t>
      </w:r>
      <w:r>
        <w:rPr>
          <w:rFonts w:hint="eastAsia" w:ascii="宋体" w:hAnsi="宋体" w:cs="宋体"/>
          <w:color w:val="auto"/>
          <w:kern w:val="0"/>
          <w:sz w:val="24"/>
          <w:szCs w:val="24"/>
          <w:highlight w:val="none"/>
        </w:rPr>
        <w:t>；</w:t>
      </w:r>
    </w:p>
    <w:p w14:paraId="4E4771DA">
      <w:pPr>
        <w:keepNext w:val="0"/>
        <w:keepLines w:val="0"/>
        <w:pageBreakBefore w:val="0"/>
        <w:widowControl w:val="0"/>
        <w:shd w:val="clear" w:color="auto" w:fill="FFFFFF" w:themeFill="background1"/>
        <w:kinsoku/>
        <w:wordWrap/>
        <w:overflowPunct/>
        <w:topLinePunct w:val="0"/>
        <w:autoSpaceDE w:val="0"/>
        <w:autoSpaceDN w:val="0"/>
        <w:bidi w:val="0"/>
        <w:adjustRightInd w:val="0"/>
        <w:spacing w:line="460" w:lineRule="exact"/>
        <w:ind w:firstLine="484" w:firstLineChars="202"/>
        <w:jc w:val="lef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p>
    <w:p w14:paraId="3AD19D88">
      <w:pPr>
        <w:keepNext w:val="0"/>
        <w:keepLines w:val="0"/>
        <w:pageBreakBefore w:val="0"/>
        <w:widowControl w:val="0"/>
        <w:shd w:val="clear" w:color="auto" w:fill="FFFFFF" w:themeFill="background1"/>
        <w:kinsoku/>
        <w:wordWrap/>
        <w:overflowPunct/>
        <w:topLinePunct w:val="0"/>
        <w:autoSpaceDE w:val="0"/>
        <w:autoSpaceDN w:val="0"/>
        <w:bidi w:val="0"/>
        <w:adjustRightInd w:val="0"/>
        <w:spacing w:line="460" w:lineRule="exact"/>
        <w:ind w:firstLine="484" w:firstLineChars="202"/>
        <w:jc w:val="lef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以上企业，不属于大企业的分支机构，不存在控股股东为大企业的情形，也不存在与大企业的负责人为同一人的情形。</w:t>
      </w:r>
    </w:p>
    <w:p w14:paraId="739F923F">
      <w:pPr>
        <w:keepNext w:val="0"/>
        <w:keepLines w:val="0"/>
        <w:pageBreakBefore w:val="0"/>
        <w:widowControl w:val="0"/>
        <w:shd w:val="clear" w:color="auto" w:fill="FFFFFF" w:themeFill="background1"/>
        <w:kinsoku/>
        <w:wordWrap/>
        <w:overflowPunct/>
        <w:topLinePunct w:val="0"/>
        <w:autoSpaceDE w:val="0"/>
        <w:autoSpaceDN w:val="0"/>
        <w:bidi w:val="0"/>
        <w:adjustRightInd w:val="0"/>
        <w:spacing w:line="460" w:lineRule="exact"/>
        <w:ind w:firstLine="484" w:firstLineChars="202"/>
        <w:jc w:val="lef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本企业对上述声明内容的真实性负责。如有虚假，将依法承担相应责任。</w:t>
      </w:r>
    </w:p>
    <w:p w14:paraId="76D45D69">
      <w:pPr>
        <w:pStyle w:val="14"/>
        <w:keepNext w:val="0"/>
        <w:keepLines w:val="0"/>
        <w:pageBreakBefore w:val="0"/>
        <w:widowControl w:val="0"/>
        <w:shd w:val="clear" w:color="auto" w:fill="FFFFFF" w:themeFill="background1"/>
        <w:kinsoku/>
        <w:wordWrap/>
        <w:overflowPunct/>
        <w:topLinePunct w:val="0"/>
        <w:bidi w:val="0"/>
        <w:spacing w:line="460" w:lineRule="exact"/>
        <w:ind w:firstLine="480" w:firstLineChars="200"/>
        <w:textAlignment w:val="auto"/>
        <w:rPr>
          <w:rFonts w:hAnsi="宋体" w:cs="宋体"/>
          <w:color w:val="auto"/>
          <w:sz w:val="24"/>
          <w:szCs w:val="24"/>
          <w:highlight w:val="none"/>
        </w:rPr>
      </w:pPr>
    </w:p>
    <w:p w14:paraId="4F693C2E">
      <w:pPr>
        <w:keepNext w:val="0"/>
        <w:keepLines w:val="0"/>
        <w:pageBreakBefore w:val="0"/>
        <w:widowControl w:val="0"/>
        <w:shd w:val="clear" w:color="auto" w:fill="FFFFFF" w:themeFill="background1"/>
        <w:kinsoku/>
        <w:wordWrap/>
        <w:overflowPunct/>
        <w:topLinePunct w:val="0"/>
        <w:bidi w:val="0"/>
        <w:snapToGrid w:val="0"/>
        <w:spacing w:line="460" w:lineRule="exact"/>
        <w:ind w:firstLine="5040" w:firstLineChars="2100"/>
        <w:textAlignment w:val="auto"/>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投标人名称(盖公章)：</w:t>
      </w:r>
    </w:p>
    <w:p w14:paraId="1393C10F">
      <w:pPr>
        <w:keepNext w:val="0"/>
        <w:keepLines w:val="0"/>
        <w:pageBreakBefore w:val="0"/>
        <w:widowControl w:val="0"/>
        <w:shd w:val="clear" w:color="auto" w:fill="FFFFFF" w:themeFill="background1"/>
        <w:kinsoku/>
        <w:wordWrap/>
        <w:overflowPunct/>
        <w:topLinePunct w:val="0"/>
        <w:bidi w:val="0"/>
        <w:snapToGrid w:val="0"/>
        <w:spacing w:line="460" w:lineRule="exact"/>
        <w:ind w:firstLine="5040" w:firstLineChars="2100"/>
        <w:textAlignment w:val="auto"/>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日期</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lang w:val="zh-CN"/>
        </w:rPr>
        <w:t>月</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lang w:val="zh-CN"/>
        </w:rPr>
        <w:t>日</w:t>
      </w:r>
    </w:p>
    <w:p w14:paraId="5AE53014">
      <w:pPr>
        <w:keepNext w:val="0"/>
        <w:keepLines w:val="0"/>
        <w:pageBreakBefore w:val="0"/>
        <w:widowControl w:val="0"/>
        <w:shd w:val="clear" w:color="auto" w:fill="FFFFFF" w:themeFill="background1"/>
        <w:kinsoku/>
        <w:wordWrap/>
        <w:overflowPunct/>
        <w:topLinePunct w:val="0"/>
        <w:bidi w:val="0"/>
        <w:snapToGrid w:val="0"/>
        <w:spacing w:before="50" w:after="120" w:afterLines="50" w:line="460" w:lineRule="exact"/>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注：</w:t>
      </w:r>
    </w:p>
    <w:p w14:paraId="58F2F253">
      <w:pPr>
        <w:keepNext w:val="0"/>
        <w:keepLines w:val="0"/>
        <w:pageBreakBefore w:val="0"/>
        <w:widowControl w:val="0"/>
        <w:numPr>
          <w:ilvl w:val="0"/>
          <w:numId w:val="0"/>
        </w:numPr>
        <w:shd w:val="clear" w:color="auto" w:fill="FFFFFF" w:themeFill="background1"/>
        <w:kinsoku/>
        <w:wordWrap/>
        <w:overflowPunct/>
        <w:topLinePunct w:val="0"/>
        <w:bidi w:val="0"/>
        <w:snapToGrid w:val="0"/>
        <w:spacing w:before="50" w:after="120" w:afterLines="50"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rPr>
        <w:t>从业人员、营业收入、资产总额填报上一年度数据，无上一年度数据的新成立企业可不填报。</w:t>
      </w:r>
    </w:p>
    <w:p w14:paraId="2D2EF0E7">
      <w:pPr>
        <w:keepNext w:val="0"/>
        <w:keepLines w:val="0"/>
        <w:pageBreakBefore w:val="0"/>
        <w:widowControl w:val="0"/>
        <w:numPr>
          <w:ilvl w:val="0"/>
          <w:numId w:val="0"/>
        </w:numPr>
        <w:shd w:val="clear" w:color="auto" w:fill="FFFFFF" w:themeFill="background1"/>
        <w:kinsoku/>
        <w:wordWrap/>
        <w:overflowPunct/>
        <w:topLinePunct w:val="0"/>
        <w:bidi w:val="0"/>
        <w:snapToGrid w:val="0"/>
        <w:spacing w:before="50" w:after="120" w:afterLines="50"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2、请根据自己的真实情况出具《中小企业声明函》。依法享受中小企业扶持政策的，采购人或者采购代理机构在公告中标结果时，同时公告其《中小企业声明函》，接受社会监督。</w:t>
      </w:r>
    </w:p>
    <w:p w14:paraId="1B2D9D5C">
      <w:pPr>
        <w:keepNext w:val="0"/>
        <w:keepLines w:val="0"/>
        <w:pageBreakBefore w:val="0"/>
        <w:widowControl w:val="0"/>
        <w:numPr>
          <w:ilvl w:val="0"/>
          <w:numId w:val="0"/>
        </w:numPr>
        <w:shd w:val="clear" w:color="auto" w:fill="FFFFFF" w:themeFill="background1"/>
        <w:kinsoku/>
        <w:wordWrap/>
        <w:overflowPunct/>
        <w:topLinePunct w:val="0"/>
        <w:bidi w:val="0"/>
        <w:snapToGrid w:val="0"/>
        <w:spacing w:before="50" w:after="120" w:afterLines="50" w:line="460" w:lineRule="exact"/>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3、本声明函主要供参加政府采购活动的中小企业填写，非中小企业无需填写。</w:t>
      </w:r>
    </w:p>
    <w:p w14:paraId="69DD3505">
      <w:pPr>
        <w:keepNext w:val="0"/>
        <w:keepLines w:val="0"/>
        <w:pageBreakBefore w:val="0"/>
        <w:widowControl w:val="0"/>
        <w:numPr>
          <w:ilvl w:val="0"/>
          <w:numId w:val="0"/>
        </w:numPr>
        <w:shd w:val="clear" w:color="auto" w:fill="FFFFFF" w:themeFill="background1"/>
        <w:kinsoku/>
        <w:wordWrap/>
        <w:overflowPunct/>
        <w:topLinePunct w:val="0"/>
        <w:bidi w:val="0"/>
        <w:snapToGrid w:val="0"/>
        <w:spacing w:before="50" w:after="120" w:afterLines="50" w:line="460" w:lineRule="exact"/>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4、小型、微型企业提供中型企业提供的服务的，视同为中型企业。</w:t>
      </w:r>
    </w:p>
    <w:p w14:paraId="22F284E9">
      <w:pPr>
        <w:pStyle w:val="16"/>
        <w:shd w:val="clear" w:color="auto" w:fill="FFFFFF" w:themeFill="background1"/>
        <w:rPr>
          <w:rFonts w:hint="eastAsia" w:ascii="宋体" w:hAnsi="宋体" w:eastAsia="宋体" w:cs="宋体"/>
          <w:b/>
          <w:bCs/>
          <w:color w:val="auto"/>
          <w:highlight w:val="none"/>
        </w:rPr>
        <w:sectPr>
          <w:pgSz w:w="11905" w:h="16838"/>
          <w:pgMar w:top="1134" w:right="1134" w:bottom="1134" w:left="1134" w:header="850" w:footer="850" w:gutter="0"/>
          <w:pgNumType w:fmt="decimal"/>
          <w:cols w:space="0" w:num="1"/>
          <w:titlePg/>
          <w:docGrid w:linePitch="331" w:charSpace="0"/>
        </w:sectPr>
      </w:pPr>
    </w:p>
    <w:p w14:paraId="746C5315">
      <w:pPr>
        <w:shd w:val="clear" w:color="auto" w:fill="FFFFFF" w:themeFill="background1"/>
        <w:jc w:val="left"/>
        <w:rPr>
          <w:rFonts w:ascii="宋体" w:hAnsi="宋体" w:cs="宋体"/>
          <w:b/>
          <w:bCs w:val="0"/>
          <w:color w:val="auto"/>
          <w:sz w:val="28"/>
          <w:szCs w:val="28"/>
          <w:highlight w:val="none"/>
        </w:rPr>
      </w:pPr>
      <w:r>
        <w:rPr>
          <w:rFonts w:hint="eastAsia" w:ascii="宋体" w:hAnsi="宋体" w:cs="宋体"/>
          <w:b/>
          <w:bCs w:val="0"/>
          <w:color w:val="auto"/>
          <w:sz w:val="28"/>
          <w:szCs w:val="28"/>
          <w:highlight w:val="none"/>
        </w:rPr>
        <w:t>2.残疾人福利性单位声明函的格式：</w:t>
      </w:r>
    </w:p>
    <w:p w14:paraId="3C349A3A">
      <w:pPr>
        <w:shd w:val="clear" w:color="auto" w:fill="FFFFFF" w:themeFill="background1"/>
        <w:jc w:val="left"/>
        <w:rPr>
          <w:rFonts w:hAnsi="宋体" w:cs="宋体"/>
          <w:b/>
          <w:color w:val="auto"/>
          <w:sz w:val="28"/>
          <w:szCs w:val="28"/>
          <w:highlight w:val="none"/>
        </w:rPr>
      </w:pPr>
    </w:p>
    <w:p w14:paraId="56B80E78">
      <w:pPr>
        <w:shd w:val="clear" w:color="auto" w:fill="FFFFFF" w:themeFill="background1"/>
        <w:jc w:val="left"/>
        <w:rPr>
          <w:rFonts w:hAnsi="宋体" w:cs="宋体"/>
          <w:b/>
          <w:color w:val="auto"/>
          <w:sz w:val="28"/>
          <w:szCs w:val="28"/>
          <w:highlight w:val="none"/>
          <w:lang w:val="en"/>
        </w:rPr>
      </w:pPr>
    </w:p>
    <w:p w14:paraId="6822E4DD">
      <w:pPr>
        <w:pStyle w:val="14"/>
        <w:shd w:val="clear" w:color="auto" w:fill="FFFFFF" w:themeFill="background1"/>
        <w:spacing w:line="360" w:lineRule="auto"/>
        <w:jc w:val="center"/>
        <w:rPr>
          <w:b/>
          <w:color w:val="auto"/>
          <w:sz w:val="30"/>
          <w:szCs w:val="30"/>
          <w:highlight w:val="none"/>
        </w:rPr>
      </w:pPr>
      <w:r>
        <w:rPr>
          <w:rFonts w:hint="eastAsia"/>
          <w:b/>
          <w:color w:val="auto"/>
          <w:sz w:val="30"/>
          <w:szCs w:val="30"/>
          <w:highlight w:val="none"/>
        </w:rPr>
        <w:t>残疾人福利性单位声明函</w:t>
      </w:r>
    </w:p>
    <w:p w14:paraId="4437F20B">
      <w:pPr>
        <w:pStyle w:val="14"/>
        <w:shd w:val="clear" w:color="auto" w:fill="FFFFFF" w:themeFill="background1"/>
        <w:spacing w:line="360" w:lineRule="auto"/>
        <w:jc w:val="center"/>
        <w:rPr>
          <w:b/>
          <w:color w:val="auto"/>
          <w:sz w:val="30"/>
          <w:szCs w:val="30"/>
          <w:highlight w:val="none"/>
        </w:rPr>
      </w:pPr>
    </w:p>
    <w:p w14:paraId="1BAC8C8F">
      <w:pPr>
        <w:pStyle w:val="14"/>
        <w:shd w:val="clear" w:color="auto" w:fill="FFFFFF" w:themeFill="background1"/>
        <w:spacing w:line="360" w:lineRule="auto"/>
        <w:jc w:val="left"/>
        <w:rPr>
          <w:rFonts w:hAnsi="宋体" w:cs="宋体"/>
          <w:color w:val="auto"/>
          <w:sz w:val="24"/>
          <w:szCs w:val="24"/>
          <w:highlight w:val="none"/>
        </w:rPr>
      </w:pPr>
      <w:r>
        <w:rPr>
          <w:rFonts w:hint="eastAsia"/>
          <w:color w:val="auto"/>
          <w:sz w:val="30"/>
          <w:szCs w:val="30"/>
          <w:highlight w:val="none"/>
        </w:rPr>
        <w:t xml:space="preserve"> </w:t>
      </w:r>
      <w:r>
        <w:rPr>
          <w:rFonts w:hint="eastAsia" w:hAnsi="宋体" w:cs="宋体"/>
          <w:color w:val="auto"/>
          <w:sz w:val="30"/>
          <w:szCs w:val="30"/>
          <w:highlight w:val="none"/>
        </w:rPr>
        <w:t xml:space="preserve">  </w:t>
      </w:r>
      <w:r>
        <w:rPr>
          <w:rFonts w:hint="eastAsia" w:hAnsi="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单位的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14:paraId="6F30233C">
      <w:pPr>
        <w:pStyle w:val="14"/>
        <w:shd w:val="clear" w:color="auto" w:fill="FFFFFF" w:themeFill="background1"/>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本单位对上述声明的真实性负责。如有虚假，将依法承担相应责任。</w:t>
      </w:r>
    </w:p>
    <w:p w14:paraId="2CBC87B6">
      <w:pPr>
        <w:pStyle w:val="14"/>
        <w:shd w:val="clear" w:color="auto" w:fill="FFFFFF" w:themeFill="background1"/>
        <w:spacing w:line="360" w:lineRule="auto"/>
        <w:jc w:val="left"/>
        <w:rPr>
          <w:rFonts w:hAnsi="宋体" w:cs="宋体"/>
          <w:b/>
          <w:color w:val="auto"/>
          <w:szCs w:val="21"/>
          <w:highlight w:val="none"/>
        </w:rPr>
      </w:pPr>
    </w:p>
    <w:p w14:paraId="388DC891">
      <w:pPr>
        <w:pStyle w:val="14"/>
        <w:shd w:val="clear" w:color="auto" w:fill="FFFFFF" w:themeFill="background1"/>
        <w:spacing w:line="360" w:lineRule="auto"/>
        <w:jc w:val="left"/>
        <w:rPr>
          <w:rFonts w:hAnsi="宋体" w:cs="宋体"/>
          <w:b/>
          <w:color w:val="auto"/>
          <w:szCs w:val="21"/>
          <w:highlight w:val="none"/>
        </w:rPr>
      </w:pPr>
    </w:p>
    <w:p w14:paraId="31D0DE16">
      <w:pPr>
        <w:shd w:val="clear" w:color="auto" w:fill="FFFFFF" w:themeFill="background1"/>
        <w:snapToGrid w:val="0"/>
        <w:spacing w:line="360" w:lineRule="auto"/>
        <w:ind w:left="5137" w:leftChars="1736" w:hanging="1491" w:hangingChars="825"/>
        <w:rPr>
          <w:rFonts w:hint="eastAsia" w:ascii="宋体" w:hAnsi="宋体" w:cs="宋体"/>
          <w:color w:val="auto"/>
          <w:kern w:val="0"/>
          <w:sz w:val="24"/>
          <w:highlight w:val="none"/>
          <w:lang w:val="zh-CN"/>
        </w:rPr>
      </w:pPr>
      <w:r>
        <w:rPr>
          <w:rFonts w:hint="eastAsia" w:ascii="宋体" w:hAnsi="宋体" w:cs="宋体"/>
          <w:b/>
          <w:color w:val="auto"/>
          <w:sz w:val="18"/>
          <w:szCs w:val="18"/>
          <w:highlight w:val="none"/>
        </w:rPr>
        <w:t xml:space="preserve">                                                                    </w:t>
      </w:r>
      <w:r>
        <w:rPr>
          <w:rFonts w:hint="eastAsia" w:ascii="宋体" w:hAnsi="宋体" w:cs="宋体"/>
          <w:color w:val="auto"/>
          <w:kern w:val="0"/>
          <w:sz w:val="24"/>
          <w:highlight w:val="none"/>
          <w:lang w:val="zh-CN"/>
        </w:rPr>
        <w:t>投标人名称(盖公章)：</w:t>
      </w:r>
    </w:p>
    <w:p w14:paraId="68AC98B0">
      <w:pPr>
        <w:shd w:val="clear" w:color="auto" w:fill="FFFFFF" w:themeFill="background1"/>
        <w:snapToGrid w:val="0"/>
        <w:spacing w:line="360" w:lineRule="auto"/>
        <w:ind w:left="5622" w:leftChars="2420" w:hanging="540" w:hangingChars="225"/>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1026E77">
      <w:pPr>
        <w:pStyle w:val="14"/>
        <w:shd w:val="clear" w:color="auto" w:fill="FFFFFF" w:themeFill="background1"/>
        <w:spacing w:line="360" w:lineRule="auto"/>
        <w:ind w:left="5132" w:leftChars="1979" w:hanging="976" w:hangingChars="488"/>
        <w:rPr>
          <w:rFonts w:hAnsi="宋体" w:cs="宋体"/>
          <w:color w:val="auto"/>
          <w:sz w:val="20"/>
          <w:highlight w:val="none"/>
        </w:rPr>
      </w:pPr>
    </w:p>
    <w:p w14:paraId="1672F6FF">
      <w:pPr>
        <w:shd w:val="clear" w:color="auto" w:fill="FFFFFF" w:themeFill="background1"/>
        <w:spacing w:line="360" w:lineRule="auto"/>
        <w:ind w:right="420" w:firstLine="480" w:firstLineChars="200"/>
        <w:rPr>
          <w:rFonts w:ascii="宋体" w:hAnsi="宋体" w:cs="宋体"/>
          <w:color w:val="auto"/>
          <w:sz w:val="24"/>
          <w:highlight w:val="none"/>
        </w:rPr>
      </w:pPr>
    </w:p>
    <w:p w14:paraId="317AF8F5">
      <w:pPr>
        <w:shd w:val="clear" w:color="auto" w:fill="FFFFFF" w:themeFill="background1"/>
        <w:spacing w:line="360" w:lineRule="auto"/>
        <w:ind w:right="420" w:firstLine="480" w:firstLineChars="200"/>
        <w:rPr>
          <w:rFonts w:ascii="宋体" w:hAnsi="宋体" w:cs="宋体"/>
          <w:color w:val="auto"/>
          <w:sz w:val="24"/>
          <w:highlight w:val="none"/>
        </w:rPr>
      </w:pPr>
    </w:p>
    <w:p w14:paraId="1807FAD9">
      <w:pPr>
        <w:shd w:val="clear" w:color="auto" w:fill="FFFFFF" w:themeFill="background1"/>
        <w:spacing w:line="360" w:lineRule="auto"/>
        <w:ind w:right="42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请根据自己的真实情况出具《残疾人福利性单位声明函》。依法享受中小企业扶持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54976D4C">
      <w:pPr>
        <w:pStyle w:val="16"/>
        <w:shd w:val="clear" w:color="auto" w:fill="FFFFFF" w:themeFill="background1"/>
        <w:rPr>
          <w:rFonts w:ascii="宋体" w:hAnsi="宋体" w:cs="宋体"/>
          <w:color w:val="auto"/>
          <w:kern w:val="0"/>
          <w:sz w:val="28"/>
          <w:szCs w:val="28"/>
          <w:highlight w:val="none"/>
        </w:rPr>
      </w:pPr>
    </w:p>
    <w:p w14:paraId="194128ED">
      <w:pPr>
        <w:pStyle w:val="16"/>
        <w:shd w:val="clear" w:color="auto" w:fill="FFFFFF" w:themeFill="background1"/>
        <w:rPr>
          <w:rFonts w:ascii="宋体" w:hAnsi="宋体" w:cs="宋体"/>
          <w:color w:val="auto"/>
          <w:kern w:val="0"/>
          <w:sz w:val="28"/>
          <w:szCs w:val="28"/>
          <w:highlight w:val="none"/>
        </w:rPr>
      </w:pPr>
    </w:p>
    <w:p w14:paraId="392F9A7D">
      <w:pPr>
        <w:pStyle w:val="16"/>
        <w:shd w:val="clear" w:color="auto" w:fill="FFFFFF" w:themeFill="background1"/>
        <w:rPr>
          <w:rFonts w:ascii="宋体" w:hAnsi="宋体" w:cs="宋体"/>
          <w:color w:val="auto"/>
          <w:kern w:val="0"/>
          <w:sz w:val="28"/>
          <w:szCs w:val="28"/>
          <w:highlight w:val="none"/>
        </w:rPr>
      </w:pPr>
    </w:p>
    <w:p w14:paraId="7FDFA477">
      <w:pPr>
        <w:pStyle w:val="16"/>
        <w:shd w:val="clear" w:color="auto" w:fill="FFFFFF" w:themeFill="background1"/>
        <w:rPr>
          <w:rFonts w:ascii="宋体" w:hAnsi="宋体" w:cs="宋体"/>
          <w:color w:val="auto"/>
          <w:kern w:val="0"/>
          <w:sz w:val="28"/>
          <w:szCs w:val="28"/>
          <w:highlight w:val="none"/>
        </w:rPr>
      </w:pPr>
    </w:p>
    <w:p w14:paraId="5E0178AC">
      <w:pPr>
        <w:pStyle w:val="16"/>
        <w:shd w:val="clear" w:color="auto" w:fill="FFFFFF" w:themeFill="background1"/>
        <w:rPr>
          <w:rFonts w:ascii="宋体" w:hAnsi="宋体" w:cs="宋体"/>
          <w:color w:val="auto"/>
          <w:kern w:val="0"/>
          <w:sz w:val="28"/>
          <w:szCs w:val="28"/>
          <w:highlight w:val="none"/>
        </w:rPr>
      </w:pPr>
    </w:p>
    <w:p w14:paraId="63E64C9A">
      <w:pPr>
        <w:pStyle w:val="16"/>
        <w:shd w:val="clear" w:color="auto" w:fill="FFFFFF" w:themeFill="background1"/>
        <w:rPr>
          <w:rFonts w:ascii="宋体" w:hAnsi="宋体" w:cs="宋体"/>
          <w:color w:val="auto"/>
          <w:kern w:val="0"/>
          <w:sz w:val="28"/>
          <w:szCs w:val="28"/>
          <w:highlight w:val="none"/>
        </w:rPr>
      </w:pPr>
    </w:p>
    <w:p w14:paraId="3AD1FC5C">
      <w:pPr>
        <w:pStyle w:val="16"/>
        <w:shd w:val="clear" w:color="auto" w:fill="FFFFFF" w:themeFill="background1"/>
        <w:rPr>
          <w:rFonts w:ascii="宋体" w:hAnsi="宋体" w:cs="宋体"/>
          <w:color w:val="auto"/>
          <w:kern w:val="0"/>
          <w:sz w:val="28"/>
          <w:szCs w:val="28"/>
          <w:highlight w:val="none"/>
        </w:rPr>
      </w:pPr>
    </w:p>
    <w:p w14:paraId="52437672">
      <w:pPr>
        <w:pStyle w:val="16"/>
        <w:shd w:val="clear" w:color="auto" w:fill="FFFFFF" w:themeFill="background1"/>
        <w:rPr>
          <w:rFonts w:ascii="宋体" w:hAnsi="宋体" w:cs="宋体"/>
          <w:color w:val="auto"/>
          <w:kern w:val="0"/>
          <w:sz w:val="28"/>
          <w:szCs w:val="28"/>
          <w:highlight w:val="none"/>
        </w:rPr>
      </w:pPr>
    </w:p>
    <w:p w14:paraId="3E91DBD3">
      <w:pPr>
        <w:pStyle w:val="16"/>
        <w:shd w:val="clear" w:color="auto" w:fill="FFFFFF" w:themeFill="background1"/>
        <w:rPr>
          <w:rFonts w:ascii="宋体" w:hAnsi="宋体" w:cs="宋体"/>
          <w:color w:val="auto"/>
          <w:kern w:val="0"/>
          <w:sz w:val="28"/>
          <w:szCs w:val="28"/>
          <w:highlight w:val="none"/>
        </w:rPr>
      </w:pPr>
    </w:p>
    <w:p w14:paraId="6696DB56">
      <w:pPr>
        <w:pStyle w:val="16"/>
        <w:shd w:val="clear" w:color="auto" w:fill="FFFFFF" w:themeFill="background1"/>
        <w:rPr>
          <w:rFonts w:ascii="宋体" w:hAnsi="宋体" w:cs="宋体"/>
          <w:color w:val="auto"/>
          <w:kern w:val="0"/>
          <w:sz w:val="28"/>
          <w:szCs w:val="28"/>
          <w:highlight w:val="none"/>
        </w:rPr>
      </w:pPr>
    </w:p>
    <w:p w14:paraId="5527AF52">
      <w:pPr>
        <w:pStyle w:val="16"/>
        <w:shd w:val="clear" w:color="auto" w:fill="FFFFFF" w:themeFill="background1"/>
        <w:rPr>
          <w:rFonts w:ascii="宋体" w:hAnsi="宋体" w:cs="宋体"/>
          <w:color w:val="auto"/>
          <w:kern w:val="0"/>
          <w:sz w:val="28"/>
          <w:szCs w:val="28"/>
          <w:highlight w:val="none"/>
        </w:rPr>
      </w:pPr>
    </w:p>
    <w:p w14:paraId="235B1705">
      <w:pPr>
        <w:pStyle w:val="16"/>
        <w:shd w:val="clear" w:color="auto" w:fill="FFFFFF" w:themeFill="background1"/>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3.广西壮族自治区政府采购项目合同验收书的格式：</w:t>
      </w:r>
    </w:p>
    <w:p w14:paraId="71152947">
      <w:pPr>
        <w:pStyle w:val="16"/>
        <w:shd w:val="clear" w:color="auto" w:fill="FFFFFF" w:themeFill="background1"/>
        <w:rPr>
          <w:rFonts w:ascii="宋体" w:hAnsi="宋体" w:cs="宋体"/>
          <w:color w:val="auto"/>
          <w:kern w:val="0"/>
          <w:sz w:val="28"/>
          <w:szCs w:val="28"/>
          <w:highlight w:val="none"/>
        </w:rPr>
      </w:pPr>
    </w:p>
    <w:p w14:paraId="75BBE61B">
      <w:pPr>
        <w:shd w:val="clear" w:color="auto" w:fill="FFFFFF" w:themeFill="background1"/>
        <w:spacing w:line="480" w:lineRule="atLeast"/>
        <w:jc w:val="center"/>
        <w:rPr>
          <w:rFonts w:ascii="宋体" w:hAnsi="宋体" w:cs="宋体"/>
          <w:color w:val="auto"/>
          <w:kern w:val="0"/>
          <w:sz w:val="32"/>
          <w:szCs w:val="32"/>
          <w:highlight w:val="none"/>
        </w:rPr>
      </w:pPr>
      <w:r>
        <w:rPr>
          <w:rFonts w:hint="eastAsia" w:ascii="宋体" w:hAnsi="宋体" w:cs="宋体"/>
          <w:color w:val="auto"/>
          <w:kern w:val="0"/>
          <w:sz w:val="32"/>
          <w:szCs w:val="32"/>
          <w:highlight w:val="none"/>
        </w:rPr>
        <w:t>广西壮族自治区政府采购项目合同验收书</w:t>
      </w:r>
    </w:p>
    <w:p w14:paraId="5FF7E134">
      <w:pPr>
        <w:shd w:val="clear" w:color="auto" w:fill="FFFFFF" w:themeFill="background1"/>
        <w:spacing w:line="480" w:lineRule="atLeast"/>
        <w:jc w:val="center"/>
        <w:rPr>
          <w:rFonts w:ascii="宋体" w:hAnsi="宋体" w:cs="宋体"/>
          <w:color w:val="auto"/>
          <w:kern w:val="0"/>
          <w:sz w:val="32"/>
          <w:szCs w:val="32"/>
          <w:highlight w:val="none"/>
        </w:rPr>
      </w:pPr>
    </w:p>
    <w:p w14:paraId="07D44B79">
      <w:pPr>
        <w:shd w:val="clear" w:color="auto" w:fill="FFFFFF" w:themeFill="background1"/>
        <w:snapToGrid w:val="0"/>
        <w:spacing w:line="320" w:lineRule="atLeast"/>
        <w:ind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根据政府采购项目（</w:t>
      </w:r>
      <w:r>
        <w:rPr>
          <w:rFonts w:hint="eastAsia" w:ascii="宋体" w:hAnsi="宋体" w:cs="宋体"/>
          <w:color w:val="auto"/>
          <w:kern w:val="0"/>
          <w:sz w:val="24"/>
          <w:szCs w:val="24"/>
          <w:highlight w:val="none"/>
          <w:u w:val="single"/>
        </w:rPr>
        <w:t>采购合同编号：</w:t>
      </w:r>
      <w:r>
        <w:rPr>
          <w:rFonts w:hint="eastAsia" w:ascii="宋体" w:hAnsi="宋体" w:cs="宋体"/>
          <w:color w:val="auto"/>
          <w:kern w:val="0"/>
          <w:sz w:val="24"/>
          <w:szCs w:val="24"/>
          <w:highlight w:val="none"/>
          <w:u w:val="single"/>
        </w:rPr>
        <w:softHyphen/>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）的约定，我单位对（</w:t>
      </w:r>
      <w:r>
        <w:rPr>
          <w:rFonts w:hint="eastAsia" w:ascii="宋体" w:hAnsi="宋体" w:cs="宋体"/>
          <w:color w:val="auto"/>
          <w:kern w:val="0"/>
          <w:sz w:val="24"/>
          <w:szCs w:val="24"/>
          <w:highlight w:val="none"/>
          <w:u w:val="single"/>
        </w:rPr>
        <w:t xml:space="preserve"> 项目名称 </w:t>
      </w:r>
      <w:r>
        <w:rPr>
          <w:rFonts w:hint="eastAsia" w:ascii="宋体" w:hAnsi="宋体" w:cs="宋体"/>
          <w:color w:val="auto"/>
          <w:kern w:val="0"/>
          <w:sz w:val="24"/>
          <w:szCs w:val="24"/>
          <w:highlight w:val="none"/>
        </w:rPr>
        <w:t>） 政府采购项目中标（或者成交）投标人（</w:t>
      </w:r>
      <w:r>
        <w:rPr>
          <w:rFonts w:hint="eastAsia" w:ascii="宋体" w:hAnsi="宋体" w:cs="宋体"/>
          <w:color w:val="auto"/>
          <w:kern w:val="0"/>
          <w:sz w:val="24"/>
          <w:szCs w:val="24"/>
          <w:highlight w:val="none"/>
          <w:u w:val="single"/>
        </w:rPr>
        <w:t xml:space="preserve"> 公司名称 </w:t>
      </w:r>
      <w:r>
        <w:rPr>
          <w:rFonts w:hint="eastAsia" w:ascii="宋体" w:hAnsi="宋体" w:cs="宋体"/>
          <w:color w:val="auto"/>
          <w:kern w:val="0"/>
          <w:sz w:val="24"/>
          <w:szCs w:val="24"/>
          <w:highlight w:val="none"/>
        </w:rPr>
        <w:t>） 提供的货物（或者工程、服务）进行了验收，验收情况如下：</w:t>
      </w:r>
    </w:p>
    <w:tbl>
      <w:tblPr>
        <w:tblStyle w:val="25"/>
        <w:tblW w:w="9371" w:type="dxa"/>
        <w:jc w:val="center"/>
        <w:tblLayout w:type="fixed"/>
        <w:tblCellMar>
          <w:top w:w="0" w:type="dxa"/>
          <w:left w:w="0" w:type="dxa"/>
          <w:bottom w:w="0" w:type="dxa"/>
          <w:right w:w="0" w:type="dxa"/>
        </w:tblCellMar>
      </w:tblPr>
      <w:tblGrid>
        <w:gridCol w:w="1331"/>
        <w:gridCol w:w="1921"/>
        <w:gridCol w:w="798"/>
        <w:gridCol w:w="302"/>
        <w:gridCol w:w="1802"/>
        <w:gridCol w:w="178"/>
        <w:gridCol w:w="685"/>
        <w:gridCol w:w="2354"/>
      </w:tblGrid>
      <w:tr w14:paraId="357D327B">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vAlign w:val="center"/>
          </w:tcPr>
          <w:p w14:paraId="448B5861">
            <w:pPr>
              <w:shd w:val="clear" w:color="auto" w:fill="FFFFFF" w:themeFill="background1"/>
              <w:snapToGrid w:val="0"/>
              <w:spacing w:before="100" w:beforeAutospacing="1" w:after="100" w:afterAutospacing="1" w:line="320" w:lineRule="atLeast"/>
              <w:ind w:firstLine="5"/>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验收方式：</w:t>
            </w:r>
          </w:p>
        </w:tc>
        <w:tc>
          <w:tcPr>
            <w:tcW w:w="6119" w:type="dxa"/>
            <w:gridSpan w:val="6"/>
            <w:tcBorders>
              <w:top w:val="single" w:color="auto" w:sz="8" w:space="0"/>
              <w:left w:val="nil"/>
              <w:bottom w:val="single" w:color="auto" w:sz="8" w:space="0"/>
              <w:right w:val="single" w:color="auto" w:sz="8" w:space="0"/>
            </w:tcBorders>
            <w:vAlign w:val="center"/>
          </w:tcPr>
          <w:p w14:paraId="702A21D9">
            <w:pPr>
              <w:shd w:val="clear" w:color="auto" w:fill="FFFFFF" w:themeFill="background1"/>
              <w:snapToGrid w:val="0"/>
              <w:spacing w:before="100" w:beforeAutospacing="1" w:after="100" w:afterAutospacing="1" w:line="320" w:lineRule="atLeast"/>
              <w:ind w:firstLine="48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□自行验收 □委托验收</w:t>
            </w:r>
          </w:p>
        </w:tc>
      </w:tr>
      <w:tr w14:paraId="42EAE979">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vAlign w:val="center"/>
          </w:tcPr>
          <w:p w14:paraId="18911652">
            <w:pPr>
              <w:shd w:val="clear" w:color="auto" w:fill="FFFFFF" w:themeFill="background1"/>
              <w:snapToGrid w:val="0"/>
              <w:spacing w:before="100" w:beforeAutospacing="1" w:after="100" w:afterAutospacing="1" w:line="320" w:lineRule="atLeast"/>
              <w:ind w:firstLine="2"/>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序号</w:t>
            </w:r>
          </w:p>
        </w:tc>
        <w:tc>
          <w:tcPr>
            <w:tcW w:w="1921" w:type="dxa"/>
            <w:tcBorders>
              <w:top w:val="nil"/>
              <w:left w:val="nil"/>
              <w:bottom w:val="single" w:color="auto" w:sz="8" w:space="0"/>
              <w:right w:val="single" w:color="auto" w:sz="8" w:space="0"/>
            </w:tcBorders>
            <w:vAlign w:val="center"/>
          </w:tcPr>
          <w:p w14:paraId="73CFA3F5">
            <w:pPr>
              <w:shd w:val="clear" w:color="auto" w:fill="FFFFFF" w:themeFill="background1"/>
              <w:snapToGrid w:val="0"/>
              <w:spacing w:before="100" w:beforeAutospacing="1" w:after="100" w:afterAutospacing="1" w:line="320" w:lineRule="atLeast"/>
              <w:ind w:firstLine="2"/>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名 称</w:t>
            </w:r>
          </w:p>
        </w:tc>
        <w:tc>
          <w:tcPr>
            <w:tcW w:w="2902" w:type="dxa"/>
            <w:gridSpan w:val="3"/>
            <w:tcBorders>
              <w:top w:val="nil"/>
              <w:left w:val="nil"/>
              <w:bottom w:val="single" w:color="auto" w:sz="8" w:space="0"/>
              <w:right w:val="single" w:color="auto" w:sz="8" w:space="0"/>
            </w:tcBorders>
            <w:vAlign w:val="center"/>
          </w:tcPr>
          <w:p w14:paraId="5AC61997">
            <w:pPr>
              <w:shd w:val="clear" w:color="auto" w:fill="FFFFFF" w:themeFill="background1"/>
              <w:snapToGrid w:val="0"/>
              <w:spacing w:before="100" w:beforeAutospacing="1" w:after="100" w:afterAutospacing="1" w:line="320" w:lineRule="atLeast"/>
              <w:ind w:firstLine="2"/>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14:paraId="26AB72C0">
            <w:pPr>
              <w:shd w:val="clear" w:color="auto" w:fill="FFFFFF" w:themeFill="background1"/>
              <w:snapToGrid w:val="0"/>
              <w:spacing w:before="100" w:beforeAutospacing="1" w:after="100" w:afterAutospacing="1" w:line="320" w:lineRule="atLeas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数量</w:t>
            </w:r>
          </w:p>
        </w:tc>
        <w:tc>
          <w:tcPr>
            <w:tcW w:w="2354" w:type="dxa"/>
            <w:tcBorders>
              <w:top w:val="nil"/>
              <w:left w:val="nil"/>
              <w:bottom w:val="single" w:color="auto" w:sz="8" w:space="0"/>
              <w:right w:val="single" w:color="auto" w:sz="8" w:space="0"/>
            </w:tcBorders>
            <w:vAlign w:val="center"/>
          </w:tcPr>
          <w:p w14:paraId="5B803D6E">
            <w:pPr>
              <w:shd w:val="clear" w:color="auto" w:fill="FFFFFF" w:themeFill="background1"/>
              <w:snapToGrid w:val="0"/>
              <w:spacing w:before="100" w:beforeAutospacing="1" w:after="100" w:afterAutospacing="1" w:line="320" w:lineRule="atLeast"/>
              <w:ind w:firstLine="2"/>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金 额</w:t>
            </w:r>
          </w:p>
        </w:tc>
      </w:tr>
      <w:tr w14:paraId="35C36F18">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246772E5">
            <w:pPr>
              <w:shd w:val="clear" w:color="auto" w:fill="FFFFFF" w:themeFill="background1"/>
              <w:spacing w:before="100" w:beforeAutospacing="1" w:after="100" w:afterAutospacing="1" w:line="240" w:lineRule="atLeast"/>
              <w:jc w:val="center"/>
              <w:rPr>
                <w:rFonts w:ascii="宋体" w:hAnsi="宋体" w:cs="宋体"/>
                <w:color w:val="auto"/>
                <w:kern w:val="0"/>
                <w:sz w:val="24"/>
                <w:szCs w:val="24"/>
                <w:highlight w:val="none"/>
              </w:rPr>
            </w:pPr>
          </w:p>
        </w:tc>
        <w:tc>
          <w:tcPr>
            <w:tcW w:w="1921" w:type="dxa"/>
            <w:tcBorders>
              <w:top w:val="nil"/>
              <w:left w:val="nil"/>
              <w:bottom w:val="single" w:color="auto" w:sz="8" w:space="0"/>
              <w:right w:val="single" w:color="auto" w:sz="8" w:space="0"/>
            </w:tcBorders>
            <w:vAlign w:val="center"/>
          </w:tcPr>
          <w:p w14:paraId="3BE66706">
            <w:pPr>
              <w:shd w:val="clear" w:color="auto" w:fill="FFFFFF" w:themeFill="background1"/>
              <w:spacing w:before="100" w:beforeAutospacing="1" w:after="100" w:afterAutospacing="1" w:line="240" w:lineRule="atLeast"/>
              <w:jc w:val="center"/>
              <w:rPr>
                <w:rFonts w:ascii="宋体" w:hAnsi="宋体" w:cs="宋体"/>
                <w:color w:val="auto"/>
                <w:kern w:val="0"/>
                <w:sz w:val="24"/>
                <w:szCs w:val="24"/>
                <w:highlight w:val="none"/>
              </w:rPr>
            </w:pPr>
          </w:p>
        </w:tc>
        <w:tc>
          <w:tcPr>
            <w:tcW w:w="2902" w:type="dxa"/>
            <w:gridSpan w:val="3"/>
            <w:tcBorders>
              <w:top w:val="nil"/>
              <w:left w:val="nil"/>
              <w:bottom w:val="single" w:color="auto" w:sz="8" w:space="0"/>
              <w:right w:val="single" w:color="auto" w:sz="8" w:space="0"/>
            </w:tcBorders>
            <w:vAlign w:val="center"/>
          </w:tcPr>
          <w:p w14:paraId="542CA99D">
            <w:pPr>
              <w:shd w:val="clear" w:color="auto" w:fill="FFFFFF" w:themeFill="background1"/>
              <w:spacing w:before="100" w:beforeAutospacing="1" w:after="100" w:afterAutospacing="1" w:line="240" w:lineRule="atLeast"/>
              <w:jc w:val="center"/>
              <w:rPr>
                <w:rFonts w:ascii="宋体" w:hAnsi="宋体" w:cs="宋体"/>
                <w:color w:val="auto"/>
                <w:kern w:val="0"/>
                <w:sz w:val="24"/>
                <w:szCs w:val="24"/>
                <w:highlight w:val="none"/>
              </w:rPr>
            </w:pPr>
          </w:p>
        </w:tc>
        <w:tc>
          <w:tcPr>
            <w:tcW w:w="863" w:type="dxa"/>
            <w:gridSpan w:val="2"/>
            <w:tcBorders>
              <w:top w:val="nil"/>
              <w:left w:val="nil"/>
              <w:bottom w:val="single" w:color="auto" w:sz="8" w:space="0"/>
              <w:right w:val="single" w:color="auto" w:sz="8" w:space="0"/>
            </w:tcBorders>
            <w:vAlign w:val="center"/>
          </w:tcPr>
          <w:p w14:paraId="5C117B59">
            <w:pPr>
              <w:shd w:val="clear" w:color="auto" w:fill="FFFFFF" w:themeFill="background1"/>
              <w:spacing w:before="100" w:beforeAutospacing="1" w:after="100" w:afterAutospacing="1" w:line="240" w:lineRule="atLeast"/>
              <w:jc w:val="center"/>
              <w:rPr>
                <w:rFonts w:ascii="宋体" w:hAnsi="宋体" w:cs="宋体"/>
                <w:color w:val="auto"/>
                <w:kern w:val="0"/>
                <w:sz w:val="24"/>
                <w:szCs w:val="24"/>
                <w:highlight w:val="none"/>
              </w:rPr>
            </w:pPr>
          </w:p>
        </w:tc>
        <w:tc>
          <w:tcPr>
            <w:tcW w:w="2354" w:type="dxa"/>
            <w:tcBorders>
              <w:top w:val="nil"/>
              <w:left w:val="nil"/>
              <w:bottom w:val="single" w:color="auto" w:sz="8" w:space="0"/>
              <w:right w:val="single" w:color="auto" w:sz="8" w:space="0"/>
            </w:tcBorders>
            <w:vAlign w:val="center"/>
          </w:tcPr>
          <w:p w14:paraId="7A0A504C">
            <w:pPr>
              <w:shd w:val="clear" w:color="auto" w:fill="FFFFFF" w:themeFill="background1"/>
              <w:spacing w:before="100" w:beforeAutospacing="1" w:after="100" w:afterAutospacing="1" w:line="240" w:lineRule="atLeast"/>
              <w:jc w:val="center"/>
              <w:rPr>
                <w:rFonts w:ascii="宋体" w:hAnsi="宋体" w:cs="宋体"/>
                <w:color w:val="auto"/>
                <w:kern w:val="0"/>
                <w:sz w:val="24"/>
                <w:szCs w:val="24"/>
                <w:highlight w:val="none"/>
              </w:rPr>
            </w:pPr>
          </w:p>
        </w:tc>
      </w:tr>
      <w:tr w14:paraId="462E26CA">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6D58FCA2">
            <w:pPr>
              <w:shd w:val="clear" w:color="auto" w:fill="FFFFFF" w:themeFill="background1"/>
              <w:spacing w:before="100" w:beforeAutospacing="1" w:after="100" w:afterAutospacing="1" w:line="240" w:lineRule="atLeast"/>
              <w:jc w:val="center"/>
              <w:rPr>
                <w:rFonts w:ascii="宋体" w:hAnsi="宋体" w:cs="宋体"/>
                <w:color w:val="auto"/>
                <w:kern w:val="0"/>
                <w:sz w:val="24"/>
                <w:szCs w:val="24"/>
                <w:highlight w:val="none"/>
              </w:rPr>
            </w:pPr>
          </w:p>
        </w:tc>
        <w:tc>
          <w:tcPr>
            <w:tcW w:w="1921" w:type="dxa"/>
            <w:tcBorders>
              <w:top w:val="nil"/>
              <w:left w:val="nil"/>
              <w:bottom w:val="single" w:color="auto" w:sz="8" w:space="0"/>
              <w:right w:val="single" w:color="auto" w:sz="8" w:space="0"/>
            </w:tcBorders>
            <w:vAlign w:val="center"/>
          </w:tcPr>
          <w:p w14:paraId="6D115139">
            <w:pPr>
              <w:shd w:val="clear" w:color="auto" w:fill="FFFFFF" w:themeFill="background1"/>
              <w:spacing w:before="100" w:beforeAutospacing="1" w:after="100" w:afterAutospacing="1" w:line="240" w:lineRule="atLeast"/>
              <w:jc w:val="center"/>
              <w:rPr>
                <w:rFonts w:ascii="宋体" w:hAnsi="宋体" w:cs="宋体"/>
                <w:color w:val="auto"/>
                <w:kern w:val="0"/>
                <w:sz w:val="24"/>
                <w:szCs w:val="24"/>
                <w:highlight w:val="none"/>
              </w:rPr>
            </w:pPr>
          </w:p>
        </w:tc>
        <w:tc>
          <w:tcPr>
            <w:tcW w:w="2902" w:type="dxa"/>
            <w:gridSpan w:val="3"/>
            <w:tcBorders>
              <w:top w:val="nil"/>
              <w:left w:val="nil"/>
              <w:bottom w:val="single" w:color="auto" w:sz="8" w:space="0"/>
              <w:right w:val="single" w:color="auto" w:sz="8" w:space="0"/>
            </w:tcBorders>
            <w:vAlign w:val="center"/>
          </w:tcPr>
          <w:p w14:paraId="06ADD57F">
            <w:pPr>
              <w:shd w:val="clear" w:color="auto" w:fill="FFFFFF" w:themeFill="background1"/>
              <w:spacing w:before="100" w:beforeAutospacing="1" w:after="100" w:afterAutospacing="1" w:line="240" w:lineRule="atLeast"/>
              <w:jc w:val="center"/>
              <w:rPr>
                <w:rFonts w:ascii="宋体" w:hAnsi="宋体" w:cs="宋体"/>
                <w:color w:val="auto"/>
                <w:kern w:val="0"/>
                <w:sz w:val="24"/>
                <w:szCs w:val="24"/>
                <w:highlight w:val="none"/>
              </w:rPr>
            </w:pPr>
          </w:p>
        </w:tc>
        <w:tc>
          <w:tcPr>
            <w:tcW w:w="863" w:type="dxa"/>
            <w:gridSpan w:val="2"/>
            <w:tcBorders>
              <w:top w:val="nil"/>
              <w:left w:val="nil"/>
              <w:bottom w:val="single" w:color="auto" w:sz="8" w:space="0"/>
              <w:right w:val="single" w:color="auto" w:sz="8" w:space="0"/>
            </w:tcBorders>
            <w:vAlign w:val="center"/>
          </w:tcPr>
          <w:p w14:paraId="05A832DB">
            <w:pPr>
              <w:shd w:val="clear" w:color="auto" w:fill="FFFFFF" w:themeFill="background1"/>
              <w:spacing w:before="100" w:beforeAutospacing="1" w:after="100" w:afterAutospacing="1" w:line="240" w:lineRule="atLeast"/>
              <w:jc w:val="center"/>
              <w:rPr>
                <w:rFonts w:ascii="宋体" w:hAnsi="宋体" w:cs="宋体"/>
                <w:color w:val="auto"/>
                <w:kern w:val="0"/>
                <w:sz w:val="24"/>
                <w:szCs w:val="24"/>
                <w:highlight w:val="none"/>
              </w:rPr>
            </w:pPr>
          </w:p>
        </w:tc>
        <w:tc>
          <w:tcPr>
            <w:tcW w:w="2354" w:type="dxa"/>
            <w:tcBorders>
              <w:top w:val="nil"/>
              <w:left w:val="nil"/>
              <w:bottom w:val="single" w:color="auto" w:sz="8" w:space="0"/>
              <w:right w:val="single" w:color="auto" w:sz="8" w:space="0"/>
            </w:tcBorders>
            <w:vAlign w:val="center"/>
          </w:tcPr>
          <w:p w14:paraId="4516DA03">
            <w:pPr>
              <w:shd w:val="clear" w:color="auto" w:fill="FFFFFF" w:themeFill="background1"/>
              <w:spacing w:before="100" w:beforeAutospacing="1" w:after="100" w:afterAutospacing="1" w:line="240" w:lineRule="atLeast"/>
              <w:jc w:val="center"/>
              <w:rPr>
                <w:rFonts w:ascii="宋体" w:hAnsi="宋体" w:cs="宋体"/>
                <w:color w:val="auto"/>
                <w:kern w:val="0"/>
                <w:sz w:val="24"/>
                <w:szCs w:val="24"/>
                <w:highlight w:val="none"/>
              </w:rPr>
            </w:pPr>
          </w:p>
        </w:tc>
      </w:tr>
      <w:tr w14:paraId="15B54243">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3216A187">
            <w:pPr>
              <w:shd w:val="clear" w:color="auto" w:fill="FFFFFF" w:themeFill="background1"/>
              <w:spacing w:before="100" w:beforeAutospacing="1" w:after="100" w:afterAutospacing="1" w:line="240" w:lineRule="atLeast"/>
              <w:jc w:val="center"/>
              <w:rPr>
                <w:rFonts w:ascii="宋体" w:hAnsi="宋体" w:cs="宋体"/>
                <w:color w:val="auto"/>
                <w:kern w:val="0"/>
                <w:sz w:val="24"/>
                <w:szCs w:val="24"/>
                <w:highlight w:val="none"/>
              </w:rPr>
            </w:pPr>
          </w:p>
        </w:tc>
        <w:tc>
          <w:tcPr>
            <w:tcW w:w="1921" w:type="dxa"/>
            <w:tcBorders>
              <w:top w:val="nil"/>
              <w:left w:val="nil"/>
              <w:bottom w:val="single" w:color="auto" w:sz="8" w:space="0"/>
              <w:right w:val="single" w:color="auto" w:sz="8" w:space="0"/>
            </w:tcBorders>
            <w:vAlign w:val="center"/>
          </w:tcPr>
          <w:p w14:paraId="1F079537">
            <w:pPr>
              <w:shd w:val="clear" w:color="auto" w:fill="FFFFFF" w:themeFill="background1"/>
              <w:spacing w:before="100" w:beforeAutospacing="1" w:after="100" w:afterAutospacing="1" w:line="240" w:lineRule="atLeast"/>
              <w:jc w:val="center"/>
              <w:rPr>
                <w:rFonts w:ascii="宋体" w:hAnsi="宋体" w:cs="宋体"/>
                <w:color w:val="auto"/>
                <w:kern w:val="0"/>
                <w:sz w:val="24"/>
                <w:szCs w:val="24"/>
                <w:highlight w:val="none"/>
              </w:rPr>
            </w:pPr>
          </w:p>
        </w:tc>
        <w:tc>
          <w:tcPr>
            <w:tcW w:w="2902" w:type="dxa"/>
            <w:gridSpan w:val="3"/>
            <w:tcBorders>
              <w:top w:val="nil"/>
              <w:left w:val="nil"/>
              <w:bottom w:val="single" w:color="auto" w:sz="8" w:space="0"/>
              <w:right w:val="single" w:color="auto" w:sz="8" w:space="0"/>
            </w:tcBorders>
            <w:vAlign w:val="center"/>
          </w:tcPr>
          <w:p w14:paraId="2195F8E5">
            <w:pPr>
              <w:shd w:val="clear" w:color="auto" w:fill="FFFFFF" w:themeFill="background1"/>
              <w:spacing w:before="100" w:beforeAutospacing="1" w:after="100" w:afterAutospacing="1" w:line="240" w:lineRule="atLeast"/>
              <w:jc w:val="center"/>
              <w:rPr>
                <w:rFonts w:ascii="宋体" w:hAnsi="宋体" w:cs="宋体"/>
                <w:color w:val="auto"/>
                <w:kern w:val="0"/>
                <w:sz w:val="24"/>
                <w:szCs w:val="24"/>
                <w:highlight w:val="none"/>
              </w:rPr>
            </w:pPr>
          </w:p>
        </w:tc>
        <w:tc>
          <w:tcPr>
            <w:tcW w:w="863" w:type="dxa"/>
            <w:gridSpan w:val="2"/>
            <w:tcBorders>
              <w:top w:val="nil"/>
              <w:left w:val="nil"/>
              <w:bottom w:val="single" w:color="auto" w:sz="8" w:space="0"/>
              <w:right w:val="single" w:color="auto" w:sz="8" w:space="0"/>
            </w:tcBorders>
            <w:vAlign w:val="center"/>
          </w:tcPr>
          <w:p w14:paraId="24E4FEA9">
            <w:pPr>
              <w:shd w:val="clear" w:color="auto" w:fill="FFFFFF" w:themeFill="background1"/>
              <w:spacing w:before="100" w:beforeAutospacing="1" w:after="100" w:afterAutospacing="1" w:line="240" w:lineRule="atLeast"/>
              <w:jc w:val="center"/>
              <w:rPr>
                <w:rFonts w:ascii="宋体" w:hAnsi="宋体" w:cs="宋体"/>
                <w:color w:val="auto"/>
                <w:kern w:val="0"/>
                <w:sz w:val="24"/>
                <w:szCs w:val="24"/>
                <w:highlight w:val="none"/>
              </w:rPr>
            </w:pPr>
          </w:p>
        </w:tc>
        <w:tc>
          <w:tcPr>
            <w:tcW w:w="2354" w:type="dxa"/>
            <w:tcBorders>
              <w:top w:val="nil"/>
              <w:left w:val="nil"/>
              <w:bottom w:val="single" w:color="auto" w:sz="8" w:space="0"/>
              <w:right w:val="single" w:color="auto" w:sz="8" w:space="0"/>
            </w:tcBorders>
            <w:vAlign w:val="center"/>
          </w:tcPr>
          <w:p w14:paraId="4E0A94D0">
            <w:pPr>
              <w:shd w:val="clear" w:color="auto" w:fill="FFFFFF" w:themeFill="background1"/>
              <w:spacing w:before="100" w:beforeAutospacing="1" w:after="100" w:afterAutospacing="1" w:line="240" w:lineRule="atLeast"/>
              <w:jc w:val="center"/>
              <w:rPr>
                <w:rFonts w:ascii="宋体" w:hAnsi="宋体" w:cs="宋体"/>
                <w:color w:val="auto"/>
                <w:kern w:val="0"/>
                <w:sz w:val="24"/>
                <w:szCs w:val="24"/>
                <w:highlight w:val="none"/>
              </w:rPr>
            </w:pPr>
          </w:p>
        </w:tc>
      </w:tr>
      <w:tr w14:paraId="5E7A97BA">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vAlign w:val="center"/>
          </w:tcPr>
          <w:p w14:paraId="7327F8BE">
            <w:pPr>
              <w:shd w:val="clear" w:color="auto" w:fill="FFFFFF" w:themeFill="background1"/>
              <w:snapToGrid w:val="0"/>
              <w:spacing w:before="100" w:beforeAutospacing="1" w:after="100" w:afterAutospacing="1" w:line="320" w:lineRule="atLeast"/>
              <w:ind w:firstLine="5"/>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合 计</w:t>
            </w:r>
          </w:p>
        </w:tc>
        <w:tc>
          <w:tcPr>
            <w:tcW w:w="863" w:type="dxa"/>
            <w:gridSpan w:val="2"/>
            <w:tcBorders>
              <w:top w:val="nil"/>
              <w:left w:val="nil"/>
              <w:bottom w:val="single" w:color="auto" w:sz="8" w:space="0"/>
              <w:right w:val="single" w:color="auto" w:sz="8" w:space="0"/>
            </w:tcBorders>
            <w:vAlign w:val="center"/>
          </w:tcPr>
          <w:p w14:paraId="5E10DF02">
            <w:pPr>
              <w:shd w:val="clear" w:color="auto" w:fill="FFFFFF" w:themeFill="background1"/>
              <w:spacing w:before="100" w:beforeAutospacing="1" w:after="100" w:afterAutospacing="1" w:line="240" w:lineRule="atLeast"/>
              <w:jc w:val="center"/>
              <w:rPr>
                <w:rFonts w:ascii="宋体" w:hAnsi="宋体" w:cs="宋体"/>
                <w:color w:val="auto"/>
                <w:kern w:val="0"/>
                <w:sz w:val="24"/>
                <w:szCs w:val="24"/>
                <w:highlight w:val="none"/>
              </w:rPr>
            </w:pPr>
          </w:p>
        </w:tc>
        <w:tc>
          <w:tcPr>
            <w:tcW w:w="2354" w:type="dxa"/>
            <w:tcBorders>
              <w:top w:val="nil"/>
              <w:left w:val="nil"/>
              <w:bottom w:val="single" w:color="auto" w:sz="8" w:space="0"/>
              <w:right w:val="single" w:color="auto" w:sz="8" w:space="0"/>
            </w:tcBorders>
            <w:vAlign w:val="center"/>
          </w:tcPr>
          <w:p w14:paraId="39EA22E4">
            <w:pPr>
              <w:shd w:val="clear" w:color="auto" w:fill="FFFFFF" w:themeFill="background1"/>
              <w:spacing w:before="100" w:beforeAutospacing="1" w:after="100" w:afterAutospacing="1" w:line="240" w:lineRule="atLeast"/>
              <w:jc w:val="center"/>
              <w:rPr>
                <w:rFonts w:ascii="宋体" w:hAnsi="宋体" w:cs="宋体"/>
                <w:color w:val="auto"/>
                <w:kern w:val="0"/>
                <w:sz w:val="24"/>
                <w:szCs w:val="24"/>
                <w:highlight w:val="none"/>
              </w:rPr>
            </w:pPr>
          </w:p>
        </w:tc>
      </w:tr>
      <w:tr w14:paraId="35817C36">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vAlign w:val="center"/>
          </w:tcPr>
          <w:p w14:paraId="29479681">
            <w:pPr>
              <w:shd w:val="clear" w:color="auto" w:fill="FFFFFF" w:themeFill="background1"/>
              <w:snapToGrid w:val="0"/>
              <w:spacing w:before="100" w:beforeAutospacing="1" w:after="100" w:afterAutospacing="1" w:line="320" w:lineRule="atLeast"/>
              <w:ind w:firstLine="2"/>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合计大写金额： 亿 仟 佰 拾 万 仟 佰 拾 元</w:t>
            </w:r>
          </w:p>
        </w:tc>
      </w:tr>
      <w:tr w14:paraId="14E2FB51">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vAlign w:val="center"/>
          </w:tcPr>
          <w:p w14:paraId="47E420C3">
            <w:pPr>
              <w:shd w:val="clear" w:color="auto" w:fill="FFFFFF" w:themeFill="background1"/>
              <w:snapToGrid w:val="0"/>
              <w:spacing w:before="100" w:beforeAutospacing="1" w:after="100" w:afterAutospacing="1" w:line="320" w:lineRule="atLeast"/>
              <w:ind w:firstLine="2"/>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实际供货日期</w:t>
            </w:r>
          </w:p>
        </w:tc>
        <w:tc>
          <w:tcPr>
            <w:tcW w:w="2719" w:type="dxa"/>
            <w:gridSpan w:val="2"/>
            <w:tcBorders>
              <w:top w:val="nil"/>
              <w:left w:val="nil"/>
              <w:bottom w:val="single" w:color="auto" w:sz="8" w:space="0"/>
              <w:right w:val="single" w:color="auto" w:sz="8" w:space="0"/>
            </w:tcBorders>
            <w:vAlign w:val="center"/>
          </w:tcPr>
          <w:p w14:paraId="4DBD3AEE">
            <w:pPr>
              <w:shd w:val="clear" w:color="auto" w:fill="FFFFFF" w:themeFill="background1"/>
              <w:spacing w:before="100" w:beforeAutospacing="1" w:after="100" w:afterAutospacing="1" w:line="240" w:lineRule="atLeast"/>
              <w:jc w:val="center"/>
              <w:rPr>
                <w:rFonts w:ascii="宋体" w:hAnsi="宋体" w:cs="宋体"/>
                <w:color w:val="auto"/>
                <w:kern w:val="0"/>
                <w:sz w:val="24"/>
                <w:szCs w:val="24"/>
                <w:highlight w:val="none"/>
              </w:rPr>
            </w:pPr>
          </w:p>
        </w:tc>
        <w:tc>
          <w:tcPr>
            <w:tcW w:w="2282" w:type="dxa"/>
            <w:gridSpan w:val="3"/>
            <w:tcBorders>
              <w:top w:val="nil"/>
              <w:left w:val="nil"/>
              <w:bottom w:val="single" w:color="auto" w:sz="8" w:space="0"/>
              <w:right w:val="single" w:color="auto" w:sz="8" w:space="0"/>
            </w:tcBorders>
            <w:vAlign w:val="center"/>
          </w:tcPr>
          <w:p w14:paraId="684FDB2B">
            <w:pPr>
              <w:shd w:val="clear" w:color="auto" w:fill="FFFFFF" w:themeFill="background1"/>
              <w:snapToGrid w:val="0"/>
              <w:spacing w:before="100" w:beforeAutospacing="1" w:after="100" w:afterAutospacing="1" w:line="320" w:lineRule="atLeast"/>
              <w:ind w:firstLine="46"/>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合同交货验收日期</w:t>
            </w:r>
          </w:p>
        </w:tc>
        <w:tc>
          <w:tcPr>
            <w:tcW w:w="3039" w:type="dxa"/>
            <w:gridSpan w:val="2"/>
            <w:tcBorders>
              <w:top w:val="nil"/>
              <w:left w:val="nil"/>
              <w:bottom w:val="single" w:color="auto" w:sz="8" w:space="0"/>
              <w:right w:val="single" w:color="auto" w:sz="8" w:space="0"/>
            </w:tcBorders>
            <w:vAlign w:val="center"/>
          </w:tcPr>
          <w:p w14:paraId="2547285D">
            <w:pPr>
              <w:shd w:val="clear" w:color="auto" w:fill="FFFFFF" w:themeFill="background1"/>
              <w:spacing w:before="100" w:beforeAutospacing="1" w:after="100" w:afterAutospacing="1" w:line="240" w:lineRule="atLeast"/>
              <w:jc w:val="center"/>
              <w:rPr>
                <w:rFonts w:ascii="宋体" w:hAnsi="宋体" w:cs="宋体"/>
                <w:color w:val="auto"/>
                <w:kern w:val="0"/>
                <w:sz w:val="24"/>
                <w:szCs w:val="24"/>
                <w:highlight w:val="none"/>
              </w:rPr>
            </w:pPr>
          </w:p>
        </w:tc>
      </w:tr>
      <w:tr w14:paraId="3D8515C6">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vAlign w:val="center"/>
          </w:tcPr>
          <w:p w14:paraId="401673EB">
            <w:pPr>
              <w:shd w:val="clear" w:color="auto" w:fill="FFFFFF" w:themeFill="background1"/>
              <w:spacing w:before="100" w:beforeAutospacing="1" w:after="100" w:afterAutospacing="1" w:line="240" w:lineRule="atLeast"/>
              <w:jc w:val="center"/>
              <w:rPr>
                <w:rFonts w:ascii="宋体" w:hAnsi="宋体" w:cs="宋体"/>
                <w:color w:val="auto"/>
                <w:kern w:val="0"/>
                <w:sz w:val="24"/>
                <w:szCs w:val="24"/>
                <w:highlight w:val="none"/>
              </w:rPr>
            </w:pPr>
          </w:p>
        </w:tc>
        <w:tc>
          <w:tcPr>
            <w:tcW w:w="2719" w:type="dxa"/>
            <w:gridSpan w:val="2"/>
            <w:tcBorders>
              <w:top w:val="nil"/>
              <w:left w:val="nil"/>
              <w:bottom w:val="single" w:color="auto" w:sz="8" w:space="0"/>
              <w:right w:val="single" w:color="auto" w:sz="8" w:space="0"/>
            </w:tcBorders>
            <w:vAlign w:val="center"/>
          </w:tcPr>
          <w:p w14:paraId="75424114">
            <w:pPr>
              <w:shd w:val="clear" w:color="auto" w:fill="FFFFFF" w:themeFill="background1"/>
              <w:spacing w:before="100" w:beforeAutospacing="1" w:after="100" w:afterAutospacing="1" w:line="240" w:lineRule="atLeast"/>
              <w:jc w:val="center"/>
              <w:rPr>
                <w:rFonts w:ascii="宋体" w:hAnsi="宋体" w:cs="宋体"/>
                <w:color w:val="auto"/>
                <w:kern w:val="0"/>
                <w:sz w:val="24"/>
                <w:szCs w:val="24"/>
                <w:highlight w:val="none"/>
              </w:rPr>
            </w:pPr>
          </w:p>
        </w:tc>
        <w:tc>
          <w:tcPr>
            <w:tcW w:w="2282" w:type="dxa"/>
            <w:gridSpan w:val="3"/>
            <w:tcBorders>
              <w:top w:val="nil"/>
              <w:left w:val="nil"/>
              <w:bottom w:val="single" w:color="auto" w:sz="8" w:space="0"/>
              <w:right w:val="single" w:color="auto" w:sz="8" w:space="0"/>
            </w:tcBorders>
            <w:vAlign w:val="center"/>
          </w:tcPr>
          <w:p w14:paraId="597D7FEA">
            <w:pPr>
              <w:shd w:val="clear" w:color="auto" w:fill="FFFFFF" w:themeFill="background1"/>
              <w:spacing w:before="100" w:beforeAutospacing="1" w:after="100" w:afterAutospacing="1" w:line="240" w:lineRule="atLeast"/>
              <w:jc w:val="center"/>
              <w:rPr>
                <w:rFonts w:ascii="宋体" w:hAnsi="宋体" w:cs="宋体"/>
                <w:color w:val="auto"/>
                <w:kern w:val="0"/>
                <w:sz w:val="24"/>
                <w:szCs w:val="24"/>
                <w:highlight w:val="none"/>
              </w:rPr>
            </w:pPr>
          </w:p>
        </w:tc>
        <w:tc>
          <w:tcPr>
            <w:tcW w:w="3039" w:type="dxa"/>
            <w:gridSpan w:val="2"/>
            <w:tcBorders>
              <w:top w:val="nil"/>
              <w:left w:val="nil"/>
              <w:bottom w:val="single" w:color="auto" w:sz="8" w:space="0"/>
              <w:right w:val="single" w:color="auto" w:sz="8" w:space="0"/>
            </w:tcBorders>
            <w:vAlign w:val="center"/>
          </w:tcPr>
          <w:p w14:paraId="224FB8E4">
            <w:pPr>
              <w:shd w:val="clear" w:color="auto" w:fill="FFFFFF" w:themeFill="background1"/>
              <w:spacing w:before="100" w:beforeAutospacing="1" w:after="100" w:afterAutospacing="1" w:line="240" w:lineRule="atLeast"/>
              <w:jc w:val="center"/>
              <w:rPr>
                <w:rFonts w:ascii="宋体" w:hAnsi="宋体" w:cs="宋体"/>
                <w:color w:val="auto"/>
                <w:kern w:val="0"/>
                <w:sz w:val="24"/>
                <w:szCs w:val="24"/>
                <w:highlight w:val="none"/>
              </w:rPr>
            </w:pPr>
          </w:p>
        </w:tc>
      </w:tr>
      <w:tr w14:paraId="74C9124B">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3AD6B3C">
            <w:pPr>
              <w:shd w:val="clear" w:color="auto" w:fill="FFFFFF" w:themeFill="background1"/>
              <w:snapToGrid w:val="0"/>
              <w:spacing w:before="100" w:beforeAutospacing="1" w:after="100" w:afterAutospacing="1" w:line="320" w:lineRule="atLeas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验收具体内容</w:t>
            </w:r>
          </w:p>
        </w:tc>
        <w:tc>
          <w:tcPr>
            <w:tcW w:w="8040"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5CEF985A">
            <w:pPr>
              <w:shd w:val="clear" w:color="auto" w:fill="FFFFFF" w:themeFill="background1"/>
              <w:snapToGrid w:val="0"/>
              <w:spacing w:before="100" w:beforeAutospacing="1" w:after="100" w:afterAutospacing="1" w:line="320" w:lineRule="atLeas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14:paraId="7EF5749B">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9A62F71">
            <w:pPr>
              <w:shd w:val="clear" w:color="auto" w:fill="FFFFFF" w:themeFill="background1"/>
              <w:spacing w:before="100" w:beforeAutospacing="1" w:after="100" w:afterAutospacing="1" w:line="320" w:lineRule="atLeas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验收小组意见</w:t>
            </w:r>
          </w:p>
        </w:tc>
        <w:tc>
          <w:tcPr>
            <w:tcW w:w="8040" w:type="dxa"/>
            <w:gridSpan w:val="7"/>
            <w:tcBorders>
              <w:top w:val="nil"/>
              <w:left w:val="nil"/>
              <w:bottom w:val="single" w:color="auto" w:sz="8" w:space="0"/>
              <w:right w:val="single" w:color="auto" w:sz="8" w:space="0"/>
            </w:tcBorders>
            <w:vAlign w:val="center"/>
          </w:tcPr>
          <w:p w14:paraId="2B726E3C">
            <w:pPr>
              <w:shd w:val="clear" w:color="auto" w:fill="FFFFFF" w:themeFill="background1"/>
              <w:spacing w:before="100" w:beforeAutospacing="1" w:after="100" w:afterAutospacing="1" w:line="320" w:lineRule="atLeas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验收结论性意见：</w:t>
            </w:r>
          </w:p>
        </w:tc>
      </w:tr>
      <w:tr w14:paraId="1BC67F9B">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vAlign w:val="center"/>
          </w:tcPr>
          <w:p w14:paraId="7FED93DE">
            <w:pPr>
              <w:shd w:val="clear" w:color="auto" w:fill="FFFFFF" w:themeFill="background1"/>
              <w:jc w:val="left"/>
              <w:rPr>
                <w:rFonts w:ascii="宋体" w:hAnsi="宋体" w:cs="宋体"/>
                <w:color w:val="auto"/>
                <w:kern w:val="0"/>
                <w:sz w:val="24"/>
                <w:szCs w:val="24"/>
                <w:highlight w:val="none"/>
              </w:rPr>
            </w:pPr>
          </w:p>
        </w:tc>
        <w:tc>
          <w:tcPr>
            <w:tcW w:w="8040" w:type="dxa"/>
            <w:gridSpan w:val="7"/>
            <w:tcBorders>
              <w:top w:val="nil"/>
              <w:left w:val="nil"/>
              <w:bottom w:val="single" w:color="auto" w:sz="8" w:space="0"/>
              <w:right w:val="single" w:color="auto" w:sz="8" w:space="0"/>
            </w:tcBorders>
            <w:vAlign w:val="center"/>
          </w:tcPr>
          <w:p w14:paraId="38A7F751">
            <w:pPr>
              <w:shd w:val="clear" w:color="auto" w:fill="FFFFFF" w:themeFill="background1"/>
              <w:spacing w:before="100" w:beforeAutospacing="1" w:after="100" w:afterAutospacing="1" w:line="320" w:lineRule="atLeast"/>
              <w:ind w:firstLine="96"/>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有异议的意见和说明理由：</w:t>
            </w:r>
          </w:p>
          <w:p w14:paraId="750D4BC0">
            <w:pPr>
              <w:shd w:val="clear" w:color="auto" w:fill="FFFFFF" w:themeFill="background1"/>
              <w:spacing w:before="100" w:beforeAutospacing="1" w:after="100" w:afterAutospacing="1" w:line="320" w:lineRule="atLeas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签字：</w:t>
            </w:r>
          </w:p>
        </w:tc>
      </w:tr>
      <w:tr w14:paraId="6963DF17">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B002723">
            <w:pPr>
              <w:shd w:val="clear" w:color="auto" w:fill="FFFFFF" w:themeFill="background1"/>
              <w:spacing w:before="100" w:beforeAutospacing="1" w:after="100" w:afterAutospacing="1" w:line="320" w:lineRule="atLeas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验收小组成员签字：</w:t>
            </w:r>
          </w:p>
        </w:tc>
      </w:tr>
      <w:tr w14:paraId="522C9792">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7FE5DE7">
            <w:pPr>
              <w:shd w:val="clear" w:color="auto" w:fill="FFFFFF" w:themeFill="background1"/>
              <w:spacing w:before="100" w:beforeAutospacing="1" w:after="100" w:afterAutospacing="1" w:line="320" w:lineRule="atLeas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监督人员或者其他相关人员签字：</w:t>
            </w:r>
          </w:p>
          <w:p w14:paraId="5964BF80">
            <w:pPr>
              <w:shd w:val="clear" w:color="auto" w:fill="FFFFFF" w:themeFill="background1"/>
              <w:spacing w:before="100" w:beforeAutospacing="1" w:after="100" w:afterAutospacing="1" w:line="320" w:lineRule="atLeast"/>
              <w:ind w:firstLine="74"/>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或者受邀机构的意见（盖章）：</w:t>
            </w:r>
          </w:p>
        </w:tc>
      </w:tr>
      <w:tr w14:paraId="6DA3AEFC">
        <w:tblPrEx>
          <w:tblCellMar>
            <w:top w:w="0" w:type="dxa"/>
            <w:left w:w="0" w:type="dxa"/>
            <w:bottom w:w="0" w:type="dxa"/>
            <w:right w:w="0" w:type="dxa"/>
          </w:tblCellMar>
        </w:tblPrEx>
        <w:trPr>
          <w:trHeight w:val="758" w:hRule="atLeast"/>
          <w:jc w:val="center"/>
        </w:trPr>
        <w:tc>
          <w:tcPr>
            <w:tcW w:w="4352" w:type="dxa"/>
            <w:gridSpan w:val="4"/>
            <w:tcBorders>
              <w:top w:val="nil"/>
              <w:left w:val="single" w:color="auto" w:sz="8" w:space="0"/>
              <w:bottom w:val="single" w:color="auto" w:sz="8" w:space="0"/>
              <w:right w:val="nil"/>
            </w:tcBorders>
            <w:tcMar>
              <w:top w:w="0" w:type="dxa"/>
              <w:left w:w="108" w:type="dxa"/>
              <w:bottom w:w="0" w:type="dxa"/>
              <w:right w:w="108" w:type="dxa"/>
            </w:tcMar>
            <w:vAlign w:val="center"/>
          </w:tcPr>
          <w:p w14:paraId="5C01A139">
            <w:pPr>
              <w:shd w:val="clear" w:color="auto" w:fill="FFFFFF" w:themeFill="background1"/>
              <w:spacing w:before="100" w:beforeAutospacing="1" w:after="100" w:afterAutospacing="1" w:line="320" w:lineRule="atLeast"/>
              <w:ind w:firstLine="74"/>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中标或者成交人负责人签字或者盖章：</w:t>
            </w:r>
          </w:p>
          <w:p w14:paraId="04931F1A">
            <w:pPr>
              <w:shd w:val="clear" w:color="auto" w:fill="FFFFFF" w:themeFill="background1"/>
              <w:spacing w:before="100" w:beforeAutospacing="1" w:after="100" w:afterAutospacing="1" w:line="320" w:lineRule="atLeas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联系电话： 年 月 日</w:t>
            </w:r>
          </w:p>
        </w:tc>
        <w:tc>
          <w:tcPr>
            <w:tcW w:w="5019" w:type="dxa"/>
            <w:gridSpan w:val="4"/>
            <w:tcBorders>
              <w:top w:val="nil"/>
              <w:left w:val="nil"/>
              <w:bottom w:val="single" w:color="auto" w:sz="8" w:space="0"/>
              <w:right w:val="single" w:color="auto" w:sz="8" w:space="0"/>
            </w:tcBorders>
            <w:vAlign w:val="center"/>
          </w:tcPr>
          <w:p w14:paraId="69510F79">
            <w:pPr>
              <w:shd w:val="clear" w:color="auto" w:fill="FFFFFF" w:themeFill="background1"/>
              <w:spacing w:before="100" w:beforeAutospacing="1" w:after="100" w:afterAutospacing="1" w:line="320" w:lineRule="atLeas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采购人或者受托机构的意见（盖章）：</w:t>
            </w:r>
          </w:p>
          <w:p w14:paraId="01BF9C7F">
            <w:pPr>
              <w:shd w:val="clear" w:color="auto" w:fill="FFFFFF" w:themeFill="background1"/>
              <w:spacing w:before="100" w:beforeAutospacing="1" w:after="100" w:afterAutospacing="1" w:line="320" w:lineRule="atLeas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联系电话： 年 月 日</w:t>
            </w:r>
          </w:p>
        </w:tc>
      </w:tr>
    </w:tbl>
    <w:p w14:paraId="54C4AF20">
      <w:pPr>
        <w:pStyle w:val="16"/>
        <w:shd w:val="clear" w:color="auto" w:fill="FFFFFF" w:themeFill="background1"/>
        <w:rPr>
          <w:rFonts w:ascii="宋体" w:hAnsi="宋体" w:cs="宋体"/>
          <w:color w:val="auto"/>
          <w:kern w:val="0"/>
          <w:sz w:val="28"/>
          <w:szCs w:val="28"/>
          <w:highlight w:val="none"/>
        </w:rPr>
        <w:sectPr>
          <w:pgSz w:w="11905" w:h="16838"/>
          <w:pgMar w:top="1134" w:right="1134" w:bottom="1134" w:left="1134" w:header="850" w:footer="850" w:gutter="0"/>
          <w:pgNumType w:fmt="decimal"/>
          <w:cols w:space="0" w:num="1"/>
          <w:titlePg/>
          <w:docGrid w:linePitch="331" w:charSpace="0"/>
        </w:sectPr>
      </w:pPr>
      <w:r>
        <w:rPr>
          <w:rFonts w:hint="eastAsia" w:ascii="宋体" w:hAnsi="宋体" w:cs="宋体"/>
          <w:color w:val="auto"/>
          <w:highlight w:val="none"/>
        </w:rPr>
        <w:br w:type="page"/>
      </w:r>
    </w:p>
    <w:p w14:paraId="1C859A51">
      <w:pPr>
        <w:shd w:val="clear" w:color="auto" w:fill="FFFFFF" w:themeFill="background1"/>
        <w:jc w:val="left"/>
        <w:rPr>
          <w:rFonts w:ascii="宋体" w:hAnsi="宋体" w:cs="宋体"/>
          <w:b/>
          <w:bCs/>
          <w:color w:val="auto"/>
          <w:highlight w:val="none"/>
        </w:rPr>
      </w:pPr>
      <w:r>
        <w:rPr>
          <w:rFonts w:hint="eastAsia" w:ascii="宋体" w:hAnsi="宋体" w:cs="宋体"/>
          <w:b/>
          <w:bCs/>
          <w:color w:val="auto"/>
          <w:sz w:val="28"/>
          <w:szCs w:val="28"/>
          <w:highlight w:val="none"/>
        </w:rPr>
        <w:t>4.政府采购项目履约保证金退付意见书的格式：</w:t>
      </w:r>
    </w:p>
    <w:p w14:paraId="497B3428">
      <w:pPr>
        <w:shd w:val="clear" w:color="auto" w:fill="FFFFFF" w:themeFill="background1"/>
        <w:jc w:val="center"/>
        <w:rPr>
          <w:rFonts w:ascii="宋体" w:hAnsi="宋体" w:cs="宋体"/>
          <w:color w:val="auto"/>
          <w:sz w:val="32"/>
          <w:szCs w:val="32"/>
          <w:highlight w:val="none"/>
        </w:rPr>
      </w:pPr>
    </w:p>
    <w:p w14:paraId="0736BDB5">
      <w:pPr>
        <w:shd w:val="clear" w:color="auto" w:fill="FFFFFF" w:themeFill="background1"/>
        <w:jc w:val="center"/>
        <w:rPr>
          <w:rFonts w:ascii="宋体" w:hAnsi="宋体" w:cs="宋体"/>
          <w:color w:val="auto"/>
          <w:sz w:val="32"/>
          <w:szCs w:val="32"/>
          <w:highlight w:val="none"/>
        </w:rPr>
      </w:pPr>
      <w:r>
        <w:rPr>
          <w:rFonts w:hint="eastAsia" w:ascii="宋体" w:hAnsi="宋体" w:cs="宋体"/>
          <w:color w:val="auto"/>
          <w:sz w:val="32"/>
          <w:szCs w:val="32"/>
          <w:highlight w:val="none"/>
        </w:rPr>
        <w:t>政府采购项目履约保证金退付意见书（参考）</w:t>
      </w:r>
    </w:p>
    <w:p w14:paraId="074E86B7">
      <w:pPr>
        <w:shd w:val="clear" w:color="auto" w:fill="FFFFFF" w:themeFill="background1"/>
        <w:jc w:val="center"/>
        <w:rPr>
          <w:rFonts w:ascii="宋体" w:hAnsi="宋体" w:cs="宋体"/>
          <w:color w:val="auto"/>
          <w:sz w:val="36"/>
          <w:szCs w:val="36"/>
          <w:highlight w:val="none"/>
        </w:rPr>
      </w:pPr>
    </w:p>
    <w:tbl>
      <w:tblPr>
        <w:tblStyle w:val="25"/>
        <w:tblW w:w="94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456"/>
      </w:tblGrid>
      <w:tr w14:paraId="53BEE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vAlign w:val="center"/>
          </w:tcPr>
          <w:p w14:paraId="212872BA">
            <w:pPr>
              <w:shd w:val="clear" w:color="auto" w:fill="FFFFFF" w:themeFill="background1"/>
              <w:jc w:val="center"/>
              <w:rPr>
                <w:rFonts w:ascii="宋体" w:hAnsi="宋体" w:cs="宋体"/>
                <w:color w:val="auto"/>
                <w:sz w:val="24"/>
                <w:highlight w:val="none"/>
              </w:rPr>
            </w:pPr>
            <w:r>
              <w:rPr>
                <w:rFonts w:hint="eastAsia" w:ascii="宋体" w:hAnsi="宋体" w:cs="宋体"/>
                <w:color w:val="auto"/>
                <w:sz w:val="24"/>
                <w:highlight w:val="none"/>
              </w:rPr>
              <w:t>供</w:t>
            </w:r>
          </w:p>
          <w:p w14:paraId="08CCA941">
            <w:pPr>
              <w:shd w:val="clear" w:color="auto" w:fill="FFFFFF" w:themeFill="background1"/>
              <w:jc w:val="center"/>
              <w:rPr>
                <w:rFonts w:ascii="宋体" w:hAnsi="宋体" w:cs="宋体"/>
                <w:color w:val="auto"/>
                <w:sz w:val="24"/>
                <w:highlight w:val="none"/>
              </w:rPr>
            </w:pPr>
            <w:r>
              <w:rPr>
                <w:rFonts w:hint="eastAsia" w:ascii="宋体" w:hAnsi="宋体" w:cs="宋体"/>
                <w:color w:val="auto"/>
                <w:sz w:val="24"/>
                <w:highlight w:val="none"/>
              </w:rPr>
              <w:t>应</w:t>
            </w:r>
          </w:p>
          <w:p w14:paraId="374BC81A">
            <w:pPr>
              <w:shd w:val="clear" w:color="auto" w:fill="FFFFFF" w:themeFill="background1"/>
              <w:jc w:val="center"/>
              <w:rPr>
                <w:rFonts w:ascii="宋体" w:hAnsi="宋体" w:cs="宋体"/>
                <w:color w:val="auto"/>
                <w:sz w:val="24"/>
                <w:highlight w:val="none"/>
              </w:rPr>
            </w:pPr>
            <w:r>
              <w:rPr>
                <w:rFonts w:hint="eastAsia" w:ascii="宋体" w:hAnsi="宋体" w:cs="宋体"/>
                <w:color w:val="auto"/>
                <w:sz w:val="24"/>
                <w:highlight w:val="none"/>
              </w:rPr>
              <w:t>商</w:t>
            </w:r>
          </w:p>
          <w:p w14:paraId="52A36969">
            <w:pPr>
              <w:shd w:val="clear" w:color="auto" w:fill="FFFFFF" w:themeFill="background1"/>
              <w:jc w:val="center"/>
              <w:rPr>
                <w:rFonts w:ascii="宋体" w:hAnsi="宋体" w:cs="宋体"/>
                <w:color w:val="auto"/>
                <w:sz w:val="24"/>
                <w:highlight w:val="none"/>
              </w:rPr>
            </w:pPr>
            <w:r>
              <w:rPr>
                <w:rFonts w:hint="eastAsia" w:ascii="宋体" w:hAnsi="宋体" w:cs="宋体"/>
                <w:color w:val="auto"/>
                <w:sz w:val="24"/>
                <w:highlight w:val="none"/>
              </w:rPr>
              <w:t>申</w:t>
            </w:r>
          </w:p>
          <w:p w14:paraId="3FF43501">
            <w:pPr>
              <w:shd w:val="clear" w:color="auto" w:fill="FFFFFF" w:themeFill="background1"/>
              <w:jc w:val="center"/>
              <w:rPr>
                <w:rFonts w:ascii="宋体" w:hAnsi="宋体" w:cs="宋体"/>
                <w:color w:val="auto"/>
                <w:sz w:val="24"/>
                <w:highlight w:val="none"/>
              </w:rPr>
            </w:pPr>
            <w:r>
              <w:rPr>
                <w:rFonts w:hint="eastAsia" w:ascii="宋体" w:hAnsi="宋体" w:cs="宋体"/>
                <w:color w:val="auto"/>
                <w:sz w:val="24"/>
                <w:highlight w:val="none"/>
              </w:rPr>
              <w:t>请</w:t>
            </w:r>
          </w:p>
        </w:tc>
        <w:tc>
          <w:tcPr>
            <w:tcW w:w="8456" w:type="dxa"/>
            <w:vAlign w:val="center"/>
          </w:tcPr>
          <w:p w14:paraId="6C0AB396">
            <w:pPr>
              <w:shd w:val="clear" w:color="auto" w:fill="FFFFFF" w:themeFill="background1"/>
              <w:rPr>
                <w:rFonts w:ascii="宋体" w:hAnsi="宋体" w:cs="宋体"/>
                <w:color w:val="auto"/>
                <w:sz w:val="24"/>
                <w:highlight w:val="none"/>
              </w:rPr>
            </w:pPr>
            <w:r>
              <w:rPr>
                <w:rFonts w:hint="eastAsia" w:ascii="宋体" w:hAnsi="宋体" w:cs="宋体"/>
                <w:color w:val="auto"/>
                <w:sz w:val="24"/>
                <w:highlight w:val="none"/>
              </w:rPr>
              <w:t>项目编号：</w:t>
            </w:r>
          </w:p>
        </w:tc>
      </w:tr>
      <w:tr w14:paraId="31F5B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vAlign w:val="center"/>
          </w:tcPr>
          <w:p w14:paraId="0893172D">
            <w:pPr>
              <w:shd w:val="clear" w:color="auto" w:fill="FFFFFF" w:themeFill="background1"/>
              <w:rPr>
                <w:rFonts w:ascii="宋体" w:hAnsi="宋体" w:cs="宋体"/>
                <w:color w:val="auto"/>
                <w:sz w:val="24"/>
                <w:highlight w:val="none"/>
              </w:rPr>
            </w:pPr>
          </w:p>
        </w:tc>
        <w:tc>
          <w:tcPr>
            <w:tcW w:w="8456" w:type="dxa"/>
            <w:vAlign w:val="center"/>
          </w:tcPr>
          <w:p w14:paraId="75ED7263">
            <w:pPr>
              <w:shd w:val="clear" w:color="auto" w:fill="FFFFFF" w:themeFill="background1"/>
              <w:rPr>
                <w:rFonts w:ascii="宋体" w:hAnsi="宋体" w:cs="宋体"/>
                <w:color w:val="auto"/>
                <w:sz w:val="24"/>
                <w:highlight w:val="none"/>
              </w:rPr>
            </w:pPr>
            <w:r>
              <w:rPr>
                <w:rFonts w:hint="eastAsia" w:ascii="宋体" w:hAnsi="宋体" w:cs="宋体"/>
                <w:color w:val="auto"/>
                <w:sz w:val="24"/>
                <w:highlight w:val="none"/>
              </w:rPr>
              <w:t>项目名称：</w:t>
            </w:r>
          </w:p>
        </w:tc>
      </w:tr>
      <w:tr w14:paraId="1B79D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14:paraId="27249785">
            <w:pPr>
              <w:shd w:val="clear" w:color="auto" w:fill="FFFFFF" w:themeFill="background1"/>
              <w:rPr>
                <w:rFonts w:ascii="宋体" w:hAnsi="宋体" w:cs="宋体"/>
                <w:color w:val="auto"/>
                <w:sz w:val="24"/>
                <w:highlight w:val="none"/>
              </w:rPr>
            </w:pPr>
          </w:p>
        </w:tc>
        <w:tc>
          <w:tcPr>
            <w:tcW w:w="8456" w:type="dxa"/>
          </w:tcPr>
          <w:p w14:paraId="6D78CE48">
            <w:pPr>
              <w:shd w:val="clear" w:color="auto" w:fill="FFFFFF" w:themeFill="background1"/>
              <w:rPr>
                <w:rFonts w:ascii="宋体" w:hAnsi="宋体" w:cs="宋体"/>
                <w:color w:val="auto"/>
                <w:sz w:val="24"/>
                <w:highlight w:val="none"/>
              </w:rPr>
            </w:pPr>
            <w:r>
              <w:rPr>
                <w:rFonts w:hint="eastAsia" w:ascii="宋体" w:hAnsi="宋体" w:cs="宋体"/>
                <w:color w:val="auto"/>
                <w:sz w:val="24"/>
                <w:highlight w:val="none"/>
              </w:rPr>
              <w:t xml:space="preserve">  </w:t>
            </w:r>
          </w:p>
          <w:p w14:paraId="60FBBA93">
            <w:pPr>
              <w:shd w:val="clear" w:color="auto" w:fill="FFFFFF" w:themeFill="background1"/>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该项目已于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日验收并交付使用。根据合同规定，该项目的履约保证金期限于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日已满，请将履约保证金（大写）</w:t>
            </w:r>
            <w:r>
              <w:rPr>
                <w:rFonts w:hint="eastAsia" w:ascii="宋体" w:hAnsi="宋体" w:cs="宋体"/>
                <w:color w:val="auto"/>
                <w:sz w:val="24"/>
                <w:highlight w:val="none"/>
                <w:u w:val="single"/>
              </w:rPr>
              <w:t xml:space="preserve">人民币                      </w:t>
            </w:r>
            <w:r>
              <w:rPr>
                <w:rFonts w:hint="eastAsia" w:ascii="宋体" w:hAnsi="宋体" w:cs="宋体"/>
                <w:color w:val="auto"/>
                <w:sz w:val="24"/>
                <w:highlight w:val="none"/>
              </w:rPr>
              <w:t>（小写）¥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退付到达以下账户。</w:t>
            </w:r>
          </w:p>
          <w:p w14:paraId="7ED24458">
            <w:pPr>
              <w:shd w:val="clear" w:color="auto" w:fill="FFFFFF" w:themeFill="background1"/>
              <w:spacing w:line="400" w:lineRule="exact"/>
              <w:ind w:firstLine="705"/>
              <w:rPr>
                <w:rFonts w:ascii="宋体" w:hAnsi="宋体" w:cs="宋体"/>
                <w:color w:val="auto"/>
                <w:sz w:val="24"/>
                <w:highlight w:val="none"/>
              </w:rPr>
            </w:pPr>
            <w:r>
              <w:rPr>
                <w:rFonts w:hint="eastAsia" w:ascii="宋体" w:hAnsi="宋体" w:cs="宋体"/>
                <w:color w:val="auto"/>
                <w:sz w:val="24"/>
                <w:highlight w:val="none"/>
              </w:rPr>
              <w:t>单位名称：</w:t>
            </w:r>
          </w:p>
          <w:p w14:paraId="752E06E9">
            <w:pPr>
              <w:shd w:val="clear" w:color="auto" w:fill="FFFFFF" w:themeFill="background1"/>
              <w:spacing w:line="400" w:lineRule="exact"/>
              <w:ind w:firstLine="705"/>
              <w:rPr>
                <w:rFonts w:ascii="宋体" w:hAnsi="宋体" w:cs="宋体"/>
                <w:color w:val="auto"/>
                <w:sz w:val="24"/>
                <w:highlight w:val="none"/>
              </w:rPr>
            </w:pPr>
            <w:r>
              <w:rPr>
                <w:rFonts w:hint="eastAsia" w:ascii="宋体" w:hAnsi="宋体" w:cs="宋体"/>
                <w:color w:val="auto"/>
                <w:sz w:val="24"/>
                <w:highlight w:val="none"/>
              </w:rPr>
              <w:t>开户银行：</w:t>
            </w:r>
          </w:p>
          <w:p w14:paraId="1807A477">
            <w:pPr>
              <w:shd w:val="clear" w:color="auto" w:fill="FFFFFF" w:themeFill="background1"/>
              <w:spacing w:line="400" w:lineRule="exact"/>
              <w:ind w:firstLine="705"/>
              <w:rPr>
                <w:rFonts w:ascii="宋体" w:hAnsi="宋体" w:cs="宋体"/>
                <w:color w:val="auto"/>
                <w:sz w:val="24"/>
                <w:highlight w:val="none"/>
              </w:rPr>
            </w:pPr>
            <w:r>
              <w:rPr>
                <w:rFonts w:hint="eastAsia" w:ascii="宋体" w:hAnsi="宋体" w:cs="宋体"/>
                <w:color w:val="auto"/>
                <w:sz w:val="24"/>
                <w:highlight w:val="none"/>
              </w:rPr>
              <w:t>账   号：</w:t>
            </w:r>
          </w:p>
          <w:p w14:paraId="7D596CA8">
            <w:pPr>
              <w:shd w:val="clear" w:color="auto" w:fill="FFFFFF" w:themeFill="background1"/>
              <w:spacing w:line="400" w:lineRule="exact"/>
              <w:rPr>
                <w:rFonts w:ascii="宋体" w:hAnsi="宋体" w:cs="宋体"/>
                <w:color w:val="auto"/>
                <w:sz w:val="24"/>
                <w:highlight w:val="none"/>
              </w:rPr>
            </w:pPr>
            <w:r>
              <w:rPr>
                <w:rFonts w:hint="eastAsia" w:ascii="宋体" w:hAnsi="宋体" w:cs="宋体"/>
                <w:color w:val="auto"/>
                <w:sz w:val="24"/>
                <w:highlight w:val="none"/>
              </w:rPr>
              <w:t>联系人及电话：</w:t>
            </w:r>
          </w:p>
          <w:p w14:paraId="2417EA60">
            <w:pPr>
              <w:shd w:val="clear" w:color="auto" w:fill="FFFFFF" w:themeFill="background1"/>
              <w:spacing w:line="400" w:lineRule="exact"/>
              <w:rPr>
                <w:rFonts w:ascii="宋体" w:hAnsi="宋体" w:cs="宋体"/>
                <w:color w:val="auto"/>
                <w:sz w:val="24"/>
                <w:highlight w:val="none"/>
              </w:rPr>
            </w:pPr>
          </w:p>
          <w:p w14:paraId="4E5BC234">
            <w:pPr>
              <w:shd w:val="clear" w:color="auto" w:fill="FFFFFF" w:themeFill="background1"/>
              <w:spacing w:line="520" w:lineRule="exact"/>
              <w:jc w:val="center"/>
              <w:rPr>
                <w:rFonts w:ascii="宋体" w:hAnsi="宋体" w:cs="宋体"/>
                <w:color w:val="auto"/>
                <w:sz w:val="24"/>
                <w:highlight w:val="none"/>
              </w:rPr>
            </w:pPr>
            <w:r>
              <w:rPr>
                <w:rFonts w:hint="eastAsia" w:ascii="宋体" w:hAnsi="宋体" w:cs="宋体"/>
                <w:color w:val="auto"/>
                <w:sz w:val="24"/>
                <w:highlight w:val="none"/>
              </w:rPr>
              <w:t xml:space="preserve">         投标人签章：</w:t>
            </w:r>
          </w:p>
          <w:p w14:paraId="73246D66">
            <w:pPr>
              <w:shd w:val="clear" w:color="auto" w:fill="FFFFFF" w:themeFill="background1"/>
              <w:spacing w:line="520" w:lineRule="exact"/>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tc>
      </w:tr>
      <w:tr w14:paraId="2AD96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1008" w:type="dxa"/>
            <w:vAlign w:val="center"/>
          </w:tcPr>
          <w:p w14:paraId="3C8F13AF">
            <w:pPr>
              <w:shd w:val="clear" w:color="auto" w:fill="FFFFFF" w:themeFill="background1"/>
              <w:jc w:val="center"/>
              <w:rPr>
                <w:rFonts w:ascii="宋体" w:hAnsi="宋体" w:cs="宋体"/>
                <w:color w:val="auto"/>
                <w:sz w:val="24"/>
                <w:highlight w:val="none"/>
              </w:rPr>
            </w:pPr>
            <w:r>
              <w:rPr>
                <w:rFonts w:hint="eastAsia" w:ascii="宋体" w:hAnsi="宋体" w:cs="宋体"/>
                <w:color w:val="auto"/>
                <w:sz w:val="24"/>
                <w:highlight w:val="none"/>
              </w:rPr>
              <w:t>采</w:t>
            </w:r>
          </w:p>
          <w:p w14:paraId="0B5D31DB">
            <w:pPr>
              <w:shd w:val="clear" w:color="auto" w:fill="FFFFFF" w:themeFill="background1"/>
              <w:jc w:val="center"/>
              <w:rPr>
                <w:rFonts w:ascii="宋体" w:hAnsi="宋体" w:cs="宋体"/>
                <w:color w:val="auto"/>
                <w:sz w:val="24"/>
                <w:highlight w:val="none"/>
              </w:rPr>
            </w:pPr>
            <w:r>
              <w:rPr>
                <w:rFonts w:hint="eastAsia" w:ascii="宋体" w:hAnsi="宋体" w:cs="宋体"/>
                <w:color w:val="auto"/>
                <w:sz w:val="24"/>
                <w:highlight w:val="none"/>
              </w:rPr>
              <w:t>购</w:t>
            </w:r>
          </w:p>
          <w:p w14:paraId="7FD35434">
            <w:pPr>
              <w:shd w:val="clear" w:color="auto" w:fill="FFFFFF" w:themeFill="background1"/>
              <w:jc w:val="center"/>
              <w:rPr>
                <w:rFonts w:ascii="宋体" w:hAnsi="宋体" w:cs="宋体"/>
                <w:color w:val="auto"/>
                <w:sz w:val="24"/>
                <w:highlight w:val="none"/>
              </w:rPr>
            </w:pPr>
            <w:r>
              <w:rPr>
                <w:rFonts w:hint="eastAsia" w:ascii="宋体" w:hAnsi="宋体" w:cs="宋体"/>
                <w:color w:val="auto"/>
                <w:sz w:val="24"/>
                <w:highlight w:val="none"/>
              </w:rPr>
              <w:t>人</w:t>
            </w:r>
          </w:p>
          <w:p w14:paraId="40C7F974">
            <w:pPr>
              <w:shd w:val="clear" w:color="auto" w:fill="FFFFFF" w:themeFill="background1"/>
              <w:jc w:val="center"/>
              <w:rPr>
                <w:rFonts w:ascii="宋体" w:hAnsi="宋体" w:cs="宋体"/>
                <w:color w:val="auto"/>
                <w:sz w:val="24"/>
                <w:highlight w:val="none"/>
              </w:rPr>
            </w:pPr>
            <w:r>
              <w:rPr>
                <w:rFonts w:hint="eastAsia" w:ascii="宋体" w:hAnsi="宋体" w:cs="宋体"/>
                <w:color w:val="auto"/>
                <w:sz w:val="24"/>
                <w:highlight w:val="none"/>
              </w:rPr>
              <w:t>意</w:t>
            </w:r>
          </w:p>
          <w:p w14:paraId="2D7299FC">
            <w:pPr>
              <w:shd w:val="clear" w:color="auto" w:fill="FFFFFF" w:themeFill="background1"/>
              <w:jc w:val="center"/>
              <w:rPr>
                <w:rFonts w:ascii="宋体" w:hAnsi="宋体" w:cs="宋体"/>
                <w:color w:val="auto"/>
                <w:sz w:val="24"/>
                <w:highlight w:val="none"/>
              </w:rPr>
            </w:pPr>
            <w:r>
              <w:rPr>
                <w:rFonts w:hint="eastAsia" w:ascii="宋体" w:hAnsi="宋体" w:cs="宋体"/>
                <w:color w:val="auto"/>
                <w:sz w:val="24"/>
                <w:highlight w:val="none"/>
              </w:rPr>
              <w:t>见</w:t>
            </w:r>
          </w:p>
        </w:tc>
        <w:tc>
          <w:tcPr>
            <w:tcW w:w="8456" w:type="dxa"/>
          </w:tcPr>
          <w:p w14:paraId="76F8A046">
            <w:pPr>
              <w:shd w:val="clear" w:color="auto" w:fill="FFFFFF" w:themeFill="background1"/>
              <w:rPr>
                <w:rFonts w:ascii="宋体" w:hAnsi="宋体" w:cs="宋体"/>
                <w:color w:val="auto"/>
                <w:sz w:val="24"/>
                <w:highlight w:val="none"/>
              </w:rPr>
            </w:pPr>
          </w:p>
          <w:p w14:paraId="23866DEE">
            <w:pPr>
              <w:shd w:val="clear" w:color="auto" w:fill="FFFFFF" w:themeFill="background1"/>
              <w:rPr>
                <w:rFonts w:ascii="宋体" w:hAnsi="宋体" w:cs="宋体"/>
                <w:color w:val="auto"/>
                <w:sz w:val="24"/>
                <w:highlight w:val="none"/>
              </w:rPr>
            </w:pPr>
            <w:r>
              <w:rPr>
                <w:rFonts w:hint="eastAsia" w:ascii="宋体" w:hAnsi="宋体" w:cs="宋体"/>
                <w:color w:val="auto"/>
                <w:sz w:val="24"/>
                <w:highlight w:val="none"/>
              </w:rPr>
              <w:t>退付意见：（是否同意退付履约保证金及退付金额）</w:t>
            </w:r>
          </w:p>
          <w:p w14:paraId="08009453">
            <w:pPr>
              <w:shd w:val="clear" w:color="auto" w:fill="FFFFFF" w:themeFill="background1"/>
              <w:rPr>
                <w:rFonts w:ascii="宋体" w:hAnsi="宋体" w:cs="宋体"/>
                <w:color w:val="auto"/>
                <w:sz w:val="24"/>
                <w:highlight w:val="none"/>
              </w:rPr>
            </w:pPr>
          </w:p>
          <w:p w14:paraId="29346350">
            <w:pPr>
              <w:shd w:val="clear" w:color="auto" w:fill="FFFFFF" w:themeFill="background1"/>
              <w:rPr>
                <w:rFonts w:ascii="宋体" w:hAnsi="宋体" w:cs="宋体"/>
                <w:color w:val="auto"/>
                <w:sz w:val="24"/>
                <w:highlight w:val="none"/>
              </w:rPr>
            </w:pPr>
          </w:p>
          <w:p w14:paraId="1D9D6269">
            <w:pPr>
              <w:shd w:val="clear" w:color="auto" w:fill="FFFFFF" w:themeFill="background1"/>
              <w:rPr>
                <w:rFonts w:ascii="宋体" w:hAnsi="宋体" w:cs="宋体"/>
                <w:color w:val="auto"/>
                <w:sz w:val="24"/>
                <w:highlight w:val="none"/>
              </w:rPr>
            </w:pPr>
          </w:p>
          <w:p w14:paraId="4A9C1AE1">
            <w:pPr>
              <w:shd w:val="clear" w:color="auto" w:fill="FFFFFF" w:themeFill="background1"/>
              <w:rPr>
                <w:rFonts w:ascii="宋体" w:hAnsi="宋体" w:cs="宋体"/>
                <w:color w:val="auto"/>
                <w:sz w:val="24"/>
                <w:highlight w:val="none"/>
              </w:rPr>
            </w:pPr>
          </w:p>
          <w:p w14:paraId="591A367F">
            <w:pPr>
              <w:shd w:val="clear" w:color="auto" w:fill="FFFFFF" w:themeFill="background1"/>
              <w:spacing w:line="520" w:lineRule="exact"/>
              <w:rPr>
                <w:rFonts w:ascii="宋体" w:hAnsi="宋体" w:cs="宋体"/>
                <w:color w:val="auto"/>
                <w:sz w:val="24"/>
                <w:highlight w:val="none"/>
              </w:rPr>
            </w:pPr>
            <w:r>
              <w:rPr>
                <w:rFonts w:hint="eastAsia" w:ascii="宋体" w:hAnsi="宋体" w:cs="宋体"/>
                <w:color w:val="auto"/>
                <w:sz w:val="24"/>
                <w:highlight w:val="none"/>
              </w:rPr>
              <w:t>联系人及电话：                         采购人签章</w:t>
            </w:r>
          </w:p>
          <w:p w14:paraId="18E6DC52">
            <w:pPr>
              <w:shd w:val="clear" w:color="auto" w:fill="FFFFFF" w:themeFill="background1"/>
              <w:spacing w:line="520" w:lineRule="exact"/>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tc>
      </w:tr>
      <w:tr w14:paraId="524EB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008" w:type="dxa"/>
            <w:vAlign w:val="center"/>
          </w:tcPr>
          <w:p w14:paraId="1A7035CF">
            <w:pPr>
              <w:shd w:val="clear" w:color="auto" w:fill="FFFFFF" w:themeFill="background1"/>
              <w:jc w:val="center"/>
              <w:rPr>
                <w:rFonts w:ascii="宋体" w:hAnsi="宋体" w:cs="宋体"/>
                <w:color w:val="auto"/>
                <w:sz w:val="24"/>
                <w:highlight w:val="none"/>
              </w:rPr>
            </w:pPr>
            <w:r>
              <w:rPr>
                <w:rFonts w:hint="eastAsia" w:ascii="宋体" w:hAnsi="宋体" w:cs="宋体"/>
                <w:color w:val="auto"/>
                <w:sz w:val="24"/>
                <w:highlight w:val="none"/>
              </w:rPr>
              <w:t>备注</w:t>
            </w:r>
          </w:p>
        </w:tc>
        <w:tc>
          <w:tcPr>
            <w:tcW w:w="8456" w:type="dxa"/>
          </w:tcPr>
          <w:p w14:paraId="0F554687">
            <w:pPr>
              <w:shd w:val="clear" w:color="auto" w:fill="FFFFFF" w:themeFill="background1"/>
              <w:rPr>
                <w:rFonts w:ascii="宋体" w:hAnsi="宋体" w:cs="宋体"/>
                <w:color w:val="auto"/>
                <w:sz w:val="24"/>
                <w:highlight w:val="none"/>
              </w:rPr>
            </w:pPr>
          </w:p>
        </w:tc>
      </w:tr>
    </w:tbl>
    <w:p w14:paraId="4941E56D">
      <w:pPr>
        <w:pStyle w:val="2"/>
        <w:shd w:val="clear" w:color="auto" w:fill="FFFFFF" w:themeFill="background1"/>
        <w:ind w:left="480" w:leftChars="114" w:hanging="241" w:hangingChars="100"/>
        <w:rPr>
          <w:rFonts w:ascii="宋体" w:hAnsi="宋体" w:cs="宋体"/>
          <w:b/>
          <w:bCs/>
          <w:color w:val="auto"/>
          <w:sz w:val="24"/>
          <w:szCs w:val="40"/>
          <w:highlight w:val="none"/>
        </w:rPr>
      </w:pPr>
      <w:r>
        <w:rPr>
          <w:rFonts w:hint="eastAsia" w:ascii="宋体" w:hAnsi="宋体" w:cs="宋体"/>
          <w:b/>
          <w:bCs/>
          <w:color w:val="auto"/>
          <w:sz w:val="24"/>
          <w:szCs w:val="40"/>
          <w:highlight w:val="none"/>
        </w:rPr>
        <w:t>注：投标人凭经采购人审批的退付意见书到</w:t>
      </w:r>
      <w:r>
        <w:rPr>
          <w:rFonts w:hint="eastAsia" w:ascii="宋体" w:hAnsi="宋体" w:cs="宋体"/>
          <w:b/>
          <w:bCs/>
          <w:color w:val="auto"/>
          <w:sz w:val="24"/>
          <w:szCs w:val="24"/>
          <w:highlight w:val="none"/>
        </w:rPr>
        <w:t>履约</w:t>
      </w:r>
      <w:r>
        <w:rPr>
          <w:rFonts w:hint="eastAsia" w:ascii="宋体" w:hAnsi="宋体" w:cs="宋体"/>
          <w:b/>
          <w:bCs/>
          <w:color w:val="auto"/>
          <w:sz w:val="24"/>
          <w:szCs w:val="40"/>
          <w:highlight w:val="none"/>
        </w:rPr>
        <w:t>保证金收取单位办理履约保证金退付事宜。</w:t>
      </w:r>
    </w:p>
    <w:p w14:paraId="73DB8F07">
      <w:pPr>
        <w:pStyle w:val="14"/>
        <w:shd w:val="clear" w:color="auto" w:fill="FFFFFF" w:themeFill="background1"/>
        <w:snapToGrid w:val="0"/>
        <w:spacing w:before="120" w:after="120"/>
        <w:rPr>
          <w:rFonts w:hAnsi="宋体" w:cs="宋体"/>
          <w:color w:val="auto"/>
          <w:highlight w:val="none"/>
        </w:rPr>
      </w:pPr>
    </w:p>
    <w:p w14:paraId="0C7DEEB6">
      <w:pPr>
        <w:rPr>
          <w:rFonts w:ascii="宋体" w:hAnsi="宋体" w:cs="宋体"/>
          <w:color w:val="auto"/>
          <w:sz w:val="20"/>
          <w:highlight w:val="none"/>
        </w:rPr>
      </w:pPr>
      <w:r>
        <w:rPr>
          <w:rFonts w:ascii="宋体" w:hAnsi="宋体" w:cs="宋体"/>
          <w:color w:val="auto"/>
          <w:sz w:val="20"/>
          <w:highlight w:val="none"/>
        </w:rPr>
        <w:br w:type="page"/>
      </w:r>
    </w:p>
    <w:p w14:paraId="570C49BD">
      <w:pPr>
        <w:shd w:val="clear" w:color="auto" w:fill="FFFFFF" w:themeFill="background1"/>
        <w:jc w:val="left"/>
        <w:rPr>
          <w:rFonts w:hint="eastAsia" w:ascii="宋体" w:hAnsi="宋体" w:cs="宋体"/>
          <w:b/>
          <w:bCs/>
          <w:color w:val="auto"/>
          <w:sz w:val="28"/>
          <w:szCs w:val="28"/>
          <w:highlight w:val="none"/>
        </w:rPr>
      </w:pPr>
      <w:r>
        <w:rPr>
          <w:rFonts w:hint="eastAsia" w:ascii="宋体" w:hAnsi="宋体" w:cs="宋体"/>
          <w:b/>
          <w:bCs/>
          <w:color w:val="auto"/>
          <w:sz w:val="28"/>
          <w:szCs w:val="28"/>
          <w:highlight w:val="none"/>
          <w:lang w:val="en-US" w:eastAsia="zh-CN"/>
        </w:rPr>
        <w:t>5.</w:t>
      </w:r>
      <w:r>
        <w:rPr>
          <w:rFonts w:hint="eastAsia" w:ascii="宋体" w:hAnsi="宋体" w:cs="宋体"/>
          <w:b/>
          <w:bCs/>
          <w:color w:val="auto"/>
          <w:sz w:val="28"/>
          <w:szCs w:val="28"/>
          <w:highlight w:val="none"/>
        </w:rPr>
        <w:t>法人授权分公司投标书</w:t>
      </w:r>
    </w:p>
    <w:p w14:paraId="3D575C4C">
      <w:pPr>
        <w:pStyle w:val="8"/>
        <w:overflowPunct w:val="0"/>
        <w:jc w:val="center"/>
        <w:rPr>
          <w:rFonts w:hint="eastAsia" w:ascii="宋体" w:hAnsi="宋体" w:eastAsia="宋体" w:cs="宋体"/>
          <w:color w:val="auto"/>
          <w:sz w:val="44"/>
          <w:szCs w:val="44"/>
          <w:highlight w:val="none"/>
        </w:rPr>
      </w:pPr>
    </w:p>
    <w:p w14:paraId="1DC27C18">
      <w:pPr>
        <w:pStyle w:val="8"/>
        <w:overflowPunct w:val="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法人授权分公司投标书</w:t>
      </w:r>
    </w:p>
    <w:p w14:paraId="3668A7D2">
      <w:pPr>
        <w:pStyle w:val="21"/>
        <w:shd w:val="clear" w:color="auto" w:fill="FFFFFF"/>
        <w:spacing w:before="0" w:beforeAutospacing="0" w:after="0" w:afterAutospacing="0" w:line="500" w:lineRule="atLeast"/>
        <w:jc w:val="center"/>
        <w:rPr>
          <w:rFonts w:hint="eastAsia" w:ascii="宋体" w:hAnsi="宋体" w:eastAsia="宋体" w:cs="宋体"/>
          <w:b/>
          <w:color w:val="auto"/>
          <w:highlight w:val="none"/>
        </w:rPr>
      </w:pPr>
      <w:r>
        <w:rPr>
          <w:rFonts w:hint="eastAsia" w:ascii="宋体" w:hAnsi="宋体" w:eastAsia="宋体" w:cs="宋体"/>
          <w:b/>
          <w:color w:val="auto"/>
          <w:highlight w:val="none"/>
        </w:rPr>
        <w:t>（总公司授权分公司投标时使用，其他有独立法人资格的供应商不须提供）</w:t>
      </w:r>
    </w:p>
    <w:p w14:paraId="3AF6EBA9">
      <w:pPr>
        <w:widowControl/>
        <w:shd w:val="clear" w:color="auto" w:fill="FFFFFF"/>
        <w:spacing w:line="360" w:lineRule="atLeast"/>
        <w:jc w:val="left"/>
        <w:rPr>
          <w:rFonts w:hint="eastAsia" w:ascii="宋体" w:hAnsi="宋体" w:eastAsia="宋体" w:cs="宋体"/>
          <w:color w:val="auto"/>
          <w:kern w:val="0"/>
          <w:sz w:val="20"/>
          <w:szCs w:val="20"/>
          <w:highlight w:val="none"/>
        </w:rPr>
      </w:pPr>
    </w:p>
    <w:p w14:paraId="057ECBE3">
      <w:pPr>
        <w:widowControl/>
        <w:shd w:val="clear" w:color="auto" w:fill="FFFFFF"/>
        <w:spacing w:line="360" w:lineRule="atLeast"/>
        <w:jc w:val="left"/>
        <w:rPr>
          <w:rFonts w:hint="eastAsia" w:ascii="宋体" w:hAnsi="宋体" w:eastAsia="宋体" w:cs="宋体"/>
          <w:color w:val="auto"/>
          <w:kern w:val="0"/>
          <w:sz w:val="20"/>
          <w:szCs w:val="20"/>
          <w:highlight w:val="none"/>
        </w:rPr>
      </w:pPr>
    </w:p>
    <w:p w14:paraId="111C9C9E">
      <w:pPr>
        <w:widowControl/>
        <w:shd w:val="clear" w:color="auto" w:fill="FFFFFF"/>
        <w:spacing w:line="360" w:lineRule="atLeast"/>
        <w:jc w:val="left"/>
        <w:rPr>
          <w:rFonts w:hint="eastAsia" w:ascii="宋体" w:hAnsi="宋体" w:eastAsia="宋体" w:cs="宋体"/>
          <w:b/>
          <w:color w:val="auto"/>
          <w:kern w:val="0"/>
          <w:sz w:val="20"/>
          <w:szCs w:val="20"/>
          <w:highlight w:val="none"/>
        </w:rPr>
      </w:pPr>
      <w:r>
        <w:rPr>
          <w:rFonts w:hint="eastAsia" w:ascii="宋体" w:hAnsi="宋体" w:eastAsia="宋体" w:cs="宋体"/>
          <w:b/>
          <w:color w:val="auto"/>
          <w:kern w:val="0"/>
          <w:sz w:val="24"/>
          <w:highlight w:val="none"/>
          <w:lang w:eastAsia="zh-CN"/>
        </w:rPr>
        <w:t>广西科联招标中心有限公司</w:t>
      </w:r>
      <w:r>
        <w:rPr>
          <w:rFonts w:hint="eastAsia" w:ascii="宋体" w:hAnsi="宋体" w:eastAsia="宋体" w:cs="宋体"/>
          <w:b/>
          <w:color w:val="auto"/>
          <w:kern w:val="0"/>
          <w:sz w:val="24"/>
          <w:highlight w:val="none"/>
        </w:rPr>
        <w:t>：</w:t>
      </w:r>
    </w:p>
    <w:p w14:paraId="53C5BB85">
      <w:pPr>
        <w:widowControl/>
        <w:shd w:val="clear" w:color="auto" w:fill="FFFFFF"/>
        <w:spacing w:line="360" w:lineRule="atLeast"/>
        <w:jc w:val="left"/>
        <w:rPr>
          <w:rFonts w:hint="eastAsia" w:ascii="宋体" w:hAnsi="宋体" w:eastAsia="宋体" w:cs="宋体"/>
          <w:color w:val="auto"/>
          <w:kern w:val="0"/>
          <w:sz w:val="20"/>
          <w:szCs w:val="20"/>
          <w:highlight w:val="none"/>
        </w:rPr>
      </w:pPr>
    </w:p>
    <w:p w14:paraId="77F7D921">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00"/>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4"/>
          <w:highlight w:val="none"/>
        </w:rPr>
        <w:t>本人</w:t>
      </w:r>
      <w:r>
        <w:rPr>
          <w:rFonts w:hint="eastAsia" w:ascii="宋体" w:hAnsi="宋体" w:eastAsia="宋体" w:cs="宋体"/>
          <w:color w:val="auto"/>
          <w:kern w:val="0"/>
          <w:sz w:val="24"/>
          <w:highlight w:val="none"/>
          <w:u w:val="single"/>
        </w:rPr>
        <w:t>（姓名）</w:t>
      </w:r>
      <w:r>
        <w:rPr>
          <w:rFonts w:hint="eastAsia" w:ascii="宋体" w:hAnsi="宋体" w:eastAsia="宋体" w:cs="宋体"/>
          <w:color w:val="auto"/>
          <w:kern w:val="0"/>
          <w:sz w:val="24"/>
          <w:highlight w:val="none"/>
        </w:rPr>
        <w:t>系</w:t>
      </w:r>
      <w:r>
        <w:rPr>
          <w:rFonts w:hint="eastAsia" w:ascii="宋体" w:hAnsi="宋体" w:eastAsia="宋体" w:cs="宋体"/>
          <w:color w:val="auto"/>
          <w:kern w:val="0"/>
          <w:sz w:val="24"/>
          <w:highlight w:val="none"/>
          <w:u w:val="single"/>
        </w:rPr>
        <w:t>（总公司全称）</w:t>
      </w:r>
      <w:r>
        <w:rPr>
          <w:rFonts w:hint="eastAsia" w:ascii="宋体" w:hAnsi="宋体" w:eastAsia="宋体" w:cs="宋体"/>
          <w:color w:val="auto"/>
          <w:kern w:val="0"/>
          <w:sz w:val="24"/>
          <w:highlight w:val="none"/>
        </w:rPr>
        <w:t>法定代表人，现授权委托我方分公司</w:t>
      </w:r>
      <w:r>
        <w:rPr>
          <w:rFonts w:hint="eastAsia" w:ascii="宋体" w:hAnsi="宋体" w:eastAsia="宋体" w:cs="宋体"/>
          <w:color w:val="auto"/>
          <w:kern w:val="0"/>
          <w:sz w:val="24"/>
          <w:highlight w:val="none"/>
          <w:u w:val="single"/>
        </w:rPr>
        <w:t>（分公司或分支机构名称）</w:t>
      </w:r>
      <w:r>
        <w:rPr>
          <w:rFonts w:hint="eastAsia" w:ascii="宋体" w:hAnsi="宋体" w:eastAsia="宋体" w:cs="宋体"/>
          <w:color w:val="auto"/>
          <w:kern w:val="0"/>
          <w:sz w:val="24"/>
          <w:highlight w:val="none"/>
        </w:rPr>
        <w:t>参加贵司组织的项目</w:t>
      </w:r>
      <w:r>
        <w:rPr>
          <w:rFonts w:hint="eastAsia" w:ascii="宋体" w:hAnsi="宋体" w:eastAsia="宋体" w:cs="宋体"/>
          <w:color w:val="auto"/>
          <w:kern w:val="0"/>
          <w:sz w:val="24"/>
          <w:highlight w:val="none"/>
          <w:u w:val="single"/>
        </w:rPr>
        <w:t>（括号内填写项目编号及项目名称）</w:t>
      </w:r>
      <w:r>
        <w:rPr>
          <w:rFonts w:hint="eastAsia" w:ascii="宋体" w:hAnsi="宋体" w:eastAsia="宋体" w:cs="宋体"/>
          <w:color w:val="auto"/>
          <w:kern w:val="0"/>
          <w:sz w:val="24"/>
          <w:highlight w:val="none"/>
        </w:rPr>
        <w:t>投标活动，</w:t>
      </w:r>
      <w:r>
        <w:rPr>
          <w:rFonts w:hint="eastAsia" w:ascii="宋体" w:hAnsi="宋体" w:eastAsia="宋体" w:cs="宋体"/>
          <w:b/>
          <w:color w:val="auto"/>
          <w:kern w:val="0"/>
          <w:sz w:val="24"/>
          <w:highlight w:val="none"/>
        </w:rPr>
        <w:t>代表我公司全权办理针对上述项目的</w:t>
      </w:r>
      <w:r>
        <w:rPr>
          <w:rFonts w:hint="eastAsia" w:ascii="宋体" w:hAnsi="宋体" w:eastAsia="宋体" w:cs="宋体"/>
          <w:b/>
          <w:bCs/>
          <w:color w:val="auto"/>
          <w:kern w:val="0"/>
          <w:sz w:val="24"/>
          <w:highlight w:val="none"/>
        </w:rPr>
        <w:t>投标全程各事项、投标文件及合同中的签署及允许加盖分公司印章（电子印章、签章）、项目实施</w:t>
      </w:r>
      <w:r>
        <w:rPr>
          <w:rFonts w:hint="eastAsia" w:ascii="宋体" w:hAnsi="宋体" w:eastAsia="宋体" w:cs="宋体"/>
          <w:b/>
          <w:color w:val="auto"/>
          <w:kern w:val="0"/>
          <w:sz w:val="24"/>
          <w:highlight w:val="none"/>
        </w:rPr>
        <w:t>等涉及的一切事宜。以上行为，与我公司享有同等效力，我公司均予以承认，由此所产生的一切民事及其他法律后果和法律责任，均由本公司承担。</w:t>
      </w:r>
      <w:r>
        <w:rPr>
          <w:rFonts w:hint="eastAsia" w:ascii="宋体" w:hAnsi="宋体" w:eastAsia="宋体" w:cs="宋体"/>
          <w:color w:val="auto"/>
          <w:kern w:val="0"/>
          <w:sz w:val="24"/>
          <w:highlight w:val="none"/>
        </w:rPr>
        <w:t>同时宣布承诺如下：</w:t>
      </w:r>
    </w:p>
    <w:p w14:paraId="0E1F16AF">
      <w:pPr>
        <w:keepNext w:val="0"/>
        <w:keepLines w:val="0"/>
        <w:pageBreakBefore w:val="0"/>
        <w:widowControl/>
        <w:shd w:val="clear" w:color="auto" w:fill="FFFFFF"/>
        <w:kinsoku/>
        <w:wordWrap/>
        <w:overflowPunct/>
        <w:topLinePunct w:val="0"/>
        <w:autoSpaceDE/>
        <w:autoSpaceDN/>
        <w:bidi w:val="0"/>
        <w:adjustRightInd/>
        <w:snapToGrid/>
        <w:spacing w:line="360" w:lineRule="auto"/>
        <w:ind w:left="1200" w:hanging="720"/>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4"/>
          <w:highlight w:val="none"/>
        </w:rPr>
        <w:t>（1）我公司已详细阅读全部招标文件（含补充更正文件），并理解其实质性内容，同意承担采购文件规定的全部义务和相关责任，并同意本投标资料中所列人员参入本项目。</w:t>
      </w:r>
    </w:p>
    <w:p w14:paraId="5390C7BB">
      <w:pPr>
        <w:keepNext w:val="0"/>
        <w:keepLines w:val="0"/>
        <w:pageBreakBefore w:val="0"/>
        <w:widowControl/>
        <w:shd w:val="clear" w:color="auto" w:fill="FFFFFF"/>
        <w:kinsoku/>
        <w:wordWrap/>
        <w:overflowPunct/>
        <w:topLinePunct w:val="0"/>
        <w:autoSpaceDE/>
        <w:autoSpaceDN/>
        <w:bidi w:val="0"/>
        <w:adjustRightInd/>
        <w:snapToGrid/>
        <w:spacing w:line="360" w:lineRule="auto"/>
        <w:ind w:left="1200" w:hanging="720"/>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4"/>
          <w:highlight w:val="none"/>
        </w:rPr>
        <w:t>（2）我公司同意提供采购人可能要求的与其投标有关的一切数据或资料。</w:t>
      </w:r>
    </w:p>
    <w:p w14:paraId="5D69495E">
      <w:pPr>
        <w:keepNext w:val="0"/>
        <w:keepLines w:val="0"/>
        <w:pageBreakBefore w:val="0"/>
        <w:widowControl/>
        <w:shd w:val="clear" w:color="auto" w:fill="FFFFFF"/>
        <w:kinsoku/>
        <w:wordWrap/>
        <w:overflowPunct/>
        <w:topLinePunct w:val="0"/>
        <w:autoSpaceDE/>
        <w:autoSpaceDN/>
        <w:bidi w:val="0"/>
        <w:adjustRightInd/>
        <w:snapToGrid/>
        <w:spacing w:line="360" w:lineRule="auto"/>
        <w:ind w:left="1200" w:hanging="720"/>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4"/>
          <w:highlight w:val="none"/>
        </w:rPr>
        <w:t>（3）我公司所提交的一切投标资料均为合法且真实有效。</w:t>
      </w:r>
    </w:p>
    <w:p w14:paraId="08C52EF8">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0"/>
          <w:szCs w:val="20"/>
          <w:highlight w:val="none"/>
        </w:rPr>
      </w:pPr>
    </w:p>
    <w:p w14:paraId="63D04752">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0"/>
          <w:szCs w:val="20"/>
          <w:highlight w:val="none"/>
        </w:rPr>
      </w:pPr>
    </w:p>
    <w:p w14:paraId="2D8EAF0C">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4"/>
          <w:highlight w:val="none"/>
        </w:rPr>
        <w:t>总公司（公章）：</w:t>
      </w:r>
    </w:p>
    <w:p w14:paraId="22BB6061">
      <w:pPr>
        <w:widowControl/>
        <w:shd w:val="clear" w:color="auto" w:fill="FFFFFF"/>
        <w:spacing w:line="302" w:lineRule="atLeast"/>
        <w:jc w:val="left"/>
        <w:rPr>
          <w:rFonts w:hint="eastAsia" w:ascii="宋体" w:hAnsi="宋体" w:eastAsia="宋体" w:cs="宋体"/>
          <w:color w:val="auto"/>
          <w:kern w:val="0"/>
          <w:sz w:val="24"/>
          <w:highlight w:val="none"/>
        </w:rPr>
      </w:pPr>
    </w:p>
    <w:p w14:paraId="6B2728B6">
      <w:pPr>
        <w:widowControl/>
        <w:shd w:val="clear" w:color="auto" w:fill="FFFFFF"/>
        <w:spacing w:line="302" w:lineRule="atLeast"/>
        <w:jc w:val="left"/>
        <w:rPr>
          <w:rFonts w:hint="eastAsia" w:ascii="宋体" w:hAnsi="宋体" w:eastAsia="宋体" w:cs="宋体"/>
          <w:color w:val="auto"/>
          <w:kern w:val="0"/>
          <w:sz w:val="20"/>
          <w:szCs w:val="20"/>
          <w:highlight w:val="none"/>
        </w:rPr>
      </w:pPr>
    </w:p>
    <w:p w14:paraId="3BE4415A">
      <w:pPr>
        <w:widowControl/>
        <w:shd w:val="clear" w:color="auto" w:fill="FFFFFF"/>
        <w:spacing w:line="302" w:lineRule="atLeast"/>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4"/>
          <w:highlight w:val="none"/>
        </w:rPr>
        <w:t>日期：</w:t>
      </w:r>
    </w:p>
    <w:p w14:paraId="7DE514CE">
      <w:pPr>
        <w:widowControl/>
        <w:shd w:val="clear" w:color="auto" w:fill="FFFFFF"/>
        <w:spacing w:line="302" w:lineRule="atLeast"/>
        <w:jc w:val="left"/>
        <w:rPr>
          <w:rFonts w:hint="eastAsia" w:ascii="宋体" w:hAnsi="宋体" w:eastAsia="宋体" w:cs="宋体"/>
          <w:color w:val="auto"/>
          <w:kern w:val="0"/>
          <w:sz w:val="20"/>
          <w:szCs w:val="20"/>
          <w:highlight w:val="none"/>
        </w:rPr>
      </w:pPr>
    </w:p>
    <w:p w14:paraId="3A8C6529">
      <w:pPr>
        <w:widowControl/>
        <w:shd w:val="clear" w:color="auto" w:fill="FFFFFF"/>
        <w:spacing w:line="380" w:lineRule="atLeast"/>
        <w:jc w:val="left"/>
        <w:rPr>
          <w:rFonts w:hint="eastAsia" w:ascii="宋体" w:hAnsi="宋体" w:eastAsia="宋体" w:cs="宋体"/>
          <w:color w:val="auto"/>
          <w:kern w:val="0"/>
          <w:sz w:val="20"/>
          <w:szCs w:val="20"/>
          <w:highlight w:val="none"/>
        </w:rPr>
      </w:pPr>
    </w:p>
    <w:p w14:paraId="1B9A2CB3">
      <w:pPr>
        <w:widowControl/>
        <w:shd w:val="clear" w:color="auto" w:fill="FFFFFF"/>
        <w:spacing w:line="400" w:lineRule="atLeast"/>
        <w:jc w:val="left"/>
        <w:rPr>
          <w:rFonts w:hint="eastAsia" w:ascii="宋体" w:hAnsi="宋体" w:eastAsia="宋体" w:cs="宋体"/>
          <w:b/>
          <w:color w:val="auto"/>
          <w:kern w:val="0"/>
          <w:sz w:val="44"/>
          <w:szCs w:val="44"/>
          <w:highlight w:val="none"/>
        </w:rPr>
      </w:pPr>
      <w:r>
        <w:rPr>
          <w:rFonts w:hint="eastAsia" w:ascii="宋体" w:hAnsi="宋体" w:eastAsia="宋体" w:cs="宋体"/>
          <w:b/>
          <w:bCs/>
          <w:color w:val="auto"/>
          <w:kern w:val="0"/>
          <w:sz w:val="44"/>
          <w:szCs w:val="44"/>
          <w:highlight w:val="none"/>
        </w:rPr>
        <w:t>附：</w:t>
      </w:r>
      <w:r>
        <w:rPr>
          <w:rFonts w:hint="eastAsia" w:ascii="宋体" w:hAnsi="宋体" w:eastAsia="宋体" w:cs="宋体"/>
          <w:b/>
          <w:color w:val="auto"/>
          <w:kern w:val="0"/>
          <w:sz w:val="44"/>
          <w:szCs w:val="44"/>
          <w:highlight w:val="none"/>
        </w:rPr>
        <w:t>总公司营业执照</w:t>
      </w:r>
    </w:p>
    <w:p w14:paraId="35486CD7">
      <w:pPr>
        <w:widowControl/>
        <w:shd w:val="clear" w:color="auto" w:fill="FFFFFF"/>
        <w:spacing w:line="400" w:lineRule="atLeast"/>
        <w:jc w:val="left"/>
        <w:rPr>
          <w:rFonts w:hint="eastAsia" w:ascii="宋体" w:hAnsi="宋体" w:eastAsia="宋体" w:cs="宋体"/>
          <w:color w:val="auto"/>
          <w:kern w:val="0"/>
          <w:sz w:val="24"/>
          <w:highlight w:val="none"/>
        </w:rPr>
      </w:pPr>
    </w:p>
    <w:p w14:paraId="2C69AA3D">
      <w:pPr>
        <w:widowControl/>
        <w:shd w:val="clear" w:color="auto" w:fill="FFFFFF"/>
        <w:spacing w:line="400" w:lineRule="atLeast"/>
        <w:jc w:val="left"/>
        <w:rPr>
          <w:rFonts w:hint="eastAsia" w:ascii="宋体" w:hAnsi="宋体" w:eastAsia="宋体" w:cs="宋体"/>
          <w:color w:val="auto"/>
          <w:kern w:val="0"/>
          <w:sz w:val="24"/>
          <w:highlight w:val="none"/>
        </w:rPr>
      </w:pPr>
    </w:p>
    <w:p w14:paraId="4CF677C3">
      <w:pPr>
        <w:widowControl/>
        <w:shd w:val="clear" w:color="auto" w:fill="FFFFFF"/>
        <w:spacing w:line="400" w:lineRule="atLeast"/>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4"/>
          <w:highlight w:val="none"/>
        </w:rPr>
        <w:t>总公司电话：</w:t>
      </w:r>
    </w:p>
    <w:p w14:paraId="38C0499E">
      <w:pPr>
        <w:pStyle w:val="2"/>
        <w:rPr>
          <w:rFonts w:hint="eastAsia" w:ascii="宋体" w:hAnsi="宋体" w:eastAsia="宋体" w:cs="宋体"/>
          <w:color w:val="auto"/>
          <w:kern w:val="0"/>
          <w:sz w:val="24"/>
          <w:highlight w:val="none"/>
        </w:rPr>
      </w:pPr>
    </w:p>
    <w:p w14:paraId="668ED6E7">
      <w:pPr>
        <w:pStyle w:val="2"/>
        <w:rPr>
          <w:rFonts w:hint="eastAsia" w:ascii="宋体" w:hAnsi="宋体" w:eastAsia="宋体" w:cs="宋体"/>
          <w:color w:val="auto"/>
          <w:highlight w:val="none"/>
        </w:rPr>
      </w:pPr>
      <w:r>
        <w:rPr>
          <w:rFonts w:hint="eastAsia" w:ascii="宋体" w:hAnsi="宋体" w:eastAsia="宋体" w:cs="宋体"/>
          <w:color w:val="auto"/>
          <w:kern w:val="0"/>
          <w:sz w:val="24"/>
          <w:highlight w:val="none"/>
        </w:rPr>
        <w:t>总公司详细通讯地址：</w:t>
      </w:r>
    </w:p>
    <w:p w14:paraId="25571379">
      <w:pPr>
        <w:pStyle w:val="14"/>
        <w:shd w:val="clear" w:color="auto" w:fill="FFFFFF" w:themeFill="background1"/>
        <w:tabs>
          <w:tab w:val="left" w:pos="2472"/>
        </w:tabs>
        <w:spacing w:line="460" w:lineRule="exact"/>
        <w:jc w:val="center"/>
        <w:rPr>
          <w:rFonts w:hAnsi="宋体" w:cs="宋体"/>
          <w:b/>
          <w:color w:val="auto"/>
          <w:sz w:val="36"/>
          <w:highlight w:val="none"/>
        </w:rPr>
      </w:pPr>
    </w:p>
    <w:p w14:paraId="063A24D7">
      <w:pPr>
        <w:pStyle w:val="14"/>
        <w:shd w:val="clear" w:color="auto" w:fill="FFFFFF" w:themeFill="background1"/>
        <w:tabs>
          <w:tab w:val="left" w:pos="2472"/>
        </w:tabs>
        <w:spacing w:line="460" w:lineRule="exact"/>
        <w:jc w:val="center"/>
        <w:rPr>
          <w:rFonts w:hAnsi="宋体" w:cs="宋体"/>
          <w:b/>
          <w:color w:val="auto"/>
          <w:sz w:val="36"/>
          <w:highlight w:val="none"/>
        </w:rPr>
      </w:pPr>
    </w:p>
    <w:p w14:paraId="7BFA15C7">
      <w:pPr>
        <w:pStyle w:val="14"/>
        <w:shd w:val="clear" w:color="auto" w:fill="FFFFFF" w:themeFill="background1"/>
        <w:tabs>
          <w:tab w:val="left" w:pos="2472"/>
        </w:tabs>
        <w:spacing w:line="460" w:lineRule="exact"/>
        <w:jc w:val="center"/>
        <w:rPr>
          <w:rFonts w:hAnsi="宋体" w:cs="宋体"/>
          <w:b/>
          <w:color w:val="auto"/>
          <w:sz w:val="36"/>
          <w:highlight w:val="none"/>
        </w:rPr>
      </w:pPr>
    </w:p>
    <w:p w14:paraId="11A03FD4">
      <w:pPr>
        <w:pStyle w:val="14"/>
        <w:shd w:val="clear" w:color="auto" w:fill="FFFFFF" w:themeFill="background1"/>
        <w:tabs>
          <w:tab w:val="left" w:pos="2472"/>
        </w:tabs>
        <w:spacing w:line="460" w:lineRule="exact"/>
        <w:jc w:val="center"/>
        <w:rPr>
          <w:rFonts w:hAnsi="宋体" w:cs="宋体"/>
          <w:b/>
          <w:color w:val="auto"/>
          <w:sz w:val="36"/>
          <w:highlight w:val="none"/>
        </w:rPr>
      </w:pPr>
    </w:p>
    <w:p w14:paraId="6F32EA1B">
      <w:pPr>
        <w:pStyle w:val="14"/>
        <w:shd w:val="clear" w:color="auto" w:fill="FFFFFF" w:themeFill="background1"/>
        <w:tabs>
          <w:tab w:val="left" w:pos="2472"/>
        </w:tabs>
        <w:spacing w:line="460" w:lineRule="exact"/>
        <w:jc w:val="center"/>
        <w:rPr>
          <w:rFonts w:hAnsi="宋体" w:cs="宋体"/>
          <w:b/>
          <w:color w:val="auto"/>
          <w:sz w:val="36"/>
          <w:highlight w:val="none"/>
        </w:rPr>
      </w:pPr>
    </w:p>
    <w:p w14:paraId="7C9D9CE9">
      <w:pPr>
        <w:pStyle w:val="14"/>
        <w:shd w:val="clear" w:color="auto" w:fill="FFFFFF" w:themeFill="background1"/>
        <w:tabs>
          <w:tab w:val="left" w:pos="2472"/>
        </w:tabs>
        <w:spacing w:line="460" w:lineRule="exact"/>
        <w:jc w:val="center"/>
        <w:rPr>
          <w:rFonts w:hAnsi="宋体" w:cs="宋体"/>
          <w:b/>
          <w:color w:val="auto"/>
          <w:sz w:val="36"/>
          <w:highlight w:val="none"/>
        </w:rPr>
      </w:pPr>
    </w:p>
    <w:p w14:paraId="25266774">
      <w:pPr>
        <w:pStyle w:val="14"/>
        <w:shd w:val="clear" w:color="auto" w:fill="FFFFFF" w:themeFill="background1"/>
        <w:tabs>
          <w:tab w:val="left" w:pos="2472"/>
        </w:tabs>
        <w:spacing w:line="460" w:lineRule="exact"/>
        <w:jc w:val="center"/>
        <w:rPr>
          <w:rFonts w:hAnsi="宋体" w:cs="宋体"/>
          <w:b/>
          <w:color w:val="auto"/>
          <w:sz w:val="36"/>
          <w:highlight w:val="none"/>
        </w:rPr>
      </w:pPr>
    </w:p>
    <w:p w14:paraId="20769F9E">
      <w:pPr>
        <w:pStyle w:val="14"/>
        <w:shd w:val="clear" w:color="auto" w:fill="FFFFFF" w:themeFill="background1"/>
        <w:tabs>
          <w:tab w:val="left" w:pos="2472"/>
        </w:tabs>
        <w:spacing w:line="460" w:lineRule="exact"/>
        <w:jc w:val="center"/>
        <w:rPr>
          <w:rFonts w:hAnsi="宋体" w:cs="宋体"/>
          <w:b/>
          <w:color w:val="auto"/>
          <w:sz w:val="36"/>
          <w:highlight w:val="none"/>
        </w:rPr>
      </w:pPr>
    </w:p>
    <w:p w14:paraId="4058C69E">
      <w:pPr>
        <w:pStyle w:val="14"/>
        <w:shd w:val="clear" w:color="auto" w:fill="FFFFFF" w:themeFill="background1"/>
        <w:tabs>
          <w:tab w:val="left" w:pos="2472"/>
        </w:tabs>
        <w:spacing w:line="460" w:lineRule="exact"/>
        <w:jc w:val="center"/>
        <w:rPr>
          <w:rFonts w:hAnsi="宋体" w:cs="宋体"/>
          <w:b/>
          <w:color w:val="auto"/>
          <w:sz w:val="36"/>
          <w:highlight w:val="none"/>
        </w:rPr>
      </w:pPr>
    </w:p>
    <w:p w14:paraId="3E82E88E">
      <w:pPr>
        <w:pStyle w:val="14"/>
        <w:shd w:val="clear" w:color="auto" w:fill="FFFFFF" w:themeFill="background1"/>
        <w:tabs>
          <w:tab w:val="left" w:pos="2472"/>
        </w:tabs>
        <w:spacing w:line="460" w:lineRule="exact"/>
        <w:jc w:val="center"/>
        <w:rPr>
          <w:rFonts w:hAnsi="宋体" w:cs="宋体"/>
          <w:b/>
          <w:color w:val="auto"/>
          <w:sz w:val="36"/>
          <w:highlight w:val="none"/>
        </w:rPr>
      </w:pPr>
    </w:p>
    <w:p w14:paraId="58766FF4">
      <w:pPr>
        <w:pStyle w:val="14"/>
        <w:shd w:val="clear" w:color="auto" w:fill="FFFFFF" w:themeFill="background1"/>
        <w:tabs>
          <w:tab w:val="left" w:pos="2472"/>
        </w:tabs>
        <w:spacing w:line="460" w:lineRule="exact"/>
        <w:jc w:val="center"/>
        <w:rPr>
          <w:rFonts w:hAnsi="宋体" w:cs="宋体"/>
          <w:b/>
          <w:color w:val="auto"/>
          <w:sz w:val="36"/>
          <w:highlight w:val="none"/>
        </w:rPr>
      </w:pPr>
    </w:p>
    <w:p w14:paraId="7CE587C1">
      <w:pPr>
        <w:pStyle w:val="14"/>
        <w:shd w:val="clear" w:color="auto" w:fill="FFFFFF" w:themeFill="background1"/>
        <w:tabs>
          <w:tab w:val="left" w:pos="2472"/>
        </w:tabs>
        <w:spacing w:line="460" w:lineRule="exact"/>
        <w:jc w:val="center"/>
        <w:outlineLvl w:val="0"/>
        <w:rPr>
          <w:rFonts w:hAnsi="宋体" w:cs="宋体"/>
          <w:b/>
          <w:color w:val="auto"/>
          <w:sz w:val="36"/>
          <w:highlight w:val="none"/>
        </w:rPr>
      </w:pPr>
      <w:bookmarkStart w:id="405" w:name="_Toc7254"/>
      <w:bookmarkStart w:id="406" w:name="_Toc25113"/>
      <w:bookmarkStart w:id="407" w:name="_Toc31310"/>
      <w:bookmarkStart w:id="408" w:name="_Toc11260"/>
      <w:bookmarkStart w:id="409" w:name="_Toc17736"/>
      <w:bookmarkStart w:id="410" w:name="_Toc7244"/>
      <w:bookmarkStart w:id="411" w:name="_Toc6635"/>
      <w:bookmarkStart w:id="412" w:name="_Toc21753"/>
      <w:bookmarkStart w:id="413" w:name="_Toc491"/>
      <w:bookmarkStart w:id="414" w:name="_Toc32028"/>
      <w:bookmarkStart w:id="415" w:name="_Toc2211"/>
      <w:bookmarkStart w:id="416" w:name="_Toc18173"/>
      <w:bookmarkStart w:id="417" w:name="_Toc31429"/>
      <w:r>
        <w:rPr>
          <w:rFonts w:hint="eastAsia" w:hAnsi="宋体" w:cs="宋体"/>
          <w:b/>
          <w:color w:val="auto"/>
          <w:sz w:val="36"/>
          <w:highlight w:val="none"/>
        </w:rPr>
        <w:t>第七章 质疑、投诉材料格式</w:t>
      </w:r>
      <w:bookmarkEnd w:id="405"/>
      <w:bookmarkEnd w:id="406"/>
      <w:bookmarkEnd w:id="407"/>
      <w:bookmarkEnd w:id="408"/>
      <w:bookmarkEnd w:id="409"/>
      <w:bookmarkEnd w:id="410"/>
      <w:bookmarkEnd w:id="411"/>
      <w:bookmarkEnd w:id="412"/>
      <w:bookmarkEnd w:id="413"/>
      <w:bookmarkEnd w:id="414"/>
      <w:bookmarkEnd w:id="415"/>
      <w:bookmarkEnd w:id="416"/>
      <w:bookmarkEnd w:id="417"/>
    </w:p>
    <w:p w14:paraId="653BFC74">
      <w:pPr>
        <w:widowControl/>
        <w:shd w:val="clear" w:color="auto" w:fill="FFFFFF" w:themeFill="background1"/>
        <w:spacing w:line="360" w:lineRule="auto"/>
        <w:jc w:val="left"/>
        <w:rPr>
          <w:rFonts w:ascii="宋体" w:hAnsi="宋体" w:cs="宋体"/>
          <w:color w:val="auto"/>
          <w:sz w:val="20"/>
          <w:highlight w:val="none"/>
        </w:rPr>
        <w:sectPr>
          <w:pgSz w:w="11905" w:h="16838"/>
          <w:pgMar w:top="1134" w:right="1134" w:bottom="1134" w:left="1134" w:header="850" w:footer="850" w:gutter="0"/>
          <w:pgNumType w:fmt="decimal"/>
          <w:cols w:space="0" w:num="1"/>
          <w:titlePg/>
          <w:docGrid w:linePitch="331" w:charSpace="0"/>
        </w:sectPr>
      </w:pPr>
    </w:p>
    <w:p w14:paraId="3C5EFCA8">
      <w:pPr>
        <w:pStyle w:val="4"/>
        <w:shd w:val="clear" w:color="auto" w:fill="FFFFFF" w:themeFill="background1"/>
        <w:jc w:val="center"/>
        <w:rPr>
          <w:rFonts w:ascii="宋体" w:hAnsi="宋体" w:eastAsia="宋体" w:cs="宋体"/>
          <w:b w:val="0"/>
          <w:bCs w:val="0"/>
          <w:color w:val="auto"/>
          <w:highlight w:val="none"/>
        </w:rPr>
      </w:pPr>
      <w:bookmarkStart w:id="418" w:name="_Toc17610"/>
      <w:bookmarkStart w:id="419" w:name="_Toc12016"/>
      <w:bookmarkStart w:id="420" w:name="_Toc25538"/>
      <w:bookmarkStart w:id="421" w:name="_Toc31800"/>
      <w:bookmarkStart w:id="422" w:name="_Toc22540"/>
      <w:bookmarkStart w:id="423" w:name="_Toc22595"/>
      <w:bookmarkStart w:id="424" w:name="_Toc3458"/>
      <w:bookmarkStart w:id="425" w:name="_Toc990"/>
      <w:bookmarkStart w:id="426" w:name="_Toc10944"/>
      <w:bookmarkStart w:id="427" w:name="_Toc15096"/>
      <w:r>
        <w:rPr>
          <w:rFonts w:hint="eastAsia" w:ascii="宋体" w:hAnsi="宋体" w:eastAsia="宋体" w:cs="宋体"/>
          <w:b w:val="0"/>
          <w:bCs w:val="0"/>
          <w:color w:val="auto"/>
          <w:highlight w:val="none"/>
        </w:rPr>
        <w:t>第一节 质疑函（格式）</w:t>
      </w:r>
      <w:bookmarkEnd w:id="418"/>
      <w:bookmarkEnd w:id="419"/>
      <w:bookmarkEnd w:id="420"/>
      <w:bookmarkEnd w:id="421"/>
      <w:bookmarkEnd w:id="422"/>
      <w:bookmarkEnd w:id="423"/>
      <w:bookmarkEnd w:id="424"/>
      <w:bookmarkEnd w:id="425"/>
      <w:bookmarkEnd w:id="426"/>
      <w:bookmarkEnd w:id="427"/>
    </w:p>
    <w:p w14:paraId="1E21EA14">
      <w:pPr>
        <w:shd w:val="clear" w:color="auto" w:fill="FFFFFF" w:themeFill="background1"/>
        <w:jc w:val="center"/>
        <w:rPr>
          <w:rFonts w:ascii="宋体" w:hAnsi="宋体" w:cs="宋体"/>
          <w:bCs/>
          <w:color w:val="auto"/>
          <w:sz w:val="32"/>
          <w:szCs w:val="32"/>
          <w:highlight w:val="none"/>
        </w:rPr>
      </w:pPr>
      <w:r>
        <w:rPr>
          <w:rFonts w:hint="eastAsia" w:ascii="宋体" w:hAnsi="宋体" w:cs="宋体"/>
          <w:b/>
          <w:bCs/>
          <w:color w:val="auto"/>
          <w:sz w:val="32"/>
          <w:szCs w:val="32"/>
          <w:highlight w:val="none"/>
        </w:rPr>
        <w:t>质疑函</w:t>
      </w:r>
    </w:p>
    <w:p w14:paraId="04AF58BE">
      <w:pPr>
        <w:shd w:val="clear" w:color="auto" w:fill="FFFFFF" w:themeFill="background1"/>
        <w:adjustRightInd w:val="0"/>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4B8A0538">
      <w:pPr>
        <w:shd w:val="clear" w:color="auto" w:fill="FFFFFF" w:themeFill="background1"/>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533E19B1">
      <w:pPr>
        <w:shd w:val="clear" w:color="auto" w:fill="FFFFFF" w:themeFill="background1"/>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C038D97">
      <w:pPr>
        <w:shd w:val="clear" w:color="auto" w:fill="FFFFFF" w:themeFill="background1"/>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14FEF32">
      <w:pPr>
        <w:shd w:val="clear" w:color="auto" w:fill="FFFFFF" w:themeFill="background1"/>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8DFE2AA">
      <w:pPr>
        <w:shd w:val="clear" w:color="auto" w:fill="FFFFFF" w:themeFill="background1"/>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D1D4A77">
      <w:pPr>
        <w:shd w:val="clear" w:color="auto" w:fill="FFFFFF" w:themeFill="background1"/>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909C479">
      <w:pPr>
        <w:shd w:val="clear" w:color="auto" w:fill="FFFFFF" w:themeFill="background1"/>
        <w:adjustRightInd w:val="0"/>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7526B3D4">
      <w:pPr>
        <w:shd w:val="clear" w:color="auto" w:fill="FFFFFF" w:themeFill="background1"/>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0D9E545E">
      <w:pPr>
        <w:shd w:val="clear" w:color="auto" w:fill="FFFFFF" w:themeFill="background1"/>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9397D46">
      <w:pPr>
        <w:shd w:val="clear" w:color="auto" w:fill="FFFFFF" w:themeFill="background1"/>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bookmarkStart w:id="428" w:name="PO_3000001867_PM026_5"/>
      <w:r>
        <w:rPr>
          <w:rFonts w:hint="eastAsia" w:ascii="宋体" w:hAnsi="宋体" w:cs="宋体"/>
          <w:color w:val="auto"/>
          <w:sz w:val="24"/>
          <w:highlight w:val="none"/>
          <w:u w:val="dotted"/>
        </w:rPr>
        <w:t xml:space="preserve">                        </w:t>
      </w:r>
      <w:bookmarkEnd w:id="428"/>
      <w:r>
        <w:rPr>
          <w:rFonts w:hint="eastAsia" w:ascii="宋体" w:hAnsi="宋体" w:cs="宋体"/>
          <w:color w:val="auto"/>
          <w:sz w:val="24"/>
          <w:highlight w:val="none"/>
          <w:u w:val="dotted"/>
        </w:rPr>
        <w:t xml:space="preserve">  </w:t>
      </w:r>
    </w:p>
    <w:p w14:paraId="460E217D">
      <w:pPr>
        <w:shd w:val="clear" w:color="auto" w:fill="FFFFFF" w:themeFill="background1"/>
        <w:adjustRightInd w:val="0"/>
        <w:snapToGrid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质疑事项：</w:t>
      </w:r>
    </w:p>
    <w:p w14:paraId="43347F28">
      <w:pPr>
        <w:shd w:val="clear" w:color="auto" w:fill="FFFFFF" w:themeFill="background1"/>
        <w:adjustRightInd w:val="0"/>
        <w:snapToGrid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□采购文件   采购文件获取日期：</w:t>
      </w:r>
      <w:r>
        <w:rPr>
          <w:rFonts w:hint="eastAsia" w:ascii="宋体" w:hAnsi="宋体" w:cs="宋体"/>
          <w:color w:val="auto"/>
          <w:sz w:val="24"/>
          <w:highlight w:val="none"/>
          <w:u w:val="dotted"/>
        </w:rPr>
        <w:t xml:space="preserve">                         </w:t>
      </w:r>
      <w:r>
        <w:rPr>
          <w:rFonts w:hint="eastAsia" w:ascii="宋体" w:hAnsi="宋体" w:cs="宋体"/>
          <w:color w:val="auto"/>
          <w:sz w:val="24"/>
          <w:highlight w:val="none"/>
          <w:lang w:val="zh-CN"/>
        </w:rPr>
        <w:t xml:space="preserve">  </w:t>
      </w:r>
    </w:p>
    <w:p w14:paraId="41AB4B38">
      <w:pPr>
        <w:shd w:val="clear" w:color="auto" w:fill="FFFFFF" w:themeFill="background1"/>
        <w:adjustRightInd w:val="0"/>
        <w:snapToGrid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 xml:space="preserve">□采购过程   </w:t>
      </w:r>
    </w:p>
    <w:p w14:paraId="2CC5338B">
      <w:pPr>
        <w:shd w:val="clear" w:color="auto" w:fill="FFFFFF" w:themeFill="background1"/>
        <w:adjustRightInd w:val="0"/>
        <w:snapToGrid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 xml:space="preserve">□中标结果   </w:t>
      </w:r>
    </w:p>
    <w:p w14:paraId="6314E113">
      <w:pPr>
        <w:shd w:val="clear" w:color="auto" w:fill="FFFFFF" w:themeFill="background1"/>
        <w:adjustRightInd w:val="0"/>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392B965C">
      <w:pPr>
        <w:shd w:val="clear" w:color="auto" w:fill="FFFFFF" w:themeFill="background1"/>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0BAD2336">
      <w:pPr>
        <w:shd w:val="clear" w:color="auto" w:fill="FFFFFF" w:themeFill="background1"/>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5AE09EFC">
      <w:pPr>
        <w:shd w:val="clear" w:color="auto" w:fill="FFFFFF" w:themeFill="background1"/>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41FF865D">
      <w:pPr>
        <w:shd w:val="clear" w:color="auto" w:fill="FFFFFF" w:themeFill="background1"/>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25612DE">
      <w:pPr>
        <w:shd w:val="clear" w:color="auto" w:fill="FFFFFF" w:themeFill="background1"/>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7B462B8">
      <w:pPr>
        <w:shd w:val="clear" w:color="auto" w:fill="FFFFFF" w:themeFill="background1"/>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4193E314">
      <w:pPr>
        <w:shd w:val="clear" w:color="auto" w:fill="FFFFFF" w:themeFill="background1"/>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CD24771">
      <w:pPr>
        <w:shd w:val="clear" w:color="auto" w:fill="FFFFFF" w:themeFill="background1"/>
        <w:adjustRightInd w:val="0"/>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24B5D60C">
      <w:pPr>
        <w:shd w:val="clear" w:color="auto" w:fill="FFFFFF" w:themeFill="background1"/>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3D9E35D6">
      <w:pPr>
        <w:shd w:val="clear" w:color="auto" w:fill="FFFFFF" w:themeFill="background1"/>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044C224">
      <w:pPr>
        <w:shd w:val="clear" w:color="auto" w:fill="FFFFFF" w:themeFill="background1"/>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6F6ABF7">
      <w:pPr>
        <w:shd w:val="clear" w:color="auto" w:fill="FFFFFF" w:themeFill="background1"/>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    质疑函制作说明：</w:t>
      </w:r>
    </w:p>
    <w:p w14:paraId="6C43D1A2">
      <w:pPr>
        <w:widowControl/>
        <w:shd w:val="clear" w:color="auto" w:fill="FFFFFF" w:themeFill="background1"/>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20660212">
      <w:pPr>
        <w:widowControl/>
        <w:shd w:val="clear" w:color="auto" w:fill="FFFFFF" w:themeFill="background1"/>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63003812">
      <w:pPr>
        <w:widowControl/>
        <w:shd w:val="clear" w:color="auto" w:fill="FFFFFF" w:themeFill="background1"/>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1981514A">
      <w:pPr>
        <w:widowControl/>
        <w:shd w:val="clear" w:color="auto" w:fill="FFFFFF" w:themeFill="background1"/>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12DAB81A">
      <w:pPr>
        <w:widowControl/>
        <w:shd w:val="clear" w:color="auto" w:fill="FFFFFF" w:themeFill="background1"/>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4A860EB0">
      <w:pPr>
        <w:widowControl/>
        <w:shd w:val="clear" w:color="auto" w:fill="FFFFFF" w:themeFill="background1"/>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1635BB0F">
      <w:pPr>
        <w:widowControl/>
        <w:shd w:val="clear" w:color="auto" w:fill="FFFFFF" w:themeFill="background1"/>
        <w:spacing w:line="360" w:lineRule="auto"/>
        <w:ind w:firstLine="480" w:firstLineChars="200"/>
        <w:jc w:val="left"/>
        <w:rPr>
          <w:rFonts w:ascii="宋体" w:hAnsi="宋体" w:cs="宋体"/>
          <w:color w:val="auto"/>
          <w:sz w:val="24"/>
          <w:highlight w:val="none"/>
        </w:rPr>
      </w:pPr>
    </w:p>
    <w:p w14:paraId="4CCFAC50">
      <w:pPr>
        <w:widowControl/>
        <w:shd w:val="clear" w:color="auto" w:fill="FFFFFF" w:themeFill="background1"/>
        <w:spacing w:line="360" w:lineRule="auto"/>
        <w:jc w:val="left"/>
        <w:rPr>
          <w:rFonts w:ascii="宋体" w:hAnsi="宋体" w:cs="宋体"/>
          <w:color w:val="auto"/>
          <w:kern w:val="0"/>
          <w:sz w:val="24"/>
          <w:highlight w:val="none"/>
        </w:rPr>
        <w:sectPr>
          <w:pgSz w:w="11905" w:h="16838"/>
          <w:pgMar w:top="1134" w:right="1134" w:bottom="1134" w:left="1134" w:header="850" w:footer="850" w:gutter="0"/>
          <w:pgNumType w:fmt="decimal"/>
          <w:cols w:space="0" w:num="1"/>
          <w:titlePg/>
          <w:docGrid w:linePitch="331" w:charSpace="0"/>
        </w:sectPr>
      </w:pPr>
    </w:p>
    <w:p w14:paraId="75AD5912">
      <w:pPr>
        <w:pStyle w:val="4"/>
        <w:shd w:val="clear" w:color="auto" w:fill="FFFFFF" w:themeFill="background1"/>
        <w:jc w:val="center"/>
        <w:rPr>
          <w:rFonts w:ascii="宋体" w:hAnsi="宋体" w:eastAsia="宋体" w:cs="宋体"/>
          <w:b w:val="0"/>
          <w:bCs w:val="0"/>
          <w:color w:val="auto"/>
          <w:highlight w:val="none"/>
        </w:rPr>
      </w:pPr>
      <w:bookmarkStart w:id="429" w:name="_Toc24568"/>
      <w:bookmarkStart w:id="430" w:name="_Toc32540"/>
      <w:bookmarkStart w:id="431" w:name="_Toc11984"/>
      <w:bookmarkStart w:id="432" w:name="_Toc24894"/>
      <w:bookmarkStart w:id="433" w:name="_Toc1896"/>
      <w:bookmarkStart w:id="434" w:name="_Toc7549"/>
      <w:bookmarkStart w:id="435" w:name="_Toc11428"/>
      <w:bookmarkStart w:id="436" w:name="_Toc31203"/>
      <w:bookmarkStart w:id="437" w:name="_Toc6551"/>
      <w:bookmarkStart w:id="438" w:name="_Toc8862"/>
      <w:r>
        <w:rPr>
          <w:rFonts w:hint="eastAsia" w:ascii="宋体" w:hAnsi="宋体" w:eastAsia="宋体" w:cs="宋体"/>
          <w:b w:val="0"/>
          <w:bCs w:val="0"/>
          <w:color w:val="auto"/>
          <w:highlight w:val="none"/>
        </w:rPr>
        <w:t>第二节 投诉书（格式）</w:t>
      </w:r>
      <w:bookmarkEnd w:id="429"/>
      <w:bookmarkEnd w:id="430"/>
      <w:bookmarkEnd w:id="431"/>
      <w:bookmarkEnd w:id="432"/>
      <w:bookmarkEnd w:id="433"/>
      <w:bookmarkEnd w:id="434"/>
      <w:bookmarkEnd w:id="435"/>
      <w:bookmarkEnd w:id="436"/>
      <w:bookmarkEnd w:id="437"/>
      <w:bookmarkEnd w:id="438"/>
    </w:p>
    <w:p w14:paraId="2F799D47">
      <w:pPr>
        <w:shd w:val="clear" w:color="auto" w:fill="FFFFFF" w:themeFill="background1"/>
        <w:jc w:val="center"/>
        <w:rPr>
          <w:rFonts w:ascii="宋体" w:hAnsi="宋体" w:cs="宋体"/>
          <w:b/>
          <w:color w:val="auto"/>
          <w:sz w:val="44"/>
          <w:szCs w:val="44"/>
          <w:highlight w:val="none"/>
        </w:rPr>
      </w:pPr>
      <w:r>
        <w:rPr>
          <w:rFonts w:hint="eastAsia" w:ascii="宋体" w:hAnsi="宋体" w:cs="宋体"/>
          <w:b/>
          <w:color w:val="auto"/>
          <w:sz w:val="32"/>
          <w:szCs w:val="32"/>
          <w:highlight w:val="none"/>
        </w:rPr>
        <w:t>投诉书</w:t>
      </w:r>
    </w:p>
    <w:p w14:paraId="61E92FF2">
      <w:pPr>
        <w:shd w:val="clear" w:color="auto" w:fill="FFFFFF" w:themeFill="background1"/>
        <w:rPr>
          <w:rFonts w:ascii="宋体" w:hAnsi="宋体" w:cs="宋体"/>
          <w:color w:val="auto"/>
          <w:sz w:val="32"/>
          <w:szCs w:val="32"/>
          <w:highlight w:val="none"/>
        </w:rPr>
      </w:pPr>
    </w:p>
    <w:p w14:paraId="5D459409">
      <w:pPr>
        <w:shd w:val="clear" w:color="auto" w:fill="FFFFFF" w:themeFill="background1"/>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0D055ADE">
      <w:pPr>
        <w:shd w:val="clear" w:color="auto" w:fill="FFFFFF" w:themeFill="background1"/>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23CB7984">
      <w:pPr>
        <w:shd w:val="clear" w:color="auto" w:fill="FFFFFF" w:themeFill="background1"/>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20B18CF">
      <w:pPr>
        <w:shd w:val="clear" w:color="auto" w:fill="FFFFFF" w:themeFill="background1"/>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p>
    <w:p w14:paraId="515CE09C">
      <w:pPr>
        <w:shd w:val="clear" w:color="auto" w:fill="FFFFFF" w:themeFill="background1"/>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B4FB606">
      <w:pPr>
        <w:shd w:val="clear" w:color="auto" w:fill="FFFFFF" w:themeFill="background1"/>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2C2D986">
      <w:pPr>
        <w:shd w:val="clear" w:color="auto" w:fill="FFFFFF" w:themeFill="background1"/>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C24FFA4">
      <w:pPr>
        <w:shd w:val="clear" w:color="auto" w:fill="FFFFFF" w:themeFill="background1"/>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p>
    <w:p w14:paraId="5BCE7417">
      <w:pPr>
        <w:shd w:val="clear" w:color="auto" w:fill="FFFFFF" w:themeFill="background1"/>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268F1B3">
      <w:pPr>
        <w:shd w:val="clear" w:color="auto" w:fill="FFFFFF" w:themeFill="background1"/>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D64439B">
      <w:pPr>
        <w:shd w:val="clear" w:color="auto" w:fill="FFFFFF" w:themeFill="background1"/>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71FB6F6C">
      <w:pPr>
        <w:shd w:val="clear" w:color="auto" w:fill="FFFFFF" w:themeFill="background1"/>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81721A6">
      <w:pPr>
        <w:shd w:val="clear" w:color="auto" w:fill="FFFFFF" w:themeFill="background1"/>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p>
    <w:p w14:paraId="7EE3F3FB">
      <w:pPr>
        <w:shd w:val="clear" w:color="auto" w:fill="FFFFFF" w:themeFill="background1"/>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2A59566">
      <w:pPr>
        <w:shd w:val="clear" w:color="auto" w:fill="FFFFFF" w:themeFill="background1"/>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63766E5">
      <w:pPr>
        <w:shd w:val="clear" w:color="auto" w:fill="FFFFFF" w:themeFill="background1"/>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60D695B6">
      <w:pPr>
        <w:shd w:val="clear" w:color="auto" w:fill="FFFFFF" w:themeFill="background1"/>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bookmarkStart w:id="439" w:name="PO_3000001867_PM002_12"/>
      <w:r>
        <w:rPr>
          <w:rFonts w:hint="eastAsia" w:ascii="宋体" w:hAnsi="宋体" w:cs="宋体"/>
          <w:color w:val="auto"/>
          <w:sz w:val="24"/>
          <w:highlight w:val="none"/>
          <w:u w:val="dotted"/>
        </w:rPr>
        <w:t xml:space="preserve">                    </w:t>
      </w:r>
      <w:bookmarkEnd w:id="439"/>
      <w:r>
        <w:rPr>
          <w:rFonts w:hint="eastAsia" w:ascii="宋体" w:hAnsi="宋体" w:cs="宋体"/>
          <w:color w:val="auto"/>
          <w:sz w:val="24"/>
          <w:highlight w:val="none"/>
          <w:u w:val="dotted"/>
        </w:rPr>
        <w:t xml:space="preserve">  </w:t>
      </w:r>
    </w:p>
    <w:p w14:paraId="4DC71E3D">
      <w:pPr>
        <w:shd w:val="clear" w:color="auto" w:fill="FFFFFF" w:themeFill="background1"/>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bookmarkStart w:id="440" w:name="PO_3000001867_PM001_9"/>
      <w:r>
        <w:rPr>
          <w:rFonts w:hint="eastAsia" w:ascii="宋体" w:hAnsi="宋体" w:cs="宋体"/>
          <w:color w:val="auto"/>
          <w:sz w:val="24"/>
          <w:highlight w:val="none"/>
          <w:u w:val="dotted"/>
        </w:rPr>
        <w:t xml:space="preserve">                    </w:t>
      </w:r>
      <w:bookmarkEnd w:id="440"/>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A9F4C8F">
      <w:pPr>
        <w:shd w:val="clear" w:color="auto" w:fill="FFFFFF" w:themeFill="background1"/>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bookmarkStart w:id="441" w:name="PO_3000001867_PM026_6"/>
      <w:r>
        <w:rPr>
          <w:rFonts w:hint="eastAsia" w:ascii="宋体" w:hAnsi="宋体" w:cs="宋体"/>
          <w:color w:val="auto"/>
          <w:sz w:val="24"/>
          <w:highlight w:val="none"/>
          <w:u w:val="dotted"/>
        </w:rPr>
        <w:t xml:space="preserve">                    </w:t>
      </w:r>
      <w:bookmarkEnd w:id="441"/>
      <w:r>
        <w:rPr>
          <w:rFonts w:hint="eastAsia" w:ascii="宋体" w:hAnsi="宋体" w:cs="宋体"/>
          <w:color w:val="auto"/>
          <w:sz w:val="24"/>
          <w:highlight w:val="none"/>
          <w:u w:val="dotted"/>
        </w:rPr>
        <w:t xml:space="preserve">  </w:t>
      </w:r>
    </w:p>
    <w:p w14:paraId="7ABD7795">
      <w:pPr>
        <w:shd w:val="clear" w:color="auto" w:fill="FFFFFF" w:themeFill="background1"/>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205A8564">
      <w:pPr>
        <w:shd w:val="clear" w:color="auto" w:fill="FFFFFF" w:themeFill="background1"/>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FCFBCB6">
      <w:pPr>
        <w:shd w:val="clear" w:color="auto" w:fill="FFFFFF" w:themeFill="background1"/>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C576E33">
      <w:pPr>
        <w:shd w:val="clear" w:color="auto" w:fill="FFFFFF" w:themeFill="background1"/>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75E16A8">
      <w:pPr>
        <w:shd w:val="clear" w:color="auto" w:fill="FFFFFF" w:themeFill="background1"/>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F8264B9">
      <w:pPr>
        <w:shd w:val="clear" w:color="auto" w:fill="FFFFFF" w:themeFill="background1"/>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6FD4F6E">
      <w:pPr>
        <w:shd w:val="clear" w:color="auto" w:fill="FFFFFF" w:themeFill="background1"/>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采购人/采购代理机构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4199C7E">
      <w:pPr>
        <w:shd w:val="clear" w:color="auto" w:fill="FFFFFF" w:themeFill="background1"/>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0AA4B54">
      <w:pPr>
        <w:shd w:val="clear" w:color="auto" w:fill="FFFFFF" w:themeFill="background1"/>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4E4C8462">
      <w:pPr>
        <w:shd w:val="clear" w:color="auto" w:fill="FFFFFF" w:themeFill="background1"/>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CB279FA">
      <w:pPr>
        <w:shd w:val="clear" w:color="auto" w:fill="FFFFFF" w:themeFill="background1"/>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6DC8F17">
      <w:pPr>
        <w:shd w:val="clear" w:color="auto" w:fill="FFFFFF" w:themeFill="background1"/>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9D10318">
      <w:pPr>
        <w:shd w:val="clear" w:color="auto" w:fill="FFFFFF" w:themeFill="background1"/>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E50406E">
      <w:pPr>
        <w:shd w:val="clear" w:color="auto" w:fill="FFFFFF" w:themeFill="background1"/>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A9C1E81">
      <w:pPr>
        <w:shd w:val="clear" w:color="auto" w:fill="FFFFFF" w:themeFill="background1"/>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DBB7920">
      <w:pPr>
        <w:shd w:val="clear" w:color="auto" w:fill="FFFFFF" w:themeFill="background1"/>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703516FC">
      <w:pPr>
        <w:shd w:val="clear" w:color="auto" w:fill="FFFFFF" w:themeFill="background1"/>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66E6B1D">
      <w:pPr>
        <w:shd w:val="clear" w:color="auto" w:fill="FFFFFF" w:themeFill="background1"/>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0ADB1585">
      <w:pPr>
        <w:shd w:val="clear" w:color="auto" w:fill="FFFFFF" w:themeFill="background1"/>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91F6020">
      <w:pPr>
        <w:shd w:val="clear" w:color="auto" w:fill="FFFFFF" w:themeFill="background1"/>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C1E7A93">
      <w:pPr>
        <w:shd w:val="clear" w:color="auto" w:fill="FFFFFF" w:themeFill="background1"/>
        <w:spacing w:line="360" w:lineRule="auto"/>
        <w:rPr>
          <w:rFonts w:ascii="宋体" w:hAnsi="宋体" w:cs="宋体"/>
          <w:b/>
          <w:color w:val="auto"/>
          <w:sz w:val="24"/>
          <w:highlight w:val="none"/>
        </w:rPr>
      </w:pPr>
    </w:p>
    <w:p w14:paraId="04BD6190">
      <w:pPr>
        <w:shd w:val="clear" w:color="auto" w:fill="FFFFFF" w:themeFill="background1"/>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14AD211">
      <w:pPr>
        <w:widowControl/>
        <w:shd w:val="clear" w:color="auto" w:fill="FFFFFF" w:themeFill="background1"/>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0FE3F0F7">
      <w:pPr>
        <w:widowControl/>
        <w:shd w:val="clear" w:color="auto" w:fill="FFFFFF" w:themeFill="background1"/>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66B0F804">
      <w:pPr>
        <w:widowControl/>
        <w:shd w:val="clear" w:color="auto" w:fill="FFFFFF" w:themeFill="background1"/>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1A50218C">
      <w:pPr>
        <w:widowControl/>
        <w:shd w:val="clear" w:color="auto" w:fill="FFFFFF" w:themeFill="background1"/>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49A202B5">
      <w:pPr>
        <w:widowControl/>
        <w:shd w:val="clear" w:color="auto" w:fill="FFFFFF" w:themeFill="background1"/>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5A24CD8">
      <w:pPr>
        <w:widowControl/>
        <w:shd w:val="clear" w:color="auto" w:fill="FFFFFF" w:themeFill="background1"/>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32EC17C2">
      <w:pPr>
        <w:widowControl/>
        <w:shd w:val="clear" w:color="auto" w:fill="FFFFFF" w:themeFill="background1"/>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C5F90A2">
      <w:pPr>
        <w:shd w:val="clear" w:color="auto" w:fill="FFFFFF" w:themeFill="background1"/>
        <w:rPr>
          <w:rFonts w:ascii="宋体" w:hAnsi="宋体" w:cs="宋体"/>
          <w:color w:val="auto"/>
          <w:highlight w:val="none"/>
        </w:rPr>
      </w:pPr>
    </w:p>
    <w:sectPr>
      <w:footerReference r:id="rId10" w:type="first"/>
      <w:headerReference r:id="rId7" w:type="default"/>
      <w:footerReference r:id="rId8" w:type="default"/>
      <w:footerReference r:id="rId9" w:type="even"/>
      <w:pgSz w:w="11905" w:h="16838"/>
      <w:pgMar w:top="1134" w:right="1134" w:bottom="1134" w:left="1134" w:header="850" w:footer="850" w:gutter="0"/>
      <w:pgNumType w:fmt="decimal"/>
      <w:cols w:space="0" w:num="1"/>
      <w:titlePg/>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2000000000000000000"/>
    <w:charset w:val="86"/>
    <w:family w:val="auto"/>
    <w:pitch w:val="default"/>
    <w:sig w:usb0="00000000" w:usb1="00000000" w:usb2="00000012" w:usb3="00000000" w:csb0="00040001" w:csb1="00000000"/>
  </w:font>
  <w:font w:name="方正公文小标宋">
    <w:altName w:val="宋体"/>
    <w:panose1 w:val="02000500000000000000"/>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FD435">
    <w:pPr>
      <w:pStyle w:val="1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8BB32D">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98BB32D">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2EB36">
    <w:pPr>
      <w:pStyle w:val="16"/>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93E012">
                          <w:pPr>
                            <w:pStyle w:val="16"/>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493E012">
                    <w:pPr>
                      <w:pStyle w:val="16"/>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F158E">
    <w:pPr>
      <w:snapToGrid w:val="0"/>
      <w:jc w:val="center"/>
      <w:rPr>
        <w:sz w:val="18"/>
        <w:szCs w:val="18"/>
      </w:rPr>
    </w:pPr>
    <w:r>
      <w:rPr>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20A4C09B">
                          <w:pPr>
                            <w:snapToGrid w:val="0"/>
                            <w:jc w:val="left"/>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9</w:t>
                          </w:r>
                          <w:r>
                            <w:rPr>
                              <w:sz w:val="18"/>
                              <w:szCs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Q+V+SdAAAAADAQAADwAAAAAAAAABACAAAAAiAAAAZHJzL2Rvd25yZXYueG1s&#10;UEsBAhQAFAAAAAgAh07iQGpB/xvHAQAAiwMAAA4AAAAAAAAAAQAgAAAAHwEAAGRycy9lMm9Eb2Mu&#10;eG1sUEsFBgAAAAAGAAYAWQEAAFgFAAAAAA==&#10;">
              <v:fill on="f" focussize="0,0"/>
              <v:stroke on="f"/>
              <v:imagedata o:title=""/>
              <o:lock v:ext="edit" aspectratio="f"/>
              <v:textbox inset="0mm,0mm,0mm,0mm" style="mso-fit-shape-to-text:t;">
                <w:txbxContent>
                  <w:p w14:paraId="20A4C09B">
                    <w:pPr>
                      <w:snapToGrid w:val="0"/>
                      <w:jc w:val="left"/>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9</w:t>
                    </w:r>
                    <w:r>
                      <w:rPr>
                        <w:sz w:val="18"/>
                        <w:szCs w:val="18"/>
                      </w:rPr>
                      <w:fldChar w:fldCharType="end"/>
                    </w:r>
                  </w:p>
                </w:txbxContent>
              </v:textbox>
            </v:shape>
          </w:pict>
        </mc:Fallback>
      </mc:AlternateContent>
    </w:r>
  </w:p>
  <w:p w14:paraId="7640751E">
    <w:pPr>
      <w:snapToGrid w:val="0"/>
      <w:jc w:val="left"/>
      <w:rPr>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1C725">
    <w:pPr>
      <w:pStyle w:val="1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9122B4">
                          <w:pPr>
                            <w:pStyle w:val="16"/>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469122B4">
                    <w:pPr>
                      <w:pStyle w:val="16"/>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3AE39">
    <w:pPr>
      <w:pStyle w:val="1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639E13">
                          <w:pPr>
                            <w:pStyle w:val="16"/>
                            <w:jc w:val="center"/>
                          </w:pPr>
                          <w:r>
                            <w:fldChar w:fldCharType="begin"/>
                          </w:r>
                          <w:r>
                            <w:instrText xml:space="preserve"> PAGE   \* MERGEFORMAT </w:instrText>
                          </w:r>
                          <w:r>
                            <w:fldChar w:fldCharType="separate"/>
                          </w:r>
                          <w:r>
                            <w:rPr>
                              <w:lang w:val="zh-CN"/>
                            </w:rPr>
                            <w:t>82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0639E13">
                    <w:pPr>
                      <w:pStyle w:val="16"/>
                      <w:jc w:val="center"/>
                    </w:pPr>
                    <w:r>
                      <w:fldChar w:fldCharType="begin"/>
                    </w:r>
                    <w:r>
                      <w:instrText xml:space="preserve"> PAGE   \* MERGEFORMAT </w:instrText>
                    </w:r>
                    <w:r>
                      <w:fldChar w:fldCharType="separate"/>
                    </w:r>
                    <w:r>
                      <w:rPr>
                        <w:lang w:val="zh-CN"/>
                      </w:rPr>
                      <w:t>82</w:t>
                    </w:r>
                    <w:r>
                      <w:fldChar w:fldCharType="end"/>
                    </w:r>
                  </w:p>
                </w:txbxContent>
              </v:textbox>
            </v:shape>
          </w:pict>
        </mc:Fallback>
      </mc:AlternateContent>
    </w:r>
  </w:p>
  <w:p w14:paraId="5F3ACA70">
    <w:pPr>
      <w:pStyle w:val="1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A3613">
    <w:pPr>
      <w:pStyle w:val="16"/>
      <w:framePr w:wrap="around" w:vAnchor="text" w:hAnchor="margin" w:xAlign="center" w:y="1"/>
      <w:rPr>
        <w:rStyle w:val="29"/>
      </w:rPr>
    </w:pPr>
    <w:r>
      <w:fldChar w:fldCharType="begin"/>
    </w:r>
    <w:r>
      <w:rPr>
        <w:rStyle w:val="29"/>
      </w:rPr>
      <w:instrText xml:space="preserve">PAGE  </w:instrText>
    </w:r>
    <w:r>
      <w:fldChar w:fldCharType="end"/>
    </w:r>
  </w:p>
  <w:p w14:paraId="0AE2FA98">
    <w:pPr>
      <w:pStyle w:val="1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0F1D9">
    <w:pPr>
      <w:pStyle w:val="16"/>
      <w:ind w:right="360"/>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947B51">
                          <w:pPr>
                            <w:pStyle w:val="16"/>
                            <w:rPr>
                              <w:rStyle w:val="29"/>
                            </w:rPr>
                          </w:pPr>
                          <w:r>
                            <w:fldChar w:fldCharType="begin"/>
                          </w:r>
                          <w:r>
                            <w:rPr>
                              <w:rStyle w:val="29"/>
                            </w:rPr>
                            <w:instrText xml:space="preserve">PAGE  </w:instrText>
                          </w:r>
                          <w:r>
                            <w:fldChar w:fldCharType="separate"/>
                          </w:r>
                          <w:r>
                            <w:rPr>
                              <w:rStyle w:val="29"/>
                            </w:rPr>
                            <w:t>81</w:t>
                          </w:r>
                          <w:r>
                            <w:fldChar w:fldCharType="end"/>
                          </w:r>
                        </w:p>
                        <w:p w14:paraId="65729EE3"/>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E947B51">
                    <w:pPr>
                      <w:pStyle w:val="16"/>
                      <w:rPr>
                        <w:rStyle w:val="29"/>
                      </w:rPr>
                    </w:pPr>
                    <w:r>
                      <w:fldChar w:fldCharType="begin"/>
                    </w:r>
                    <w:r>
                      <w:rPr>
                        <w:rStyle w:val="29"/>
                      </w:rPr>
                      <w:instrText xml:space="preserve">PAGE  </w:instrText>
                    </w:r>
                    <w:r>
                      <w:fldChar w:fldCharType="separate"/>
                    </w:r>
                    <w:r>
                      <w:rPr>
                        <w:rStyle w:val="29"/>
                      </w:rPr>
                      <w:t>81</w:t>
                    </w:r>
                    <w:r>
                      <w:fldChar w:fldCharType="end"/>
                    </w:r>
                  </w:p>
                  <w:p w14:paraId="65729EE3"/>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F9633">
    <w:pPr>
      <w:pStyle w:val="17"/>
      <w:tabs>
        <w:tab w:val="center" w:pos="0"/>
        <w:tab w:val="clear" w:pos="41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3262C2"/>
    <w:multiLevelType w:val="singleLevel"/>
    <w:tmpl w:val="A83262C2"/>
    <w:lvl w:ilvl="0" w:tentative="0">
      <w:start w:val="2"/>
      <w:numFmt w:val="chineseCounting"/>
      <w:suff w:val="nothing"/>
      <w:lvlText w:val="（%1）"/>
      <w:lvlJc w:val="left"/>
      <w:rPr>
        <w:rFonts w:hint="eastAsia"/>
      </w:rPr>
    </w:lvl>
  </w:abstractNum>
  <w:abstractNum w:abstractNumId="1">
    <w:nsid w:val="DC3C4FD3"/>
    <w:multiLevelType w:val="singleLevel"/>
    <w:tmpl w:val="DC3C4FD3"/>
    <w:lvl w:ilvl="0" w:tentative="0">
      <w:start w:val="1"/>
      <w:numFmt w:val="decimal"/>
      <w:suff w:val="nothing"/>
      <w:lvlText w:val="（%1）"/>
      <w:lvlJc w:val="left"/>
    </w:lvl>
  </w:abstractNum>
  <w:abstractNum w:abstractNumId="2">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348E8DD0"/>
    <w:multiLevelType w:val="singleLevel"/>
    <w:tmpl w:val="348E8DD0"/>
    <w:lvl w:ilvl="0" w:tentative="0">
      <w:start w:val="2"/>
      <w:numFmt w:val="decimal"/>
      <w:suff w:val="space"/>
      <w:lvlText w:val="%1."/>
      <w:lvlJc w:val="left"/>
    </w:lvl>
  </w:abstractNum>
  <w:abstractNum w:abstractNumId="4">
    <w:nsid w:val="5DFEF7AA"/>
    <w:multiLevelType w:val="singleLevel"/>
    <w:tmpl w:val="5DFEF7AA"/>
    <w:lvl w:ilvl="0" w:tentative="0">
      <w:start w:val="1"/>
      <w:numFmt w:val="decimal"/>
      <w:suff w:val="nothing"/>
      <w:lvlText w:val="（%1）"/>
      <w:lvlJc w:val="left"/>
    </w:lvl>
  </w:abstractNum>
  <w:num w:numId="1">
    <w:abstractNumId w:val="4"/>
  </w:num>
  <w:num w:numId="2">
    <w:abstractNumId w:val="1"/>
  </w:num>
  <w:num w:numId="3">
    <w:abstractNumId w:val="0"/>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GFhZmExN2JiZDViZDYwMmUyYmFjOTc3MDY1Y2IifQ=="/>
  </w:docVars>
  <w:rsids>
    <w:rsidRoot w:val="00FF549E"/>
    <w:rsid w:val="00046269"/>
    <w:rsid w:val="0006029B"/>
    <w:rsid w:val="0006069B"/>
    <w:rsid w:val="00061472"/>
    <w:rsid w:val="00086327"/>
    <w:rsid w:val="00095B24"/>
    <w:rsid w:val="000E423E"/>
    <w:rsid w:val="00116873"/>
    <w:rsid w:val="0013394C"/>
    <w:rsid w:val="0013626B"/>
    <w:rsid w:val="00184147"/>
    <w:rsid w:val="001C69D7"/>
    <w:rsid w:val="00211393"/>
    <w:rsid w:val="002276FE"/>
    <w:rsid w:val="00233F41"/>
    <w:rsid w:val="002D2306"/>
    <w:rsid w:val="002E2817"/>
    <w:rsid w:val="002F07D7"/>
    <w:rsid w:val="002F7A93"/>
    <w:rsid w:val="00365C16"/>
    <w:rsid w:val="003835F4"/>
    <w:rsid w:val="003D54F6"/>
    <w:rsid w:val="003E0388"/>
    <w:rsid w:val="004067E4"/>
    <w:rsid w:val="00423689"/>
    <w:rsid w:val="004464AC"/>
    <w:rsid w:val="0046068D"/>
    <w:rsid w:val="004B2B21"/>
    <w:rsid w:val="004B7803"/>
    <w:rsid w:val="004D132D"/>
    <w:rsid w:val="0053044F"/>
    <w:rsid w:val="005A6852"/>
    <w:rsid w:val="005C23DB"/>
    <w:rsid w:val="005D0D7B"/>
    <w:rsid w:val="005D1A07"/>
    <w:rsid w:val="005E5B8A"/>
    <w:rsid w:val="00633853"/>
    <w:rsid w:val="006623AD"/>
    <w:rsid w:val="006B2092"/>
    <w:rsid w:val="0070034E"/>
    <w:rsid w:val="007123F3"/>
    <w:rsid w:val="007125AA"/>
    <w:rsid w:val="00747E77"/>
    <w:rsid w:val="007F7EB3"/>
    <w:rsid w:val="00810E61"/>
    <w:rsid w:val="00870586"/>
    <w:rsid w:val="00871ED9"/>
    <w:rsid w:val="00877165"/>
    <w:rsid w:val="008869FC"/>
    <w:rsid w:val="008F0FE6"/>
    <w:rsid w:val="00986EA5"/>
    <w:rsid w:val="009B07F1"/>
    <w:rsid w:val="009D1B6B"/>
    <w:rsid w:val="00A37E83"/>
    <w:rsid w:val="00A41981"/>
    <w:rsid w:val="00A5489A"/>
    <w:rsid w:val="00A702F7"/>
    <w:rsid w:val="00A86037"/>
    <w:rsid w:val="00AB19F9"/>
    <w:rsid w:val="00AC71A3"/>
    <w:rsid w:val="00AD0747"/>
    <w:rsid w:val="00AE4816"/>
    <w:rsid w:val="00AE4C59"/>
    <w:rsid w:val="00AF1302"/>
    <w:rsid w:val="00B14EB0"/>
    <w:rsid w:val="00B3243C"/>
    <w:rsid w:val="00B451A9"/>
    <w:rsid w:val="00B8478C"/>
    <w:rsid w:val="00B95B9F"/>
    <w:rsid w:val="00BA5729"/>
    <w:rsid w:val="00BE308C"/>
    <w:rsid w:val="00C0295F"/>
    <w:rsid w:val="00C10D41"/>
    <w:rsid w:val="00C22C65"/>
    <w:rsid w:val="00C301F8"/>
    <w:rsid w:val="00C42561"/>
    <w:rsid w:val="00C621D0"/>
    <w:rsid w:val="00C62E08"/>
    <w:rsid w:val="00CA08F5"/>
    <w:rsid w:val="00CB4F2F"/>
    <w:rsid w:val="00CC5062"/>
    <w:rsid w:val="00CE1D89"/>
    <w:rsid w:val="00CF48E1"/>
    <w:rsid w:val="00CF6A1A"/>
    <w:rsid w:val="00D07D90"/>
    <w:rsid w:val="00D26508"/>
    <w:rsid w:val="00D47C35"/>
    <w:rsid w:val="00D72B30"/>
    <w:rsid w:val="00D84355"/>
    <w:rsid w:val="00D95B39"/>
    <w:rsid w:val="00D97756"/>
    <w:rsid w:val="00DB46A0"/>
    <w:rsid w:val="00DB6B5A"/>
    <w:rsid w:val="00DC25FE"/>
    <w:rsid w:val="00DC408D"/>
    <w:rsid w:val="00DC7CFD"/>
    <w:rsid w:val="00E11348"/>
    <w:rsid w:val="00E16032"/>
    <w:rsid w:val="00E219D0"/>
    <w:rsid w:val="00E77BF6"/>
    <w:rsid w:val="00E811EF"/>
    <w:rsid w:val="00EF6E5C"/>
    <w:rsid w:val="00F972AD"/>
    <w:rsid w:val="00FE17DF"/>
    <w:rsid w:val="00FF549E"/>
    <w:rsid w:val="01095920"/>
    <w:rsid w:val="011B02F9"/>
    <w:rsid w:val="012A54D2"/>
    <w:rsid w:val="014275A5"/>
    <w:rsid w:val="01695BF3"/>
    <w:rsid w:val="01891764"/>
    <w:rsid w:val="01A72EEF"/>
    <w:rsid w:val="01BE6222"/>
    <w:rsid w:val="01C92250"/>
    <w:rsid w:val="01CA3A4A"/>
    <w:rsid w:val="01D408F4"/>
    <w:rsid w:val="01DA0109"/>
    <w:rsid w:val="02055082"/>
    <w:rsid w:val="025A3517"/>
    <w:rsid w:val="025D4D8E"/>
    <w:rsid w:val="02974B2C"/>
    <w:rsid w:val="02A76009"/>
    <w:rsid w:val="02B03AEE"/>
    <w:rsid w:val="02BE018F"/>
    <w:rsid w:val="02CC6E30"/>
    <w:rsid w:val="02CD5A84"/>
    <w:rsid w:val="02D92142"/>
    <w:rsid w:val="02DA63DE"/>
    <w:rsid w:val="0301396B"/>
    <w:rsid w:val="03190CB5"/>
    <w:rsid w:val="03323B4D"/>
    <w:rsid w:val="035C3D6F"/>
    <w:rsid w:val="036A1510"/>
    <w:rsid w:val="036A4118"/>
    <w:rsid w:val="037B5A38"/>
    <w:rsid w:val="03C2759E"/>
    <w:rsid w:val="03C61781"/>
    <w:rsid w:val="03EE0EB3"/>
    <w:rsid w:val="03FC366E"/>
    <w:rsid w:val="03FD05D6"/>
    <w:rsid w:val="04054EA8"/>
    <w:rsid w:val="041C7FB9"/>
    <w:rsid w:val="043A5387"/>
    <w:rsid w:val="044701D2"/>
    <w:rsid w:val="047475DC"/>
    <w:rsid w:val="0491260D"/>
    <w:rsid w:val="04975296"/>
    <w:rsid w:val="049A7C20"/>
    <w:rsid w:val="04A57753"/>
    <w:rsid w:val="04E34912"/>
    <w:rsid w:val="05082E32"/>
    <w:rsid w:val="051060E7"/>
    <w:rsid w:val="053C5C89"/>
    <w:rsid w:val="05403D79"/>
    <w:rsid w:val="054579FD"/>
    <w:rsid w:val="054D6CFB"/>
    <w:rsid w:val="054F5D32"/>
    <w:rsid w:val="056D44BF"/>
    <w:rsid w:val="05965CDE"/>
    <w:rsid w:val="05A71B3F"/>
    <w:rsid w:val="05BD45F7"/>
    <w:rsid w:val="05D64721"/>
    <w:rsid w:val="05EC04F9"/>
    <w:rsid w:val="060379FA"/>
    <w:rsid w:val="060A5367"/>
    <w:rsid w:val="06113B1B"/>
    <w:rsid w:val="061760BE"/>
    <w:rsid w:val="066F5DC3"/>
    <w:rsid w:val="0676474C"/>
    <w:rsid w:val="0676641E"/>
    <w:rsid w:val="068C4871"/>
    <w:rsid w:val="069602FF"/>
    <w:rsid w:val="06C40DF2"/>
    <w:rsid w:val="06C453DB"/>
    <w:rsid w:val="06F62551"/>
    <w:rsid w:val="07267E44"/>
    <w:rsid w:val="07621280"/>
    <w:rsid w:val="07A11279"/>
    <w:rsid w:val="07A428E3"/>
    <w:rsid w:val="07CB185D"/>
    <w:rsid w:val="07F341CA"/>
    <w:rsid w:val="08093A71"/>
    <w:rsid w:val="08144141"/>
    <w:rsid w:val="082A5712"/>
    <w:rsid w:val="08404F36"/>
    <w:rsid w:val="08607386"/>
    <w:rsid w:val="086C5D2B"/>
    <w:rsid w:val="087C6AAD"/>
    <w:rsid w:val="08D83DEE"/>
    <w:rsid w:val="08F00221"/>
    <w:rsid w:val="090F2176"/>
    <w:rsid w:val="092B34F0"/>
    <w:rsid w:val="092C3F65"/>
    <w:rsid w:val="09410F65"/>
    <w:rsid w:val="09572877"/>
    <w:rsid w:val="096A57C5"/>
    <w:rsid w:val="097C1490"/>
    <w:rsid w:val="097E5D15"/>
    <w:rsid w:val="097F1A8E"/>
    <w:rsid w:val="098850FB"/>
    <w:rsid w:val="09A908B8"/>
    <w:rsid w:val="09AB0983"/>
    <w:rsid w:val="09CE1116"/>
    <w:rsid w:val="09E076C7"/>
    <w:rsid w:val="09EE66EC"/>
    <w:rsid w:val="0A0B2317"/>
    <w:rsid w:val="0A1A5710"/>
    <w:rsid w:val="0A1E7575"/>
    <w:rsid w:val="0A2013A9"/>
    <w:rsid w:val="0A2468A0"/>
    <w:rsid w:val="0A3F6C28"/>
    <w:rsid w:val="0A435CEB"/>
    <w:rsid w:val="0A543FB8"/>
    <w:rsid w:val="0A5C1B18"/>
    <w:rsid w:val="0A6C0264"/>
    <w:rsid w:val="0A765A8A"/>
    <w:rsid w:val="0A813285"/>
    <w:rsid w:val="0A8F5D00"/>
    <w:rsid w:val="0A92134D"/>
    <w:rsid w:val="0A981F33"/>
    <w:rsid w:val="0AB80DB3"/>
    <w:rsid w:val="0ACE705D"/>
    <w:rsid w:val="0AD3705F"/>
    <w:rsid w:val="0AF837E4"/>
    <w:rsid w:val="0B0F1F24"/>
    <w:rsid w:val="0B2B22F5"/>
    <w:rsid w:val="0B5140BC"/>
    <w:rsid w:val="0B615CFF"/>
    <w:rsid w:val="0B831A63"/>
    <w:rsid w:val="0B8F7AB0"/>
    <w:rsid w:val="0BA95626"/>
    <w:rsid w:val="0BBA416B"/>
    <w:rsid w:val="0BC23C9A"/>
    <w:rsid w:val="0BCC2C62"/>
    <w:rsid w:val="0BD76E10"/>
    <w:rsid w:val="0BD936D7"/>
    <w:rsid w:val="0BF16C2E"/>
    <w:rsid w:val="0C463AE2"/>
    <w:rsid w:val="0C735FEE"/>
    <w:rsid w:val="0C9A245E"/>
    <w:rsid w:val="0D076022"/>
    <w:rsid w:val="0D0C53E6"/>
    <w:rsid w:val="0D36499E"/>
    <w:rsid w:val="0D3C32FE"/>
    <w:rsid w:val="0D3D5EE8"/>
    <w:rsid w:val="0D543F47"/>
    <w:rsid w:val="0D982B69"/>
    <w:rsid w:val="0D992AED"/>
    <w:rsid w:val="0E0B4637"/>
    <w:rsid w:val="0E0F21BC"/>
    <w:rsid w:val="0E1770D6"/>
    <w:rsid w:val="0E2B18D5"/>
    <w:rsid w:val="0E3218E4"/>
    <w:rsid w:val="0E6A70EF"/>
    <w:rsid w:val="0E73260E"/>
    <w:rsid w:val="0E9B63EC"/>
    <w:rsid w:val="0EA91BC1"/>
    <w:rsid w:val="0EB534FF"/>
    <w:rsid w:val="0EBA787E"/>
    <w:rsid w:val="0EC75A69"/>
    <w:rsid w:val="0EC85D32"/>
    <w:rsid w:val="0ED253C1"/>
    <w:rsid w:val="0EEF6AAD"/>
    <w:rsid w:val="0EF32EB3"/>
    <w:rsid w:val="0F113188"/>
    <w:rsid w:val="0F17197D"/>
    <w:rsid w:val="0F1B71CC"/>
    <w:rsid w:val="0F205179"/>
    <w:rsid w:val="0F2B484C"/>
    <w:rsid w:val="0F6B1F01"/>
    <w:rsid w:val="0F803E6A"/>
    <w:rsid w:val="0F917E25"/>
    <w:rsid w:val="0FB74DC9"/>
    <w:rsid w:val="0FD37D1D"/>
    <w:rsid w:val="0FE26F47"/>
    <w:rsid w:val="10101691"/>
    <w:rsid w:val="102F0E28"/>
    <w:rsid w:val="103643E8"/>
    <w:rsid w:val="10390118"/>
    <w:rsid w:val="10900CC6"/>
    <w:rsid w:val="109220A6"/>
    <w:rsid w:val="10A25EDA"/>
    <w:rsid w:val="10B5609A"/>
    <w:rsid w:val="10B85FB1"/>
    <w:rsid w:val="10E02F65"/>
    <w:rsid w:val="110F769C"/>
    <w:rsid w:val="111E0398"/>
    <w:rsid w:val="11557AE1"/>
    <w:rsid w:val="11652FD6"/>
    <w:rsid w:val="11692E07"/>
    <w:rsid w:val="118151C6"/>
    <w:rsid w:val="118F79C1"/>
    <w:rsid w:val="12087E18"/>
    <w:rsid w:val="120D6C92"/>
    <w:rsid w:val="123A29F6"/>
    <w:rsid w:val="12855353"/>
    <w:rsid w:val="12904037"/>
    <w:rsid w:val="12DE2AB6"/>
    <w:rsid w:val="12E271C4"/>
    <w:rsid w:val="13004370"/>
    <w:rsid w:val="130D010A"/>
    <w:rsid w:val="135E2714"/>
    <w:rsid w:val="136C180C"/>
    <w:rsid w:val="13BB36C2"/>
    <w:rsid w:val="13D773DA"/>
    <w:rsid w:val="13F909A5"/>
    <w:rsid w:val="146D70B2"/>
    <w:rsid w:val="14814229"/>
    <w:rsid w:val="1485642A"/>
    <w:rsid w:val="1493579A"/>
    <w:rsid w:val="14A02656"/>
    <w:rsid w:val="14CD7B51"/>
    <w:rsid w:val="14E07884"/>
    <w:rsid w:val="14EF2214"/>
    <w:rsid w:val="14EF4C44"/>
    <w:rsid w:val="14FB46BE"/>
    <w:rsid w:val="15112FB3"/>
    <w:rsid w:val="1517629B"/>
    <w:rsid w:val="15A71FCF"/>
    <w:rsid w:val="15CE73E7"/>
    <w:rsid w:val="15D354EC"/>
    <w:rsid w:val="15DA6861"/>
    <w:rsid w:val="1609105D"/>
    <w:rsid w:val="16273291"/>
    <w:rsid w:val="16390DDC"/>
    <w:rsid w:val="164B51D1"/>
    <w:rsid w:val="16521360"/>
    <w:rsid w:val="16B56CA7"/>
    <w:rsid w:val="16BF1FDC"/>
    <w:rsid w:val="16CC463A"/>
    <w:rsid w:val="16D06DB0"/>
    <w:rsid w:val="16FE5738"/>
    <w:rsid w:val="172A6452"/>
    <w:rsid w:val="17306175"/>
    <w:rsid w:val="17526FA4"/>
    <w:rsid w:val="178C73A2"/>
    <w:rsid w:val="1795379C"/>
    <w:rsid w:val="18063809"/>
    <w:rsid w:val="18695DE3"/>
    <w:rsid w:val="18817186"/>
    <w:rsid w:val="188B3FAB"/>
    <w:rsid w:val="18A53C2D"/>
    <w:rsid w:val="18C82B09"/>
    <w:rsid w:val="18D41C29"/>
    <w:rsid w:val="18E66AB2"/>
    <w:rsid w:val="18EB4D1B"/>
    <w:rsid w:val="19097C61"/>
    <w:rsid w:val="19155678"/>
    <w:rsid w:val="194F7902"/>
    <w:rsid w:val="196071E6"/>
    <w:rsid w:val="1977452F"/>
    <w:rsid w:val="198355A9"/>
    <w:rsid w:val="198A4263"/>
    <w:rsid w:val="19B81747"/>
    <w:rsid w:val="19DC1C4E"/>
    <w:rsid w:val="19E45201"/>
    <w:rsid w:val="19FF33EE"/>
    <w:rsid w:val="1A70567B"/>
    <w:rsid w:val="1A717DDC"/>
    <w:rsid w:val="1A774458"/>
    <w:rsid w:val="1A846A93"/>
    <w:rsid w:val="1A9E7F21"/>
    <w:rsid w:val="1AA22304"/>
    <w:rsid w:val="1ABD34B5"/>
    <w:rsid w:val="1B0C4116"/>
    <w:rsid w:val="1B1A3D35"/>
    <w:rsid w:val="1B8235DA"/>
    <w:rsid w:val="1B8B4540"/>
    <w:rsid w:val="1B980981"/>
    <w:rsid w:val="1BC83144"/>
    <w:rsid w:val="1C256201"/>
    <w:rsid w:val="1C2E7651"/>
    <w:rsid w:val="1C3E1F88"/>
    <w:rsid w:val="1C7E39FE"/>
    <w:rsid w:val="1C9E7D2D"/>
    <w:rsid w:val="1CA43733"/>
    <w:rsid w:val="1CCA5C25"/>
    <w:rsid w:val="1CFD3156"/>
    <w:rsid w:val="1D0978F1"/>
    <w:rsid w:val="1D210A3A"/>
    <w:rsid w:val="1D2F21B4"/>
    <w:rsid w:val="1D4A7C0F"/>
    <w:rsid w:val="1D660B43"/>
    <w:rsid w:val="1D9833C3"/>
    <w:rsid w:val="1DDB52EC"/>
    <w:rsid w:val="1DE01B42"/>
    <w:rsid w:val="1DF1639C"/>
    <w:rsid w:val="1E037DAC"/>
    <w:rsid w:val="1E55723C"/>
    <w:rsid w:val="1EA4279A"/>
    <w:rsid w:val="1EA700B7"/>
    <w:rsid w:val="1EEE1472"/>
    <w:rsid w:val="1F152A17"/>
    <w:rsid w:val="1F3311A0"/>
    <w:rsid w:val="1F4B130B"/>
    <w:rsid w:val="1F4D3D68"/>
    <w:rsid w:val="1F4E24B8"/>
    <w:rsid w:val="1F4E3E9E"/>
    <w:rsid w:val="1F552C1D"/>
    <w:rsid w:val="1F617814"/>
    <w:rsid w:val="1F6210D9"/>
    <w:rsid w:val="1F640C4B"/>
    <w:rsid w:val="1F693A18"/>
    <w:rsid w:val="1F7464AE"/>
    <w:rsid w:val="1F7C3BBA"/>
    <w:rsid w:val="1FCE2515"/>
    <w:rsid w:val="1FEC65FD"/>
    <w:rsid w:val="20084133"/>
    <w:rsid w:val="20232EC2"/>
    <w:rsid w:val="202A5D19"/>
    <w:rsid w:val="20360CA0"/>
    <w:rsid w:val="208D2FA3"/>
    <w:rsid w:val="208D3ED0"/>
    <w:rsid w:val="209640CD"/>
    <w:rsid w:val="20967EE2"/>
    <w:rsid w:val="20C53898"/>
    <w:rsid w:val="20D3473E"/>
    <w:rsid w:val="20DD79A8"/>
    <w:rsid w:val="20E233A0"/>
    <w:rsid w:val="2103403D"/>
    <w:rsid w:val="213D7796"/>
    <w:rsid w:val="215E6B36"/>
    <w:rsid w:val="217B1788"/>
    <w:rsid w:val="219519F6"/>
    <w:rsid w:val="21AB6CB3"/>
    <w:rsid w:val="21BD5983"/>
    <w:rsid w:val="21C67E02"/>
    <w:rsid w:val="21D150DA"/>
    <w:rsid w:val="21E92535"/>
    <w:rsid w:val="21EA67DF"/>
    <w:rsid w:val="22264303"/>
    <w:rsid w:val="22494C50"/>
    <w:rsid w:val="22497299"/>
    <w:rsid w:val="22551944"/>
    <w:rsid w:val="225718E5"/>
    <w:rsid w:val="22683576"/>
    <w:rsid w:val="227A5108"/>
    <w:rsid w:val="22925F36"/>
    <w:rsid w:val="22C87A6E"/>
    <w:rsid w:val="22CD2172"/>
    <w:rsid w:val="22CE4F93"/>
    <w:rsid w:val="22DA3051"/>
    <w:rsid w:val="22DC4C58"/>
    <w:rsid w:val="22FA626C"/>
    <w:rsid w:val="23236BC0"/>
    <w:rsid w:val="237B199F"/>
    <w:rsid w:val="237F36A3"/>
    <w:rsid w:val="239015B7"/>
    <w:rsid w:val="239A2255"/>
    <w:rsid w:val="23A94F87"/>
    <w:rsid w:val="23AD68F9"/>
    <w:rsid w:val="23BF6AC9"/>
    <w:rsid w:val="23C31EAF"/>
    <w:rsid w:val="23CD5BEA"/>
    <w:rsid w:val="23D46646"/>
    <w:rsid w:val="23DE769F"/>
    <w:rsid w:val="23E16DB3"/>
    <w:rsid w:val="23EE1A8A"/>
    <w:rsid w:val="23EF07BD"/>
    <w:rsid w:val="242D3833"/>
    <w:rsid w:val="24507E57"/>
    <w:rsid w:val="246A0F18"/>
    <w:rsid w:val="24816B05"/>
    <w:rsid w:val="24941690"/>
    <w:rsid w:val="24CF590E"/>
    <w:rsid w:val="24FD473D"/>
    <w:rsid w:val="25511CEE"/>
    <w:rsid w:val="255536A8"/>
    <w:rsid w:val="25581FF1"/>
    <w:rsid w:val="25665875"/>
    <w:rsid w:val="256C491B"/>
    <w:rsid w:val="258F5A73"/>
    <w:rsid w:val="25D14C6D"/>
    <w:rsid w:val="25E2566C"/>
    <w:rsid w:val="25F173D7"/>
    <w:rsid w:val="26A742E8"/>
    <w:rsid w:val="26CF1553"/>
    <w:rsid w:val="26DA0542"/>
    <w:rsid w:val="26FB09DF"/>
    <w:rsid w:val="27010B22"/>
    <w:rsid w:val="27143DF0"/>
    <w:rsid w:val="273259A9"/>
    <w:rsid w:val="27380A7A"/>
    <w:rsid w:val="27503865"/>
    <w:rsid w:val="275A5F00"/>
    <w:rsid w:val="276258F6"/>
    <w:rsid w:val="279A2560"/>
    <w:rsid w:val="27B915D1"/>
    <w:rsid w:val="27DA7DAA"/>
    <w:rsid w:val="27F23143"/>
    <w:rsid w:val="28063E8E"/>
    <w:rsid w:val="28373807"/>
    <w:rsid w:val="285919D0"/>
    <w:rsid w:val="28790670"/>
    <w:rsid w:val="288528F2"/>
    <w:rsid w:val="28D92B11"/>
    <w:rsid w:val="29095C9F"/>
    <w:rsid w:val="291B1976"/>
    <w:rsid w:val="292145DB"/>
    <w:rsid w:val="2925686B"/>
    <w:rsid w:val="292D12B6"/>
    <w:rsid w:val="2936586D"/>
    <w:rsid w:val="29923CB2"/>
    <w:rsid w:val="29932CBF"/>
    <w:rsid w:val="29AB0C3B"/>
    <w:rsid w:val="29BB4910"/>
    <w:rsid w:val="29DD3939"/>
    <w:rsid w:val="29F574D6"/>
    <w:rsid w:val="2A636FF6"/>
    <w:rsid w:val="2A88034A"/>
    <w:rsid w:val="2A8B7BA1"/>
    <w:rsid w:val="2A954815"/>
    <w:rsid w:val="2A9804EF"/>
    <w:rsid w:val="2B326508"/>
    <w:rsid w:val="2B3529C0"/>
    <w:rsid w:val="2B3B1E66"/>
    <w:rsid w:val="2B770163"/>
    <w:rsid w:val="2B876854"/>
    <w:rsid w:val="2B9E3F4D"/>
    <w:rsid w:val="2BCA4992"/>
    <w:rsid w:val="2BCB247B"/>
    <w:rsid w:val="2BCC24B9"/>
    <w:rsid w:val="2BF90622"/>
    <w:rsid w:val="2BFF288E"/>
    <w:rsid w:val="2C1238FD"/>
    <w:rsid w:val="2C1B0957"/>
    <w:rsid w:val="2C29340A"/>
    <w:rsid w:val="2C5B55EB"/>
    <w:rsid w:val="2C7D12B4"/>
    <w:rsid w:val="2C9142C1"/>
    <w:rsid w:val="2CA06D85"/>
    <w:rsid w:val="2CB512F6"/>
    <w:rsid w:val="2CC66F08"/>
    <w:rsid w:val="2CCA7EB6"/>
    <w:rsid w:val="2CDC1A65"/>
    <w:rsid w:val="2CED73A5"/>
    <w:rsid w:val="2CFB34D0"/>
    <w:rsid w:val="2D055557"/>
    <w:rsid w:val="2D3347E7"/>
    <w:rsid w:val="2D4F38E3"/>
    <w:rsid w:val="2D5C786C"/>
    <w:rsid w:val="2D5E35E4"/>
    <w:rsid w:val="2D6045A9"/>
    <w:rsid w:val="2D8E5CE6"/>
    <w:rsid w:val="2D9617F6"/>
    <w:rsid w:val="2DC11A46"/>
    <w:rsid w:val="2DCB0FE4"/>
    <w:rsid w:val="2DEC5B1F"/>
    <w:rsid w:val="2DF960CB"/>
    <w:rsid w:val="2DFE26D1"/>
    <w:rsid w:val="2E255EB0"/>
    <w:rsid w:val="2E4E0E00"/>
    <w:rsid w:val="2E8F5D54"/>
    <w:rsid w:val="2E921798"/>
    <w:rsid w:val="2EBF6305"/>
    <w:rsid w:val="2F423753"/>
    <w:rsid w:val="2F4B3B7A"/>
    <w:rsid w:val="2F6649D2"/>
    <w:rsid w:val="2F8A6913"/>
    <w:rsid w:val="2F8D6403"/>
    <w:rsid w:val="2FB274AE"/>
    <w:rsid w:val="2FB87BD1"/>
    <w:rsid w:val="2FE45030"/>
    <w:rsid w:val="302A03F9"/>
    <w:rsid w:val="305807BF"/>
    <w:rsid w:val="306B5FE8"/>
    <w:rsid w:val="308E41E1"/>
    <w:rsid w:val="30907F59"/>
    <w:rsid w:val="30D81EF7"/>
    <w:rsid w:val="30D93356"/>
    <w:rsid w:val="310559AB"/>
    <w:rsid w:val="311566B0"/>
    <w:rsid w:val="314741CF"/>
    <w:rsid w:val="318A2BFA"/>
    <w:rsid w:val="318D2CFD"/>
    <w:rsid w:val="31AC7296"/>
    <w:rsid w:val="31CD0D39"/>
    <w:rsid w:val="31DE235E"/>
    <w:rsid w:val="31EF7B28"/>
    <w:rsid w:val="32015993"/>
    <w:rsid w:val="320F75A3"/>
    <w:rsid w:val="322118FB"/>
    <w:rsid w:val="322476CF"/>
    <w:rsid w:val="322B55AE"/>
    <w:rsid w:val="32390A38"/>
    <w:rsid w:val="324653DA"/>
    <w:rsid w:val="326C65A7"/>
    <w:rsid w:val="326D5167"/>
    <w:rsid w:val="326E6C1E"/>
    <w:rsid w:val="32AD00E0"/>
    <w:rsid w:val="32BB403E"/>
    <w:rsid w:val="32E3590E"/>
    <w:rsid w:val="32FC3D25"/>
    <w:rsid w:val="33136037"/>
    <w:rsid w:val="334919B3"/>
    <w:rsid w:val="33800A0F"/>
    <w:rsid w:val="338E424C"/>
    <w:rsid w:val="339B377C"/>
    <w:rsid w:val="33AC33A9"/>
    <w:rsid w:val="33B7273A"/>
    <w:rsid w:val="34160775"/>
    <w:rsid w:val="345631E3"/>
    <w:rsid w:val="34572A71"/>
    <w:rsid w:val="34594B05"/>
    <w:rsid w:val="349D7A9E"/>
    <w:rsid w:val="34BB41E0"/>
    <w:rsid w:val="34BC4B4B"/>
    <w:rsid w:val="34E940DB"/>
    <w:rsid w:val="3507717E"/>
    <w:rsid w:val="350C2D09"/>
    <w:rsid w:val="35611EC4"/>
    <w:rsid w:val="356335BF"/>
    <w:rsid w:val="3592350F"/>
    <w:rsid w:val="35F0248A"/>
    <w:rsid w:val="3635774B"/>
    <w:rsid w:val="3642105E"/>
    <w:rsid w:val="366E1C81"/>
    <w:rsid w:val="366E4460"/>
    <w:rsid w:val="36773E5D"/>
    <w:rsid w:val="36801F8F"/>
    <w:rsid w:val="36AF573D"/>
    <w:rsid w:val="36BA7C1A"/>
    <w:rsid w:val="36BB169B"/>
    <w:rsid w:val="36D2347F"/>
    <w:rsid w:val="36D3565B"/>
    <w:rsid w:val="36E0622F"/>
    <w:rsid w:val="36ED3DEE"/>
    <w:rsid w:val="3720584E"/>
    <w:rsid w:val="372F7AD8"/>
    <w:rsid w:val="37580EC1"/>
    <w:rsid w:val="375813ED"/>
    <w:rsid w:val="375D21A8"/>
    <w:rsid w:val="375D3D27"/>
    <w:rsid w:val="37621F23"/>
    <w:rsid w:val="3779039B"/>
    <w:rsid w:val="379E11AD"/>
    <w:rsid w:val="37C93D50"/>
    <w:rsid w:val="37DA5721"/>
    <w:rsid w:val="37FB3273"/>
    <w:rsid w:val="383967AA"/>
    <w:rsid w:val="387F5AF8"/>
    <w:rsid w:val="38E50D89"/>
    <w:rsid w:val="38E86458"/>
    <w:rsid w:val="38EB1B0B"/>
    <w:rsid w:val="38EE7F12"/>
    <w:rsid w:val="39726B7C"/>
    <w:rsid w:val="399B6E57"/>
    <w:rsid w:val="39E840B4"/>
    <w:rsid w:val="39EA3076"/>
    <w:rsid w:val="39EC6568"/>
    <w:rsid w:val="3A192D6D"/>
    <w:rsid w:val="3A5E70A9"/>
    <w:rsid w:val="3A6C06EC"/>
    <w:rsid w:val="3A917142"/>
    <w:rsid w:val="3A9E2988"/>
    <w:rsid w:val="3ABE1B66"/>
    <w:rsid w:val="3ADE1AAE"/>
    <w:rsid w:val="3B051543"/>
    <w:rsid w:val="3B0E0BD2"/>
    <w:rsid w:val="3B111C96"/>
    <w:rsid w:val="3B376D07"/>
    <w:rsid w:val="3B6C49BC"/>
    <w:rsid w:val="3B946C12"/>
    <w:rsid w:val="3BA30382"/>
    <w:rsid w:val="3BAA39EE"/>
    <w:rsid w:val="3BBA2434"/>
    <w:rsid w:val="3BD43C75"/>
    <w:rsid w:val="3BFD221A"/>
    <w:rsid w:val="3C236125"/>
    <w:rsid w:val="3C457F4A"/>
    <w:rsid w:val="3C4D6CFE"/>
    <w:rsid w:val="3CA11B80"/>
    <w:rsid w:val="3CA319DB"/>
    <w:rsid w:val="3CC646C5"/>
    <w:rsid w:val="3D0C4419"/>
    <w:rsid w:val="3D4B1525"/>
    <w:rsid w:val="3DB349B5"/>
    <w:rsid w:val="3DBD339D"/>
    <w:rsid w:val="3DC56D68"/>
    <w:rsid w:val="3E2919ED"/>
    <w:rsid w:val="3E413FE8"/>
    <w:rsid w:val="3E465404"/>
    <w:rsid w:val="3E4F3CEB"/>
    <w:rsid w:val="3E8B7A4C"/>
    <w:rsid w:val="3E8E196D"/>
    <w:rsid w:val="3E9D2BB0"/>
    <w:rsid w:val="3E9E0B8B"/>
    <w:rsid w:val="3EC8141A"/>
    <w:rsid w:val="3F03284C"/>
    <w:rsid w:val="3F1B0FC1"/>
    <w:rsid w:val="3F246DEE"/>
    <w:rsid w:val="3F3F6AF8"/>
    <w:rsid w:val="3F4A0470"/>
    <w:rsid w:val="3FAD7FFA"/>
    <w:rsid w:val="3FB672B0"/>
    <w:rsid w:val="3FD602BE"/>
    <w:rsid w:val="400468BA"/>
    <w:rsid w:val="401F30A7"/>
    <w:rsid w:val="4050500F"/>
    <w:rsid w:val="40B7508E"/>
    <w:rsid w:val="40C61912"/>
    <w:rsid w:val="40D60483"/>
    <w:rsid w:val="40DA37BF"/>
    <w:rsid w:val="40EF446D"/>
    <w:rsid w:val="4112631F"/>
    <w:rsid w:val="41166258"/>
    <w:rsid w:val="41366D43"/>
    <w:rsid w:val="4152018A"/>
    <w:rsid w:val="416C7DBD"/>
    <w:rsid w:val="416D1BF0"/>
    <w:rsid w:val="41A73354"/>
    <w:rsid w:val="41B31CF9"/>
    <w:rsid w:val="41C9127A"/>
    <w:rsid w:val="41CE51D9"/>
    <w:rsid w:val="41F122DB"/>
    <w:rsid w:val="4234381E"/>
    <w:rsid w:val="42407219"/>
    <w:rsid w:val="42674891"/>
    <w:rsid w:val="4286787E"/>
    <w:rsid w:val="428B1C17"/>
    <w:rsid w:val="42954201"/>
    <w:rsid w:val="429823CB"/>
    <w:rsid w:val="42A178EE"/>
    <w:rsid w:val="43050FCE"/>
    <w:rsid w:val="433831AE"/>
    <w:rsid w:val="433B256A"/>
    <w:rsid w:val="434374F6"/>
    <w:rsid w:val="43452E25"/>
    <w:rsid w:val="43460D6B"/>
    <w:rsid w:val="43884ABF"/>
    <w:rsid w:val="43E207E3"/>
    <w:rsid w:val="43E643B8"/>
    <w:rsid w:val="43E80DDE"/>
    <w:rsid w:val="43F31EC1"/>
    <w:rsid w:val="43FB1131"/>
    <w:rsid w:val="44124E34"/>
    <w:rsid w:val="441A2345"/>
    <w:rsid w:val="44385910"/>
    <w:rsid w:val="443F0DB6"/>
    <w:rsid w:val="445E4478"/>
    <w:rsid w:val="447F5EC2"/>
    <w:rsid w:val="448A3E84"/>
    <w:rsid w:val="449B6970"/>
    <w:rsid w:val="44BA61FA"/>
    <w:rsid w:val="44E471D7"/>
    <w:rsid w:val="44F14237"/>
    <w:rsid w:val="44F248E6"/>
    <w:rsid w:val="45352126"/>
    <w:rsid w:val="457B1BF8"/>
    <w:rsid w:val="458F40E0"/>
    <w:rsid w:val="45CC4338"/>
    <w:rsid w:val="45D4622A"/>
    <w:rsid w:val="45DD34FC"/>
    <w:rsid w:val="45F8124D"/>
    <w:rsid w:val="462E0726"/>
    <w:rsid w:val="46761547"/>
    <w:rsid w:val="4683709C"/>
    <w:rsid w:val="46AA103F"/>
    <w:rsid w:val="46AF2877"/>
    <w:rsid w:val="46CB39D7"/>
    <w:rsid w:val="46D00912"/>
    <w:rsid w:val="471760F8"/>
    <w:rsid w:val="47435B56"/>
    <w:rsid w:val="475D2AAD"/>
    <w:rsid w:val="476123B9"/>
    <w:rsid w:val="47720309"/>
    <w:rsid w:val="478009AC"/>
    <w:rsid w:val="47A42B87"/>
    <w:rsid w:val="47B61DE1"/>
    <w:rsid w:val="47BC742D"/>
    <w:rsid w:val="47D12ED9"/>
    <w:rsid w:val="47F60B91"/>
    <w:rsid w:val="484A0F00"/>
    <w:rsid w:val="484E4048"/>
    <w:rsid w:val="48787FAC"/>
    <w:rsid w:val="4880556B"/>
    <w:rsid w:val="489B2F4B"/>
    <w:rsid w:val="48AB79B1"/>
    <w:rsid w:val="48B6475B"/>
    <w:rsid w:val="48C0305C"/>
    <w:rsid w:val="48CF07C1"/>
    <w:rsid w:val="48D1046F"/>
    <w:rsid w:val="48F7192E"/>
    <w:rsid w:val="49360D0C"/>
    <w:rsid w:val="493865B5"/>
    <w:rsid w:val="496C7C8D"/>
    <w:rsid w:val="498469FF"/>
    <w:rsid w:val="49B36A6C"/>
    <w:rsid w:val="4A187D2D"/>
    <w:rsid w:val="4A40080C"/>
    <w:rsid w:val="4A7D21DC"/>
    <w:rsid w:val="4AC863B5"/>
    <w:rsid w:val="4ADD6C7C"/>
    <w:rsid w:val="4AFA2747"/>
    <w:rsid w:val="4B410C16"/>
    <w:rsid w:val="4B44380D"/>
    <w:rsid w:val="4B4B6913"/>
    <w:rsid w:val="4B4E4840"/>
    <w:rsid w:val="4B63403F"/>
    <w:rsid w:val="4B7F5BCC"/>
    <w:rsid w:val="4B890D01"/>
    <w:rsid w:val="4BA10E14"/>
    <w:rsid w:val="4BA94BA1"/>
    <w:rsid w:val="4BB30F42"/>
    <w:rsid w:val="4BDE5BC4"/>
    <w:rsid w:val="4BEE18C0"/>
    <w:rsid w:val="4BF33563"/>
    <w:rsid w:val="4C2F0C57"/>
    <w:rsid w:val="4C3875F7"/>
    <w:rsid w:val="4C6E15BF"/>
    <w:rsid w:val="4CBF59F6"/>
    <w:rsid w:val="4CDF679D"/>
    <w:rsid w:val="4CE4498C"/>
    <w:rsid w:val="4CE52F83"/>
    <w:rsid w:val="4CFE0910"/>
    <w:rsid w:val="4D165162"/>
    <w:rsid w:val="4D170BB5"/>
    <w:rsid w:val="4D355CB8"/>
    <w:rsid w:val="4D4B54DB"/>
    <w:rsid w:val="4D640565"/>
    <w:rsid w:val="4D7213D6"/>
    <w:rsid w:val="4D8C673F"/>
    <w:rsid w:val="4D8F16FA"/>
    <w:rsid w:val="4DA34171"/>
    <w:rsid w:val="4DB67C3F"/>
    <w:rsid w:val="4DB93C1C"/>
    <w:rsid w:val="4DDA33B4"/>
    <w:rsid w:val="4DDC3463"/>
    <w:rsid w:val="4E033D97"/>
    <w:rsid w:val="4E050942"/>
    <w:rsid w:val="4E0A0EF3"/>
    <w:rsid w:val="4E127DA7"/>
    <w:rsid w:val="4E274294"/>
    <w:rsid w:val="4E4207B2"/>
    <w:rsid w:val="4E5649B8"/>
    <w:rsid w:val="4E8862BB"/>
    <w:rsid w:val="4EBA7E99"/>
    <w:rsid w:val="4EC84766"/>
    <w:rsid w:val="4ED133E0"/>
    <w:rsid w:val="4EE1639C"/>
    <w:rsid w:val="4EF94B51"/>
    <w:rsid w:val="4F1C5E74"/>
    <w:rsid w:val="4F425B80"/>
    <w:rsid w:val="4F7A5C1F"/>
    <w:rsid w:val="4F8F33DB"/>
    <w:rsid w:val="4F940DFD"/>
    <w:rsid w:val="4F9D2D1D"/>
    <w:rsid w:val="4FF8744B"/>
    <w:rsid w:val="4FFB507E"/>
    <w:rsid w:val="501C5568"/>
    <w:rsid w:val="50391D22"/>
    <w:rsid w:val="503F1F7D"/>
    <w:rsid w:val="50815D87"/>
    <w:rsid w:val="50875DDA"/>
    <w:rsid w:val="50A67405"/>
    <w:rsid w:val="50BF7A86"/>
    <w:rsid w:val="50EB62E8"/>
    <w:rsid w:val="50F7462E"/>
    <w:rsid w:val="50FB4B23"/>
    <w:rsid w:val="50FC2C3C"/>
    <w:rsid w:val="5165451C"/>
    <w:rsid w:val="518F7337"/>
    <w:rsid w:val="51D574B6"/>
    <w:rsid w:val="51D6733E"/>
    <w:rsid w:val="51D97625"/>
    <w:rsid w:val="52156ED9"/>
    <w:rsid w:val="521A547C"/>
    <w:rsid w:val="52237D21"/>
    <w:rsid w:val="52274F2A"/>
    <w:rsid w:val="523A5B1F"/>
    <w:rsid w:val="524B5983"/>
    <w:rsid w:val="528145D8"/>
    <w:rsid w:val="528E2E9A"/>
    <w:rsid w:val="52A248C9"/>
    <w:rsid w:val="52A32C6F"/>
    <w:rsid w:val="52F1442F"/>
    <w:rsid w:val="533E54DE"/>
    <w:rsid w:val="53532AF5"/>
    <w:rsid w:val="53583172"/>
    <w:rsid w:val="5363174A"/>
    <w:rsid w:val="53781CD0"/>
    <w:rsid w:val="539574B0"/>
    <w:rsid w:val="53BE66B0"/>
    <w:rsid w:val="53DB6E8D"/>
    <w:rsid w:val="53E429F3"/>
    <w:rsid w:val="53FC7D3D"/>
    <w:rsid w:val="54085ED4"/>
    <w:rsid w:val="544F4B17"/>
    <w:rsid w:val="54690E06"/>
    <w:rsid w:val="546E385E"/>
    <w:rsid w:val="547D1B69"/>
    <w:rsid w:val="547D3CA1"/>
    <w:rsid w:val="54A71544"/>
    <w:rsid w:val="54D51B2F"/>
    <w:rsid w:val="54E029AD"/>
    <w:rsid w:val="54E03240"/>
    <w:rsid w:val="54E161E6"/>
    <w:rsid w:val="556E00CC"/>
    <w:rsid w:val="55717EF0"/>
    <w:rsid w:val="557F21C6"/>
    <w:rsid w:val="55A25F6F"/>
    <w:rsid w:val="55B62300"/>
    <w:rsid w:val="55BD62FC"/>
    <w:rsid w:val="55CF4789"/>
    <w:rsid w:val="55E24205"/>
    <w:rsid w:val="55FF3119"/>
    <w:rsid w:val="560376BD"/>
    <w:rsid w:val="561C5C67"/>
    <w:rsid w:val="562062EF"/>
    <w:rsid w:val="563F1955"/>
    <w:rsid w:val="56725887"/>
    <w:rsid w:val="56960007"/>
    <w:rsid w:val="569C33FD"/>
    <w:rsid w:val="56AD53E1"/>
    <w:rsid w:val="56C500AD"/>
    <w:rsid w:val="56E17E4B"/>
    <w:rsid w:val="571177FA"/>
    <w:rsid w:val="571A4D54"/>
    <w:rsid w:val="572C50A1"/>
    <w:rsid w:val="574A79DE"/>
    <w:rsid w:val="574E744D"/>
    <w:rsid w:val="57C57C38"/>
    <w:rsid w:val="57D26EB7"/>
    <w:rsid w:val="57FB3CA0"/>
    <w:rsid w:val="580653FD"/>
    <w:rsid w:val="580F63AE"/>
    <w:rsid w:val="584A5456"/>
    <w:rsid w:val="584B45E2"/>
    <w:rsid w:val="585B4A79"/>
    <w:rsid w:val="586B7753"/>
    <w:rsid w:val="588D5525"/>
    <w:rsid w:val="58977F4D"/>
    <w:rsid w:val="58AA581E"/>
    <w:rsid w:val="590A59DD"/>
    <w:rsid w:val="592C47F3"/>
    <w:rsid w:val="59BB60CF"/>
    <w:rsid w:val="59C363FA"/>
    <w:rsid w:val="59D34D02"/>
    <w:rsid w:val="59E77347"/>
    <w:rsid w:val="59F111B9"/>
    <w:rsid w:val="59F1740B"/>
    <w:rsid w:val="5A3572F7"/>
    <w:rsid w:val="5A4E7262"/>
    <w:rsid w:val="5A7C75A7"/>
    <w:rsid w:val="5A831B3A"/>
    <w:rsid w:val="5A8E0A57"/>
    <w:rsid w:val="5AA71877"/>
    <w:rsid w:val="5AA862C2"/>
    <w:rsid w:val="5AEE72F1"/>
    <w:rsid w:val="5AFF16B3"/>
    <w:rsid w:val="5B1A64ED"/>
    <w:rsid w:val="5B411873"/>
    <w:rsid w:val="5B9A06E1"/>
    <w:rsid w:val="5BAE08BF"/>
    <w:rsid w:val="5BC24B08"/>
    <w:rsid w:val="5BE34185"/>
    <w:rsid w:val="5BF6728A"/>
    <w:rsid w:val="5C2515ED"/>
    <w:rsid w:val="5C71213D"/>
    <w:rsid w:val="5C766F57"/>
    <w:rsid w:val="5C7865A7"/>
    <w:rsid w:val="5C9F314E"/>
    <w:rsid w:val="5CB11B30"/>
    <w:rsid w:val="5CC74453"/>
    <w:rsid w:val="5CD5091E"/>
    <w:rsid w:val="5CE40BE5"/>
    <w:rsid w:val="5D10309F"/>
    <w:rsid w:val="5D2A350C"/>
    <w:rsid w:val="5D2B4B79"/>
    <w:rsid w:val="5D2E6280"/>
    <w:rsid w:val="5D3D543E"/>
    <w:rsid w:val="5D425978"/>
    <w:rsid w:val="5D6F03B3"/>
    <w:rsid w:val="5D7A7717"/>
    <w:rsid w:val="5D8F57D0"/>
    <w:rsid w:val="5D996533"/>
    <w:rsid w:val="5D9A2E55"/>
    <w:rsid w:val="5DC90AF1"/>
    <w:rsid w:val="5DD15589"/>
    <w:rsid w:val="5E031072"/>
    <w:rsid w:val="5E1F3CF6"/>
    <w:rsid w:val="5E2002BE"/>
    <w:rsid w:val="5E483371"/>
    <w:rsid w:val="5E5527D9"/>
    <w:rsid w:val="5E565CA2"/>
    <w:rsid w:val="5E580E74"/>
    <w:rsid w:val="5E674915"/>
    <w:rsid w:val="5E847D30"/>
    <w:rsid w:val="5EAB0D2C"/>
    <w:rsid w:val="5EAE7678"/>
    <w:rsid w:val="5F0674B4"/>
    <w:rsid w:val="5F296EF5"/>
    <w:rsid w:val="5F2B1805"/>
    <w:rsid w:val="5F432E29"/>
    <w:rsid w:val="5F476193"/>
    <w:rsid w:val="5F4D6DA2"/>
    <w:rsid w:val="5FAE1170"/>
    <w:rsid w:val="5FB76261"/>
    <w:rsid w:val="604231D2"/>
    <w:rsid w:val="60573113"/>
    <w:rsid w:val="606D70BF"/>
    <w:rsid w:val="607C557C"/>
    <w:rsid w:val="608250F0"/>
    <w:rsid w:val="60E342E4"/>
    <w:rsid w:val="6109328C"/>
    <w:rsid w:val="61151723"/>
    <w:rsid w:val="614528AC"/>
    <w:rsid w:val="61453B98"/>
    <w:rsid w:val="617B565A"/>
    <w:rsid w:val="61826B9A"/>
    <w:rsid w:val="619D6B85"/>
    <w:rsid w:val="61B363CD"/>
    <w:rsid w:val="61DC62AA"/>
    <w:rsid w:val="61FB170E"/>
    <w:rsid w:val="62481B92"/>
    <w:rsid w:val="62A00E16"/>
    <w:rsid w:val="62AE1B6E"/>
    <w:rsid w:val="62B12355"/>
    <w:rsid w:val="62D14C9E"/>
    <w:rsid w:val="633F463B"/>
    <w:rsid w:val="63754C08"/>
    <w:rsid w:val="6383397C"/>
    <w:rsid w:val="6393508F"/>
    <w:rsid w:val="639F7DC1"/>
    <w:rsid w:val="63C91391"/>
    <w:rsid w:val="63F30435"/>
    <w:rsid w:val="64050ABF"/>
    <w:rsid w:val="642D1CFD"/>
    <w:rsid w:val="64363468"/>
    <w:rsid w:val="647408BE"/>
    <w:rsid w:val="648D7374"/>
    <w:rsid w:val="64B32E2F"/>
    <w:rsid w:val="64E250F2"/>
    <w:rsid w:val="6500469F"/>
    <w:rsid w:val="652328A2"/>
    <w:rsid w:val="656E5DB3"/>
    <w:rsid w:val="659F6081"/>
    <w:rsid w:val="65A70C8A"/>
    <w:rsid w:val="65A823F2"/>
    <w:rsid w:val="65B37C6A"/>
    <w:rsid w:val="65B460C5"/>
    <w:rsid w:val="65E816C2"/>
    <w:rsid w:val="65ED414E"/>
    <w:rsid w:val="65EF4D81"/>
    <w:rsid w:val="66015A51"/>
    <w:rsid w:val="660B35D9"/>
    <w:rsid w:val="661B69B0"/>
    <w:rsid w:val="661F5331"/>
    <w:rsid w:val="66620E80"/>
    <w:rsid w:val="668225B9"/>
    <w:rsid w:val="66924167"/>
    <w:rsid w:val="66AE4D4B"/>
    <w:rsid w:val="66B5420B"/>
    <w:rsid w:val="66D5214A"/>
    <w:rsid w:val="66DE3BC4"/>
    <w:rsid w:val="670F7889"/>
    <w:rsid w:val="67126567"/>
    <w:rsid w:val="67211260"/>
    <w:rsid w:val="67440533"/>
    <w:rsid w:val="67460997"/>
    <w:rsid w:val="675A79C7"/>
    <w:rsid w:val="676557D9"/>
    <w:rsid w:val="676D705E"/>
    <w:rsid w:val="67A05B2A"/>
    <w:rsid w:val="67DE2C50"/>
    <w:rsid w:val="67DE7084"/>
    <w:rsid w:val="67F7300E"/>
    <w:rsid w:val="67FC46E1"/>
    <w:rsid w:val="680227E3"/>
    <w:rsid w:val="68342E8F"/>
    <w:rsid w:val="683E60B0"/>
    <w:rsid w:val="68483D18"/>
    <w:rsid w:val="686314D3"/>
    <w:rsid w:val="687D4BDD"/>
    <w:rsid w:val="688D6550"/>
    <w:rsid w:val="68952F54"/>
    <w:rsid w:val="68AD6BF3"/>
    <w:rsid w:val="68DC3EFE"/>
    <w:rsid w:val="69507B39"/>
    <w:rsid w:val="69545735"/>
    <w:rsid w:val="698E0FEB"/>
    <w:rsid w:val="6998799E"/>
    <w:rsid w:val="69A4593C"/>
    <w:rsid w:val="69B31FE7"/>
    <w:rsid w:val="69DF2DDC"/>
    <w:rsid w:val="6A136F04"/>
    <w:rsid w:val="6A3E6267"/>
    <w:rsid w:val="6A4845A3"/>
    <w:rsid w:val="6A6B07FB"/>
    <w:rsid w:val="6A704735"/>
    <w:rsid w:val="6A707F47"/>
    <w:rsid w:val="6A7A48B2"/>
    <w:rsid w:val="6A8120E5"/>
    <w:rsid w:val="6ADB3525"/>
    <w:rsid w:val="6AF5524E"/>
    <w:rsid w:val="6B7F0160"/>
    <w:rsid w:val="6B8723B0"/>
    <w:rsid w:val="6B8B2B72"/>
    <w:rsid w:val="6BD665F8"/>
    <w:rsid w:val="6C0065BE"/>
    <w:rsid w:val="6C0819BC"/>
    <w:rsid w:val="6C3170F0"/>
    <w:rsid w:val="6C5F11EC"/>
    <w:rsid w:val="6CA8352E"/>
    <w:rsid w:val="6CD725ED"/>
    <w:rsid w:val="6CEA4165"/>
    <w:rsid w:val="6D064B23"/>
    <w:rsid w:val="6D2621B1"/>
    <w:rsid w:val="6D376AFE"/>
    <w:rsid w:val="6D3B35C4"/>
    <w:rsid w:val="6D4475A2"/>
    <w:rsid w:val="6D546223"/>
    <w:rsid w:val="6D8B4CA5"/>
    <w:rsid w:val="6D904634"/>
    <w:rsid w:val="6DAC56CB"/>
    <w:rsid w:val="6DF83112"/>
    <w:rsid w:val="6E141A2A"/>
    <w:rsid w:val="6E1761C3"/>
    <w:rsid w:val="6E755C41"/>
    <w:rsid w:val="6EA05AE1"/>
    <w:rsid w:val="6EA91C0A"/>
    <w:rsid w:val="6EAB5982"/>
    <w:rsid w:val="6EE06FEB"/>
    <w:rsid w:val="6F153218"/>
    <w:rsid w:val="6F1C418A"/>
    <w:rsid w:val="6F2E3EBD"/>
    <w:rsid w:val="6F3B4F58"/>
    <w:rsid w:val="6F76486B"/>
    <w:rsid w:val="6F924A6F"/>
    <w:rsid w:val="6FD24C25"/>
    <w:rsid w:val="6FE55BBD"/>
    <w:rsid w:val="707B47C4"/>
    <w:rsid w:val="70851233"/>
    <w:rsid w:val="708B125E"/>
    <w:rsid w:val="709B4B83"/>
    <w:rsid w:val="70B64C12"/>
    <w:rsid w:val="70C11755"/>
    <w:rsid w:val="70DB2A8C"/>
    <w:rsid w:val="70DD2618"/>
    <w:rsid w:val="70E6544B"/>
    <w:rsid w:val="70ED0986"/>
    <w:rsid w:val="70EE7DA8"/>
    <w:rsid w:val="70F532B7"/>
    <w:rsid w:val="71183726"/>
    <w:rsid w:val="714F4CEB"/>
    <w:rsid w:val="71703069"/>
    <w:rsid w:val="71BC39CF"/>
    <w:rsid w:val="71BF04EC"/>
    <w:rsid w:val="71C02DC7"/>
    <w:rsid w:val="71CE4032"/>
    <w:rsid w:val="71CF0D35"/>
    <w:rsid w:val="71D728C9"/>
    <w:rsid w:val="71E003DD"/>
    <w:rsid w:val="71F41383"/>
    <w:rsid w:val="72021250"/>
    <w:rsid w:val="720F6D7D"/>
    <w:rsid w:val="721B2E1F"/>
    <w:rsid w:val="723932A5"/>
    <w:rsid w:val="72472963"/>
    <w:rsid w:val="726532FB"/>
    <w:rsid w:val="72950198"/>
    <w:rsid w:val="72EA4658"/>
    <w:rsid w:val="72EE22E1"/>
    <w:rsid w:val="7320375D"/>
    <w:rsid w:val="73357F10"/>
    <w:rsid w:val="73592A0C"/>
    <w:rsid w:val="736C23ED"/>
    <w:rsid w:val="73B04737"/>
    <w:rsid w:val="742B4973"/>
    <w:rsid w:val="74444F9D"/>
    <w:rsid w:val="74746816"/>
    <w:rsid w:val="748725BD"/>
    <w:rsid w:val="74A01DFE"/>
    <w:rsid w:val="74B00652"/>
    <w:rsid w:val="74BE4665"/>
    <w:rsid w:val="74C6075E"/>
    <w:rsid w:val="74E120FE"/>
    <w:rsid w:val="74F109DD"/>
    <w:rsid w:val="75120509"/>
    <w:rsid w:val="753442AC"/>
    <w:rsid w:val="754821D9"/>
    <w:rsid w:val="754B7577"/>
    <w:rsid w:val="754E52B9"/>
    <w:rsid w:val="75667239"/>
    <w:rsid w:val="756D0B1E"/>
    <w:rsid w:val="75703482"/>
    <w:rsid w:val="75B44176"/>
    <w:rsid w:val="75D27C98"/>
    <w:rsid w:val="75F1698E"/>
    <w:rsid w:val="760C31AA"/>
    <w:rsid w:val="762F10DD"/>
    <w:rsid w:val="76364E18"/>
    <w:rsid w:val="763912FD"/>
    <w:rsid w:val="7683577A"/>
    <w:rsid w:val="768C2A41"/>
    <w:rsid w:val="76945580"/>
    <w:rsid w:val="769B575F"/>
    <w:rsid w:val="76BE180F"/>
    <w:rsid w:val="76C01D03"/>
    <w:rsid w:val="77071BC4"/>
    <w:rsid w:val="7711659E"/>
    <w:rsid w:val="772F5C46"/>
    <w:rsid w:val="774C11E5"/>
    <w:rsid w:val="77516905"/>
    <w:rsid w:val="77563BDF"/>
    <w:rsid w:val="77970501"/>
    <w:rsid w:val="77CE4E49"/>
    <w:rsid w:val="77DD1955"/>
    <w:rsid w:val="77E74459"/>
    <w:rsid w:val="77ED2B68"/>
    <w:rsid w:val="77F739E6"/>
    <w:rsid w:val="78216CB5"/>
    <w:rsid w:val="784A2834"/>
    <w:rsid w:val="78986C8F"/>
    <w:rsid w:val="789F62A2"/>
    <w:rsid w:val="78A413DB"/>
    <w:rsid w:val="78C80E9A"/>
    <w:rsid w:val="78D67AA0"/>
    <w:rsid w:val="79064ACA"/>
    <w:rsid w:val="79200D68"/>
    <w:rsid w:val="794B1CCF"/>
    <w:rsid w:val="796E5F2A"/>
    <w:rsid w:val="798049F2"/>
    <w:rsid w:val="79847B32"/>
    <w:rsid w:val="798C29D3"/>
    <w:rsid w:val="799E4EDF"/>
    <w:rsid w:val="79A61220"/>
    <w:rsid w:val="79C40791"/>
    <w:rsid w:val="79FD22A8"/>
    <w:rsid w:val="7A4A42A1"/>
    <w:rsid w:val="7A4D6843"/>
    <w:rsid w:val="7A721263"/>
    <w:rsid w:val="7A75725F"/>
    <w:rsid w:val="7B164B9D"/>
    <w:rsid w:val="7B2241A0"/>
    <w:rsid w:val="7B395D5B"/>
    <w:rsid w:val="7B3B25BC"/>
    <w:rsid w:val="7B4E5F74"/>
    <w:rsid w:val="7B5B590C"/>
    <w:rsid w:val="7BC21276"/>
    <w:rsid w:val="7BF232D8"/>
    <w:rsid w:val="7BF65875"/>
    <w:rsid w:val="7BFB7C4D"/>
    <w:rsid w:val="7C0861C2"/>
    <w:rsid w:val="7C0A10B0"/>
    <w:rsid w:val="7C2521C4"/>
    <w:rsid w:val="7C266A5E"/>
    <w:rsid w:val="7C620CEE"/>
    <w:rsid w:val="7C825497"/>
    <w:rsid w:val="7C846E4E"/>
    <w:rsid w:val="7C9A1208"/>
    <w:rsid w:val="7CA279A2"/>
    <w:rsid w:val="7CB47B40"/>
    <w:rsid w:val="7CBA4FE2"/>
    <w:rsid w:val="7CC43F8D"/>
    <w:rsid w:val="7CC81220"/>
    <w:rsid w:val="7CC85951"/>
    <w:rsid w:val="7CD2057E"/>
    <w:rsid w:val="7CD3033B"/>
    <w:rsid w:val="7CDD2498"/>
    <w:rsid w:val="7D1428F3"/>
    <w:rsid w:val="7D1C52E3"/>
    <w:rsid w:val="7D1F367A"/>
    <w:rsid w:val="7D2E060E"/>
    <w:rsid w:val="7D3714E0"/>
    <w:rsid w:val="7D3A2618"/>
    <w:rsid w:val="7D405FDE"/>
    <w:rsid w:val="7D4340CA"/>
    <w:rsid w:val="7D9F232A"/>
    <w:rsid w:val="7DAC3E58"/>
    <w:rsid w:val="7DAE4304"/>
    <w:rsid w:val="7DB84B7D"/>
    <w:rsid w:val="7DE06CCB"/>
    <w:rsid w:val="7DF033B2"/>
    <w:rsid w:val="7E2719D2"/>
    <w:rsid w:val="7E394D59"/>
    <w:rsid w:val="7E53749D"/>
    <w:rsid w:val="7E5563B3"/>
    <w:rsid w:val="7E5706C0"/>
    <w:rsid w:val="7E5D0F7F"/>
    <w:rsid w:val="7E6278AB"/>
    <w:rsid w:val="7E730C2B"/>
    <w:rsid w:val="7E797FB0"/>
    <w:rsid w:val="7E8B30DA"/>
    <w:rsid w:val="7EAA3560"/>
    <w:rsid w:val="7EC81A6C"/>
    <w:rsid w:val="7ED10724"/>
    <w:rsid w:val="7ED9582D"/>
    <w:rsid w:val="7EF7251E"/>
    <w:rsid w:val="7F0B1F76"/>
    <w:rsid w:val="7F21731A"/>
    <w:rsid w:val="7F5D339E"/>
    <w:rsid w:val="7F66149A"/>
    <w:rsid w:val="7FA62BA4"/>
    <w:rsid w:val="7FE07536"/>
    <w:rsid w:val="7FF15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next w:val="1"/>
    <w:unhideWhenUsed/>
    <w:qFormat/>
    <w:uiPriority w:val="0"/>
    <w:pPr>
      <w:keepNext/>
      <w:keepLines/>
      <w:widowControl w:val="0"/>
      <w:spacing w:line="600" w:lineRule="exact"/>
      <w:ind w:firstLine="643" w:firstLineChars="200"/>
      <w:jc w:val="both"/>
      <w:outlineLvl w:val="2"/>
    </w:pPr>
    <w:rPr>
      <w:rFonts w:ascii="Times New Roman" w:hAnsi="Times New Roman" w:eastAsia="宋体" w:cs="Times New Roman"/>
      <w:b/>
      <w:bCs/>
      <w:kern w:val="2"/>
      <w:sz w:val="32"/>
      <w:szCs w:val="32"/>
      <w:lang w:val="en-US" w:eastAsia="zh-CN" w:bidi="ar-SA"/>
    </w:rPr>
  </w:style>
  <w:style w:type="paragraph" w:styleId="6">
    <w:name w:val="heading 4"/>
    <w:basedOn w:val="1"/>
    <w:next w:val="1"/>
    <w:qFormat/>
    <w:uiPriority w:val="0"/>
    <w:pPr>
      <w:keepNext/>
      <w:keepLines/>
      <w:spacing w:line="360" w:lineRule="auto"/>
      <w:outlineLvl w:val="3"/>
    </w:pPr>
    <w:rPr>
      <w:rFonts w:ascii="Arial" w:hAnsi="Arial" w:eastAsia="黑体"/>
      <w:b/>
      <w:sz w:val="24"/>
    </w:rPr>
  </w:style>
  <w:style w:type="paragraph" w:styleId="7">
    <w:name w:val="heading 5"/>
    <w:basedOn w:val="1"/>
    <w:next w:val="8"/>
    <w:unhideWhenUsed/>
    <w:qFormat/>
    <w:uiPriority w:val="0"/>
    <w:pPr>
      <w:keepNext/>
      <w:keepLines/>
      <w:spacing w:before="280" w:after="290" w:line="376" w:lineRule="auto"/>
      <w:outlineLvl w:val="4"/>
    </w:pPr>
    <w:rPr>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8">
    <w:name w:val="Normal Indent"/>
    <w:basedOn w:val="1"/>
    <w:qFormat/>
    <w:uiPriority w:val="0"/>
    <w:pPr>
      <w:ind w:firstLine="420"/>
    </w:pPr>
    <w:rPr>
      <w:szCs w:val="20"/>
    </w:rPr>
  </w:style>
  <w:style w:type="paragraph" w:styleId="9">
    <w:name w:val="index 8"/>
    <w:basedOn w:val="1"/>
    <w:next w:val="1"/>
    <w:qFormat/>
    <w:uiPriority w:val="0"/>
    <w:pPr>
      <w:ind w:left="2940"/>
    </w:pPr>
  </w:style>
  <w:style w:type="paragraph" w:styleId="10">
    <w:name w:val="annotation text"/>
    <w:basedOn w:val="1"/>
    <w:link w:val="45"/>
    <w:qFormat/>
    <w:uiPriority w:val="0"/>
    <w:pPr>
      <w:jc w:val="left"/>
    </w:pPr>
  </w:style>
  <w:style w:type="paragraph" w:styleId="11">
    <w:name w:val="Body Text Indent"/>
    <w:basedOn w:val="1"/>
    <w:next w:val="12"/>
    <w:link w:val="43"/>
    <w:qFormat/>
    <w:uiPriority w:val="0"/>
    <w:pPr>
      <w:spacing w:line="200" w:lineRule="exact"/>
      <w:ind w:firstLine="301"/>
    </w:pPr>
    <w:rPr>
      <w:rFonts w:ascii="宋体" w:hAnsi="Courier New"/>
      <w:spacing w:val="-4"/>
      <w:sz w:val="18"/>
      <w:szCs w:val="20"/>
    </w:rPr>
  </w:style>
  <w:style w:type="paragraph" w:styleId="12">
    <w:name w:val="annotation subject"/>
    <w:basedOn w:val="10"/>
    <w:next w:val="1"/>
    <w:link w:val="46"/>
    <w:qFormat/>
    <w:uiPriority w:val="0"/>
    <w:rPr>
      <w:b/>
      <w:bCs/>
    </w:rPr>
  </w:style>
  <w:style w:type="paragraph" w:styleId="13">
    <w:name w:val="toc 3"/>
    <w:next w:val="1"/>
    <w:qFormat/>
    <w:uiPriority w:val="0"/>
    <w:pPr>
      <w:widowControl w:val="0"/>
    </w:pPr>
    <w:rPr>
      <w:rFonts w:ascii="Calibri" w:hAnsi="Calibri" w:eastAsia="宋体" w:cs="Times New Roman"/>
      <w:smallCaps/>
      <w:kern w:val="2"/>
      <w:sz w:val="22"/>
      <w:szCs w:val="22"/>
      <w:lang w:val="en-US" w:eastAsia="zh-CN" w:bidi="ar-SA"/>
    </w:rPr>
  </w:style>
  <w:style w:type="paragraph" w:styleId="14">
    <w:name w:val="Plain Text"/>
    <w:basedOn w:val="1"/>
    <w:next w:val="1"/>
    <w:qFormat/>
    <w:uiPriority w:val="0"/>
    <w:rPr>
      <w:rFonts w:ascii="宋体" w:hAnsi="Courier New"/>
      <w:szCs w:val="20"/>
    </w:rPr>
  </w:style>
  <w:style w:type="paragraph" w:styleId="15">
    <w:name w:val="Balloon Text"/>
    <w:basedOn w:val="1"/>
    <w:link w:val="42"/>
    <w:qFormat/>
    <w:uiPriority w:val="0"/>
    <w:rPr>
      <w:sz w:val="18"/>
      <w:szCs w:val="18"/>
    </w:rPr>
  </w:style>
  <w:style w:type="paragraph" w:styleId="16">
    <w:name w:val="footer"/>
    <w:basedOn w:val="1"/>
    <w:next w:val="1"/>
    <w:qFormat/>
    <w:uiPriority w:val="0"/>
    <w:pPr>
      <w:tabs>
        <w:tab w:val="center" w:pos="4153"/>
        <w:tab w:val="right" w:pos="8306"/>
      </w:tabs>
      <w:snapToGrid w:val="0"/>
      <w:jc w:val="left"/>
    </w:pPr>
    <w:rPr>
      <w:sz w:val="18"/>
      <w:szCs w:val="18"/>
    </w:rPr>
  </w:style>
  <w:style w:type="paragraph" w:styleId="17">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18">
    <w:name w:val="toc 1"/>
    <w:next w:val="1"/>
    <w:qFormat/>
    <w:uiPriority w:val="0"/>
    <w:pPr>
      <w:widowControl w:val="0"/>
      <w:spacing w:before="360" w:after="360"/>
    </w:pPr>
    <w:rPr>
      <w:rFonts w:ascii="Calibri" w:hAnsi="Calibri" w:eastAsia="宋体" w:cs="Times New Roman"/>
      <w:b/>
      <w:bCs/>
      <w:caps/>
      <w:kern w:val="2"/>
      <w:sz w:val="22"/>
      <w:szCs w:val="22"/>
      <w:u w:val="single"/>
      <w:lang w:val="en-US" w:eastAsia="zh-CN" w:bidi="ar-SA"/>
    </w:rPr>
  </w:style>
  <w:style w:type="paragraph" w:styleId="19">
    <w:name w:val="List"/>
    <w:basedOn w:val="1"/>
    <w:qFormat/>
    <w:uiPriority w:val="0"/>
    <w:pPr>
      <w:ind w:left="200" w:hanging="200" w:hangingChars="200"/>
    </w:pPr>
    <w:rPr>
      <w:sz w:val="28"/>
    </w:rPr>
  </w:style>
  <w:style w:type="paragraph" w:styleId="20">
    <w:name w:val="toc 2"/>
    <w:next w:val="1"/>
    <w:qFormat/>
    <w:uiPriority w:val="0"/>
    <w:pPr>
      <w:widowControl w:val="0"/>
    </w:pPr>
    <w:rPr>
      <w:rFonts w:ascii="Calibri" w:hAnsi="Calibri" w:eastAsia="宋体" w:cs="Times New Roman"/>
      <w:b/>
      <w:bCs/>
      <w:smallCaps/>
      <w:kern w:val="2"/>
      <w:sz w:val="22"/>
      <w:szCs w:val="22"/>
      <w:lang w:val="en-US" w:eastAsia="zh-CN" w:bidi="ar-SA"/>
    </w:rPr>
  </w:style>
  <w:style w:type="paragraph" w:styleId="21">
    <w:name w:val="Normal (Web)"/>
    <w:basedOn w:val="1"/>
    <w:qFormat/>
    <w:uiPriority w:val="99"/>
    <w:pPr>
      <w:widowControl/>
      <w:spacing w:before="100" w:beforeAutospacing="1" w:after="100" w:afterAutospacing="1"/>
      <w:jc w:val="left"/>
    </w:pPr>
    <w:rPr>
      <w:rFonts w:ascii="宋体" w:hAnsi="宋体"/>
      <w:kern w:val="0"/>
      <w:sz w:val="24"/>
    </w:rPr>
  </w:style>
  <w:style w:type="paragraph" w:styleId="22">
    <w:name w:val="index 1"/>
    <w:next w:val="1"/>
    <w:qFormat/>
    <w:uiPriority w:val="0"/>
    <w:pPr>
      <w:widowControl w:val="0"/>
      <w:spacing w:line="400" w:lineRule="exact"/>
      <w:ind w:firstLine="420" w:firstLineChars="200"/>
      <w:jc w:val="both"/>
    </w:pPr>
    <w:rPr>
      <w:rFonts w:ascii="宋体" w:hAnsi="Courier New" w:eastAsia="宋体" w:cs="Times New Roman"/>
      <w:b/>
      <w:kern w:val="2"/>
      <w:sz w:val="21"/>
      <w:lang w:val="en-US" w:eastAsia="zh-CN" w:bidi="ar-SA"/>
    </w:rPr>
  </w:style>
  <w:style w:type="paragraph" w:styleId="23">
    <w:name w:val="Body Text First Indent"/>
    <w:basedOn w:val="2"/>
    <w:qFormat/>
    <w:uiPriority w:val="0"/>
    <w:pPr>
      <w:ind w:firstLine="420" w:firstLineChars="100"/>
    </w:pPr>
  </w:style>
  <w:style w:type="paragraph" w:styleId="24">
    <w:name w:val="Body Text First Indent 2"/>
    <w:basedOn w:val="11"/>
    <w:link w:val="44"/>
    <w:qFormat/>
    <w:uiPriority w:val="0"/>
    <w:pPr>
      <w:spacing w:after="120" w:line="240" w:lineRule="auto"/>
      <w:ind w:left="420" w:leftChars="200" w:firstLine="420" w:firstLineChars="200"/>
    </w:pPr>
    <w:rPr>
      <w:rFonts w:ascii="Times New Roman" w:hAnsi="Times New Roman"/>
      <w:spacing w:val="0"/>
      <w:sz w:val="21"/>
      <w:szCs w:val="24"/>
    </w:rPr>
  </w:style>
  <w:style w:type="table" w:styleId="2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28">
    <w:name w:val="Strong"/>
    <w:basedOn w:val="27"/>
    <w:qFormat/>
    <w:uiPriority w:val="0"/>
    <w:rPr>
      <w:b/>
    </w:rPr>
  </w:style>
  <w:style w:type="character" w:styleId="29">
    <w:name w:val="page number"/>
    <w:qFormat/>
    <w:uiPriority w:val="0"/>
  </w:style>
  <w:style w:type="character" w:styleId="30">
    <w:name w:val="FollowedHyperlink"/>
    <w:basedOn w:val="27"/>
    <w:qFormat/>
    <w:uiPriority w:val="0"/>
    <w:rPr>
      <w:rFonts w:hint="eastAsia" w:ascii="微软雅黑" w:hAnsi="微软雅黑" w:eastAsia="微软雅黑" w:cs="微软雅黑"/>
      <w:color w:val="02396F"/>
      <w:u w:val="single"/>
    </w:rPr>
  </w:style>
  <w:style w:type="character" w:styleId="31">
    <w:name w:val="Hyperlink"/>
    <w:qFormat/>
    <w:uiPriority w:val="0"/>
    <w:rPr>
      <w:color w:val="0000FF"/>
      <w:u w:val="single"/>
    </w:rPr>
  </w:style>
  <w:style w:type="character" w:styleId="32">
    <w:name w:val="annotation reference"/>
    <w:qFormat/>
    <w:uiPriority w:val="0"/>
    <w:rPr>
      <w:sz w:val="21"/>
      <w:szCs w:val="21"/>
    </w:rPr>
  </w:style>
  <w:style w:type="paragraph" w:customStyle="1" w:styleId="33">
    <w:name w:val="样式1"/>
    <w:basedOn w:val="1"/>
    <w:qFormat/>
    <w:uiPriority w:val="0"/>
    <w:pPr>
      <w:spacing w:line="360" w:lineRule="auto"/>
    </w:pPr>
    <w:rPr>
      <w:rFonts w:ascii="宋体"/>
      <w:sz w:val="24"/>
    </w:rPr>
  </w:style>
  <w:style w:type="paragraph" w:customStyle="1" w:styleId="34">
    <w:name w:val="表格文字"/>
    <w:basedOn w:val="11"/>
    <w:next w:val="2"/>
    <w:qFormat/>
    <w:uiPriority w:val="0"/>
    <w:pPr>
      <w:adjustRightInd w:val="0"/>
      <w:spacing w:line="420" w:lineRule="atLeast"/>
      <w:jc w:val="left"/>
      <w:textAlignment w:val="baseline"/>
    </w:pPr>
    <w:rPr>
      <w:rFonts w:ascii="Times New Roman" w:hAnsi="Times New Roman"/>
      <w:kern w:val="0"/>
      <w:sz w:val="21"/>
      <w:szCs w:val="24"/>
    </w:rPr>
  </w:style>
  <w:style w:type="paragraph" w:customStyle="1" w:styleId="3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正文文字 6"/>
    <w:next w:val="1"/>
    <w:qFormat/>
    <w:uiPriority w:val="0"/>
    <w:pPr>
      <w:widowControl w:val="0"/>
      <w:ind w:left="240"/>
      <w:jc w:val="both"/>
    </w:pPr>
    <w:rPr>
      <w:rFonts w:ascii="宋体" w:hAnsi="Calibri" w:eastAsia="宋体" w:cs="Times New Roman"/>
      <w:b/>
      <w:bCs/>
      <w:kern w:val="2"/>
      <w:sz w:val="32"/>
      <w:szCs w:val="32"/>
      <w:lang w:val="en-US" w:eastAsia="zh-CN" w:bidi="ar-SA"/>
    </w:rPr>
  </w:style>
  <w:style w:type="character" w:customStyle="1" w:styleId="37">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38">
    <w:name w:val="正文2"/>
    <w:qFormat/>
    <w:uiPriority w:val="0"/>
    <w:pPr>
      <w:widowControl w:val="0"/>
      <w:adjustRightInd w:val="0"/>
      <w:spacing w:before="156" w:line="360" w:lineRule="auto"/>
      <w:ind w:firstLine="510" w:firstLineChars="200"/>
      <w:jc w:val="both"/>
    </w:pPr>
    <w:rPr>
      <w:rFonts w:ascii="Times New Roman" w:hAnsi="Times New Roman" w:eastAsia="宋体" w:cs="Times New Roman"/>
      <w:kern w:val="2"/>
      <w:sz w:val="24"/>
      <w:lang w:val="en-US" w:eastAsia="zh-CN" w:bidi="ar-SA"/>
    </w:rPr>
  </w:style>
  <w:style w:type="paragraph" w:customStyle="1" w:styleId="39">
    <w:name w:val="正文缩进1"/>
    <w:next w:val="11"/>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 w:val="24"/>
      <w:szCs w:val="21"/>
      <w:lang w:val="en-US" w:eastAsia="zh-CN" w:bidi="ar-SA"/>
    </w:rPr>
  </w:style>
  <w:style w:type="paragraph" w:customStyle="1" w:styleId="40">
    <w:name w:val="样式5"/>
    <w:qFormat/>
    <w:uiPriority w:val="0"/>
    <w:pPr>
      <w:widowControl w:val="0"/>
      <w:adjustRightInd w:val="0"/>
      <w:spacing w:line="440" w:lineRule="exact"/>
      <w:ind w:left="2" w:firstLine="480" w:firstLineChars="200"/>
      <w:jc w:val="both"/>
    </w:pPr>
    <w:rPr>
      <w:rFonts w:ascii="仿宋_GB2312" w:hAnsi="仿宋" w:eastAsia="仿宋_GB2312" w:cs="Times New Roman"/>
      <w:kern w:val="2"/>
      <w:sz w:val="24"/>
      <w:szCs w:val="24"/>
      <w:lang w:val="en-US" w:eastAsia="zh-CN" w:bidi="ar-SA"/>
    </w:rPr>
  </w:style>
  <w:style w:type="paragraph" w:styleId="41">
    <w:name w:val="List Paragraph"/>
    <w:basedOn w:val="1"/>
    <w:qFormat/>
    <w:uiPriority w:val="34"/>
    <w:pPr>
      <w:ind w:firstLine="420" w:firstLineChars="200"/>
    </w:pPr>
  </w:style>
  <w:style w:type="character" w:customStyle="1" w:styleId="42">
    <w:name w:val="批注框文本 字符"/>
    <w:basedOn w:val="27"/>
    <w:link w:val="15"/>
    <w:qFormat/>
    <w:uiPriority w:val="0"/>
    <w:rPr>
      <w:rFonts w:ascii="Times New Roman" w:hAnsi="Times New Roman"/>
      <w:kern w:val="2"/>
      <w:sz w:val="18"/>
      <w:szCs w:val="18"/>
    </w:rPr>
  </w:style>
  <w:style w:type="character" w:customStyle="1" w:styleId="43">
    <w:name w:val="正文文本缩进 字符"/>
    <w:basedOn w:val="27"/>
    <w:link w:val="11"/>
    <w:qFormat/>
    <w:uiPriority w:val="0"/>
    <w:rPr>
      <w:rFonts w:ascii="宋体" w:hAnsi="Courier New"/>
      <w:spacing w:val="-4"/>
      <w:kern w:val="2"/>
      <w:sz w:val="18"/>
    </w:rPr>
  </w:style>
  <w:style w:type="character" w:customStyle="1" w:styleId="44">
    <w:name w:val="正文首行缩进 2 字符"/>
    <w:basedOn w:val="43"/>
    <w:link w:val="24"/>
    <w:qFormat/>
    <w:uiPriority w:val="0"/>
    <w:rPr>
      <w:rFonts w:ascii="Times New Roman" w:hAnsi="Times New Roman"/>
      <w:spacing w:val="-4"/>
      <w:kern w:val="2"/>
      <w:sz w:val="21"/>
      <w:szCs w:val="24"/>
    </w:rPr>
  </w:style>
  <w:style w:type="character" w:customStyle="1" w:styleId="45">
    <w:name w:val="批注文字 字符"/>
    <w:basedOn w:val="27"/>
    <w:link w:val="10"/>
    <w:qFormat/>
    <w:uiPriority w:val="0"/>
    <w:rPr>
      <w:kern w:val="2"/>
      <w:sz w:val="21"/>
      <w:szCs w:val="24"/>
    </w:rPr>
  </w:style>
  <w:style w:type="character" w:customStyle="1" w:styleId="46">
    <w:name w:val="批注主题 字符"/>
    <w:basedOn w:val="45"/>
    <w:link w:val="12"/>
    <w:qFormat/>
    <w:uiPriority w:val="0"/>
    <w:rPr>
      <w:b/>
      <w:bCs/>
      <w:kern w:val="2"/>
      <w:sz w:val="21"/>
      <w:szCs w:val="24"/>
    </w:rPr>
  </w:style>
  <w:style w:type="paragraph" w:customStyle="1" w:styleId="47">
    <w:name w:val="Heading1"/>
    <w:basedOn w:val="1"/>
    <w:next w:val="1"/>
    <w:qFormat/>
    <w:uiPriority w:val="0"/>
    <w:pPr>
      <w:spacing w:before="43"/>
      <w:jc w:val="center"/>
      <w:textAlignment w:val="baseline"/>
    </w:pPr>
    <w:rPr>
      <w:rFonts w:ascii="黑体" w:hAnsi="黑体" w:eastAsia="黑体" w:cs="黑体"/>
      <w:b/>
      <w:bCs/>
      <w:sz w:val="32"/>
      <w:szCs w:val="32"/>
      <w:lang w:val="zh-CN" w:bidi="zh-CN"/>
    </w:rPr>
  </w:style>
  <w:style w:type="paragraph" w:customStyle="1" w:styleId="48">
    <w:name w:val="p16"/>
    <w:basedOn w:val="1"/>
    <w:qFormat/>
    <w:uiPriority w:val="0"/>
    <w:pPr>
      <w:widowControl/>
      <w:spacing w:after="200" w:line="276" w:lineRule="auto"/>
    </w:pPr>
    <w:rPr>
      <w:rFonts w:ascii="宋体" w:hAnsi="宋体" w:cs="宋体"/>
      <w:kern w:val="0"/>
      <w:szCs w:val="21"/>
    </w:rPr>
  </w:style>
  <w:style w:type="paragraph" w:customStyle="1" w:styleId="49">
    <w:name w:val="Table Paragraph"/>
    <w:basedOn w:val="1"/>
    <w:qFormat/>
    <w:uiPriority w:val="1"/>
    <w:pPr>
      <w:jc w:val="center"/>
    </w:pPr>
    <w:rPr>
      <w:rFonts w:ascii="宋体" w:hAnsi="宋体" w:eastAsia="宋体" w:cs="宋体"/>
      <w:lang w:val="zh-CN" w:eastAsia="zh-CN" w:bidi="zh-CN"/>
    </w:rPr>
  </w:style>
  <w:style w:type="paragraph" w:customStyle="1" w:styleId="50">
    <w:name w:val="正文段"/>
    <w:basedOn w:val="1"/>
    <w:qFormat/>
    <w:uiPriority w:val="0"/>
    <w:pPr>
      <w:widowControl/>
      <w:snapToGrid w:val="0"/>
      <w:spacing w:after="50" w:afterLines="50"/>
      <w:ind w:firstLine="200" w:firstLineChars="200"/>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DF2CD4-6700-4185-86A1-865684030AE6}">
  <ds:schemaRefs/>
</ds:datastoreItem>
</file>

<file path=docProps/app.xml><?xml version="1.0" encoding="utf-8"?>
<Properties xmlns="http://schemas.openxmlformats.org/officeDocument/2006/extended-properties" xmlns:vt="http://schemas.openxmlformats.org/officeDocument/2006/docPropsVTypes">
  <Template>Normal.dotm</Template>
  <Pages>80</Pages>
  <Words>16229</Words>
  <Characters>17367</Characters>
  <Lines>390</Lines>
  <Paragraphs>109</Paragraphs>
  <TotalTime>31</TotalTime>
  <ScaleCrop>false</ScaleCrop>
  <LinksUpToDate>false</LinksUpToDate>
  <CharactersWithSpaces>17546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2024-08-07T09:27:00Z</dcterms:created>
  <dc:creator>Administrator</dc:creator>
  <cp:lastModifiedBy>Administrator</cp:lastModifiedBy>
  <cp:lastPrinted>2025-02-13T03:07:00Z</cp:lastPrinted>
  <dcterms:modified xsi:type="dcterms:W3CDTF">2025-05-22T02:56:32Z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DDA7A1934AB549D289013C13007E9438_13</vt:lpwstr>
  </property>
  <property fmtid="{D5CDD505-2E9C-101B-9397-08002B2CF9AE}" pid="4" name="KSOTemplateDocerSaveRecord">
    <vt:lpwstr>eyJoZGlkIjoiOTc3MGFhZmExN2JiZDViZDYwMmUyYmFjOTc3MDY1Y2IiLCJ1c2VySWQiOiIxNTkxNTY5NTE4In0=</vt:lpwstr>
  </property>
</Properties>
</file>