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6D43A9">
      <w:pPr>
        <w:snapToGrid w:val="0"/>
        <w:spacing w:before="156" w:beforeLines="50" w:line="360" w:lineRule="auto"/>
        <w:jc w:val="left"/>
        <w:rPr>
          <w:rFonts w:ascii="宋体" w:hAnsi="宋体" w:eastAsia="宋体" w:cs="宋体"/>
          <w:color w:val="auto"/>
          <w:sz w:val="72"/>
          <w:szCs w:val="72"/>
          <w:highlight w:val="none"/>
        </w:rPr>
      </w:pPr>
    </w:p>
    <w:p w14:paraId="2BD3EF3E">
      <w:pPr>
        <w:snapToGrid w:val="0"/>
        <w:spacing w:before="156" w:beforeLines="50" w:line="360" w:lineRule="auto"/>
        <w:jc w:val="center"/>
        <w:rPr>
          <w:rFonts w:ascii="宋体" w:hAnsi="宋体" w:eastAsia="宋体" w:cs="宋体"/>
          <w:color w:val="auto"/>
          <w:sz w:val="44"/>
          <w:szCs w:val="44"/>
          <w:highlight w:val="none"/>
        </w:rPr>
      </w:pPr>
      <w:r>
        <w:rPr>
          <w:rFonts w:hint="eastAsia" w:ascii="宋体" w:hAnsi="宋体" w:eastAsia="宋体" w:cs="宋体"/>
          <w:color w:val="auto"/>
          <w:sz w:val="72"/>
          <w:szCs w:val="72"/>
          <w:highlight w:val="none"/>
        </w:rPr>
        <w:t>竞争性谈判文件</w:t>
      </w:r>
    </w:p>
    <w:p w14:paraId="1EF93676">
      <w:pPr>
        <w:spacing w:before="312" w:beforeLines="100" w:after="156" w:afterLines="50"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（全流程电子化评标）</w:t>
      </w:r>
    </w:p>
    <w:p w14:paraId="122A8354">
      <w:pPr>
        <w:spacing w:line="360" w:lineRule="auto"/>
        <w:rPr>
          <w:rFonts w:ascii="宋体" w:hAnsi="宋体" w:eastAsia="宋体" w:cs="宋体"/>
          <w:b/>
          <w:color w:val="auto"/>
          <w:sz w:val="32"/>
          <w:szCs w:val="32"/>
          <w:highlight w:val="none"/>
        </w:rPr>
      </w:pPr>
    </w:p>
    <w:p w14:paraId="4B017C6E">
      <w:pPr>
        <w:spacing w:line="360" w:lineRule="auto"/>
        <w:jc w:val="center"/>
        <w:rPr>
          <w:rFonts w:ascii="宋体" w:hAnsi="宋体" w:eastAsia="宋体" w:cs="宋体"/>
          <w:b/>
          <w:color w:val="auto"/>
          <w:sz w:val="32"/>
          <w:szCs w:val="32"/>
          <w:highlight w:val="none"/>
        </w:rPr>
      </w:pPr>
    </w:p>
    <w:p w14:paraId="4C318A09">
      <w:pPr>
        <w:snapToGrid w:val="0"/>
        <w:spacing w:before="50" w:after="120" w:line="360" w:lineRule="auto"/>
        <w:ind w:firstLine="1193" w:firstLineChars="396"/>
        <w:rPr>
          <w:rFonts w:ascii="宋体" w:hAnsi="宋体" w:eastAsia="宋体" w:cs="宋体"/>
          <w:b/>
          <w:bCs/>
          <w:color w:val="auto"/>
          <w:kern w:val="0"/>
          <w:sz w:val="30"/>
          <w:szCs w:val="30"/>
          <w:highlight w:val="none"/>
          <w:lang w:val="zh-CN"/>
        </w:rPr>
      </w:pPr>
      <w:r>
        <w:rPr>
          <w:rFonts w:hint="eastAsia" w:ascii="宋体" w:hAnsi="宋体" w:eastAsia="宋体" w:cs="宋体"/>
          <w:b/>
          <w:bCs/>
          <w:color w:val="auto"/>
          <w:kern w:val="0"/>
          <w:sz w:val="30"/>
          <w:szCs w:val="30"/>
          <w:highlight w:val="none"/>
          <w:lang w:val="zh-CN"/>
        </w:rPr>
        <w:t>项目</w:t>
      </w:r>
      <w:r>
        <w:rPr>
          <w:rFonts w:hint="eastAsia" w:ascii="宋体" w:hAnsi="宋体" w:eastAsia="宋体" w:cs="宋体"/>
          <w:b/>
          <w:bCs/>
          <w:color w:val="auto"/>
          <w:w w:val="95"/>
          <w:kern w:val="0"/>
          <w:sz w:val="30"/>
          <w:szCs w:val="30"/>
          <w:highlight w:val="none"/>
          <w:lang w:val="zh-CN"/>
        </w:rPr>
        <w:t>名称</w:t>
      </w:r>
      <w:r>
        <w:rPr>
          <w:rFonts w:hint="eastAsia" w:ascii="宋体" w:hAnsi="宋体" w:eastAsia="宋体" w:cs="宋体"/>
          <w:b/>
          <w:bCs/>
          <w:color w:val="auto"/>
          <w:kern w:val="0"/>
          <w:sz w:val="30"/>
          <w:szCs w:val="30"/>
          <w:highlight w:val="none"/>
          <w:lang w:val="zh-CN"/>
        </w:rPr>
        <w:t>：2025年网络交换机采购项目</w:t>
      </w:r>
    </w:p>
    <w:p w14:paraId="7502E2DF">
      <w:pPr>
        <w:snapToGrid w:val="0"/>
        <w:spacing w:before="50" w:after="120" w:line="360" w:lineRule="auto"/>
        <w:ind w:firstLine="2699" w:firstLineChars="896"/>
        <w:rPr>
          <w:rFonts w:ascii="宋体" w:hAnsi="宋体" w:eastAsia="宋体" w:cs="宋体"/>
          <w:b/>
          <w:bCs/>
          <w:color w:val="auto"/>
          <w:kern w:val="0"/>
          <w:sz w:val="30"/>
          <w:szCs w:val="30"/>
          <w:highlight w:val="none"/>
        </w:rPr>
      </w:pPr>
    </w:p>
    <w:p w14:paraId="4164A744">
      <w:pPr>
        <w:snapToGrid w:val="0"/>
        <w:spacing w:before="156" w:beforeLines="50" w:line="360" w:lineRule="auto"/>
        <w:ind w:firstLine="1145" w:firstLineChars="400"/>
        <w:rPr>
          <w:rFonts w:hint="eastAsia" w:ascii="宋体" w:hAnsi="宋体" w:eastAsia="宋体" w:cs="宋体"/>
          <w:b/>
          <w:color w:val="auto"/>
          <w:sz w:val="30"/>
          <w:szCs w:val="48"/>
          <w:highlight w:val="none"/>
          <w:lang w:eastAsia="zh-CN"/>
        </w:rPr>
      </w:pPr>
      <w:r>
        <w:rPr>
          <w:rFonts w:hint="eastAsia" w:ascii="宋体" w:hAnsi="宋体" w:eastAsia="宋体" w:cs="宋体"/>
          <w:b/>
          <w:bCs/>
          <w:color w:val="auto"/>
          <w:w w:val="95"/>
          <w:sz w:val="30"/>
          <w:szCs w:val="30"/>
          <w:highlight w:val="none"/>
        </w:rPr>
        <w:t>项目</w:t>
      </w:r>
      <w:r>
        <w:rPr>
          <w:rFonts w:hint="eastAsia" w:ascii="宋体" w:hAnsi="宋体" w:eastAsia="宋体" w:cs="宋体"/>
          <w:b/>
          <w:bCs/>
          <w:color w:val="auto"/>
          <w:sz w:val="30"/>
          <w:szCs w:val="30"/>
          <w:highlight w:val="none"/>
        </w:rPr>
        <w:t>编号</w:t>
      </w:r>
      <w:r>
        <w:rPr>
          <w:rFonts w:hint="eastAsia" w:ascii="宋体" w:hAnsi="宋体" w:eastAsia="宋体" w:cs="宋体"/>
          <w:b/>
          <w:bCs/>
          <w:color w:val="auto"/>
          <w:w w:val="95"/>
          <w:sz w:val="30"/>
          <w:szCs w:val="30"/>
          <w:highlight w:val="none"/>
        </w:rPr>
        <w:t>：</w:t>
      </w:r>
      <w:r>
        <w:rPr>
          <w:rFonts w:hint="eastAsia" w:ascii="宋体" w:hAnsi="宋体" w:eastAsia="宋体" w:cs="宋体"/>
          <w:b/>
          <w:bCs/>
          <w:color w:val="auto"/>
          <w:w w:val="95"/>
          <w:sz w:val="30"/>
          <w:szCs w:val="30"/>
          <w:highlight w:val="none"/>
          <w:lang w:eastAsia="zh-CN"/>
        </w:rPr>
        <w:t>GXZC2025-J1-003520-GXKL</w:t>
      </w:r>
    </w:p>
    <w:p w14:paraId="63129796">
      <w:pPr>
        <w:snapToGrid w:val="0"/>
        <w:spacing w:before="50" w:after="120" w:line="360" w:lineRule="auto"/>
        <w:ind w:firstLine="1125" w:firstLineChars="393"/>
        <w:rPr>
          <w:rFonts w:ascii="宋体" w:hAnsi="宋体" w:eastAsia="宋体" w:cs="宋体"/>
          <w:b/>
          <w:bCs/>
          <w:color w:val="auto"/>
          <w:w w:val="95"/>
          <w:kern w:val="0"/>
          <w:sz w:val="30"/>
          <w:szCs w:val="30"/>
          <w:highlight w:val="none"/>
          <w:lang w:val="zh-CN"/>
        </w:rPr>
      </w:pPr>
    </w:p>
    <w:p w14:paraId="776ADACF">
      <w:pPr>
        <w:snapToGrid w:val="0"/>
        <w:spacing w:before="50" w:after="120" w:line="360" w:lineRule="auto"/>
        <w:ind w:firstLine="1125" w:firstLineChars="393"/>
        <w:rPr>
          <w:rFonts w:ascii="宋体" w:hAnsi="宋体" w:eastAsia="宋体" w:cs="宋体"/>
          <w:b/>
          <w:bCs/>
          <w:color w:val="auto"/>
          <w:w w:val="95"/>
          <w:kern w:val="0"/>
          <w:sz w:val="30"/>
          <w:szCs w:val="30"/>
          <w:highlight w:val="none"/>
          <w:lang w:val="zh-CN"/>
        </w:rPr>
      </w:pPr>
    </w:p>
    <w:p w14:paraId="555FC415">
      <w:pPr>
        <w:snapToGrid w:val="0"/>
        <w:spacing w:before="50" w:after="120" w:line="360" w:lineRule="auto"/>
        <w:ind w:firstLine="1125" w:firstLineChars="393"/>
        <w:rPr>
          <w:rFonts w:ascii="宋体" w:hAnsi="宋体" w:eastAsia="宋体" w:cs="宋体"/>
          <w:b/>
          <w:bCs/>
          <w:color w:val="auto"/>
          <w:w w:val="95"/>
          <w:kern w:val="0"/>
          <w:sz w:val="30"/>
          <w:szCs w:val="30"/>
          <w:highlight w:val="none"/>
          <w:lang w:val="zh-CN"/>
        </w:rPr>
      </w:pPr>
    </w:p>
    <w:p w14:paraId="07804EAD">
      <w:pPr>
        <w:snapToGrid w:val="0"/>
        <w:spacing w:before="50" w:after="120" w:line="360" w:lineRule="auto"/>
        <w:ind w:firstLine="1125" w:firstLineChars="393"/>
        <w:rPr>
          <w:rFonts w:ascii="宋体" w:hAnsi="宋体" w:eastAsia="宋体" w:cs="宋体"/>
          <w:b/>
          <w:bCs/>
          <w:color w:val="auto"/>
          <w:w w:val="95"/>
          <w:kern w:val="0"/>
          <w:sz w:val="30"/>
          <w:szCs w:val="30"/>
          <w:highlight w:val="none"/>
          <w:lang w:val="zh-CN"/>
        </w:rPr>
      </w:pPr>
      <w:r>
        <w:rPr>
          <w:rFonts w:hint="eastAsia" w:ascii="宋体" w:hAnsi="宋体" w:eastAsia="宋体" w:cs="宋体"/>
          <w:b/>
          <w:bCs/>
          <w:color w:val="auto"/>
          <w:w w:val="95"/>
          <w:kern w:val="0"/>
          <w:sz w:val="30"/>
          <w:szCs w:val="30"/>
          <w:highlight w:val="none"/>
          <w:lang w:val="zh-CN"/>
        </w:rPr>
        <w:t>采 购 人：</w:t>
      </w:r>
      <w:r>
        <w:rPr>
          <w:rFonts w:hint="eastAsia" w:ascii="宋体" w:hAnsi="宋体" w:eastAsia="宋体" w:cs="宋体"/>
          <w:b/>
          <w:bCs/>
          <w:color w:val="auto"/>
          <w:w w:val="95"/>
          <w:kern w:val="0"/>
          <w:sz w:val="30"/>
          <w:szCs w:val="30"/>
          <w:highlight w:val="none"/>
          <w:lang w:eastAsia="zh-CN"/>
        </w:rPr>
        <w:t>广西医科大学武鸣医院</w:t>
      </w:r>
      <w:r>
        <w:rPr>
          <w:rFonts w:hint="eastAsia" w:ascii="宋体" w:hAnsi="宋体" w:cs="宋体"/>
          <w:b/>
          <w:bCs/>
          <w:color w:val="auto"/>
          <w:w w:val="95"/>
          <w:kern w:val="0"/>
          <w:sz w:val="30"/>
          <w:szCs w:val="30"/>
          <w:highlight w:val="none"/>
          <w:lang w:val="zh-CN"/>
        </w:rPr>
        <w:t xml:space="preserve"> </w:t>
      </w:r>
      <w:r>
        <w:rPr>
          <w:rFonts w:hint="eastAsia" w:ascii="宋体" w:hAnsi="宋体" w:eastAsia="宋体" w:cs="宋体"/>
          <w:b/>
          <w:bCs/>
          <w:color w:val="auto"/>
          <w:w w:val="95"/>
          <w:kern w:val="0"/>
          <w:sz w:val="30"/>
          <w:szCs w:val="30"/>
          <w:highlight w:val="none"/>
          <w:lang w:val="zh-CN"/>
        </w:rPr>
        <w:t xml:space="preserve"> </w:t>
      </w:r>
      <w:r>
        <w:rPr>
          <w:rFonts w:hint="eastAsia" w:ascii="宋体" w:hAnsi="宋体" w:eastAsia="宋体" w:cs="宋体"/>
          <w:b/>
          <w:bCs/>
          <w:color w:val="auto"/>
          <w:w w:val="95"/>
          <w:kern w:val="0"/>
          <w:sz w:val="30"/>
          <w:szCs w:val="30"/>
          <w:highlight w:val="none"/>
        </w:rPr>
        <w:t xml:space="preserve"> </w:t>
      </w:r>
    </w:p>
    <w:p w14:paraId="31D6C5DA">
      <w:pPr>
        <w:spacing w:line="360" w:lineRule="auto"/>
        <w:ind w:firstLine="1145" w:firstLineChars="400"/>
        <w:rPr>
          <w:rFonts w:ascii="宋体" w:hAnsi="宋体" w:eastAsia="宋体" w:cs="宋体"/>
          <w:b/>
          <w:color w:val="auto"/>
          <w:sz w:val="32"/>
          <w:szCs w:val="32"/>
          <w:highlight w:val="none"/>
        </w:rPr>
      </w:pPr>
      <w:r>
        <w:rPr>
          <w:rFonts w:hint="eastAsia" w:ascii="宋体" w:hAnsi="宋体" w:eastAsia="宋体" w:cs="宋体"/>
          <w:b/>
          <w:bCs/>
          <w:color w:val="auto"/>
          <w:w w:val="95"/>
          <w:kern w:val="0"/>
          <w:sz w:val="30"/>
          <w:szCs w:val="30"/>
          <w:highlight w:val="none"/>
          <w:lang w:val="zh-CN"/>
        </w:rPr>
        <w:t>采购代理机构：</w:t>
      </w:r>
      <w:bookmarkStart w:id="0" w:name="PO_3000001866_PM031"/>
      <w:r>
        <w:rPr>
          <w:rFonts w:hint="eastAsia" w:ascii="宋体" w:hAnsi="宋体" w:eastAsia="宋体" w:cs="宋体"/>
          <w:b/>
          <w:bCs/>
          <w:color w:val="auto"/>
          <w:w w:val="95"/>
          <w:kern w:val="0"/>
          <w:sz w:val="30"/>
          <w:szCs w:val="30"/>
          <w:highlight w:val="none"/>
          <w:lang w:val="zh-CN"/>
        </w:rPr>
        <w:t>广西科联招标中心有限公司</w:t>
      </w:r>
      <w:bookmarkEnd w:id="0"/>
    </w:p>
    <w:p w14:paraId="0262F028">
      <w:pPr>
        <w:ind w:firstLine="803"/>
        <w:jc w:val="center"/>
        <w:rPr>
          <w:rFonts w:ascii="宋体" w:hAnsi="宋体" w:eastAsia="宋体" w:cs="宋体"/>
          <w:b/>
          <w:color w:val="auto"/>
          <w:sz w:val="32"/>
          <w:szCs w:val="32"/>
          <w:highlight w:val="none"/>
          <w:lang w:val="zh-CN"/>
        </w:rPr>
        <w:sectPr>
          <w:headerReference r:id="rId4" w:type="first"/>
          <w:footerReference r:id="rId6" w:type="first"/>
          <w:headerReference r:id="rId3" w:type="default"/>
          <w:footerReference r:id="rId5" w:type="default"/>
          <w:pgSz w:w="11906" w:h="16838"/>
          <w:pgMar w:top="1440" w:right="1440" w:bottom="1440" w:left="1587" w:header="851" w:footer="992" w:gutter="0"/>
          <w:pgNumType w:start="0"/>
          <w:cols w:space="720" w:num="1"/>
          <w:titlePg/>
          <w:docGrid w:type="lines" w:linePitch="312" w:charSpace="0"/>
        </w:sectPr>
      </w:pPr>
    </w:p>
    <w:p w14:paraId="2B995064">
      <w:pPr>
        <w:spacing w:line="400" w:lineRule="exact"/>
        <w:jc w:val="left"/>
        <w:rPr>
          <w:rFonts w:ascii="宋体" w:hAnsi="宋体" w:eastAsia="宋体" w:cs="Times New Roman"/>
          <w:b/>
          <w:color w:val="auto"/>
          <w:sz w:val="32"/>
          <w:szCs w:val="32"/>
          <w:highlight w:val="none"/>
        </w:rPr>
      </w:pPr>
    </w:p>
    <w:p w14:paraId="65C6E634">
      <w:pPr>
        <w:spacing w:line="360" w:lineRule="auto"/>
        <w:jc w:val="center"/>
        <w:rPr>
          <w:rFonts w:ascii="宋体" w:hAnsi="宋体" w:eastAsia="宋体" w:cs="Times New Roman"/>
          <w:b/>
          <w:color w:val="auto"/>
          <w:sz w:val="44"/>
          <w:szCs w:val="44"/>
          <w:highlight w:val="none"/>
        </w:rPr>
      </w:pPr>
      <w:r>
        <w:rPr>
          <w:rFonts w:hint="eastAsia" w:ascii="宋体" w:hAnsi="宋体" w:eastAsia="宋体" w:cs="Times New Roman"/>
          <w:b/>
          <w:color w:val="auto"/>
          <w:sz w:val="44"/>
          <w:szCs w:val="44"/>
          <w:highlight w:val="none"/>
        </w:rPr>
        <w:t>目   录</w:t>
      </w:r>
    </w:p>
    <w:p w14:paraId="47F3E16E">
      <w:pPr>
        <w:spacing w:line="400" w:lineRule="exact"/>
        <w:jc w:val="center"/>
        <w:rPr>
          <w:rFonts w:ascii="宋体" w:hAnsi="宋体" w:eastAsia="宋体" w:cs="Times New Roman"/>
          <w:b/>
          <w:color w:val="auto"/>
          <w:sz w:val="44"/>
          <w:szCs w:val="44"/>
          <w:highlight w:val="none"/>
        </w:rPr>
      </w:pPr>
    </w:p>
    <w:p w14:paraId="4919E9E5">
      <w:pPr>
        <w:pStyle w:val="23"/>
        <w:tabs>
          <w:tab w:val="right" w:leader="dot" w:pos="8879"/>
        </w:tabs>
        <w:rPr>
          <w:rFonts w:ascii="宋体" w:hAnsi="宋体" w:eastAsia="宋体" w:cs="宋体"/>
          <w:b/>
          <w:color w:val="auto"/>
          <w:sz w:val="28"/>
          <w:szCs w:val="28"/>
          <w:highlight w:val="none"/>
        </w:rPr>
      </w:pPr>
    </w:p>
    <w:p w14:paraId="2A253CDA">
      <w:pPr>
        <w:pStyle w:val="23"/>
        <w:tabs>
          <w:tab w:val="right" w:leader="dot" w:pos="8879"/>
        </w:tabs>
        <w:spacing w:line="480" w:lineRule="auto"/>
        <w:rPr>
          <w:rFonts w:hint="eastAsia" w:ascii="宋体" w:hAnsi="宋体" w:eastAsia="宋体" w:cs="宋体"/>
          <w:b/>
          <w:bCs/>
          <w:color w:val="auto"/>
          <w:sz w:val="28"/>
          <w:szCs w:val="28"/>
          <w:highlight w:val="none"/>
        </w:rPr>
      </w:pP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TOC \o "1-1" \h \u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"_Toc28468" </w:instrText>
      </w:r>
      <w:r>
        <w:rPr>
          <w:rFonts w:hint="eastAsia" w:ascii="宋体" w:hAnsi="宋体" w:eastAsia="宋体" w:cs="宋体"/>
          <w:color w:val="auto"/>
          <w:sz w:val="28"/>
          <w:szCs w:val="28"/>
          <w:highlight w:val="none"/>
        </w:rPr>
        <w:fldChar w:fldCharType="separate"/>
      </w:r>
      <w:r>
        <w:rPr>
          <w:rFonts w:hint="eastAsia" w:ascii="宋体" w:hAnsi="宋体" w:eastAsia="宋体" w:cs="宋体"/>
          <w:b/>
          <w:bCs/>
          <w:color w:val="auto"/>
          <w:kern w:val="44"/>
          <w:sz w:val="28"/>
          <w:szCs w:val="28"/>
          <w:highlight w:val="none"/>
          <w:lang w:val="zh-CN"/>
        </w:rPr>
        <w:t xml:space="preserve">第一章 </w:t>
      </w:r>
      <w:r>
        <w:rPr>
          <w:rFonts w:hint="eastAsia" w:ascii="宋体" w:hAnsi="宋体" w:eastAsia="宋体" w:cs="宋体"/>
          <w:b/>
          <w:bCs/>
          <w:color w:val="auto"/>
          <w:kern w:val="44"/>
          <w:sz w:val="28"/>
          <w:szCs w:val="28"/>
          <w:highlight w:val="none"/>
          <w:lang w:val="en-US" w:eastAsia="zh-CN"/>
        </w:rPr>
        <w:t xml:space="preserve"> </w:t>
      </w:r>
      <w:r>
        <w:rPr>
          <w:rFonts w:hint="eastAsia" w:ascii="宋体" w:hAnsi="宋体" w:eastAsia="宋体" w:cs="宋体"/>
          <w:b/>
          <w:bCs/>
          <w:color w:val="auto"/>
          <w:kern w:val="44"/>
          <w:sz w:val="28"/>
          <w:szCs w:val="28"/>
          <w:highlight w:val="none"/>
          <w:lang w:val="zh-CN"/>
        </w:rPr>
        <w:t>竞争性谈判公告</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_Toc28468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2</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14:paraId="55CEFA4B">
      <w:pPr>
        <w:pStyle w:val="23"/>
        <w:tabs>
          <w:tab w:val="right" w:leader="dot" w:pos="8879"/>
        </w:tabs>
        <w:spacing w:line="480" w:lineRule="auto"/>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"_Toc7676" </w:instrText>
      </w:r>
      <w:r>
        <w:rPr>
          <w:rFonts w:hint="eastAsia" w:ascii="宋体" w:hAnsi="宋体" w:eastAsia="宋体" w:cs="宋体"/>
          <w:color w:val="auto"/>
          <w:sz w:val="28"/>
          <w:szCs w:val="28"/>
          <w:highlight w:val="none"/>
        </w:rPr>
        <w:fldChar w:fldCharType="separate"/>
      </w:r>
      <w:r>
        <w:rPr>
          <w:rFonts w:hint="eastAsia" w:ascii="宋体" w:hAnsi="宋体" w:eastAsia="宋体" w:cs="宋体"/>
          <w:b/>
          <w:bCs/>
          <w:color w:val="auto"/>
          <w:kern w:val="44"/>
          <w:sz w:val="28"/>
          <w:szCs w:val="28"/>
          <w:highlight w:val="none"/>
          <w:lang w:val="zh-CN"/>
        </w:rPr>
        <w:t xml:space="preserve">第二章 </w:t>
      </w:r>
      <w:r>
        <w:rPr>
          <w:rFonts w:hint="eastAsia" w:ascii="宋体" w:hAnsi="宋体" w:eastAsia="宋体" w:cs="宋体"/>
          <w:b/>
          <w:bCs/>
          <w:color w:val="auto"/>
          <w:kern w:val="44"/>
          <w:sz w:val="28"/>
          <w:szCs w:val="28"/>
          <w:highlight w:val="none"/>
          <w:lang w:val="en-US" w:eastAsia="zh-CN"/>
        </w:rPr>
        <w:t xml:space="preserve"> </w:t>
      </w:r>
      <w:r>
        <w:rPr>
          <w:rFonts w:hint="eastAsia" w:ascii="宋体" w:hAnsi="宋体" w:eastAsia="宋体" w:cs="宋体"/>
          <w:b/>
          <w:bCs/>
          <w:color w:val="auto"/>
          <w:kern w:val="44"/>
          <w:sz w:val="28"/>
          <w:szCs w:val="28"/>
          <w:highlight w:val="none"/>
          <w:lang w:val="zh-CN"/>
        </w:rPr>
        <w:t>采购需求</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_Toc7676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5</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14:paraId="0B3382FA">
      <w:pPr>
        <w:pStyle w:val="23"/>
        <w:tabs>
          <w:tab w:val="right" w:leader="dot" w:pos="8879"/>
        </w:tabs>
        <w:spacing w:line="480" w:lineRule="auto"/>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"_Toc16363" </w:instrText>
      </w:r>
      <w:r>
        <w:rPr>
          <w:rFonts w:hint="eastAsia" w:ascii="宋体" w:hAnsi="宋体" w:eastAsia="宋体" w:cs="宋体"/>
          <w:color w:val="auto"/>
          <w:sz w:val="28"/>
          <w:szCs w:val="28"/>
          <w:highlight w:val="none"/>
        </w:rPr>
        <w:fldChar w:fldCharType="separate"/>
      </w:r>
      <w:r>
        <w:rPr>
          <w:rFonts w:hint="eastAsia" w:ascii="宋体" w:hAnsi="宋体" w:eastAsia="宋体" w:cs="宋体"/>
          <w:b/>
          <w:bCs/>
          <w:color w:val="auto"/>
          <w:kern w:val="44"/>
          <w:sz w:val="28"/>
          <w:szCs w:val="28"/>
          <w:highlight w:val="none"/>
          <w:lang w:val="zh-CN"/>
        </w:rPr>
        <w:t xml:space="preserve">第三章 </w:t>
      </w:r>
      <w:r>
        <w:rPr>
          <w:rFonts w:hint="eastAsia" w:ascii="宋体" w:hAnsi="宋体" w:eastAsia="宋体" w:cs="宋体"/>
          <w:b/>
          <w:bCs/>
          <w:color w:val="auto"/>
          <w:kern w:val="44"/>
          <w:sz w:val="28"/>
          <w:szCs w:val="28"/>
          <w:highlight w:val="none"/>
          <w:lang w:val="en-US" w:eastAsia="zh-CN"/>
        </w:rPr>
        <w:t xml:space="preserve"> </w:t>
      </w:r>
      <w:r>
        <w:rPr>
          <w:rFonts w:hint="eastAsia" w:ascii="宋体" w:hAnsi="宋体" w:eastAsia="宋体" w:cs="宋体"/>
          <w:b/>
          <w:bCs/>
          <w:color w:val="auto"/>
          <w:kern w:val="44"/>
          <w:sz w:val="28"/>
          <w:szCs w:val="28"/>
          <w:highlight w:val="none"/>
          <w:lang w:val="zh-CN"/>
        </w:rPr>
        <w:t>供应商须知</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_Toc16363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12</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14:paraId="70BEC816">
      <w:pPr>
        <w:pStyle w:val="23"/>
        <w:tabs>
          <w:tab w:val="right" w:leader="dot" w:pos="8879"/>
        </w:tabs>
        <w:spacing w:line="480" w:lineRule="auto"/>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"_Toc17139" </w:instrText>
      </w:r>
      <w:r>
        <w:rPr>
          <w:rFonts w:hint="eastAsia" w:ascii="宋体" w:hAnsi="宋体" w:eastAsia="宋体" w:cs="宋体"/>
          <w:color w:val="auto"/>
          <w:sz w:val="28"/>
          <w:szCs w:val="28"/>
          <w:highlight w:val="none"/>
        </w:rPr>
        <w:fldChar w:fldCharType="separate"/>
      </w:r>
      <w:r>
        <w:rPr>
          <w:rFonts w:hint="eastAsia" w:ascii="宋体" w:hAnsi="宋体" w:eastAsia="宋体" w:cs="宋体"/>
          <w:b/>
          <w:bCs/>
          <w:color w:val="auto"/>
          <w:sz w:val="28"/>
          <w:szCs w:val="28"/>
          <w:highlight w:val="none"/>
          <w:lang w:val="zh-CN"/>
        </w:rPr>
        <w:t xml:space="preserve">第四章 </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lang w:val="zh-CN"/>
        </w:rPr>
        <w:t>评审程序、评审方法和成交标准</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_Toc17139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30</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14:paraId="5CF3904B">
      <w:pPr>
        <w:pStyle w:val="23"/>
        <w:tabs>
          <w:tab w:val="right" w:leader="dot" w:pos="8879"/>
        </w:tabs>
        <w:spacing w:line="480" w:lineRule="auto"/>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"_Toc25678" </w:instrText>
      </w:r>
      <w:r>
        <w:rPr>
          <w:rFonts w:hint="eastAsia" w:ascii="宋体" w:hAnsi="宋体" w:eastAsia="宋体" w:cs="宋体"/>
          <w:color w:val="auto"/>
          <w:sz w:val="28"/>
          <w:szCs w:val="28"/>
          <w:highlight w:val="none"/>
        </w:rPr>
        <w:fldChar w:fldCharType="separate"/>
      </w:r>
      <w:r>
        <w:rPr>
          <w:rFonts w:hint="eastAsia" w:ascii="宋体" w:hAnsi="宋体" w:eastAsia="宋体" w:cs="宋体"/>
          <w:b/>
          <w:bCs/>
          <w:color w:val="auto"/>
          <w:kern w:val="44"/>
          <w:sz w:val="28"/>
          <w:szCs w:val="28"/>
          <w:highlight w:val="none"/>
          <w:lang w:val="zh-CN"/>
        </w:rPr>
        <w:t xml:space="preserve">第五章 </w:t>
      </w:r>
      <w:r>
        <w:rPr>
          <w:rFonts w:hint="eastAsia" w:ascii="宋体" w:hAnsi="宋体" w:eastAsia="宋体" w:cs="宋体"/>
          <w:b/>
          <w:bCs/>
          <w:color w:val="auto"/>
          <w:kern w:val="44"/>
          <w:sz w:val="28"/>
          <w:szCs w:val="28"/>
          <w:highlight w:val="none"/>
          <w:lang w:val="en-US" w:eastAsia="zh-CN"/>
        </w:rPr>
        <w:t xml:space="preserve"> </w:t>
      </w:r>
      <w:r>
        <w:rPr>
          <w:rFonts w:hint="eastAsia" w:ascii="宋体" w:hAnsi="宋体" w:eastAsia="宋体" w:cs="宋体"/>
          <w:b/>
          <w:bCs/>
          <w:color w:val="auto"/>
          <w:kern w:val="44"/>
          <w:sz w:val="28"/>
          <w:szCs w:val="28"/>
          <w:highlight w:val="none"/>
          <w:lang w:val="zh-CN"/>
        </w:rPr>
        <w:t>响应文件格式</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_Toc25678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36</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14:paraId="7CC56B75">
      <w:pPr>
        <w:pStyle w:val="23"/>
        <w:tabs>
          <w:tab w:val="right" w:leader="dot" w:pos="8879"/>
        </w:tabs>
        <w:spacing w:line="480" w:lineRule="auto"/>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"_Toc4631" </w:instrText>
      </w:r>
      <w:r>
        <w:rPr>
          <w:rFonts w:hint="eastAsia" w:ascii="宋体" w:hAnsi="宋体" w:eastAsia="宋体" w:cs="宋体"/>
          <w:color w:val="auto"/>
          <w:sz w:val="28"/>
          <w:szCs w:val="28"/>
          <w:highlight w:val="none"/>
        </w:rPr>
        <w:fldChar w:fldCharType="separate"/>
      </w:r>
      <w:r>
        <w:rPr>
          <w:rFonts w:hint="eastAsia" w:ascii="宋体" w:hAnsi="宋体" w:eastAsia="宋体" w:cs="宋体"/>
          <w:b/>
          <w:bCs/>
          <w:color w:val="auto"/>
          <w:kern w:val="44"/>
          <w:sz w:val="28"/>
          <w:szCs w:val="28"/>
          <w:highlight w:val="none"/>
          <w:lang w:val="zh-CN"/>
        </w:rPr>
        <w:t xml:space="preserve">第六章 </w:t>
      </w:r>
      <w:r>
        <w:rPr>
          <w:rFonts w:hint="eastAsia" w:ascii="宋体" w:hAnsi="宋体" w:eastAsia="宋体" w:cs="宋体"/>
          <w:b/>
          <w:bCs/>
          <w:color w:val="auto"/>
          <w:kern w:val="44"/>
          <w:sz w:val="28"/>
          <w:szCs w:val="28"/>
          <w:highlight w:val="none"/>
          <w:lang w:val="en-US" w:eastAsia="zh-CN"/>
        </w:rPr>
        <w:t xml:space="preserve"> </w:t>
      </w:r>
      <w:r>
        <w:rPr>
          <w:rFonts w:hint="eastAsia" w:ascii="宋体" w:hAnsi="宋体" w:eastAsia="宋体" w:cs="宋体"/>
          <w:b/>
          <w:bCs/>
          <w:color w:val="auto"/>
          <w:kern w:val="44"/>
          <w:sz w:val="28"/>
          <w:szCs w:val="28"/>
          <w:highlight w:val="none"/>
          <w:lang w:val="zh-CN"/>
        </w:rPr>
        <w:t>合同文本</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_Toc4631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63</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14:paraId="1DC3171E">
      <w:pPr>
        <w:pStyle w:val="23"/>
        <w:tabs>
          <w:tab w:val="right" w:leader="dot" w:pos="8879"/>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"_Toc24483" </w:instrText>
      </w:r>
      <w:r>
        <w:rPr>
          <w:rFonts w:hint="eastAsia" w:ascii="宋体" w:hAnsi="宋体" w:eastAsia="宋体" w:cs="宋体"/>
          <w:color w:val="auto"/>
          <w:sz w:val="28"/>
          <w:szCs w:val="28"/>
          <w:highlight w:val="none"/>
        </w:rPr>
        <w:fldChar w:fldCharType="separate"/>
      </w:r>
      <w:r>
        <w:rPr>
          <w:rFonts w:hint="eastAsia" w:ascii="宋体" w:hAnsi="宋体" w:eastAsia="宋体" w:cs="宋体"/>
          <w:b/>
          <w:bCs/>
          <w:color w:val="auto"/>
          <w:kern w:val="44"/>
          <w:sz w:val="28"/>
          <w:szCs w:val="28"/>
          <w:highlight w:val="none"/>
          <w:lang w:val="zh-CN"/>
        </w:rPr>
        <w:t xml:space="preserve">第七章 </w:t>
      </w:r>
      <w:r>
        <w:rPr>
          <w:rFonts w:hint="eastAsia" w:ascii="宋体" w:hAnsi="宋体" w:eastAsia="宋体" w:cs="宋体"/>
          <w:b/>
          <w:bCs/>
          <w:color w:val="auto"/>
          <w:kern w:val="44"/>
          <w:sz w:val="28"/>
          <w:szCs w:val="28"/>
          <w:highlight w:val="none"/>
          <w:lang w:val="en-US" w:eastAsia="zh-CN"/>
        </w:rPr>
        <w:t xml:space="preserve"> </w:t>
      </w:r>
      <w:r>
        <w:rPr>
          <w:rFonts w:hint="eastAsia" w:ascii="宋体" w:hAnsi="宋体" w:eastAsia="宋体" w:cs="宋体"/>
          <w:b/>
          <w:bCs/>
          <w:color w:val="auto"/>
          <w:kern w:val="44"/>
          <w:sz w:val="28"/>
          <w:szCs w:val="28"/>
          <w:highlight w:val="none"/>
          <w:lang w:val="zh-CN"/>
        </w:rPr>
        <w:t>质疑、投诉材料格式</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_Toc24483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74</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14:paraId="37B2C45E">
      <w:pPr>
        <w:spacing w:line="480" w:lineRule="auto"/>
        <w:rPr>
          <w:rFonts w:ascii="宋体" w:hAnsi="宋体" w:eastAsia="宋体" w:cs="宋体"/>
          <w:b/>
          <w:bCs/>
          <w:color w:val="auto"/>
          <w:sz w:val="24"/>
          <w:szCs w:val="24"/>
          <w:highlight w:val="none"/>
        </w:rPr>
      </w:pPr>
      <w:r>
        <w:rPr>
          <w:rFonts w:hint="eastAsia" w:ascii="宋体" w:hAnsi="宋体" w:eastAsia="宋体" w:cs="宋体"/>
          <w:b/>
          <w:color w:val="auto"/>
          <w:sz w:val="28"/>
          <w:szCs w:val="28"/>
          <w:highlight w:val="none"/>
        </w:rPr>
        <w:fldChar w:fldCharType="end"/>
      </w:r>
    </w:p>
    <w:p w14:paraId="2C3A0B73">
      <w:pPr>
        <w:spacing w:line="400" w:lineRule="exact"/>
        <w:jc w:val="center"/>
        <w:rPr>
          <w:rFonts w:ascii="宋体" w:hAnsi="宋体" w:eastAsia="宋体" w:cs="Times New Roman"/>
          <w:b/>
          <w:color w:val="auto"/>
          <w:sz w:val="32"/>
          <w:szCs w:val="32"/>
          <w:highlight w:val="none"/>
        </w:rPr>
      </w:pPr>
    </w:p>
    <w:p w14:paraId="15C99340">
      <w:pPr>
        <w:spacing w:line="400" w:lineRule="exact"/>
        <w:jc w:val="center"/>
        <w:rPr>
          <w:rFonts w:ascii="宋体" w:hAnsi="宋体" w:eastAsia="宋体" w:cs="Times New Roman"/>
          <w:b/>
          <w:color w:val="auto"/>
          <w:sz w:val="32"/>
          <w:szCs w:val="32"/>
          <w:highlight w:val="none"/>
        </w:rPr>
      </w:pPr>
    </w:p>
    <w:p w14:paraId="7D9243AD">
      <w:pPr>
        <w:spacing w:line="400" w:lineRule="exact"/>
        <w:rPr>
          <w:rFonts w:ascii="宋体" w:hAnsi="宋体" w:eastAsia="宋体" w:cs="Times New Roman"/>
          <w:b/>
          <w:color w:val="auto"/>
          <w:sz w:val="32"/>
          <w:szCs w:val="32"/>
          <w:highlight w:val="none"/>
        </w:rPr>
        <w:sectPr>
          <w:footerReference r:id="rId8" w:type="first"/>
          <w:footerReference r:id="rId7" w:type="default"/>
          <w:pgSz w:w="11906" w:h="16838"/>
          <w:pgMar w:top="1440" w:right="1440" w:bottom="1440" w:left="1587" w:header="851" w:footer="992" w:gutter="0"/>
          <w:cols w:space="720" w:num="1"/>
          <w:titlePg/>
          <w:docGrid w:type="lines" w:linePitch="312" w:charSpace="0"/>
        </w:sectPr>
      </w:pPr>
    </w:p>
    <w:p w14:paraId="10B58160">
      <w:pPr>
        <w:keepNext/>
        <w:keepLines/>
        <w:spacing w:before="340" w:after="330" w:line="400" w:lineRule="exact"/>
        <w:jc w:val="center"/>
        <w:outlineLvl w:val="0"/>
        <w:rPr>
          <w:rFonts w:ascii="Times New Roman" w:hAnsi="Times New Roman" w:eastAsia="宋体" w:cs="Times New Roman"/>
          <w:b/>
          <w:bCs/>
          <w:color w:val="auto"/>
          <w:kern w:val="44"/>
          <w:sz w:val="44"/>
          <w:szCs w:val="44"/>
          <w:highlight w:val="none"/>
          <w:lang w:val="zh-CN"/>
        </w:rPr>
      </w:pPr>
      <w:bookmarkStart w:id="1" w:name="_Toc28468"/>
      <w:bookmarkStart w:id="2" w:name="_Toc32002"/>
      <w:bookmarkStart w:id="3" w:name="_Toc7085"/>
      <w:bookmarkStart w:id="4" w:name="_Toc2567"/>
      <w:bookmarkStart w:id="5" w:name="_Toc21011"/>
      <w:bookmarkStart w:id="6" w:name="_Toc80205920"/>
      <w:bookmarkStart w:id="7" w:name="_Toc6626"/>
      <w:bookmarkStart w:id="8" w:name="_Toc21558"/>
      <w:bookmarkStart w:id="9" w:name="_Toc15375"/>
      <w:r>
        <w:rPr>
          <w:rFonts w:hint="eastAsia" w:ascii="Times New Roman" w:hAnsi="Times New Roman" w:eastAsia="宋体" w:cs="Times New Roman"/>
          <w:b/>
          <w:bCs/>
          <w:color w:val="auto"/>
          <w:kern w:val="44"/>
          <w:sz w:val="44"/>
          <w:szCs w:val="44"/>
          <w:highlight w:val="none"/>
          <w:lang w:val="zh-CN"/>
        </w:rPr>
        <w:t>第一章 竞争性谈判公告</w:t>
      </w:r>
      <w:bookmarkEnd w:id="1"/>
      <w:bookmarkEnd w:id="2"/>
      <w:bookmarkEnd w:id="3"/>
      <w:bookmarkEnd w:id="4"/>
      <w:bookmarkEnd w:id="5"/>
      <w:bookmarkEnd w:id="6"/>
      <w:bookmarkEnd w:id="7"/>
      <w:bookmarkEnd w:id="8"/>
      <w:bookmarkEnd w:id="9"/>
      <w:bookmarkStart w:id="10" w:name="_Toc35393798"/>
      <w:bookmarkStart w:id="11" w:name="_Toc44229878"/>
      <w:bookmarkStart w:id="12" w:name="_Toc28359012"/>
      <w:bookmarkStart w:id="13" w:name="_Toc28359089"/>
      <w:bookmarkStart w:id="14" w:name="_Toc35393629"/>
      <w:bookmarkStart w:id="15" w:name="_Toc28359081"/>
      <w:bookmarkStart w:id="16" w:name="_Toc35393623"/>
      <w:bookmarkStart w:id="17" w:name="_Toc28359004"/>
      <w:bookmarkStart w:id="18" w:name="_Toc35393792"/>
    </w:p>
    <w:tbl>
      <w:tblPr>
        <w:tblStyle w:val="29"/>
        <w:tblW w:w="9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9"/>
      </w:tblGrid>
      <w:tr w14:paraId="17412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9" w:type="dxa"/>
          </w:tcPr>
          <w:p w14:paraId="4A6A7607">
            <w:pPr>
              <w:spacing w:line="360" w:lineRule="auto"/>
              <w:ind w:firstLine="420" w:firstLineChars="200"/>
              <w:rPr>
                <w:color w:val="auto"/>
                <w:szCs w:val="21"/>
                <w:highlight w:val="none"/>
              </w:rPr>
            </w:pPr>
            <w:r>
              <w:rPr>
                <w:rFonts w:hint="eastAsia"/>
                <w:color w:val="auto"/>
                <w:szCs w:val="21"/>
                <w:highlight w:val="none"/>
              </w:rPr>
              <w:t>项目概况</w:t>
            </w:r>
          </w:p>
          <w:p w14:paraId="557436DC">
            <w:pPr>
              <w:spacing w:line="360" w:lineRule="auto"/>
              <w:ind w:firstLine="420" w:firstLineChars="200"/>
              <w:rPr>
                <w:rFonts w:ascii="黑体" w:hAnsi="黑体" w:eastAsia="黑体" w:cs="宋体"/>
                <w:bCs/>
                <w:color w:val="auto"/>
                <w:sz w:val="24"/>
                <w:highlight w:val="none"/>
              </w:rPr>
            </w:pPr>
            <w:r>
              <w:rPr>
                <w:rFonts w:hint="eastAsia" w:ascii="宋体" w:hAnsi="宋体"/>
                <w:color w:val="auto"/>
                <w:szCs w:val="21"/>
                <w:highlight w:val="none"/>
                <w:u w:val="single"/>
                <w:lang w:eastAsia="zh-CN"/>
              </w:rPr>
              <w:t>2025年网络交换机采购项目</w:t>
            </w:r>
            <w:r>
              <w:rPr>
                <w:rFonts w:hint="eastAsia" w:ascii="宋体" w:hAnsi="宋体"/>
                <w:color w:val="auto"/>
                <w:szCs w:val="21"/>
                <w:highlight w:val="none"/>
              </w:rPr>
              <w:t>采购项目</w:t>
            </w:r>
            <w:r>
              <w:rPr>
                <w:rFonts w:hint="eastAsia"/>
                <w:color w:val="auto"/>
                <w:szCs w:val="21"/>
                <w:highlight w:val="none"/>
              </w:rPr>
              <w:t>的潜在供应商应在</w:t>
            </w:r>
            <w:r>
              <w:rPr>
                <w:rFonts w:hint="eastAsia" w:ascii="宋体" w:hAnsi="宋体" w:cs="宋体"/>
                <w:color w:val="auto"/>
                <w:szCs w:val="21"/>
                <w:highlight w:val="none"/>
              </w:rPr>
              <w:t>广西政府采购云平台（</w:t>
            </w:r>
            <w:r>
              <w:rPr>
                <w:rStyle w:val="32"/>
                <w:rFonts w:hint="eastAsia" w:ascii="宋体" w:hAnsi="宋体" w:eastAsia="宋体" w:cs="宋体"/>
                <w:b w:val="0"/>
                <w:bCs/>
                <w:color w:val="auto"/>
                <w:szCs w:val="21"/>
                <w:highlight w:val="none"/>
              </w:rPr>
              <w:t>https://www.gcy.zfcg.gxzf.gov.cn/</w:t>
            </w:r>
            <w:r>
              <w:rPr>
                <w:rFonts w:hint="eastAsia" w:ascii="宋体" w:hAnsi="宋体" w:cs="宋体"/>
                <w:color w:val="auto"/>
                <w:szCs w:val="21"/>
                <w:highlight w:val="none"/>
              </w:rPr>
              <w:t>）</w:t>
            </w:r>
            <w:r>
              <w:rPr>
                <w:rFonts w:hint="eastAsia"/>
                <w:color w:val="auto"/>
                <w:szCs w:val="21"/>
                <w:highlight w:val="none"/>
              </w:rPr>
              <w:t>获取采购文件，</w:t>
            </w:r>
            <w:r>
              <w:rPr>
                <w:rFonts w:hint="eastAsia" w:ascii="宋体" w:hAnsi="宋体" w:eastAsia="宋体" w:cs="宋体"/>
                <w:color w:val="auto"/>
                <w:szCs w:val="21"/>
                <w:highlight w:val="none"/>
              </w:rPr>
              <w:t>并于2025年</w:t>
            </w:r>
            <w:r>
              <w:rPr>
                <w:rFonts w:hint="eastAsia" w:ascii="宋体" w:hAnsi="宋体" w:eastAsia="宋体" w:cs="宋体"/>
                <w:color w:val="auto"/>
                <w:szCs w:val="21"/>
                <w:highlight w:val="none"/>
                <w:lang w:val="en-US" w:eastAsia="zh-CN"/>
              </w:rPr>
              <w:t>11</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21</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lang w:val="en-US" w:eastAsia="zh-CN"/>
              </w:rPr>
              <w:t>15</w:t>
            </w:r>
            <w:r>
              <w:rPr>
                <w:rFonts w:hint="eastAsia" w:ascii="宋体" w:hAnsi="宋体" w:eastAsia="宋体" w:cs="宋体"/>
                <w:color w:val="auto"/>
                <w:szCs w:val="21"/>
                <w:highlight w:val="none"/>
              </w:rPr>
              <w:t>点00分</w:t>
            </w:r>
            <w:r>
              <w:rPr>
                <w:rFonts w:hint="eastAsia"/>
                <w:color w:val="auto"/>
                <w:szCs w:val="21"/>
                <w:highlight w:val="none"/>
              </w:rPr>
              <w:t>（北京时间）前提交响应文件。</w:t>
            </w:r>
          </w:p>
        </w:tc>
      </w:tr>
    </w:tbl>
    <w:p w14:paraId="57DF8203">
      <w:pPr>
        <w:rPr>
          <w:rFonts w:ascii="Times New Roman" w:hAnsi="Times New Roman" w:eastAsia="宋体" w:cs="Times New Roman"/>
          <w:color w:val="auto"/>
          <w:szCs w:val="24"/>
          <w:highlight w:val="none"/>
        </w:rPr>
      </w:pPr>
    </w:p>
    <w:p w14:paraId="1D855C90">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黑体" w:hAnsi="黑体" w:eastAsia="黑体" w:cs="宋体"/>
          <w:b/>
          <w:color w:val="auto"/>
          <w:sz w:val="24"/>
          <w:szCs w:val="24"/>
          <w:highlight w:val="none"/>
        </w:rPr>
      </w:pPr>
      <w:r>
        <w:rPr>
          <w:rFonts w:hint="eastAsia" w:ascii="黑体" w:hAnsi="黑体" w:eastAsia="黑体" w:cs="宋体"/>
          <w:b/>
          <w:color w:val="auto"/>
          <w:kern w:val="2"/>
          <w:sz w:val="24"/>
          <w:szCs w:val="24"/>
          <w:lang w:val="en-US" w:eastAsia="zh-CN" w:bidi="ar-SA"/>
        </w:rPr>
        <w:t>一、</w:t>
      </w:r>
      <w:r>
        <w:rPr>
          <w:rFonts w:hint="eastAsia" w:ascii="黑体" w:hAnsi="黑体" w:eastAsia="黑体" w:cs="宋体"/>
          <w:b/>
          <w:color w:val="auto"/>
          <w:sz w:val="24"/>
          <w:szCs w:val="24"/>
          <w:highlight w:val="none"/>
        </w:rPr>
        <w:t>项目基本情况</w:t>
      </w:r>
      <w:bookmarkEnd w:id="10"/>
      <w:bookmarkEnd w:id="11"/>
      <w:bookmarkEnd w:id="12"/>
      <w:bookmarkEnd w:id="13"/>
      <w:bookmarkEnd w:id="14"/>
    </w:p>
    <w:p w14:paraId="127D62FB">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项目编号：</w:t>
      </w:r>
      <w:r>
        <w:rPr>
          <w:rFonts w:hint="eastAsia" w:ascii="宋体" w:hAnsi="宋体" w:eastAsia="宋体" w:cs="Times New Roman"/>
          <w:color w:val="auto"/>
          <w:szCs w:val="21"/>
          <w:highlight w:val="none"/>
          <w:lang w:eastAsia="zh-CN"/>
        </w:rPr>
        <w:t>GXZC2025-J1-003520-GXKL</w:t>
      </w:r>
      <w:r>
        <w:rPr>
          <w:rFonts w:ascii="宋体" w:hAnsi="宋体" w:eastAsia="宋体" w:cs="Times New Roman"/>
          <w:color w:val="auto"/>
          <w:szCs w:val="21"/>
          <w:highlight w:val="none"/>
        </w:rPr>
        <w:tab/>
      </w:r>
    </w:p>
    <w:p w14:paraId="0A17BCE2">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项目名称：</w:t>
      </w:r>
      <w:r>
        <w:rPr>
          <w:rFonts w:hint="eastAsia" w:ascii="宋体" w:hAnsi="宋体" w:eastAsia="宋体" w:cs="Times New Roman"/>
          <w:color w:val="auto"/>
          <w:szCs w:val="21"/>
          <w:highlight w:val="none"/>
          <w:lang w:eastAsia="zh-CN"/>
        </w:rPr>
        <w:t>2025年网络交换机采购项目</w:t>
      </w:r>
    </w:p>
    <w:p w14:paraId="595CB96B">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采购方式：竞争性谈判</w:t>
      </w:r>
    </w:p>
    <w:p w14:paraId="5647E82E">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预算总金额（元）：256</w:t>
      </w:r>
      <w:r>
        <w:rPr>
          <w:rFonts w:hint="eastAsia" w:ascii="宋体" w:hAnsi="宋体" w:eastAsia="宋体" w:cs="Times New Roman"/>
          <w:color w:val="auto"/>
          <w:szCs w:val="21"/>
          <w:highlight w:val="none"/>
          <w:lang w:val="en-US" w:eastAsia="zh-CN"/>
        </w:rPr>
        <w:t>0000</w:t>
      </w:r>
      <w:r>
        <w:rPr>
          <w:rFonts w:hint="eastAsia" w:ascii="宋体" w:hAnsi="宋体" w:eastAsia="宋体" w:cs="Times New Roman"/>
          <w:color w:val="auto"/>
          <w:szCs w:val="21"/>
          <w:highlight w:val="none"/>
        </w:rPr>
        <w:t>.00</w:t>
      </w:r>
      <w:r>
        <w:rPr>
          <w:rFonts w:hint="eastAsia" w:ascii="宋体" w:hAnsi="宋体"/>
          <w:color w:val="auto"/>
          <w:szCs w:val="21"/>
          <w:highlight w:val="none"/>
        </w:rPr>
        <w:t>。</w:t>
      </w:r>
    </w:p>
    <w:p w14:paraId="433839E9">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采购需求：</w:t>
      </w:r>
    </w:p>
    <w:p w14:paraId="3695574A">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标项一</w:t>
      </w:r>
    </w:p>
    <w:p w14:paraId="64D2918C">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标项名称：</w:t>
      </w:r>
      <w:r>
        <w:rPr>
          <w:rFonts w:hint="eastAsia" w:ascii="宋体" w:hAnsi="宋体" w:eastAsia="宋体" w:cs="宋体"/>
          <w:color w:val="auto"/>
          <w:szCs w:val="21"/>
          <w:highlight w:val="none"/>
          <w:lang w:eastAsia="zh-CN"/>
        </w:rPr>
        <w:t>2025年网络交换机采购项目</w:t>
      </w:r>
      <w:r>
        <w:rPr>
          <w:rFonts w:hint="eastAsia" w:ascii="宋体" w:hAnsi="宋体" w:eastAsia="宋体" w:cs="宋体"/>
          <w:color w:val="auto"/>
          <w:szCs w:val="21"/>
          <w:highlight w:val="none"/>
        </w:rPr>
        <w:t> </w:t>
      </w:r>
    </w:p>
    <w:p w14:paraId="351B2272">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数量：1 </w:t>
      </w:r>
    </w:p>
    <w:p w14:paraId="38172D92">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预算金额（元）：2560000.00</w:t>
      </w:r>
    </w:p>
    <w:p w14:paraId="285F2404">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简要规格描述或项目基本概况介绍、用途：详见附件《采购需求》</w:t>
      </w:r>
    </w:p>
    <w:p w14:paraId="2FCDEEEC">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最高限价（</w:t>
      </w:r>
      <w:r>
        <w:rPr>
          <w:rFonts w:hint="eastAsia" w:ascii="宋体" w:hAnsi="宋体" w:eastAsia="宋体" w:cs="宋体"/>
          <w:color w:val="auto"/>
          <w:szCs w:val="21"/>
          <w:highlight w:val="none"/>
          <w:lang w:val="en-US" w:eastAsia="zh-CN"/>
        </w:rPr>
        <w:t>元</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同预算金额</w:t>
      </w:r>
    </w:p>
    <w:p w14:paraId="14E7DBBB">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合同履行期限：</w:t>
      </w:r>
      <w:r>
        <w:rPr>
          <w:rFonts w:hint="eastAsia" w:ascii="Arial" w:hAnsi="Arial" w:eastAsia="宋体" w:cs="Arial"/>
          <w:color w:val="auto"/>
          <w:kern w:val="0"/>
          <w:sz w:val="21"/>
          <w:szCs w:val="21"/>
        </w:rPr>
        <w:t>自签订合同之日</w:t>
      </w:r>
      <w:r>
        <w:rPr>
          <w:rFonts w:hint="eastAsia" w:ascii="Arial" w:hAnsi="Arial" w:cs="Arial"/>
          <w:color w:val="auto"/>
          <w:kern w:val="0"/>
          <w:sz w:val="21"/>
          <w:szCs w:val="21"/>
          <w:lang w:val="en-US" w:eastAsia="zh-CN"/>
        </w:rPr>
        <w:t>起</w:t>
      </w:r>
      <w:r>
        <w:rPr>
          <w:rFonts w:hint="eastAsia" w:ascii="Arial" w:hAnsi="Arial" w:eastAsia="宋体" w:cs="Arial"/>
          <w:color w:val="auto"/>
          <w:kern w:val="0"/>
          <w:sz w:val="21"/>
          <w:szCs w:val="21"/>
          <w:lang w:val="en-US" w:eastAsia="zh-CN"/>
        </w:rPr>
        <w:t>6</w:t>
      </w:r>
      <w:r>
        <w:rPr>
          <w:rFonts w:hint="eastAsia" w:ascii="Arial" w:hAnsi="Arial" w:eastAsia="宋体" w:cs="Arial"/>
          <w:color w:val="auto"/>
          <w:kern w:val="0"/>
          <w:sz w:val="21"/>
          <w:szCs w:val="21"/>
        </w:rPr>
        <w:t>0</w:t>
      </w:r>
      <w:r>
        <w:rPr>
          <w:rFonts w:hint="eastAsia" w:ascii="Arial" w:hAnsi="Arial" w:cs="Arial"/>
          <w:color w:val="auto"/>
          <w:kern w:val="0"/>
          <w:sz w:val="21"/>
          <w:szCs w:val="21"/>
          <w:lang w:val="en-US" w:eastAsia="zh-CN"/>
        </w:rPr>
        <w:t>个日历日内</w:t>
      </w:r>
      <w:r>
        <w:rPr>
          <w:rFonts w:hint="eastAsia" w:ascii="Arial" w:hAnsi="Arial" w:eastAsia="宋体" w:cs="Arial"/>
          <w:color w:val="auto"/>
          <w:kern w:val="0"/>
          <w:sz w:val="21"/>
          <w:szCs w:val="21"/>
        </w:rPr>
        <w:t>交货并完成安装调试。</w:t>
      </w:r>
    </w:p>
    <w:p w14:paraId="45D7F809">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本标项（否）接受联合体投标</w:t>
      </w:r>
    </w:p>
    <w:p w14:paraId="02A49256">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Times New Roman"/>
          <w:color w:val="auto"/>
          <w:szCs w:val="21"/>
          <w:highlight w:val="none"/>
        </w:rPr>
      </w:pPr>
      <w:r>
        <w:rPr>
          <w:rFonts w:hint="eastAsia" w:ascii="宋体" w:hAnsi="宋体" w:eastAsia="宋体" w:cs="宋体"/>
          <w:color w:val="auto"/>
          <w:kern w:val="0"/>
          <w:szCs w:val="21"/>
          <w:highlight w:val="none"/>
        </w:rPr>
        <w:t>备注：</w:t>
      </w:r>
    </w:p>
    <w:p w14:paraId="50707076">
      <w:pPr>
        <w:keepNext w:val="0"/>
        <w:keepLines w:val="0"/>
        <w:pageBreakBefore w:val="0"/>
        <w:numPr>
          <w:ilvl w:val="0"/>
          <w:numId w:val="0"/>
        </w:numPr>
        <w:kinsoku/>
        <w:wordWrap/>
        <w:overflowPunct/>
        <w:topLinePunct w:val="0"/>
        <w:autoSpaceDE/>
        <w:autoSpaceDN/>
        <w:bidi w:val="0"/>
        <w:adjustRightInd/>
        <w:snapToGrid/>
        <w:spacing w:line="400" w:lineRule="exact"/>
        <w:ind w:firstLine="482" w:firstLineChars="200"/>
        <w:textAlignment w:val="auto"/>
        <w:rPr>
          <w:rFonts w:hint="eastAsia" w:ascii="黑体" w:hAnsi="黑体" w:eastAsia="黑体" w:cs="宋体"/>
          <w:b/>
          <w:color w:val="auto"/>
          <w:kern w:val="44"/>
          <w:sz w:val="24"/>
          <w:szCs w:val="24"/>
          <w:highlight w:val="none"/>
        </w:rPr>
      </w:pPr>
      <w:bookmarkStart w:id="19" w:name="_Toc28359090"/>
      <w:bookmarkStart w:id="20" w:name="_Toc35393630"/>
      <w:bookmarkStart w:id="21" w:name="_Toc35393799"/>
      <w:bookmarkStart w:id="22" w:name="_Toc28359013"/>
      <w:bookmarkStart w:id="23" w:name="_Toc44229879"/>
      <w:r>
        <w:rPr>
          <w:rFonts w:hint="eastAsia" w:ascii="黑体" w:hAnsi="黑体" w:eastAsia="黑体" w:cs="宋体"/>
          <w:b/>
          <w:color w:val="auto"/>
          <w:kern w:val="44"/>
          <w:sz w:val="24"/>
          <w:szCs w:val="24"/>
          <w:lang w:val="en-US" w:eastAsia="zh-CN" w:bidi="ar-SA"/>
        </w:rPr>
        <w:t>二、</w:t>
      </w:r>
      <w:r>
        <w:rPr>
          <w:rFonts w:hint="eastAsia" w:ascii="黑体" w:hAnsi="黑体" w:eastAsia="黑体" w:cs="宋体"/>
          <w:b/>
          <w:color w:val="auto"/>
          <w:kern w:val="44"/>
          <w:sz w:val="24"/>
          <w:szCs w:val="24"/>
          <w:highlight w:val="none"/>
        </w:rPr>
        <w:t>申请人的资格</w:t>
      </w:r>
      <w:bookmarkEnd w:id="19"/>
      <w:bookmarkEnd w:id="20"/>
      <w:bookmarkEnd w:id="21"/>
      <w:bookmarkEnd w:id="22"/>
      <w:bookmarkEnd w:id="23"/>
      <w:r>
        <w:rPr>
          <w:rFonts w:hint="eastAsia" w:ascii="黑体" w:hAnsi="黑体" w:eastAsia="黑体" w:cs="宋体"/>
          <w:b/>
          <w:color w:val="auto"/>
          <w:kern w:val="44"/>
          <w:sz w:val="24"/>
          <w:szCs w:val="24"/>
          <w:highlight w:val="none"/>
        </w:rPr>
        <w:t>要求</w:t>
      </w:r>
    </w:p>
    <w:p w14:paraId="2FB8E142">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1.满足《中华人民共和国政府采购法》第二十二条规定；</w:t>
      </w:r>
    </w:p>
    <w:p w14:paraId="022D37AE">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2.落实政府采购政策需满足的资格要求：</w:t>
      </w:r>
      <w:r>
        <w:rPr>
          <w:rFonts w:hint="eastAsia" w:ascii="宋体" w:hAnsi="宋体" w:eastAsia="宋体" w:cs="宋体"/>
          <w:color w:val="auto"/>
          <w:szCs w:val="21"/>
          <w:highlight w:val="none"/>
          <w:u w:val="single"/>
          <w:lang w:val="en-US" w:eastAsia="zh-CN"/>
        </w:rPr>
        <w:t>无</w:t>
      </w:r>
      <w:r>
        <w:rPr>
          <w:rFonts w:hint="eastAsia" w:ascii="宋体" w:hAnsi="宋体" w:eastAsia="宋体" w:cs="宋体"/>
          <w:color w:val="auto"/>
          <w:szCs w:val="21"/>
          <w:highlight w:val="none"/>
          <w:u w:val="single"/>
        </w:rPr>
        <w:t>；</w:t>
      </w:r>
    </w:p>
    <w:p w14:paraId="64D47D98">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3.本项目的特定资格要求：无。</w:t>
      </w:r>
    </w:p>
    <w:p w14:paraId="0D974277">
      <w:pPr>
        <w:keepNext w:val="0"/>
        <w:keepLines w:val="0"/>
        <w:pageBreakBefore w:val="0"/>
        <w:numPr>
          <w:ilvl w:val="0"/>
          <w:numId w:val="0"/>
        </w:numPr>
        <w:kinsoku/>
        <w:wordWrap/>
        <w:overflowPunct/>
        <w:topLinePunct w:val="0"/>
        <w:autoSpaceDE/>
        <w:autoSpaceDN/>
        <w:bidi w:val="0"/>
        <w:adjustRightInd/>
        <w:snapToGrid/>
        <w:spacing w:line="400" w:lineRule="exact"/>
        <w:ind w:firstLine="482" w:firstLineChars="200"/>
        <w:textAlignment w:val="auto"/>
        <w:rPr>
          <w:rFonts w:hint="eastAsia" w:ascii="黑体" w:hAnsi="黑体" w:eastAsia="黑体" w:cs="Times New Roman"/>
          <w:b/>
          <w:bCs/>
          <w:color w:val="auto"/>
          <w:sz w:val="24"/>
          <w:szCs w:val="24"/>
          <w:highlight w:val="none"/>
        </w:rPr>
      </w:pPr>
      <w:r>
        <w:rPr>
          <w:rFonts w:hint="eastAsia" w:ascii="黑体" w:hAnsi="黑体" w:eastAsia="黑体" w:cs="Times New Roman"/>
          <w:b/>
          <w:bCs/>
          <w:color w:val="auto"/>
          <w:sz w:val="24"/>
          <w:szCs w:val="24"/>
          <w:highlight w:val="none"/>
        </w:rPr>
        <w:t>三、获取采购文件</w:t>
      </w:r>
      <w:bookmarkEnd w:id="15"/>
      <w:bookmarkEnd w:id="16"/>
      <w:bookmarkEnd w:id="17"/>
      <w:bookmarkEnd w:id="18"/>
      <w:bookmarkStart w:id="24" w:name="_Toc28359005"/>
      <w:bookmarkStart w:id="25" w:name="_Toc28359082"/>
      <w:bookmarkStart w:id="26" w:name="_Toc35393624"/>
      <w:bookmarkStart w:id="27" w:name="_Toc35393793"/>
    </w:p>
    <w:p w14:paraId="7B54F7A5">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kern w:val="0"/>
          <w:szCs w:val="21"/>
          <w:highlight w:val="none"/>
        </w:rPr>
      </w:pPr>
      <w:r>
        <w:rPr>
          <w:rFonts w:hint="eastAsia" w:ascii="宋体" w:hAnsi="宋体" w:eastAsia="宋体" w:cs="宋体"/>
          <w:color w:val="auto"/>
          <w:szCs w:val="21"/>
          <w:highlight w:val="none"/>
        </w:rPr>
        <w:t>时间：</w:t>
      </w:r>
      <w:r>
        <w:rPr>
          <w:rFonts w:hint="eastAsia" w:ascii="宋体" w:hAnsi="宋体" w:eastAsia="宋体" w:cs="宋体"/>
          <w:bCs/>
          <w:color w:val="auto"/>
          <w:kern w:val="0"/>
          <w:szCs w:val="21"/>
          <w:highlight w:val="none"/>
          <w:u w:val="single"/>
        </w:rPr>
        <w:t>2025年</w:t>
      </w:r>
      <w:r>
        <w:rPr>
          <w:rFonts w:hint="eastAsia" w:ascii="宋体" w:hAnsi="宋体" w:eastAsia="宋体" w:cs="宋体"/>
          <w:bCs/>
          <w:color w:val="auto"/>
          <w:kern w:val="0"/>
          <w:szCs w:val="21"/>
          <w:highlight w:val="none"/>
          <w:u w:val="single"/>
          <w:lang w:val="en-US" w:eastAsia="zh-CN"/>
        </w:rPr>
        <w:t>11</w:t>
      </w:r>
      <w:r>
        <w:rPr>
          <w:rFonts w:hint="eastAsia" w:ascii="宋体" w:hAnsi="宋体" w:eastAsia="宋体" w:cs="宋体"/>
          <w:bCs/>
          <w:color w:val="auto"/>
          <w:kern w:val="0"/>
          <w:szCs w:val="21"/>
          <w:highlight w:val="none"/>
          <w:u w:val="single"/>
        </w:rPr>
        <w:t>月</w:t>
      </w:r>
      <w:r>
        <w:rPr>
          <w:rFonts w:hint="eastAsia" w:ascii="宋体" w:hAnsi="宋体" w:eastAsia="宋体" w:cs="宋体"/>
          <w:bCs/>
          <w:color w:val="auto"/>
          <w:kern w:val="0"/>
          <w:szCs w:val="21"/>
          <w:highlight w:val="none"/>
          <w:u w:val="single"/>
          <w:lang w:val="en-US" w:eastAsia="zh-CN"/>
        </w:rPr>
        <w:t>17</w:t>
      </w:r>
      <w:r>
        <w:rPr>
          <w:rFonts w:hint="eastAsia" w:ascii="宋体" w:hAnsi="宋体" w:eastAsia="宋体" w:cs="宋体"/>
          <w:bCs/>
          <w:color w:val="auto"/>
          <w:kern w:val="0"/>
          <w:szCs w:val="21"/>
          <w:highlight w:val="none"/>
          <w:u w:val="single"/>
        </w:rPr>
        <w:t>日</w:t>
      </w:r>
      <w:r>
        <w:rPr>
          <w:rFonts w:hint="eastAsia" w:ascii="宋体" w:hAnsi="宋体" w:eastAsia="宋体" w:cs="宋体"/>
          <w:bCs/>
          <w:color w:val="auto"/>
          <w:kern w:val="0"/>
          <w:szCs w:val="21"/>
          <w:highlight w:val="none"/>
        </w:rPr>
        <w:t>至</w:t>
      </w:r>
      <w:r>
        <w:rPr>
          <w:rFonts w:hint="eastAsia" w:ascii="宋体" w:hAnsi="宋体" w:eastAsia="宋体" w:cs="宋体"/>
          <w:bCs/>
          <w:color w:val="auto"/>
          <w:kern w:val="0"/>
          <w:szCs w:val="21"/>
          <w:highlight w:val="none"/>
          <w:u w:val="single"/>
        </w:rPr>
        <w:t>2025年</w:t>
      </w:r>
      <w:r>
        <w:rPr>
          <w:rFonts w:hint="eastAsia" w:ascii="宋体" w:hAnsi="宋体" w:eastAsia="宋体" w:cs="宋体"/>
          <w:bCs/>
          <w:color w:val="auto"/>
          <w:kern w:val="0"/>
          <w:szCs w:val="21"/>
          <w:highlight w:val="none"/>
          <w:u w:val="single"/>
          <w:lang w:val="en-US" w:eastAsia="zh-CN"/>
        </w:rPr>
        <w:t>11</w:t>
      </w:r>
      <w:r>
        <w:rPr>
          <w:rFonts w:hint="eastAsia" w:ascii="宋体" w:hAnsi="宋体" w:eastAsia="宋体" w:cs="宋体"/>
          <w:bCs/>
          <w:color w:val="auto"/>
          <w:kern w:val="0"/>
          <w:szCs w:val="21"/>
          <w:highlight w:val="none"/>
          <w:u w:val="single"/>
        </w:rPr>
        <w:t>月</w:t>
      </w:r>
      <w:r>
        <w:rPr>
          <w:rFonts w:hint="eastAsia" w:ascii="宋体" w:hAnsi="宋体" w:eastAsia="宋体" w:cs="宋体"/>
          <w:bCs/>
          <w:color w:val="auto"/>
          <w:kern w:val="0"/>
          <w:szCs w:val="21"/>
          <w:highlight w:val="none"/>
          <w:u w:val="single"/>
          <w:lang w:val="en-US" w:eastAsia="zh-CN"/>
        </w:rPr>
        <w:t>20</w:t>
      </w:r>
      <w:r>
        <w:rPr>
          <w:rFonts w:hint="eastAsia" w:ascii="宋体" w:hAnsi="宋体" w:eastAsia="宋体" w:cs="宋体"/>
          <w:bCs/>
          <w:color w:val="auto"/>
          <w:kern w:val="0"/>
          <w:szCs w:val="21"/>
          <w:highlight w:val="none"/>
          <w:u w:val="single"/>
        </w:rPr>
        <w:t>日，每天上午00:00至11:59，下午12:00至23:59（</w:t>
      </w:r>
      <w:r>
        <w:rPr>
          <w:rFonts w:hint="eastAsia" w:ascii="宋体" w:hAnsi="宋体" w:eastAsia="宋体" w:cs="宋体"/>
          <w:bCs/>
          <w:color w:val="auto"/>
          <w:kern w:val="0"/>
          <w:szCs w:val="21"/>
          <w:highlight w:val="none"/>
        </w:rPr>
        <w:t>北京时间，法定节假日除外）</w:t>
      </w:r>
    </w:p>
    <w:p w14:paraId="42639EF1">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bCs/>
          <w:color w:val="auto"/>
          <w:kern w:val="0"/>
          <w:szCs w:val="21"/>
          <w:highlight w:val="none"/>
        </w:rPr>
        <w:t>地点：</w:t>
      </w:r>
      <w:bookmarkStart w:id="28" w:name="OLE_LINK5"/>
      <w:r>
        <w:rPr>
          <w:rFonts w:hint="eastAsia" w:ascii="宋体" w:hAnsi="宋体" w:eastAsia="宋体" w:cs="宋体"/>
          <w:color w:val="auto"/>
          <w:szCs w:val="21"/>
          <w:highlight w:val="none"/>
        </w:rPr>
        <w:t>广西政府采购云平台（https://www.gcy.zfcg.gxzf.gov.cn/）</w:t>
      </w:r>
      <w:bookmarkEnd w:id="28"/>
    </w:p>
    <w:p w14:paraId="3CA71E7C">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方式：</w:t>
      </w:r>
      <w:bookmarkStart w:id="29" w:name="OLE_LINK6"/>
      <w:r>
        <w:rPr>
          <w:rFonts w:hint="eastAsia" w:ascii="宋体" w:hAnsi="宋体" w:eastAsia="宋体" w:cs="宋体"/>
          <w:color w:val="auto"/>
          <w:szCs w:val="21"/>
          <w:highlight w:val="none"/>
        </w:rPr>
        <w:t>网上下载。本项目不发放纸质采购文件，潜在供应商可自行在广西政府采购云平台（https://www.gcy.zfcg.gxzf.gov.cn/）下载采购文件（操作路径：登录广西政府采购云平台-项目采购-获取采购文件-找到本项目-点击“申请获取采购文件”），电子响应文件制作需要基于广西政府采购云平台获取的采购文件编制</w:t>
      </w:r>
      <w:bookmarkEnd w:id="29"/>
      <w:r>
        <w:rPr>
          <w:rFonts w:hint="eastAsia" w:ascii="宋体" w:hAnsi="宋体" w:eastAsia="宋体" w:cs="宋体"/>
          <w:color w:val="auto"/>
          <w:szCs w:val="21"/>
          <w:highlight w:val="none"/>
          <w:lang w:eastAsia="zh-CN"/>
        </w:rPr>
        <w:t>。</w:t>
      </w:r>
    </w:p>
    <w:p w14:paraId="21E1DF3C">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ascii="宋体" w:hAnsi="宋体" w:eastAsia="宋体" w:cs="Times New Roman"/>
          <w:color w:val="auto"/>
          <w:szCs w:val="21"/>
          <w:highlight w:val="none"/>
        </w:rPr>
      </w:pPr>
      <w:r>
        <w:rPr>
          <w:rFonts w:hint="eastAsia" w:ascii="宋体" w:hAnsi="宋体" w:eastAsia="宋体" w:cs="宋体"/>
          <w:color w:val="auto"/>
          <w:szCs w:val="21"/>
          <w:highlight w:val="none"/>
        </w:rPr>
        <w:t>售价（元）：0</w:t>
      </w:r>
    </w:p>
    <w:p w14:paraId="4C19CBFC">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ascii="黑体" w:hAnsi="黑体" w:eastAsia="黑体" w:cs="Times New Roman"/>
          <w:b/>
          <w:bCs/>
          <w:color w:val="auto"/>
          <w:sz w:val="24"/>
          <w:szCs w:val="24"/>
          <w:highlight w:val="none"/>
        </w:rPr>
      </w:pPr>
      <w:r>
        <w:rPr>
          <w:rFonts w:hint="eastAsia" w:ascii="黑体" w:hAnsi="黑体" w:eastAsia="黑体" w:cs="Times New Roman"/>
          <w:b/>
          <w:bCs/>
          <w:color w:val="auto"/>
          <w:sz w:val="24"/>
          <w:szCs w:val="24"/>
          <w:highlight w:val="none"/>
        </w:rPr>
        <w:t>四、</w:t>
      </w:r>
      <w:bookmarkEnd w:id="24"/>
      <w:bookmarkEnd w:id="25"/>
      <w:bookmarkEnd w:id="26"/>
      <w:bookmarkEnd w:id="27"/>
      <w:r>
        <w:rPr>
          <w:rFonts w:hint="eastAsia" w:ascii="黑体" w:hAnsi="黑体" w:eastAsia="黑体" w:cs="Times New Roman"/>
          <w:b/>
          <w:bCs/>
          <w:color w:val="auto"/>
          <w:sz w:val="24"/>
          <w:szCs w:val="24"/>
          <w:highlight w:val="none"/>
        </w:rPr>
        <w:t>响应文件提交</w:t>
      </w:r>
    </w:p>
    <w:p w14:paraId="69411D96">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截止时间</w:t>
      </w:r>
      <w:r>
        <w:rPr>
          <w:rFonts w:hint="eastAsia" w:ascii="宋体" w:hAnsi="宋体" w:eastAsia="宋体" w:cs="宋体"/>
          <w:bCs/>
          <w:color w:val="auto"/>
          <w:szCs w:val="21"/>
          <w:highlight w:val="none"/>
        </w:rPr>
        <w:t>：</w:t>
      </w:r>
      <w:bookmarkStart w:id="30" w:name="PO_3000001868_PM015"/>
      <w:r>
        <w:rPr>
          <w:rFonts w:hint="eastAsia" w:ascii="宋体" w:hAnsi="宋体" w:eastAsia="宋体" w:cs="宋体"/>
          <w:bCs/>
          <w:color w:val="auto"/>
          <w:szCs w:val="21"/>
          <w:highlight w:val="none"/>
          <w:u w:val="single"/>
        </w:rPr>
        <w:t>2025年</w:t>
      </w:r>
      <w:r>
        <w:rPr>
          <w:rFonts w:hint="eastAsia" w:ascii="宋体" w:hAnsi="宋体" w:eastAsia="宋体" w:cs="宋体"/>
          <w:color w:val="auto"/>
          <w:szCs w:val="21"/>
          <w:highlight w:val="none"/>
          <w:u w:val="single"/>
          <w:lang w:val="en-US" w:eastAsia="zh-CN"/>
        </w:rPr>
        <w:t>11</w:t>
      </w:r>
      <w:r>
        <w:rPr>
          <w:rFonts w:hint="eastAsia" w:ascii="宋体" w:hAnsi="宋体" w:eastAsia="宋体" w:cs="宋体"/>
          <w:bCs/>
          <w:color w:val="auto"/>
          <w:szCs w:val="21"/>
          <w:highlight w:val="none"/>
          <w:u w:val="single"/>
        </w:rPr>
        <w:t>月</w:t>
      </w:r>
      <w:r>
        <w:rPr>
          <w:rFonts w:hint="eastAsia" w:ascii="宋体" w:hAnsi="宋体" w:eastAsia="宋体" w:cs="宋体"/>
          <w:color w:val="auto"/>
          <w:szCs w:val="21"/>
          <w:highlight w:val="none"/>
          <w:u w:val="single"/>
          <w:lang w:val="en-US" w:eastAsia="zh-CN"/>
        </w:rPr>
        <w:t>21</w:t>
      </w:r>
      <w:r>
        <w:rPr>
          <w:rFonts w:hint="eastAsia" w:ascii="宋体" w:hAnsi="宋体" w:eastAsia="宋体" w:cs="宋体"/>
          <w:bCs/>
          <w:color w:val="auto"/>
          <w:szCs w:val="21"/>
          <w:highlight w:val="none"/>
          <w:u w:val="single"/>
        </w:rPr>
        <w:t>日</w:t>
      </w:r>
      <w:bookmarkEnd w:id="30"/>
      <w:r>
        <w:rPr>
          <w:rFonts w:hint="eastAsia" w:ascii="宋体" w:hAnsi="宋体" w:eastAsia="宋体" w:cs="宋体"/>
          <w:bCs/>
          <w:color w:val="auto"/>
          <w:szCs w:val="21"/>
          <w:highlight w:val="none"/>
          <w:u w:val="single"/>
          <w:lang w:val="en-US" w:eastAsia="zh-CN"/>
        </w:rPr>
        <w:t>15</w:t>
      </w:r>
      <w:r>
        <w:rPr>
          <w:rFonts w:hint="eastAsia" w:ascii="宋体" w:hAnsi="宋体" w:eastAsia="宋体" w:cs="宋体"/>
          <w:bCs/>
          <w:color w:val="auto"/>
          <w:szCs w:val="21"/>
          <w:highlight w:val="none"/>
          <w:u w:val="single"/>
        </w:rPr>
        <w:t>点00分</w:t>
      </w:r>
      <w:r>
        <w:rPr>
          <w:rFonts w:hint="eastAsia" w:ascii="宋体" w:hAnsi="宋体" w:eastAsia="宋体" w:cs="宋体"/>
          <w:bCs/>
          <w:color w:val="auto"/>
          <w:szCs w:val="21"/>
          <w:highlight w:val="none"/>
        </w:rPr>
        <w:t>（北京时间）</w:t>
      </w:r>
    </w:p>
    <w:p w14:paraId="29634A3D">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Times New Roman"/>
          <w:color w:val="auto"/>
          <w:szCs w:val="21"/>
          <w:highlight w:val="none"/>
        </w:rPr>
      </w:pPr>
      <w:r>
        <w:rPr>
          <w:rFonts w:hint="eastAsia" w:ascii="宋体" w:hAnsi="宋体" w:eastAsia="宋体" w:cs="宋体"/>
          <w:color w:val="auto"/>
          <w:szCs w:val="21"/>
          <w:highlight w:val="none"/>
        </w:rPr>
        <w:t>地点（网址）：</w:t>
      </w:r>
      <w:bookmarkStart w:id="31" w:name="OLE_LINK7"/>
      <w:r>
        <w:rPr>
          <w:rFonts w:hint="eastAsia" w:ascii="宋体" w:hAnsi="宋体" w:eastAsia="宋体" w:cs="宋体"/>
          <w:color w:val="auto"/>
          <w:szCs w:val="21"/>
          <w:highlight w:val="none"/>
        </w:rPr>
        <w:t>广西政府采购云平台（https://www.gcy.zfcg.gxzf.gov.cn/）</w:t>
      </w:r>
      <w:bookmarkEnd w:id="31"/>
    </w:p>
    <w:p w14:paraId="0604C0E6">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ascii="黑体" w:hAnsi="黑体" w:eastAsia="黑体" w:cs="Times New Roman"/>
          <w:b/>
          <w:bCs/>
          <w:color w:val="auto"/>
          <w:sz w:val="24"/>
          <w:szCs w:val="24"/>
          <w:highlight w:val="none"/>
        </w:rPr>
      </w:pPr>
      <w:r>
        <w:rPr>
          <w:rFonts w:hint="eastAsia" w:ascii="黑体" w:hAnsi="黑体" w:eastAsia="黑体" w:cs="Times New Roman"/>
          <w:b/>
          <w:bCs/>
          <w:color w:val="auto"/>
          <w:sz w:val="24"/>
          <w:szCs w:val="24"/>
          <w:highlight w:val="none"/>
        </w:rPr>
        <w:t>五、响应文件开启</w:t>
      </w:r>
    </w:p>
    <w:p w14:paraId="12FE6B82">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bCs/>
          <w:color w:val="auto"/>
          <w:szCs w:val="21"/>
          <w:highlight w:val="none"/>
          <w:u w:val="single"/>
        </w:rPr>
      </w:pPr>
      <w:r>
        <w:rPr>
          <w:rFonts w:hint="eastAsia" w:ascii="宋体" w:hAnsi="宋体" w:eastAsia="宋体" w:cs="宋体"/>
          <w:color w:val="auto"/>
          <w:szCs w:val="21"/>
          <w:highlight w:val="none"/>
        </w:rPr>
        <w:t>开启时间：</w:t>
      </w:r>
      <w:bookmarkStart w:id="32" w:name="PO_3000001868_PM015_1"/>
      <w:r>
        <w:rPr>
          <w:rFonts w:hint="eastAsia" w:ascii="宋体" w:hAnsi="宋体" w:eastAsia="宋体" w:cs="宋体"/>
          <w:color w:val="auto"/>
          <w:szCs w:val="21"/>
          <w:highlight w:val="none"/>
          <w:u w:val="single"/>
        </w:rPr>
        <w:t>2025年</w:t>
      </w:r>
      <w:r>
        <w:rPr>
          <w:rFonts w:hint="eastAsia" w:ascii="宋体" w:hAnsi="宋体" w:eastAsia="宋体" w:cs="宋体"/>
          <w:color w:val="auto"/>
          <w:szCs w:val="21"/>
          <w:highlight w:val="none"/>
          <w:u w:val="single"/>
          <w:lang w:val="en-US" w:eastAsia="zh-CN"/>
        </w:rPr>
        <w:t>11</w:t>
      </w:r>
      <w:r>
        <w:rPr>
          <w:rFonts w:hint="eastAsia" w:ascii="宋体" w:hAnsi="宋体" w:eastAsia="宋体" w:cs="宋体"/>
          <w:color w:val="auto"/>
          <w:szCs w:val="21"/>
          <w:highlight w:val="none"/>
          <w:u w:val="single"/>
        </w:rPr>
        <w:t>月</w:t>
      </w:r>
      <w:r>
        <w:rPr>
          <w:rFonts w:hint="eastAsia" w:ascii="宋体" w:hAnsi="宋体" w:eastAsia="宋体" w:cs="宋体"/>
          <w:color w:val="auto"/>
          <w:szCs w:val="21"/>
          <w:highlight w:val="none"/>
          <w:u w:val="single"/>
          <w:lang w:val="en-US" w:eastAsia="zh-CN"/>
        </w:rPr>
        <w:t>21</w:t>
      </w:r>
      <w:r>
        <w:rPr>
          <w:rFonts w:hint="eastAsia" w:ascii="宋体" w:hAnsi="宋体" w:eastAsia="宋体" w:cs="宋体"/>
          <w:color w:val="auto"/>
          <w:szCs w:val="21"/>
          <w:highlight w:val="none"/>
          <w:u w:val="single"/>
        </w:rPr>
        <w:t>日</w:t>
      </w:r>
      <w:bookmarkEnd w:id="32"/>
      <w:r>
        <w:rPr>
          <w:rFonts w:hint="eastAsia" w:ascii="宋体" w:hAnsi="宋体" w:eastAsia="宋体" w:cs="宋体"/>
          <w:color w:val="auto"/>
          <w:szCs w:val="21"/>
          <w:highlight w:val="none"/>
          <w:u w:val="single"/>
          <w:lang w:val="en-US" w:eastAsia="zh-CN"/>
        </w:rPr>
        <w:t>15</w:t>
      </w:r>
      <w:r>
        <w:rPr>
          <w:rFonts w:hint="eastAsia" w:ascii="宋体" w:hAnsi="宋体" w:eastAsia="宋体" w:cs="宋体"/>
          <w:color w:val="auto"/>
          <w:szCs w:val="21"/>
          <w:highlight w:val="none"/>
          <w:u w:val="single"/>
        </w:rPr>
        <w:t>点00分</w:t>
      </w:r>
      <w:r>
        <w:rPr>
          <w:rFonts w:hint="eastAsia" w:ascii="宋体" w:hAnsi="宋体" w:eastAsia="宋体" w:cs="宋体"/>
          <w:bCs/>
          <w:color w:val="auto"/>
          <w:szCs w:val="21"/>
          <w:highlight w:val="none"/>
        </w:rPr>
        <w:t>（北京时间）</w:t>
      </w:r>
    </w:p>
    <w:p w14:paraId="4D55C0CF">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Times New Roman"/>
          <w:bCs/>
          <w:color w:val="auto"/>
          <w:szCs w:val="21"/>
          <w:highlight w:val="none"/>
          <w:u w:val="single"/>
        </w:rPr>
      </w:pPr>
      <w:r>
        <w:rPr>
          <w:rFonts w:hint="eastAsia" w:ascii="宋体" w:hAnsi="宋体" w:eastAsia="宋体" w:cs="宋体"/>
          <w:color w:val="auto"/>
          <w:szCs w:val="21"/>
          <w:highlight w:val="none"/>
        </w:rPr>
        <w:t>地点：广西政府采购云平台远程开标大厅</w:t>
      </w:r>
    </w:p>
    <w:p w14:paraId="5761AD44">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ascii="黑体" w:hAnsi="黑体" w:eastAsia="黑体" w:cs="Times New Roman"/>
          <w:b/>
          <w:bCs/>
          <w:color w:val="auto"/>
          <w:sz w:val="24"/>
          <w:szCs w:val="24"/>
          <w:highlight w:val="none"/>
        </w:rPr>
      </w:pPr>
      <w:bookmarkStart w:id="33" w:name="_Toc28359007"/>
      <w:bookmarkStart w:id="34" w:name="_Toc35393625"/>
      <w:bookmarkStart w:id="35" w:name="_Toc28359084"/>
      <w:bookmarkStart w:id="36" w:name="_Toc35393794"/>
      <w:r>
        <w:rPr>
          <w:rFonts w:hint="eastAsia" w:ascii="黑体" w:hAnsi="黑体" w:eastAsia="黑体" w:cs="Times New Roman"/>
          <w:b/>
          <w:bCs/>
          <w:color w:val="auto"/>
          <w:sz w:val="24"/>
          <w:szCs w:val="24"/>
          <w:highlight w:val="none"/>
        </w:rPr>
        <w:t>六、公告期限</w:t>
      </w:r>
      <w:bookmarkEnd w:id="33"/>
      <w:bookmarkEnd w:id="34"/>
      <w:bookmarkEnd w:id="35"/>
      <w:bookmarkEnd w:id="36"/>
    </w:p>
    <w:p w14:paraId="4AC658BB">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自本公告发布之日起3个工作日。</w:t>
      </w:r>
    </w:p>
    <w:p w14:paraId="597412C0">
      <w:pPr>
        <w:keepNext w:val="0"/>
        <w:keepLines w:val="0"/>
        <w:pageBreakBefore w:val="0"/>
        <w:numPr>
          <w:ilvl w:val="0"/>
          <w:numId w:val="0"/>
        </w:numPr>
        <w:kinsoku/>
        <w:wordWrap/>
        <w:overflowPunct/>
        <w:topLinePunct w:val="0"/>
        <w:autoSpaceDE/>
        <w:autoSpaceDN/>
        <w:bidi w:val="0"/>
        <w:adjustRightInd/>
        <w:snapToGrid/>
        <w:spacing w:line="400" w:lineRule="exact"/>
        <w:ind w:firstLine="482" w:firstLineChars="200"/>
        <w:textAlignment w:val="auto"/>
        <w:rPr>
          <w:rFonts w:hint="eastAsia" w:ascii="黑体" w:hAnsi="黑体" w:eastAsia="黑体" w:cs="Times New Roman"/>
          <w:b/>
          <w:bCs/>
          <w:color w:val="auto"/>
          <w:sz w:val="24"/>
          <w:szCs w:val="24"/>
          <w:highlight w:val="none"/>
        </w:rPr>
      </w:pPr>
      <w:bookmarkStart w:id="37" w:name="_Toc35393795"/>
      <w:bookmarkStart w:id="38" w:name="_Toc35393626"/>
      <w:r>
        <w:rPr>
          <w:rFonts w:hint="eastAsia" w:ascii="黑体" w:hAnsi="黑体" w:eastAsia="黑体" w:cs="Times New Roman"/>
          <w:b/>
          <w:bCs/>
          <w:color w:val="auto"/>
          <w:kern w:val="2"/>
          <w:sz w:val="24"/>
          <w:szCs w:val="24"/>
          <w:lang w:val="en-US" w:eastAsia="zh-CN" w:bidi="ar-SA"/>
        </w:rPr>
        <w:t>七、</w:t>
      </w:r>
      <w:r>
        <w:rPr>
          <w:rFonts w:hint="eastAsia" w:ascii="黑体" w:hAnsi="黑体" w:eastAsia="黑体" w:cs="Times New Roman"/>
          <w:b/>
          <w:bCs/>
          <w:color w:val="auto"/>
          <w:sz w:val="24"/>
          <w:szCs w:val="24"/>
          <w:highlight w:val="none"/>
        </w:rPr>
        <w:t>其他补充事宜</w:t>
      </w:r>
      <w:bookmarkEnd w:id="37"/>
      <w:bookmarkEnd w:id="38"/>
    </w:p>
    <w:p w14:paraId="1CCD976B">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1.谈判保证金：</w:t>
      </w:r>
    </w:p>
    <w:p w14:paraId="28DE0811">
      <w:pPr>
        <w:keepNext w:val="0"/>
        <w:keepLines w:val="0"/>
        <w:pageBreakBefore w:val="0"/>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本项目不需要缴</w:t>
      </w:r>
      <w:r>
        <w:rPr>
          <w:rFonts w:hint="eastAsia" w:ascii="宋体" w:hAnsi="宋体" w:eastAsia="宋体" w:cs="宋体"/>
          <w:b/>
          <w:bCs/>
          <w:color w:val="auto"/>
          <w:kern w:val="0"/>
          <w:szCs w:val="21"/>
          <w:highlight w:val="none"/>
        </w:rPr>
        <w:t>纳</w:t>
      </w:r>
      <w:r>
        <w:rPr>
          <w:rFonts w:hint="eastAsia" w:ascii="宋体" w:hAnsi="宋体" w:eastAsia="宋体" w:cs="宋体"/>
          <w:b/>
          <w:bCs/>
          <w:color w:val="auto"/>
          <w:szCs w:val="21"/>
          <w:highlight w:val="none"/>
        </w:rPr>
        <w:t>谈判保证金。</w:t>
      </w:r>
    </w:p>
    <w:p w14:paraId="1EB3DF85">
      <w:pPr>
        <w:keepNext w:val="0"/>
        <w:keepLines w:val="0"/>
        <w:pageBreakBefore w:val="0"/>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本项目需要缴</w:t>
      </w:r>
      <w:r>
        <w:rPr>
          <w:rFonts w:hint="eastAsia" w:ascii="宋体" w:hAnsi="宋体" w:eastAsia="宋体" w:cs="宋体"/>
          <w:b/>
          <w:bCs/>
          <w:color w:val="auto"/>
          <w:kern w:val="0"/>
          <w:szCs w:val="21"/>
          <w:highlight w:val="none"/>
        </w:rPr>
        <w:t>纳</w:t>
      </w:r>
      <w:r>
        <w:rPr>
          <w:rFonts w:hint="eastAsia" w:ascii="宋体" w:hAnsi="宋体" w:eastAsia="宋体" w:cs="宋体"/>
          <w:b/>
          <w:bCs/>
          <w:color w:val="auto"/>
          <w:szCs w:val="21"/>
          <w:highlight w:val="none"/>
        </w:rPr>
        <w:t>谈判保证金，相关要求：</w:t>
      </w:r>
    </w:p>
    <w:p w14:paraId="2413C77E">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谈判保证金金额：</w:t>
      </w:r>
      <w:r>
        <w:rPr>
          <w:rFonts w:hint="eastAsia" w:ascii="宋体" w:hAnsi="宋体" w:eastAsia="宋体" w:cs="宋体"/>
          <w:color w:val="auto"/>
          <w:szCs w:val="21"/>
          <w:highlight w:val="none"/>
        </w:rPr>
        <w:t>（大写）</w:t>
      </w:r>
      <w:r>
        <w:rPr>
          <w:rFonts w:hint="eastAsia" w:ascii="宋体" w:hAnsi="宋体" w:eastAsia="宋体" w:cs="宋体"/>
          <w:color w:val="auto"/>
          <w:szCs w:val="21"/>
          <w:highlight w:val="none"/>
          <w:u w:val="single"/>
        </w:rPr>
        <w:t>人民币</w:t>
      </w:r>
      <w:r>
        <w:rPr>
          <w:rFonts w:hint="eastAsia" w:ascii="宋体" w:hAnsi="宋体" w:eastAsia="宋体" w:cs="宋体"/>
          <w:color w:val="auto"/>
          <w:szCs w:val="21"/>
          <w:highlight w:val="none"/>
          <w:u w:val="single"/>
          <w:lang w:val="en-US" w:eastAsia="zh-CN"/>
        </w:rPr>
        <w:t>贰万伍仟</w:t>
      </w:r>
      <w:r>
        <w:rPr>
          <w:rFonts w:hint="eastAsia" w:ascii="宋体" w:hAnsi="宋体" w:eastAsia="宋体" w:cs="宋体"/>
          <w:color w:val="auto"/>
          <w:szCs w:val="21"/>
          <w:highlight w:val="none"/>
          <w:u w:val="single"/>
        </w:rPr>
        <w:t>元整（小写）</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lang w:val="en-US" w:eastAsia="zh-CN"/>
        </w:rPr>
        <w:t>25000.00</w:t>
      </w:r>
      <w:r>
        <w:rPr>
          <w:rFonts w:hint="eastAsia" w:ascii="宋体" w:hAnsi="宋体" w:eastAsia="宋体" w:cs="宋体"/>
          <w:color w:val="auto"/>
          <w:kern w:val="0"/>
          <w:szCs w:val="21"/>
          <w:highlight w:val="none"/>
        </w:rPr>
        <w:t>。</w:t>
      </w:r>
    </w:p>
    <w:p w14:paraId="1E8F4684">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谈判保证金的</w:t>
      </w:r>
      <w:r>
        <w:rPr>
          <w:rFonts w:hint="eastAsia" w:ascii="宋体" w:hAnsi="宋体" w:eastAsia="宋体" w:cs="宋体"/>
          <w:color w:val="auto"/>
          <w:szCs w:val="21"/>
          <w:highlight w:val="none"/>
        </w:rPr>
        <w:t>缴</w:t>
      </w:r>
      <w:r>
        <w:rPr>
          <w:rFonts w:hint="eastAsia" w:ascii="宋体" w:hAnsi="宋体" w:eastAsia="宋体" w:cs="宋体"/>
          <w:color w:val="auto"/>
          <w:kern w:val="0"/>
          <w:szCs w:val="21"/>
          <w:highlight w:val="none"/>
        </w:rPr>
        <w:t>纳方式：银行转账、支票、汇票、本票或者金融机构、担保机构出具的保函等非现金形式提交。采用银行转账方式的，在首次响应文件提交截止时间前交至采购代理机构指定账户并且到账；缴纳谈判保证金指定账户的信息：</w:t>
      </w:r>
    </w:p>
    <w:p w14:paraId="42E4330B">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开户银行：招商银行南宁金浦路支行</w:t>
      </w:r>
    </w:p>
    <w:p w14:paraId="4DE065B8">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开户名称：广西科联招标中心有限公司</w:t>
      </w:r>
    </w:p>
    <w:p w14:paraId="47FFECE1">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rPr>
        <w:t>银行账号：7719011969103333000011169</w:t>
      </w:r>
    </w:p>
    <w:p w14:paraId="64DE0EFE">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采用支票、汇票、本票或者保函等方式的，</w:t>
      </w:r>
      <w:r>
        <w:rPr>
          <w:rFonts w:hint="eastAsia" w:ascii="宋体" w:hAnsi="宋体"/>
          <w:color w:val="auto"/>
          <w:szCs w:val="21"/>
          <w:highlight w:val="none"/>
        </w:rPr>
        <w:t>供应商必须在首次响应文件提交截止时间前将支票、汇票、本票或者金融机构、担保机构出具的保函</w:t>
      </w:r>
      <w:r>
        <w:rPr>
          <w:rFonts w:hint="eastAsia" w:ascii="宋体" w:hAnsi="宋体" w:cs="宋体"/>
          <w:color w:val="auto"/>
          <w:szCs w:val="21"/>
          <w:highlight w:val="none"/>
        </w:rPr>
        <w:t>（</w:t>
      </w:r>
      <w:r>
        <w:rPr>
          <w:rFonts w:hint="eastAsia" w:ascii="宋体" w:hAnsi="宋体" w:cs="宋体"/>
          <w:color w:val="auto"/>
          <w:kern w:val="0"/>
          <w:szCs w:val="21"/>
          <w:highlight w:val="none"/>
        </w:rPr>
        <w:t>电子保函除外</w:t>
      </w:r>
      <w:r>
        <w:rPr>
          <w:rFonts w:hint="eastAsia" w:ascii="宋体" w:hAnsi="宋体" w:cs="宋体"/>
          <w:color w:val="auto"/>
          <w:szCs w:val="21"/>
          <w:highlight w:val="none"/>
        </w:rPr>
        <w:t>）</w:t>
      </w:r>
      <w:r>
        <w:rPr>
          <w:rFonts w:hint="eastAsia" w:ascii="宋体" w:hAnsi="宋体"/>
          <w:color w:val="auto"/>
          <w:szCs w:val="21"/>
          <w:highlight w:val="none"/>
        </w:rPr>
        <w:t>等原件提交给采购代理机构</w:t>
      </w:r>
      <w:r>
        <w:rPr>
          <w:rFonts w:hint="eastAsia" w:ascii="宋体" w:hAnsi="宋体" w:eastAsia="宋体" w:cs="宋体"/>
          <w:color w:val="auto"/>
          <w:kern w:val="0"/>
          <w:szCs w:val="21"/>
          <w:highlight w:val="none"/>
        </w:rPr>
        <w:t>。否则视为无效谈判保证金。</w:t>
      </w:r>
      <w:bookmarkStart w:id="39" w:name="_Hlk37429595"/>
      <w:bookmarkStart w:id="40" w:name="_Hlk37429585"/>
    </w:p>
    <w:p w14:paraId="639DC0E8">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 w:val="21"/>
          <w:szCs w:val="21"/>
          <w:lang w:val="en-US" w:eastAsia="zh-CN" w:bidi="ar-SA"/>
        </w:rPr>
        <w:t>2.</w:t>
      </w:r>
      <w:r>
        <w:rPr>
          <w:rFonts w:hint="eastAsia" w:ascii="宋体" w:hAnsi="宋体" w:eastAsia="宋体" w:cs="宋体"/>
          <w:color w:val="auto"/>
          <w:kern w:val="0"/>
          <w:szCs w:val="21"/>
          <w:highlight w:val="none"/>
        </w:rPr>
        <w:t>网上查询地址</w:t>
      </w:r>
      <w:bookmarkEnd w:id="39"/>
      <w:bookmarkEnd w:id="40"/>
      <w:bookmarkStart w:id="41" w:name="_Hlk37429674"/>
    </w:p>
    <w:p w14:paraId="4494C5BB">
      <w:pPr>
        <w:spacing w:line="360" w:lineRule="auto"/>
        <w:ind w:firstLine="420" w:firstLineChars="20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http://www.ccgp-guangxi.gov.cn/(中国政府采购网广西分网)</w:t>
      </w:r>
      <w:r>
        <w:rPr>
          <w:rFonts w:hint="eastAsia" w:ascii="宋体" w:hAnsi="宋体" w:eastAsia="宋体" w:cs="宋体"/>
          <w:color w:val="auto"/>
          <w:kern w:val="0"/>
          <w:szCs w:val="21"/>
          <w:highlight w:val="none"/>
          <w:lang w:eastAsia="zh-CN"/>
        </w:rPr>
        <w:t>、</w:t>
      </w:r>
      <w:r>
        <w:rPr>
          <w:rFonts w:hint="eastAsia" w:ascii="宋体" w:hAnsi="宋体" w:cs="宋体"/>
          <w:color w:val="auto"/>
          <w:kern w:val="0"/>
          <w:szCs w:val="21"/>
        </w:rPr>
        <w:t>https://www.gxmu.edu.cn/</w:t>
      </w:r>
      <w:r>
        <w:rPr>
          <w:rFonts w:hint="eastAsia" w:ascii="宋体" w:hAnsi="宋体" w:cs="宋体"/>
          <w:color w:val="auto"/>
          <w:kern w:val="0"/>
          <w:szCs w:val="21"/>
          <w:lang w:eastAsia="zh-CN"/>
        </w:rPr>
        <w:t>（</w:t>
      </w:r>
      <w:r>
        <w:rPr>
          <w:rFonts w:hint="eastAsia" w:ascii="宋体" w:hAnsi="宋体" w:cs="宋体"/>
          <w:color w:val="auto"/>
          <w:kern w:val="0"/>
          <w:szCs w:val="21"/>
        </w:rPr>
        <w:t>广西医科大学官网</w:t>
      </w:r>
      <w:r>
        <w:rPr>
          <w:rFonts w:hint="eastAsia" w:ascii="宋体" w:hAnsi="宋体" w:cs="宋体"/>
          <w:color w:val="auto"/>
          <w:kern w:val="0"/>
          <w:szCs w:val="21"/>
          <w:lang w:eastAsia="zh-CN"/>
        </w:rPr>
        <w:t>）</w:t>
      </w:r>
      <w:r>
        <w:rPr>
          <w:rFonts w:hint="eastAsia" w:ascii="宋体" w:hAnsi="宋体" w:cs="宋体"/>
          <w:color w:val="auto"/>
          <w:kern w:val="0"/>
          <w:szCs w:val="21"/>
        </w:rPr>
        <w:t>、http://www.gxmuwmfy.com/</w:t>
      </w:r>
      <w:r>
        <w:rPr>
          <w:rFonts w:hint="eastAsia" w:ascii="宋体" w:hAnsi="宋体" w:cs="宋体"/>
          <w:color w:val="auto"/>
          <w:kern w:val="0"/>
          <w:szCs w:val="21"/>
          <w:lang w:eastAsia="zh-CN"/>
        </w:rPr>
        <w:t>（</w:t>
      </w:r>
      <w:r>
        <w:rPr>
          <w:rFonts w:hint="eastAsia" w:ascii="宋体" w:hAnsi="宋体" w:cs="宋体"/>
          <w:color w:val="auto"/>
          <w:kern w:val="0"/>
          <w:szCs w:val="21"/>
        </w:rPr>
        <w:t>广西医科大学附属武鸣医院官网</w:t>
      </w:r>
      <w:r>
        <w:rPr>
          <w:rFonts w:hint="eastAsia" w:ascii="宋体" w:hAnsi="宋体" w:cs="宋体"/>
          <w:color w:val="auto"/>
          <w:kern w:val="0"/>
          <w:szCs w:val="21"/>
          <w:lang w:eastAsia="zh-CN"/>
        </w:rPr>
        <w:t>）</w:t>
      </w:r>
    </w:p>
    <w:p w14:paraId="717A059A">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 w:val="21"/>
          <w:szCs w:val="21"/>
          <w:lang w:val="en-US" w:eastAsia="zh-CN" w:bidi="ar-SA"/>
        </w:rPr>
        <w:t>3.</w:t>
      </w:r>
      <w:r>
        <w:rPr>
          <w:rFonts w:hint="eastAsia" w:ascii="宋体" w:hAnsi="宋体" w:eastAsia="宋体" w:cs="宋体"/>
          <w:color w:val="auto"/>
          <w:kern w:val="0"/>
          <w:szCs w:val="21"/>
          <w:highlight w:val="none"/>
        </w:rPr>
        <w:t>本项目需要落实的政府采购政策</w:t>
      </w:r>
    </w:p>
    <w:p w14:paraId="5FC94DCF">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（1）政府采购促进中小企业发展。</w:t>
      </w:r>
    </w:p>
    <w:p w14:paraId="37B7A130">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（2）政府采购支持采用本国产品的政策。</w:t>
      </w:r>
    </w:p>
    <w:p w14:paraId="06578160">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（3）强制采购节能产品；优先采购节能产品、环境标志产品。</w:t>
      </w:r>
    </w:p>
    <w:p w14:paraId="3A511504">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（4）政府采购促进残疾人就业政策。</w:t>
      </w:r>
    </w:p>
    <w:p w14:paraId="3954067D">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（5）政府采购支持监狱企业发展。</w:t>
      </w:r>
      <w:bookmarkEnd w:id="41"/>
    </w:p>
    <w:p w14:paraId="7EEC046A">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38B25E3B">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kern w:val="0"/>
          <w:szCs w:val="21"/>
          <w:highlight w:val="none"/>
        </w:rPr>
      </w:pPr>
      <w:r>
        <w:rPr>
          <w:rFonts w:hint="eastAsia" w:ascii="宋体" w:hAnsi="宋体" w:eastAsia="宋体" w:cs="宋体"/>
          <w:color w:val="auto"/>
          <w:szCs w:val="21"/>
          <w:highlight w:val="none"/>
        </w:rPr>
        <w:t>5.对在“信用中国”网站(www.creditchina.gov.cn)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3EEE0B2E">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6.</w:t>
      </w:r>
      <w:r>
        <w:rPr>
          <w:rFonts w:hint="eastAsia" w:ascii="宋体" w:hAnsi="宋体" w:eastAsia="宋体" w:cs="宋体"/>
          <w:b/>
          <w:bCs/>
          <w:color w:val="auto"/>
          <w:szCs w:val="21"/>
          <w:highlight w:val="none"/>
        </w:rPr>
        <w:t>在线竞标的有关说明</w:t>
      </w:r>
      <w:r>
        <w:rPr>
          <w:rFonts w:hint="eastAsia" w:ascii="宋体" w:hAnsi="宋体" w:eastAsia="宋体" w:cs="宋体"/>
          <w:b/>
          <w:bCs/>
          <w:color w:val="auto"/>
          <w:kern w:val="0"/>
          <w:szCs w:val="21"/>
          <w:highlight w:val="none"/>
        </w:rPr>
        <w:t>：</w:t>
      </w:r>
    </w:p>
    <w:p w14:paraId="73809780">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（1）响应文件提交方式：本项目为全流程电子化项目，通过</w:t>
      </w:r>
      <w:r>
        <w:rPr>
          <w:rFonts w:hint="eastAsia" w:ascii="宋体" w:hAnsi="宋体" w:cs="宋体"/>
          <w:color w:val="auto"/>
          <w:szCs w:val="21"/>
          <w:highlight w:val="none"/>
        </w:rPr>
        <w:t>广西政府采购云平台（</w:t>
      </w:r>
      <w:r>
        <w:rPr>
          <w:rStyle w:val="32"/>
          <w:rFonts w:hint="eastAsia" w:ascii="宋体" w:hAnsi="宋体" w:eastAsia="宋体" w:cs="宋体"/>
          <w:b w:val="0"/>
          <w:bCs/>
          <w:color w:val="auto"/>
          <w:szCs w:val="21"/>
          <w:highlight w:val="none"/>
        </w:rPr>
        <w:t>https://www.gcy.zfcg.gxzf.gov.cn/</w:t>
      </w:r>
      <w:r>
        <w:rPr>
          <w:rFonts w:hint="eastAsia" w:ascii="宋体" w:hAnsi="宋体" w:cs="宋体"/>
          <w:color w:val="auto"/>
          <w:szCs w:val="21"/>
          <w:highlight w:val="none"/>
        </w:rPr>
        <w:t>）</w:t>
      </w:r>
      <w:r>
        <w:rPr>
          <w:rFonts w:hint="eastAsia" w:ascii="宋体" w:hAnsi="宋体" w:eastAsia="宋体" w:cs="宋体"/>
          <w:color w:val="auto"/>
          <w:szCs w:val="21"/>
          <w:highlight w:val="none"/>
        </w:rPr>
        <w:t>实行在线电子响应，供应商应先安装</w:t>
      </w:r>
      <w:r>
        <w:rPr>
          <w:rFonts w:hint="eastAsia" w:ascii="宋体" w:hAnsi="宋体" w:cs="宋体"/>
          <w:color w:val="auto"/>
          <w:szCs w:val="21"/>
          <w:highlight w:val="none"/>
        </w:rPr>
        <w:t>广西政府采购云平台新版客户端（新版</w:t>
      </w:r>
      <w:r>
        <w:rPr>
          <w:rFonts w:hint="eastAsia" w:ascii="宋体" w:hAnsi="宋体" w:eastAsia="宋体" w:cs="宋体"/>
          <w:color w:val="auto"/>
          <w:szCs w:val="21"/>
          <w:highlight w:val="none"/>
        </w:rPr>
        <w:t>客户端下载路径：广西政府采购网（访问地址http://zfcg.gxzf.gov.cn/）—办事服务—下载专区</w:t>
      </w:r>
      <w:r>
        <w:rPr>
          <w:rFonts w:hint="eastAsia" w:ascii="宋体" w:hAnsi="宋体" w:cs="宋体"/>
          <w:color w:val="auto"/>
          <w:szCs w:val="21"/>
          <w:highlight w:val="none"/>
        </w:rPr>
        <w:t>）</w:t>
      </w:r>
      <w:r>
        <w:rPr>
          <w:rFonts w:hint="eastAsia" w:ascii="宋体" w:hAnsi="宋体" w:eastAsia="宋体" w:cs="宋体"/>
          <w:color w:val="auto"/>
          <w:szCs w:val="21"/>
          <w:highlight w:val="none"/>
        </w:rPr>
        <w:t>，并按照本项目采购文件和</w:t>
      </w:r>
      <w:r>
        <w:rPr>
          <w:rFonts w:hint="eastAsia" w:ascii="宋体" w:hAnsi="宋体" w:cs="宋体"/>
          <w:color w:val="auto"/>
          <w:szCs w:val="21"/>
          <w:highlight w:val="none"/>
        </w:rPr>
        <w:t>广西政府采购云平台</w:t>
      </w:r>
      <w:r>
        <w:rPr>
          <w:rFonts w:hint="eastAsia" w:ascii="宋体" w:hAnsi="宋体" w:eastAsia="宋体" w:cs="宋体"/>
          <w:color w:val="auto"/>
          <w:szCs w:val="21"/>
          <w:highlight w:val="none"/>
        </w:rPr>
        <w:t>的要求编制、加密后在响应文件提交截止时间前通过网络上传至</w:t>
      </w:r>
      <w:r>
        <w:rPr>
          <w:rFonts w:hint="eastAsia" w:ascii="宋体" w:hAnsi="宋体" w:cs="宋体"/>
          <w:color w:val="auto"/>
          <w:szCs w:val="21"/>
          <w:highlight w:val="none"/>
        </w:rPr>
        <w:t>广西政府采购云平台</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供应商在广西政府采购云平台提交电子版响应文件时，请填写参加远程采购活动经办人联系方式</w:t>
      </w:r>
      <w:r>
        <w:rPr>
          <w:rFonts w:hint="eastAsia" w:ascii="宋体" w:hAnsi="宋体" w:eastAsia="宋体" w:cs="宋体"/>
          <w:color w:val="auto"/>
          <w:szCs w:val="21"/>
          <w:highlight w:val="none"/>
        </w:rPr>
        <w:t>。</w:t>
      </w:r>
    </w:p>
    <w:p w14:paraId="61FA83B0">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（2）未进行网上注册并办理数字证书（CA认证）的供应商将无法参与本项目政府采购活动，潜在供应商应当在首次响应文件提交截止时间前，完成电子交易平台上的CA数字证书办理及响应文件的提交。</w:t>
      </w:r>
    </w:p>
    <w:p w14:paraId="69BC3F80">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（3）为确保网上操作合法、有效和安全，请供应商确保在电子响应过程中能够对相关数据电文进行加密和使用电子签章，妥善保管CA数字证书并使用有效的CA数字证书参与整个采购活动。</w:t>
      </w:r>
    </w:p>
    <w:p w14:paraId="11C2DD1B">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color w:val="auto"/>
          <w:szCs w:val="21"/>
          <w:highlight w:val="none"/>
          <w:u w:val="single"/>
        </w:rPr>
      </w:pPr>
      <w:r>
        <w:rPr>
          <w:rFonts w:hint="eastAsia" w:ascii="宋体" w:hAnsi="宋体" w:eastAsia="宋体" w:cs="宋体"/>
          <w:b/>
          <w:color w:val="auto"/>
          <w:szCs w:val="21"/>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w:t>
      </w:r>
      <w:r>
        <w:rPr>
          <w:rFonts w:hint="eastAsia" w:ascii="宋体" w:hAnsi="宋体" w:eastAsia="宋体" w:cs="宋体"/>
          <w:b/>
          <w:color w:val="auto"/>
          <w:szCs w:val="21"/>
          <w:highlight w:val="none"/>
        </w:rPr>
        <w:t>响应文件提交</w:t>
      </w:r>
      <w:r>
        <w:rPr>
          <w:rFonts w:hint="eastAsia" w:ascii="宋体" w:hAnsi="宋体" w:eastAsia="宋体" w:cs="宋体"/>
          <w:b/>
          <w:color w:val="auto"/>
          <w:szCs w:val="21"/>
          <w:highlight w:val="none"/>
          <w:u w:val="single"/>
        </w:rPr>
        <w:t>截止时间前未完成上传、递交的，视为撤回响应文件。响应文件提交截止时间以后上传递交的响应文件的，广西政府采购云平台将予以拒收。</w:t>
      </w:r>
    </w:p>
    <w:p w14:paraId="5DA1A87B">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 w:val="21"/>
          <w:szCs w:val="21"/>
          <w:lang w:val="en-US" w:eastAsia="zh-CN" w:bidi="ar-SA"/>
        </w:rPr>
        <w:t>（4）</w:t>
      </w:r>
      <w:r>
        <w:rPr>
          <w:rFonts w:hint="eastAsia" w:ascii="宋体" w:hAnsi="宋体" w:eastAsia="宋体" w:cs="宋体"/>
          <w:color w:val="auto"/>
          <w:kern w:val="0"/>
          <w:szCs w:val="21"/>
          <w:highlight w:val="none"/>
        </w:rPr>
        <w:t>CA证书在线解密：首次响应文件开启时，需要供应商登录</w:t>
      </w:r>
      <w:r>
        <w:rPr>
          <w:rFonts w:hint="eastAsia" w:ascii="宋体" w:hAnsi="宋体" w:cs="宋体"/>
          <w:color w:val="auto"/>
          <w:szCs w:val="21"/>
          <w:highlight w:val="none"/>
        </w:rPr>
        <w:t>广西政府采购云平台</w:t>
      </w:r>
      <w:r>
        <w:rPr>
          <w:rFonts w:hint="eastAsia" w:ascii="宋体" w:hAnsi="宋体" w:eastAsia="宋体" w:cs="宋体"/>
          <w:color w:val="auto"/>
          <w:kern w:val="0"/>
          <w:szCs w:val="21"/>
          <w:highlight w:val="none"/>
        </w:rPr>
        <w:t>电子开标大厅按规定时间对加密的响应文件进行解密。</w:t>
      </w:r>
    </w:p>
    <w:p w14:paraId="1BE952E7">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ascii="宋体" w:hAnsi="宋体" w:eastAsia="宋体" w:cs="宋体"/>
          <w:color w:val="auto"/>
          <w:kern w:val="0"/>
          <w:szCs w:val="21"/>
          <w:highlight w:val="none"/>
        </w:rPr>
        <w:t>5</w:t>
      </w:r>
      <w:r>
        <w:rPr>
          <w:rFonts w:hint="eastAsia" w:ascii="宋体" w:hAnsi="宋体" w:eastAsia="宋体" w:cs="宋体"/>
          <w:color w:val="auto"/>
          <w:kern w:val="0"/>
          <w:szCs w:val="21"/>
          <w:highlight w:val="none"/>
        </w:rPr>
        <w:t>）供应商需要在具备有摄像头及语音功能且互联网网络状况良好的电脑登录</w:t>
      </w:r>
      <w:r>
        <w:rPr>
          <w:rFonts w:hint="eastAsia" w:ascii="宋体" w:hAnsi="宋体" w:cs="宋体"/>
          <w:color w:val="auto"/>
          <w:szCs w:val="21"/>
          <w:highlight w:val="none"/>
        </w:rPr>
        <w:t>广西政府采购云平台</w:t>
      </w:r>
      <w:r>
        <w:rPr>
          <w:rFonts w:hint="eastAsia" w:ascii="宋体" w:hAnsi="宋体" w:eastAsia="宋体" w:cs="宋体"/>
          <w:color w:val="auto"/>
          <w:kern w:val="0"/>
          <w:szCs w:val="21"/>
          <w:highlight w:val="none"/>
        </w:rPr>
        <w:t>远程开标大厅参与本次谈判，否则后果自负。</w:t>
      </w:r>
    </w:p>
    <w:p w14:paraId="45FFBC7F">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7.若对项目采购电子交易系统操作有疑问，可登录</w:t>
      </w:r>
      <w:r>
        <w:rPr>
          <w:rFonts w:hint="eastAsia" w:ascii="宋体" w:hAnsi="宋体" w:cs="宋体"/>
          <w:color w:val="auto"/>
          <w:szCs w:val="21"/>
          <w:highlight w:val="none"/>
        </w:rPr>
        <w:t>广西政府采购云平台（</w:t>
      </w:r>
      <w:r>
        <w:rPr>
          <w:rStyle w:val="32"/>
          <w:rFonts w:hint="eastAsia" w:ascii="宋体" w:hAnsi="宋体" w:eastAsia="宋体" w:cs="宋体"/>
          <w:b w:val="0"/>
          <w:bCs/>
          <w:color w:val="auto"/>
          <w:szCs w:val="21"/>
          <w:highlight w:val="none"/>
        </w:rPr>
        <w:t>https://www.gcy.zfcg.gxzf.gov.cn/</w:t>
      </w:r>
      <w:r>
        <w:rPr>
          <w:rFonts w:hint="eastAsia" w:ascii="宋体" w:hAnsi="宋体" w:cs="宋体"/>
          <w:color w:val="auto"/>
          <w:szCs w:val="21"/>
          <w:highlight w:val="none"/>
        </w:rPr>
        <w:t>）</w:t>
      </w:r>
      <w:r>
        <w:rPr>
          <w:rFonts w:hint="eastAsia" w:ascii="宋体" w:hAnsi="宋体" w:eastAsia="宋体" w:cs="宋体"/>
          <w:color w:val="auto"/>
          <w:kern w:val="0"/>
          <w:szCs w:val="21"/>
          <w:highlight w:val="none"/>
        </w:rPr>
        <w:t>，点击右侧咨询小采，获取采小蜜智能服务管家帮助，或拨打</w:t>
      </w:r>
      <w:r>
        <w:rPr>
          <w:rFonts w:hint="eastAsia" w:ascii="宋体" w:hAnsi="宋体" w:cs="宋体"/>
          <w:color w:val="auto"/>
          <w:szCs w:val="21"/>
          <w:highlight w:val="none"/>
        </w:rPr>
        <w:t>广西政府采购云平台</w:t>
      </w:r>
      <w:r>
        <w:rPr>
          <w:rFonts w:hint="eastAsia" w:ascii="宋体" w:hAnsi="宋体" w:eastAsia="宋体" w:cs="宋体"/>
          <w:color w:val="auto"/>
          <w:kern w:val="0"/>
          <w:szCs w:val="21"/>
          <w:highlight w:val="none"/>
        </w:rPr>
        <w:t>服务热线95763获取热线服务帮助。</w:t>
      </w:r>
    </w:p>
    <w:p w14:paraId="10DF08F2">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ascii="黑体" w:hAnsi="黑体" w:eastAsia="黑体" w:cs="宋体"/>
          <w:bCs/>
          <w:color w:val="auto"/>
          <w:sz w:val="24"/>
          <w:szCs w:val="24"/>
          <w:highlight w:val="none"/>
        </w:rPr>
      </w:pPr>
      <w:r>
        <w:rPr>
          <w:rFonts w:hint="eastAsia" w:ascii="黑体" w:hAnsi="黑体" w:eastAsia="黑体" w:cs="宋体"/>
          <w:b/>
          <w:color w:val="auto"/>
          <w:kern w:val="44"/>
          <w:sz w:val="24"/>
          <w:szCs w:val="24"/>
          <w:highlight w:val="none"/>
        </w:rPr>
        <w:t>八、凡对本次采购提出询问，请按</w:t>
      </w:r>
      <w:r>
        <w:rPr>
          <w:rFonts w:ascii="黑体" w:hAnsi="黑体" w:eastAsia="黑体" w:cs="宋体"/>
          <w:b/>
          <w:color w:val="auto"/>
          <w:kern w:val="44"/>
          <w:sz w:val="24"/>
          <w:szCs w:val="24"/>
          <w:highlight w:val="none"/>
        </w:rPr>
        <w:t>以下方式</w:t>
      </w:r>
      <w:r>
        <w:rPr>
          <w:rFonts w:hint="eastAsia" w:ascii="黑体" w:hAnsi="黑体" w:eastAsia="黑体" w:cs="宋体"/>
          <w:b/>
          <w:color w:val="auto"/>
          <w:kern w:val="44"/>
          <w:sz w:val="24"/>
          <w:szCs w:val="24"/>
          <w:highlight w:val="none"/>
        </w:rPr>
        <w:t>联系。</w:t>
      </w:r>
    </w:p>
    <w:p w14:paraId="745F7B29">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1.采购人信息</w:t>
      </w:r>
    </w:p>
    <w:p w14:paraId="4E279B22">
      <w:pPr>
        <w:keepNext w:val="0"/>
        <w:keepLines w:val="0"/>
        <w:pageBreakBefore w:val="0"/>
        <w:kinsoku/>
        <w:wordWrap/>
        <w:overflowPunct/>
        <w:topLinePunct w:val="0"/>
        <w:autoSpaceDE/>
        <w:autoSpaceDN/>
        <w:bidi w:val="0"/>
        <w:adjustRightInd/>
        <w:snapToGrid/>
        <w:spacing w:line="400" w:lineRule="exact"/>
        <w:ind w:firstLine="630" w:firstLineChars="300"/>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名</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称：</w:t>
      </w:r>
      <w:r>
        <w:rPr>
          <w:rFonts w:hint="eastAsia" w:ascii="宋体" w:hAnsi="宋体" w:eastAsia="宋体" w:cs="宋体"/>
          <w:color w:val="auto"/>
          <w:szCs w:val="21"/>
          <w:highlight w:val="none"/>
          <w:lang w:eastAsia="zh-CN"/>
        </w:rPr>
        <w:t>广西医科大学</w:t>
      </w:r>
      <w:r>
        <w:rPr>
          <w:rFonts w:hint="eastAsia" w:ascii="宋体" w:hAnsi="宋体" w:eastAsia="宋体" w:cs="宋体"/>
          <w:color w:val="auto"/>
          <w:szCs w:val="21"/>
          <w:highlight w:val="none"/>
          <w:lang w:val="en-US" w:eastAsia="zh-CN"/>
        </w:rPr>
        <w:t>附属</w:t>
      </w:r>
      <w:r>
        <w:rPr>
          <w:rFonts w:hint="eastAsia" w:ascii="宋体" w:hAnsi="宋体" w:eastAsia="宋体" w:cs="宋体"/>
          <w:color w:val="auto"/>
          <w:szCs w:val="21"/>
          <w:highlight w:val="none"/>
          <w:lang w:eastAsia="zh-CN"/>
        </w:rPr>
        <w:t>武鸣医院</w:t>
      </w:r>
    </w:p>
    <w:p w14:paraId="48DFBD3D">
      <w:pPr>
        <w:keepNext w:val="0"/>
        <w:keepLines w:val="0"/>
        <w:pageBreakBefore w:val="0"/>
        <w:kinsoku/>
        <w:wordWrap/>
        <w:overflowPunct/>
        <w:topLinePunct w:val="0"/>
        <w:autoSpaceDE/>
        <w:autoSpaceDN/>
        <w:bidi w:val="0"/>
        <w:adjustRightInd/>
        <w:snapToGrid/>
        <w:spacing w:line="400" w:lineRule="exact"/>
        <w:ind w:firstLine="630" w:firstLineChars="300"/>
        <w:jc w:val="left"/>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地</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址：南宁市武鸣区永宁路26号</w:t>
      </w:r>
    </w:p>
    <w:p w14:paraId="57B25C05">
      <w:pPr>
        <w:keepNext w:val="0"/>
        <w:keepLines w:val="0"/>
        <w:pageBreakBefore w:val="0"/>
        <w:kinsoku/>
        <w:wordWrap/>
        <w:overflowPunct/>
        <w:topLinePunct w:val="0"/>
        <w:autoSpaceDE/>
        <w:autoSpaceDN/>
        <w:bidi w:val="0"/>
        <w:adjustRightInd/>
        <w:snapToGrid/>
        <w:spacing w:line="400" w:lineRule="exact"/>
        <w:ind w:firstLine="630" w:firstLineChars="300"/>
        <w:jc w:val="left"/>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项目联系人：</w:t>
      </w:r>
      <w:r>
        <w:rPr>
          <w:rFonts w:hint="eastAsia" w:ascii="宋体" w:hAnsi="宋体" w:eastAsia="宋体" w:cs="宋体"/>
          <w:color w:val="auto"/>
          <w:szCs w:val="21"/>
          <w:highlight w:val="none"/>
          <w:lang w:val="en-US" w:eastAsia="zh-CN"/>
        </w:rPr>
        <w:t>霍工</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t xml:space="preserve">      </w:t>
      </w:r>
    </w:p>
    <w:p w14:paraId="4410C6DF">
      <w:pPr>
        <w:keepNext w:val="0"/>
        <w:keepLines w:val="0"/>
        <w:pageBreakBefore w:val="0"/>
        <w:kinsoku/>
        <w:wordWrap/>
        <w:overflowPunct/>
        <w:topLinePunct w:val="0"/>
        <w:autoSpaceDE/>
        <w:autoSpaceDN/>
        <w:bidi w:val="0"/>
        <w:adjustRightInd/>
        <w:snapToGrid/>
        <w:spacing w:line="400" w:lineRule="exact"/>
        <w:ind w:firstLine="630" w:firstLineChars="300"/>
        <w:jc w:val="left"/>
        <w:textAlignment w:val="auto"/>
        <w:rPr>
          <w:rFonts w:hint="default"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项目联系方式：</w:t>
      </w:r>
      <w:r>
        <w:rPr>
          <w:rFonts w:hint="eastAsia" w:ascii="宋体" w:hAnsi="宋体" w:eastAsia="宋体" w:cs="宋体"/>
          <w:color w:val="auto"/>
          <w:szCs w:val="21"/>
          <w:highlight w:val="none"/>
          <w:lang w:val="en-US" w:eastAsia="zh-CN"/>
        </w:rPr>
        <w:t>0771-6200039</w:t>
      </w:r>
    </w:p>
    <w:p w14:paraId="66F7B404">
      <w:pPr>
        <w:keepNext w:val="0"/>
        <w:keepLines w:val="0"/>
        <w:pageBreakBefore w:val="0"/>
        <w:kinsoku/>
        <w:wordWrap/>
        <w:overflowPunct/>
        <w:topLinePunct w:val="0"/>
        <w:autoSpaceDE/>
        <w:autoSpaceDN/>
        <w:bidi w:val="0"/>
        <w:adjustRightInd/>
        <w:snapToGrid/>
        <w:spacing w:line="400" w:lineRule="exact"/>
        <w:ind w:left="1041" w:leftChars="371" w:hanging="262" w:hangingChars="125"/>
        <w:jc w:val="left"/>
        <w:textAlignment w:val="auto"/>
        <w:rPr>
          <w:rFonts w:ascii="宋体" w:hAnsi="宋体" w:eastAsia="宋体" w:cs="宋体"/>
          <w:color w:val="auto"/>
          <w:szCs w:val="21"/>
          <w:highlight w:val="none"/>
        </w:rPr>
      </w:pPr>
    </w:p>
    <w:p w14:paraId="2EF961EA">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2.采购代理机构信息</w:t>
      </w:r>
    </w:p>
    <w:p w14:paraId="547A9E58">
      <w:pPr>
        <w:keepNext w:val="0"/>
        <w:keepLines w:val="0"/>
        <w:pageBreakBefore w:val="0"/>
        <w:kinsoku/>
        <w:wordWrap/>
        <w:overflowPunct/>
        <w:topLinePunct w:val="0"/>
        <w:autoSpaceDE/>
        <w:autoSpaceDN/>
        <w:bidi w:val="0"/>
        <w:adjustRightInd/>
        <w:snapToGrid/>
        <w:spacing w:line="400" w:lineRule="exact"/>
        <w:ind w:firstLine="630" w:firstLineChars="3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名</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称：广西科联招标中心有限公司</w:t>
      </w:r>
    </w:p>
    <w:p w14:paraId="3E66F168">
      <w:pPr>
        <w:keepNext w:val="0"/>
        <w:keepLines w:val="0"/>
        <w:pageBreakBefore w:val="0"/>
        <w:kinsoku/>
        <w:wordWrap/>
        <w:overflowPunct/>
        <w:topLinePunct w:val="0"/>
        <w:autoSpaceDE/>
        <w:autoSpaceDN/>
        <w:bidi w:val="0"/>
        <w:adjustRightInd/>
        <w:snapToGrid/>
        <w:spacing w:line="400" w:lineRule="exact"/>
        <w:ind w:firstLine="630" w:firstLineChars="3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地　　址：</w:t>
      </w:r>
      <w:bookmarkStart w:id="42" w:name="OLE_LINK11"/>
      <w:r>
        <w:rPr>
          <w:rFonts w:hint="eastAsia" w:ascii="宋体" w:hAnsi="宋体" w:eastAsia="宋体" w:cs="宋体"/>
          <w:color w:val="auto"/>
          <w:szCs w:val="21"/>
          <w:highlight w:val="none"/>
        </w:rPr>
        <w:t>广西南宁市西乡塘区大学东路170号</w:t>
      </w:r>
      <w:bookmarkEnd w:id="42"/>
    </w:p>
    <w:p w14:paraId="383C5687">
      <w:pPr>
        <w:keepNext w:val="0"/>
        <w:keepLines w:val="0"/>
        <w:pageBreakBefore w:val="0"/>
        <w:kinsoku/>
        <w:wordWrap/>
        <w:overflowPunct/>
        <w:topLinePunct w:val="0"/>
        <w:autoSpaceDE/>
        <w:autoSpaceDN/>
        <w:bidi w:val="0"/>
        <w:adjustRightInd/>
        <w:snapToGrid/>
        <w:spacing w:line="400" w:lineRule="exact"/>
        <w:ind w:firstLine="630" w:firstLineChars="300"/>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项目联系人：</w:t>
      </w:r>
      <w:r>
        <w:rPr>
          <w:rFonts w:hint="eastAsia" w:ascii="宋体" w:hAnsi="宋体" w:eastAsia="宋体" w:cs="宋体"/>
          <w:color w:val="auto"/>
          <w:szCs w:val="21"/>
          <w:highlight w:val="none"/>
          <w:lang w:val="en-US" w:eastAsia="zh-CN"/>
        </w:rPr>
        <w:t>韦俊珉</w:t>
      </w:r>
      <w:r>
        <w:rPr>
          <w:rFonts w:hint="eastAsia" w:ascii="宋体" w:hAnsi="宋体" w:eastAsia="宋体" w:cs="宋体"/>
          <w:color w:val="auto"/>
          <w:szCs w:val="21"/>
          <w:highlight w:val="none"/>
          <w:lang w:val="en-US" w:eastAsia="zh-CN"/>
        </w:rPr>
        <w:tab/>
      </w:r>
    </w:p>
    <w:p w14:paraId="5D513AD1">
      <w:pPr>
        <w:keepNext w:val="0"/>
        <w:keepLines w:val="0"/>
        <w:pageBreakBefore w:val="0"/>
        <w:kinsoku/>
        <w:wordWrap/>
        <w:overflowPunct/>
        <w:topLinePunct w:val="0"/>
        <w:autoSpaceDE/>
        <w:autoSpaceDN/>
        <w:bidi w:val="0"/>
        <w:adjustRightInd/>
        <w:snapToGrid/>
        <w:spacing w:line="400" w:lineRule="exact"/>
        <w:ind w:firstLine="630" w:firstLineChars="300"/>
        <w:textAlignment w:val="auto"/>
        <w:rPr>
          <w:rFonts w:hint="default" w:ascii="宋体" w:hAnsi="宋体" w:eastAsia="宋体" w:cs="Times New Roman"/>
          <w:color w:val="auto"/>
          <w:szCs w:val="21"/>
          <w:highlight w:val="none"/>
          <w:lang w:val="en-US" w:eastAsia="zh-CN"/>
        </w:rPr>
      </w:pPr>
      <w:r>
        <w:rPr>
          <w:rFonts w:hint="eastAsia" w:ascii="宋体" w:hAnsi="宋体" w:eastAsia="宋体" w:cs="宋体"/>
          <w:color w:val="auto"/>
          <w:szCs w:val="21"/>
          <w:highlight w:val="none"/>
        </w:rPr>
        <w:t>项目联系方式：0771-</w:t>
      </w:r>
      <w:r>
        <w:rPr>
          <w:rFonts w:hint="eastAsia" w:ascii="宋体" w:hAnsi="宋体" w:eastAsia="宋体" w:cs="宋体"/>
          <w:color w:val="auto"/>
          <w:szCs w:val="21"/>
          <w:highlight w:val="none"/>
          <w:lang w:val="en-US" w:eastAsia="zh-CN"/>
        </w:rPr>
        <w:t>2273829</w:t>
      </w:r>
    </w:p>
    <w:p w14:paraId="4A899869">
      <w:pPr>
        <w:spacing w:line="380" w:lineRule="exact"/>
        <w:ind w:firstLine="420" w:firstLineChars="200"/>
        <w:rPr>
          <w:rFonts w:ascii="宋体" w:hAnsi="宋体" w:eastAsia="宋体" w:cs="Times New Roman"/>
          <w:color w:val="auto"/>
          <w:szCs w:val="21"/>
          <w:highlight w:val="none"/>
        </w:rPr>
      </w:pPr>
    </w:p>
    <w:p w14:paraId="7439CE90">
      <w:pPr>
        <w:keepNext/>
        <w:keepLines/>
        <w:pageBreakBefore w:val="0"/>
        <w:widowControl w:val="0"/>
        <w:kinsoku/>
        <w:wordWrap/>
        <w:overflowPunct/>
        <w:topLinePunct w:val="0"/>
        <w:autoSpaceDE/>
        <w:autoSpaceDN/>
        <w:bidi w:val="0"/>
        <w:adjustRightInd/>
        <w:snapToGrid/>
        <w:spacing w:before="340" w:after="330" w:line="240" w:lineRule="auto"/>
        <w:jc w:val="center"/>
        <w:textAlignment w:val="auto"/>
        <w:outlineLvl w:val="0"/>
        <w:rPr>
          <w:rFonts w:ascii="Times New Roman" w:hAnsi="Times New Roman" w:eastAsia="宋体" w:cs="Times New Roman"/>
          <w:b/>
          <w:bCs/>
          <w:color w:val="auto"/>
          <w:kern w:val="44"/>
          <w:sz w:val="44"/>
          <w:szCs w:val="44"/>
          <w:highlight w:val="none"/>
          <w:lang w:val="zh-CN"/>
        </w:rPr>
      </w:pPr>
      <w:bookmarkStart w:id="43" w:name="_Toc16263"/>
      <w:bookmarkStart w:id="44" w:name="_Toc14086"/>
      <w:bookmarkStart w:id="45" w:name="_Toc7676"/>
      <w:bookmarkStart w:id="46" w:name="_Toc7360"/>
      <w:bookmarkStart w:id="47" w:name="_Toc30720"/>
      <w:bookmarkStart w:id="48" w:name="_Toc27517"/>
      <w:bookmarkStart w:id="49" w:name="_Toc30021"/>
      <w:bookmarkStart w:id="50" w:name="_Toc80205921"/>
      <w:bookmarkStart w:id="51" w:name="_Toc21351"/>
      <w:r>
        <w:rPr>
          <w:rFonts w:hint="eastAsia" w:ascii="Cambria" w:hAnsi="Cambria" w:eastAsia="宋体" w:cs="Times New Roman"/>
          <w:b/>
          <w:color w:val="auto"/>
          <w:kern w:val="44"/>
          <w:sz w:val="32"/>
          <w:szCs w:val="32"/>
          <w:highlight w:val="none"/>
          <w:lang w:val="zh-CN"/>
        </w:rPr>
        <w:t>第二章 采购需求</w:t>
      </w:r>
      <w:bookmarkEnd w:id="43"/>
      <w:bookmarkEnd w:id="44"/>
      <w:bookmarkEnd w:id="45"/>
      <w:bookmarkEnd w:id="46"/>
      <w:bookmarkEnd w:id="47"/>
      <w:bookmarkEnd w:id="48"/>
      <w:bookmarkEnd w:id="49"/>
      <w:bookmarkEnd w:id="50"/>
      <w:bookmarkEnd w:id="51"/>
    </w:p>
    <w:p w14:paraId="58AEF01E">
      <w:pPr>
        <w:spacing w:line="42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说明：</w:t>
      </w:r>
    </w:p>
    <w:p w14:paraId="47FE97F3">
      <w:pPr>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4"/>
          <w:highlight w:val="none"/>
        </w:rPr>
        <w:t>1.为落实政府采购政策需满足的要求：</w:t>
      </w:r>
    </w:p>
    <w:p w14:paraId="2D4E05FC">
      <w:pPr>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（1）本竞争性谈判文件所称中小企业必须符合《政府采购促进中小企业发展管理办法》（财库〔2020〕46号）的规定。</w:t>
      </w:r>
    </w:p>
    <w:p w14:paraId="00BCB4C2">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w:t>
      </w:r>
      <w:r>
        <w:rPr>
          <w:rFonts w:hint="eastAsia" w:ascii="宋体" w:hAnsi="宋体" w:eastAsia="宋体" w:cs="宋体"/>
          <w:b/>
          <w:bCs/>
          <w:color w:val="auto"/>
          <w:szCs w:val="21"/>
          <w:highlight w:val="none"/>
        </w:rPr>
        <w:t>供应商必须在响应文件中提供所竞标产品有效期内的节能产品认证证书复印件（加盖供应商公章），否则响应文件作无效处理</w:t>
      </w:r>
      <w:r>
        <w:rPr>
          <w:rFonts w:hint="eastAsia" w:ascii="宋体" w:hAnsi="宋体" w:eastAsia="宋体" w:cs="宋体"/>
          <w:color w:val="auto"/>
          <w:szCs w:val="21"/>
          <w:highlight w:val="none"/>
        </w:rPr>
        <w:t>。如本项目包含的配套货物属于品目清单内非标注“★”的产品时，应优先采购，具体详见“第四章 评审程序、评审方法和成交标准”。</w:t>
      </w:r>
    </w:p>
    <w:p w14:paraId="7004C434">
      <w:pPr>
        <w:spacing w:line="360" w:lineRule="auto"/>
        <w:ind w:firstLine="420" w:firstLineChars="200"/>
        <w:jc w:val="left"/>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b/>
          <w:bCs/>
          <w:color w:val="auto"/>
          <w:szCs w:val="21"/>
          <w:highlight w:val="none"/>
        </w:rPr>
        <w:t>“实质性要求”是指竞争性谈判文件中已经指明不满足则响应文件作无效响应处理的条款，或者不能负偏离的条款，或者采购需求中带“▲”的条款。</w:t>
      </w:r>
      <w:bookmarkStart w:id="52" w:name="PO_3000001871_PM050"/>
    </w:p>
    <w:p w14:paraId="43A7F678">
      <w:pPr>
        <w:spacing w:line="360" w:lineRule="auto"/>
        <w:ind w:firstLine="420" w:firstLineChars="200"/>
        <w:jc w:val="left"/>
        <w:rPr>
          <w:rFonts w:hint="eastAsia" w:ascii="宋体" w:hAnsi="宋体" w:cs="宋体"/>
          <w:b/>
          <w:bCs/>
          <w:color w:val="auto"/>
          <w:highlight w:val="none"/>
        </w:rPr>
      </w:pPr>
      <w:r>
        <w:rPr>
          <w:rFonts w:hint="eastAsia" w:ascii="宋体" w:hAnsi="宋体" w:eastAsia="宋体" w:cs="宋体"/>
          <w:color w:val="auto"/>
          <w:highlight w:val="none"/>
        </w:rPr>
        <w:t>3.</w:t>
      </w:r>
      <w:r>
        <w:rPr>
          <w:rFonts w:hint="eastAsia" w:ascii="宋体" w:hAnsi="宋体" w:cs="宋体"/>
          <w:b/>
          <w:bCs/>
          <w:color w:val="auto"/>
          <w:highlight w:val="none"/>
        </w:rPr>
        <w:t>本项目为货物类采购项目，</w:t>
      </w:r>
      <w:r>
        <w:rPr>
          <w:rFonts w:hint="eastAsia" w:ascii="宋体" w:hAnsi="宋体" w:eastAsia="宋体" w:cs="宋体"/>
          <w:b/>
          <w:bCs/>
          <w:color w:val="auto"/>
          <w:highlight w:val="none"/>
        </w:rPr>
        <w:t>采购标的对应的中小企业划分标准所属行业</w:t>
      </w:r>
      <w:r>
        <w:rPr>
          <w:rFonts w:hint="eastAsia" w:ascii="宋体" w:hAnsi="宋体" w:cs="宋体"/>
          <w:b/>
          <w:bCs/>
          <w:color w:val="auto"/>
          <w:highlight w:val="none"/>
        </w:rPr>
        <w:t>名称及要求：</w:t>
      </w:r>
    </w:p>
    <w:p w14:paraId="1ABF6F7E">
      <w:pPr>
        <w:spacing w:line="360" w:lineRule="auto"/>
        <w:ind w:firstLine="420" w:firstLineChars="200"/>
        <w:jc w:val="left"/>
        <w:rPr>
          <w:rFonts w:ascii="宋体" w:hAnsi="宋体" w:eastAsia="宋体" w:cs="宋体"/>
          <w:i/>
          <w:iCs/>
          <w:color w:val="auto"/>
          <w:highlight w:val="none"/>
          <w:u w:val="single"/>
        </w:rPr>
      </w:pPr>
      <w:r>
        <w:rPr>
          <w:rFonts w:hint="eastAsia" w:ascii="宋体" w:hAnsi="宋体" w:cs="宋体"/>
          <w:color w:val="auto"/>
          <w:highlight w:val="none"/>
        </w:rPr>
        <w:t>（1）需求一览表中的采购标的对应的中小企业划分标准所属行业名称为：</w:t>
      </w:r>
      <w:r>
        <w:rPr>
          <w:rFonts w:hint="eastAsia" w:ascii="宋体" w:hAnsi="宋体" w:cs="宋体"/>
          <w:b/>
          <w:bCs/>
          <w:color w:val="auto"/>
          <w:highlight w:val="none"/>
          <w:u w:val="single"/>
        </w:rPr>
        <w:t>工业；</w:t>
      </w:r>
    </w:p>
    <w:p w14:paraId="7C3F1FAE">
      <w:pPr>
        <w:pStyle w:val="21"/>
        <w:rPr>
          <w:rFonts w:ascii="宋体" w:hAnsi="宋体" w:cs="宋体"/>
          <w:i/>
          <w:iCs/>
          <w:color w:val="auto"/>
          <w:highlight w:val="none"/>
          <w:u w:val="single"/>
          <w:lang w:val="en-US"/>
        </w:rPr>
      </w:pPr>
    </w:p>
    <w:bookmarkEnd w:id="52"/>
    <w:tbl>
      <w:tblPr>
        <w:tblStyle w:val="29"/>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83"/>
        <w:gridCol w:w="1185"/>
        <w:gridCol w:w="600"/>
        <w:gridCol w:w="645"/>
        <w:gridCol w:w="6796"/>
      </w:tblGrid>
      <w:tr w14:paraId="20D0C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5" w:hRule="atLeast"/>
          <w:jc w:val="center"/>
        </w:trPr>
        <w:tc>
          <w:tcPr>
            <w:tcW w:w="9809" w:type="dxa"/>
            <w:gridSpan w:val="5"/>
            <w:shd w:val="clear" w:color="auto" w:fill="auto"/>
            <w:vAlign w:val="center"/>
          </w:tcPr>
          <w:p w14:paraId="7848A1AB">
            <w:pPr>
              <w:keepNext w:val="0"/>
              <w:keepLines w:val="0"/>
              <w:pageBreakBefore w:val="0"/>
              <w:widowControl/>
              <w:tabs>
                <w:tab w:val="left" w:pos="796"/>
              </w:tabs>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b/>
                <w:bCs/>
                <w:color w:val="auto"/>
                <w:sz w:val="21"/>
                <w:szCs w:val="21"/>
                <w:highlight w:val="none"/>
              </w:rPr>
            </w:pPr>
            <w:bookmarkStart w:id="53" w:name="PO_TDCUS_ITEM_PB_REQ_FILE_1_1"/>
            <w:r>
              <w:rPr>
                <w:rFonts w:hint="eastAsia" w:ascii="宋体" w:hAnsi="宋体" w:eastAsia="宋体" w:cs="宋体"/>
                <w:b/>
                <w:bCs/>
                <w:color w:val="auto"/>
                <w:sz w:val="21"/>
                <w:szCs w:val="21"/>
                <w:highlight w:val="none"/>
                <w:lang w:val="en-US" w:eastAsia="zh-CN"/>
              </w:rPr>
              <w:t>一、</w:t>
            </w:r>
            <w:r>
              <w:rPr>
                <w:rFonts w:hint="eastAsia" w:ascii="宋体" w:hAnsi="宋体" w:eastAsia="宋体" w:cs="宋体"/>
                <w:b/>
                <w:bCs/>
                <w:color w:val="auto"/>
                <w:sz w:val="21"/>
                <w:szCs w:val="21"/>
                <w:highlight w:val="none"/>
              </w:rPr>
              <w:t>需求一览表</w:t>
            </w:r>
          </w:p>
        </w:tc>
      </w:tr>
      <w:tr w14:paraId="7E461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2" w:hRule="atLeast"/>
          <w:jc w:val="center"/>
        </w:trPr>
        <w:tc>
          <w:tcPr>
            <w:tcW w:w="583" w:type="dxa"/>
            <w:shd w:val="clear" w:color="auto" w:fill="auto"/>
            <w:vAlign w:val="center"/>
          </w:tcPr>
          <w:p w14:paraId="710C85E4">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b/>
                <w:bCs/>
                <w:color w:val="auto"/>
                <w:kern w:val="0"/>
                <w:sz w:val="21"/>
                <w:szCs w:val="21"/>
                <w:highlight w:val="none"/>
                <w:lang w:bidi="ar"/>
              </w:rPr>
            </w:pPr>
            <w:r>
              <w:rPr>
                <w:rFonts w:hint="eastAsia" w:ascii="宋体" w:hAnsi="宋体" w:eastAsia="宋体" w:cs="宋体"/>
                <w:b/>
                <w:bCs/>
                <w:color w:val="auto"/>
                <w:kern w:val="0"/>
                <w:sz w:val="21"/>
                <w:szCs w:val="21"/>
                <w:highlight w:val="none"/>
                <w:lang w:bidi="ar"/>
              </w:rPr>
              <w:t>序号</w:t>
            </w:r>
          </w:p>
        </w:tc>
        <w:tc>
          <w:tcPr>
            <w:tcW w:w="1185" w:type="dxa"/>
            <w:shd w:val="clear" w:color="auto" w:fill="auto"/>
            <w:vAlign w:val="center"/>
          </w:tcPr>
          <w:p w14:paraId="00784AC9">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b/>
                <w:bCs/>
                <w:color w:val="auto"/>
                <w:kern w:val="0"/>
                <w:sz w:val="21"/>
                <w:szCs w:val="21"/>
                <w:highlight w:val="none"/>
                <w:lang w:bidi="ar"/>
              </w:rPr>
            </w:pPr>
            <w:r>
              <w:rPr>
                <w:rFonts w:hint="eastAsia" w:ascii="宋体" w:hAnsi="宋体" w:eastAsia="宋体" w:cs="宋体"/>
                <w:b/>
                <w:bCs/>
                <w:color w:val="auto"/>
                <w:kern w:val="0"/>
                <w:sz w:val="21"/>
                <w:szCs w:val="21"/>
                <w:highlight w:val="none"/>
                <w:lang w:bidi="ar"/>
              </w:rPr>
              <w:t>标的名称</w:t>
            </w:r>
          </w:p>
        </w:tc>
        <w:tc>
          <w:tcPr>
            <w:tcW w:w="600" w:type="dxa"/>
            <w:shd w:val="clear" w:color="auto" w:fill="auto"/>
            <w:vAlign w:val="center"/>
          </w:tcPr>
          <w:p w14:paraId="3E61D2CC">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b/>
                <w:bCs/>
                <w:color w:val="auto"/>
                <w:kern w:val="0"/>
                <w:sz w:val="21"/>
                <w:szCs w:val="21"/>
                <w:highlight w:val="none"/>
                <w:lang w:bidi="ar"/>
              </w:rPr>
            </w:pPr>
            <w:r>
              <w:rPr>
                <w:rFonts w:hint="eastAsia" w:ascii="宋体" w:hAnsi="宋体" w:eastAsia="宋体" w:cs="宋体"/>
                <w:b/>
                <w:bCs/>
                <w:color w:val="auto"/>
                <w:kern w:val="0"/>
                <w:sz w:val="21"/>
                <w:szCs w:val="21"/>
                <w:highlight w:val="none"/>
                <w:lang w:bidi="ar"/>
              </w:rPr>
              <w:t>数量</w:t>
            </w:r>
          </w:p>
        </w:tc>
        <w:tc>
          <w:tcPr>
            <w:tcW w:w="645" w:type="dxa"/>
            <w:shd w:val="clear" w:color="auto" w:fill="auto"/>
            <w:vAlign w:val="center"/>
          </w:tcPr>
          <w:p w14:paraId="7E75CE6B">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b/>
                <w:bCs/>
                <w:color w:val="auto"/>
                <w:kern w:val="0"/>
                <w:sz w:val="21"/>
                <w:szCs w:val="21"/>
                <w:highlight w:val="none"/>
                <w:lang w:bidi="ar"/>
              </w:rPr>
            </w:pPr>
            <w:r>
              <w:rPr>
                <w:rFonts w:hint="eastAsia" w:ascii="宋体" w:hAnsi="宋体" w:eastAsia="宋体" w:cs="宋体"/>
                <w:b/>
                <w:bCs/>
                <w:color w:val="auto"/>
                <w:kern w:val="0"/>
                <w:sz w:val="21"/>
                <w:szCs w:val="21"/>
                <w:highlight w:val="none"/>
                <w:lang w:bidi="ar"/>
              </w:rPr>
              <w:t>单位</w:t>
            </w:r>
          </w:p>
        </w:tc>
        <w:tc>
          <w:tcPr>
            <w:tcW w:w="6796" w:type="dxa"/>
            <w:shd w:val="clear" w:color="auto" w:fill="auto"/>
            <w:vAlign w:val="center"/>
          </w:tcPr>
          <w:p w14:paraId="2E3FFDED">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b/>
                <w:bCs/>
                <w:color w:val="auto"/>
                <w:kern w:val="0"/>
                <w:sz w:val="21"/>
                <w:szCs w:val="21"/>
                <w:highlight w:val="none"/>
                <w:lang w:bidi="ar"/>
              </w:rPr>
            </w:pPr>
            <w:r>
              <w:rPr>
                <w:rFonts w:hint="eastAsia" w:ascii="宋体" w:hAnsi="宋体" w:eastAsia="宋体" w:cs="宋体"/>
                <w:b/>
                <w:bCs/>
                <w:color w:val="auto"/>
                <w:kern w:val="0"/>
                <w:sz w:val="21"/>
                <w:szCs w:val="21"/>
                <w:highlight w:val="none"/>
                <w:lang w:bidi="ar"/>
              </w:rPr>
              <w:t>技术参数及配置</w:t>
            </w:r>
          </w:p>
        </w:tc>
      </w:tr>
      <w:tr w14:paraId="32821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3" w:hRule="atLeast"/>
          <w:jc w:val="center"/>
        </w:trPr>
        <w:tc>
          <w:tcPr>
            <w:tcW w:w="583" w:type="dxa"/>
            <w:shd w:val="clear" w:color="auto" w:fill="auto"/>
            <w:noWrap/>
            <w:vAlign w:val="center"/>
          </w:tcPr>
          <w:p w14:paraId="053ECB19">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1185" w:type="dxa"/>
            <w:shd w:val="clear" w:color="auto" w:fill="auto"/>
            <w:vAlign w:val="center"/>
          </w:tcPr>
          <w:p w14:paraId="6E2DC5E1">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0"/>
                <w:sz w:val="21"/>
                <w:szCs w:val="21"/>
                <w:u w:val="none"/>
                <w:lang w:val="en-US" w:eastAsia="zh-CN" w:bidi="ar"/>
              </w:rPr>
              <w:t>核心交换机</w:t>
            </w:r>
          </w:p>
        </w:tc>
        <w:tc>
          <w:tcPr>
            <w:tcW w:w="600" w:type="dxa"/>
            <w:shd w:val="clear" w:color="auto" w:fill="auto"/>
            <w:noWrap/>
            <w:vAlign w:val="center"/>
          </w:tcPr>
          <w:p w14:paraId="31D37A9D">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0"/>
                <w:sz w:val="21"/>
                <w:szCs w:val="21"/>
                <w:u w:val="none"/>
                <w:lang w:val="en-US" w:eastAsia="zh-CN" w:bidi="ar"/>
              </w:rPr>
              <w:t>4</w:t>
            </w:r>
          </w:p>
        </w:tc>
        <w:tc>
          <w:tcPr>
            <w:tcW w:w="645" w:type="dxa"/>
            <w:shd w:val="clear" w:color="auto" w:fill="auto"/>
            <w:noWrap/>
            <w:vAlign w:val="center"/>
          </w:tcPr>
          <w:p w14:paraId="548A42E2">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0"/>
                <w:sz w:val="21"/>
                <w:szCs w:val="21"/>
                <w:u w:val="none"/>
                <w:lang w:val="en-US" w:eastAsia="zh-CN" w:bidi="ar"/>
              </w:rPr>
              <w:t>台</w:t>
            </w:r>
          </w:p>
        </w:tc>
        <w:tc>
          <w:tcPr>
            <w:tcW w:w="6796" w:type="dxa"/>
            <w:shd w:val="clear" w:color="auto" w:fill="auto"/>
            <w:vAlign w:val="top"/>
          </w:tcPr>
          <w:p w14:paraId="15039F48">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b w:val="0"/>
                <w:bCs w:val="0"/>
                <w:i w:val="0"/>
                <w:iCs w:val="0"/>
                <w:color w:val="auto"/>
                <w:kern w:val="0"/>
                <w:sz w:val="21"/>
                <w:szCs w:val="21"/>
                <w:u w:val="none"/>
                <w:lang w:val="en-US" w:eastAsia="zh-CN" w:bidi="ar"/>
              </w:rPr>
              <w:t>▲1、整机性能：交换容量≥1900Tbps，转发性能≥460000Mpps；</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 xml:space="preserve">▲2、设备配置：提供40GE光口≥12个，40G单模光模块≥12块，主控板卡≥2块，独立交换网板≥2块，电源模块≥2个； </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▲3、硬件规格：接口板槽位≥8个，主控板槽位≥2个，交换网板槽位≥4个，电源槽位≥6个；</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▲4、支持静态路由、RIP、OSPF、IS-IS、BGP4等IPV4路由协议，支持IPv6静态路由、RIPng、OSPFv3、IS-ISv6、BGP4+等IPV6路由协议，支持IPv4和IPv6双协议栈；</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5、支持设备包含集成AC功能，实现对AP的统一管理，要求具备WLAN AP管理数量≥10K的能力；</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6、支持IGMP v1/v2/v3、PIM-SM、PIM-DM、PIM-SSM、PIMv6等组播协议;</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7、为保证设备的稳定性，提供独立可插拔风扇模块≥2个，当单个风扇模块被拔出维护时，还可以有其他风扇模块在位运行；</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8、支持SNMPv3网管协议，SSH V2，基于802.1x、AAA/Radius的用户身份认证保证设备管理的安全性；</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9、为适应业界主流机柜的深度，要求设备深度≤920mm；</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10、为保证设备的可靠性，提供独立的监控板卡槽位，与主控板卡物理槽位分离，可以对设备的电源模块和风扇模块进行管理，支持热插拔，并支持冗余备份功能；</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▲11、提供三年原厂维保。</w:t>
            </w:r>
          </w:p>
        </w:tc>
      </w:tr>
      <w:tr w14:paraId="415B9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3" w:hRule="atLeast"/>
          <w:jc w:val="center"/>
        </w:trPr>
        <w:tc>
          <w:tcPr>
            <w:tcW w:w="583" w:type="dxa"/>
            <w:shd w:val="clear" w:color="auto" w:fill="auto"/>
            <w:noWrap/>
            <w:vAlign w:val="center"/>
          </w:tcPr>
          <w:p w14:paraId="4F8449BA">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2</w:t>
            </w:r>
          </w:p>
        </w:tc>
        <w:tc>
          <w:tcPr>
            <w:tcW w:w="1185" w:type="dxa"/>
            <w:shd w:val="clear" w:color="auto" w:fill="auto"/>
            <w:vAlign w:val="center"/>
          </w:tcPr>
          <w:p w14:paraId="053BA6BE">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0"/>
                <w:sz w:val="21"/>
                <w:szCs w:val="21"/>
                <w:u w:val="none"/>
                <w:lang w:val="en-US" w:eastAsia="zh-CN" w:bidi="ar"/>
              </w:rPr>
              <w:t>汇聚交换机</w:t>
            </w:r>
          </w:p>
        </w:tc>
        <w:tc>
          <w:tcPr>
            <w:tcW w:w="600" w:type="dxa"/>
            <w:shd w:val="clear" w:color="auto" w:fill="auto"/>
            <w:noWrap/>
            <w:vAlign w:val="center"/>
          </w:tcPr>
          <w:p w14:paraId="0CD4C6AA">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0"/>
                <w:sz w:val="21"/>
                <w:szCs w:val="21"/>
                <w:u w:val="none"/>
                <w:lang w:val="en-US" w:eastAsia="zh-CN" w:bidi="ar"/>
              </w:rPr>
              <w:t>8</w:t>
            </w:r>
          </w:p>
        </w:tc>
        <w:tc>
          <w:tcPr>
            <w:tcW w:w="645" w:type="dxa"/>
            <w:shd w:val="clear" w:color="auto" w:fill="auto"/>
            <w:noWrap/>
            <w:vAlign w:val="center"/>
          </w:tcPr>
          <w:p w14:paraId="695B41A0">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0"/>
                <w:sz w:val="21"/>
                <w:szCs w:val="21"/>
                <w:u w:val="none"/>
                <w:lang w:val="en-US" w:eastAsia="zh-CN" w:bidi="ar"/>
              </w:rPr>
              <w:t>台</w:t>
            </w:r>
          </w:p>
        </w:tc>
        <w:tc>
          <w:tcPr>
            <w:tcW w:w="6796" w:type="dxa"/>
            <w:shd w:val="clear" w:color="auto" w:fill="auto"/>
            <w:vAlign w:val="top"/>
          </w:tcPr>
          <w:p w14:paraId="16BDCD70">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b w:val="0"/>
                <w:bCs w:val="0"/>
                <w:i w:val="0"/>
                <w:iCs w:val="0"/>
                <w:color w:val="auto"/>
                <w:kern w:val="0"/>
                <w:sz w:val="21"/>
                <w:szCs w:val="21"/>
                <w:u w:val="none"/>
                <w:lang w:val="en-US" w:eastAsia="zh-CN" w:bidi="ar"/>
              </w:rPr>
              <w:t>▲1、整机性能：交换容量≥8Tbps，包转发率≥2400Mpps；</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2、设备配置：提供10G/25GE自适应光口≥48个（需支持25G，以满足未来演进），40G/100GE自适应光接口≥8个（需支持100G，以满足未来演进），万兆单模光模块≥48个，40G单模光模块≥8个，独立可插拔风扇≥5个，电源模块≥2个；</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▲3、支持Telemetry技术，可实现网络质量回溯，故障排查，风险预警，架构优化等功能，精确保障用户体验；</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4、支持网络切片，链路拥塞不影响该链路上切片内的流量，切片内不超过切片带宽的流量0丢包；</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5、支持SNMPv1/V2/v3，支持CLI命令行，TELNET及FTP配置，支持SSH2.0、SSL等加密方式，使得管理更加安全；</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6、支持MACSec功能，为用户提供安全的MAC层数据发送和接收服务，包括用户数据加密、数据帧完整性检查及数据源真实性校验；</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7、支持OSPF、ISIS、BGP、OSPFv3、ISISv6、BGP4+等IPv4和IPv6动态路由协议；</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8、支持IGMP v1/v2/v3、PIM-SM、PIM-DM、PIM-SSM、PIMv6等组播协议；</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9、支持用户无论通过有线或无线方式接入网络，也无论其在何时何地登录并获取 IP 地址，均可获得一致的访问权限策略，方便用户管理；</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10、支持IPv4 路由表≥640K，IPv6 路由表≥320K，MAC表项≥512K，ARP表项规格≥140K；</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▲11、提供三年原厂维保。</w:t>
            </w:r>
          </w:p>
        </w:tc>
      </w:tr>
      <w:tr w14:paraId="47229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3" w:hRule="atLeast"/>
          <w:jc w:val="center"/>
        </w:trPr>
        <w:tc>
          <w:tcPr>
            <w:tcW w:w="583" w:type="dxa"/>
            <w:shd w:val="clear" w:color="auto" w:fill="auto"/>
            <w:noWrap/>
            <w:vAlign w:val="center"/>
          </w:tcPr>
          <w:p w14:paraId="7234DC6E">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3</w:t>
            </w:r>
          </w:p>
        </w:tc>
        <w:tc>
          <w:tcPr>
            <w:tcW w:w="1185" w:type="dxa"/>
            <w:shd w:val="clear" w:color="auto" w:fill="auto"/>
            <w:vAlign w:val="center"/>
          </w:tcPr>
          <w:p w14:paraId="621058FA">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0"/>
                <w:sz w:val="21"/>
                <w:szCs w:val="21"/>
                <w:u w:val="none"/>
                <w:lang w:val="en-US" w:eastAsia="zh-CN" w:bidi="ar"/>
              </w:rPr>
              <w:t>接入交换机</w:t>
            </w:r>
          </w:p>
        </w:tc>
        <w:tc>
          <w:tcPr>
            <w:tcW w:w="600" w:type="dxa"/>
            <w:shd w:val="clear" w:color="auto" w:fill="auto"/>
            <w:noWrap/>
            <w:vAlign w:val="center"/>
          </w:tcPr>
          <w:p w14:paraId="2D413896">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0"/>
                <w:sz w:val="21"/>
                <w:szCs w:val="21"/>
                <w:u w:val="none"/>
                <w:lang w:val="en-US" w:eastAsia="zh-CN" w:bidi="ar"/>
              </w:rPr>
              <w:t>40</w:t>
            </w:r>
          </w:p>
        </w:tc>
        <w:tc>
          <w:tcPr>
            <w:tcW w:w="645" w:type="dxa"/>
            <w:shd w:val="clear" w:color="auto" w:fill="auto"/>
            <w:noWrap/>
            <w:vAlign w:val="center"/>
          </w:tcPr>
          <w:p w14:paraId="0D7BAA72">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0"/>
                <w:sz w:val="21"/>
                <w:szCs w:val="21"/>
                <w:u w:val="none"/>
                <w:lang w:val="en-US" w:eastAsia="zh-CN" w:bidi="ar"/>
              </w:rPr>
              <w:t>台</w:t>
            </w:r>
          </w:p>
        </w:tc>
        <w:tc>
          <w:tcPr>
            <w:tcW w:w="6796" w:type="dxa"/>
            <w:shd w:val="clear" w:color="auto" w:fill="auto"/>
            <w:vAlign w:val="top"/>
          </w:tcPr>
          <w:p w14:paraId="3FD30308">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b w:val="0"/>
                <w:bCs w:val="0"/>
                <w:i w:val="0"/>
                <w:iCs w:val="0"/>
                <w:color w:val="auto"/>
                <w:kern w:val="0"/>
                <w:sz w:val="21"/>
                <w:szCs w:val="21"/>
                <w:u w:val="none"/>
                <w:lang w:val="en-US" w:eastAsia="zh-CN" w:bidi="ar"/>
              </w:rPr>
              <w:t>▲1、整机性能：交换容量≥2.5Tbps，包转发率≥780Mpps；</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▲2、设备配置：提供 1GE及以上电口≥48个，25GE光口≥4个，100GE 光口≥2个，提供独立可拔插风扇≥ 2块，提供万兆单模光模块≥4块；</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▲3、支持静态路由、RIP，RIPng、OSPFv2，OSPFv3，IS-ISv4，IS-ISv6、BGP4，BGP4+等IPV4/IPV6路由协议；</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4、支持IGMP v1，v2，v3、支持PIM-DM，PIM-SM，PIM-SSM等组播协议；</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5、冗余电源模块插槽个数≥2，确保在PoE满供的情况下，即使单电源损坏，不影响PoE供电；</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6、支持 PQ、WDRR、DRR、PQ+WDRR等队列调度；</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7、支持硬件BFD，最小3ms检测间隔；</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8、支持DHCP Snooping绑定表的建立与维护，有利于预防恶意攻击者的中间人攻击，支持ARP表项严格学习功能，可以防止因为ARP欺骗攻击导致用户无法上网；</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9、支持STP、RSTP、MSTP生成树协议，消除二层环路；</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10、支持IPv4 路由表≥192K，IPv6 路由表≥96K，MAC表项≥256K，ARP表项规格≥128k；</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11、支持用户无论通过有线或无线方式接入网络，也无论其在何时何地登录并获取 IP 地址，均可获得一致的访问权限策略，方便用户管理；</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▲12、提供三年原厂维保。</w:t>
            </w:r>
          </w:p>
        </w:tc>
      </w:tr>
      <w:tr w14:paraId="3F3A9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3" w:hRule="atLeast"/>
          <w:jc w:val="center"/>
        </w:trPr>
        <w:tc>
          <w:tcPr>
            <w:tcW w:w="583" w:type="dxa"/>
            <w:shd w:val="clear" w:color="auto" w:fill="auto"/>
            <w:noWrap/>
            <w:vAlign w:val="center"/>
          </w:tcPr>
          <w:p w14:paraId="0D5DDA25">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4</w:t>
            </w:r>
          </w:p>
        </w:tc>
        <w:tc>
          <w:tcPr>
            <w:tcW w:w="1185" w:type="dxa"/>
            <w:shd w:val="clear" w:color="auto" w:fill="auto"/>
            <w:vAlign w:val="center"/>
          </w:tcPr>
          <w:p w14:paraId="47DE506A">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0"/>
                <w:sz w:val="21"/>
                <w:szCs w:val="21"/>
                <w:u w:val="none"/>
                <w:lang w:val="en-US" w:eastAsia="zh-CN" w:bidi="ar"/>
              </w:rPr>
              <w:t>网络管理系统（内网、外网）</w:t>
            </w:r>
          </w:p>
        </w:tc>
        <w:tc>
          <w:tcPr>
            <w:tcW w:w="600" w:type="dxa"/>
            <w:shd w:val="clear" w:color="auto" w:fill="auto"/>
            <w:noWrap/>
            <w:vAlign w:val="center"/>
          </w:tcPr>
          <w:p w14:paraId="2EBA2F27">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0"/>
                <w:sz w:val="21"/>
                <w:szCs w:val="21"/>
                <w:u w:val="none"/>
                <w:lang w:val="en-US" w:eastAsia="zh-CN" w:bidi="ar"/>
              </w:rPr>
              <w:t>2</w:t>
            </w:r>
          </w:p>
        </w:tc>
        <w:tc>
          <w:tcPr>
            <w:tcW w:w="645" w:type="dxa"/>
            <w:shd w:val="clear" w:color="auto" w:fill="auto"/>
            <w:noWrap/>
            <w:vAlign w:val="center"/>
          </w:tcPr>
          <w:p w14:paraId="67E17DAC">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0"/>
                <w:sz w:val="21"/>
                <w:szCs w:val="21"/>
                <w:u w:val="none"/>
                <w:lang w:val="en-US" w:eastAsia="zh-CN" w:bidi="ar"/>
              </w:rPr>
              <w:t>套</w:t>
            </w:r>
          </w:p>
        </w:tc>
        <w:tc>
          <w:tcPr>
            <w:tcW w:w="6796" w:type="dxa"/>
            <w:shd w:val="clear" w:color="auto" w:fill="auto"/>
            <w:vAlign w:val="top"/>
          </w:tcPr>
          <w:p w14:paraId="42DE11E3">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b w:val="0"/>
                <w:bCs w:val="0"/>
                <w:i w:val="0"/>
                <w:iCs w:val="0"/>
                <w:color w:val="auto"/>
                <w:kern w:val="0"/>
                <w:sz w:val="21"/>
                <w:szCs w:val="21"/>
                <w:u w:val="none"/>
                <w:lang w:val="en-US" w:eastAsia="zh-CN" w:bidi="ar"/>
              </w:rPr>
              <w:t>▲1、需分别部署内网、外网2套网络管理系统软件，总授权数总计不少于300个；</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▲2、需定制化开发管理能力：支持网络设备、虚拟化、存储、服务器、操作系统、数据库、应用、摄像机等资源的统一管理，并要求对网管设备能够对现有的网络设备、存储设备等资源进行统一纳管；</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▲3、安全管理：支持分权分域管理，可以给不同用户授予不同的资源域和功能域的权限组合；</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4、需定制化开发告警监控能力：可以通过配置告警/事件帮助用户压缩告警量，可以设置告警/事件的某些类型为过滤条件进行查询，能够实时的将告警/事件信息通过短消息或电子邮件的方式发送给用户，提供了多样化的告警过滤方式，帮助运维人员快速筛选所关注的告警，提高监控效率，系统告警列表中无需翻页即可显示最多20,000条告警；</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5、拓扑管理：支持创建自定义拓扑，用户可以将自己重点关注或管辖范围内的网元添加到自定义拓扑，支持用户按照一定规则对拓扑视图上的对象进行自动布局；</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6、报表管理：提供端到端的数据分析框架和报表展现平台，可自主选择报表的图表形式、数据维度、度量等，快速生成所需的报表，支持导出Excel和PDF格式的报表，以及报表中单个图表的数据；支持通过周期迭代性任务定期生成报表，并发送邮件通知指定用户；</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7、资源管理：支持单个添加、批量导入和自动发现等方式接入资源，可以对获取到的资源进行资源分类和分组管理，提供链路发现、链路监控和链路配置的功能；</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8、配置文件管理：支持手动备份和周期性自动备份配置文件，备份失败发送告警，支持将备份的配置文件恢复到设备上，支持配置文件变更后的差异比较，查看配置变更详情；</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9、需定制化开发网络设备管理能力：可以查看网络设备的机框、单板、子卡、端口等信息，可以监控接口的流入/出利用率和流入/出速率；可以查看当前告警、历史告警、性能状态等信息；</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10、需定制化开发存储设备管理能力：支持远程上下电操作；可以统计分析现网存储设备状态、硬盘状态、容量分布及利用率、设备吞吐量、设备平均I/O时间、告警级别汇总统计等信息，集中在一个页面展示；</w:t>
            </w:r>
            <w:r>
              <w:rPr>
                <w:rFonts w:hint="eastAsia" w:ascii="宋体" w:hAnsi="宋体" w:eastAsia="宋体" w:cs="宋体"/>
                <w:b w:val="0"/>
                <w:bCs w:val="0"/>
                <w:i w:val="0"/>
                <w:iCs w:val="0"/>
                <w:color w:val="auto"/>
                <w:kern w:val="0"/>
                <w:sz w:val="21"/>
                <w:szCs w:val="21"/>
                <w:u w:val="none"/>
                <w:lang w:val="en-US" w:eastAsia="zh-CN" w:bidi="ar"/>
              </w:rPr>
              <w:br w:type="textWrapping"/>
            </w:r>
            <w:r>
              <w:rPr>
                <w:rFonts w:hint="eastAsia" w:ascii="宋体" w:hAnsi="宋体" w:eastAsia="宋体" w:cs="宋体"/>
                <w:b w:val="0"/>
                <w:bCs w:val="0"/>
                <w:i w:val="0"/>
                <w:iCs w:val="0"/>
                <w:color w:val="auto"/>
                <w:kern w:val="0"/>
                <w:sz w:val="21"/>
                <w:szCs w:val="21"/>
                <w:u w:val="none"/>
                <w:lang w:val="en-US" w:eastAsia="zh-CN" w:bidi="ar"/>
              </w:rPr>
              <w:t>▲11、提供三年原厂维保服务。</w:t>
            </w:r>
          </w:p>
        </w:tc>
      </w:tr>
      <w:tr w14:paraId="17A8D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3" w:hRule="atLeast"/>
          <w:jc w:val="center"/>
        </w:trPr>
        <w:tc>
          <w:tcPr>
            <w:tcW w:w="583" w:type="dxa"/>
            <w:shd w:val="clear" w:color="auto" w:fill="auto"/>
            <w:noWrap/>
            <w:vAlign w:val="center"/>
          </w:tcPr>
          <w:p w14:paraId="68C45ADB">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5</w:t>
            </w:r>
          </w:p>
        </w:tc>
        <w:tc>
          <w:tcPr>
            <w:tcW w:w="1185" w:type="dxa"/>
            <w:shd w:val="clear" w:color="auto" w:fill="auto"/>
            <w:vAlign w:val="center"/>
          </w:tcPr>
          <w:p w14:paraId="72DF7130">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0"/>
                <w:sz w:val="21"/>
                <w:szCs w:val="21"/>
                <w:u w:val="none"/>
                <w:lang w:val="en-US" w:eastAsia="zh-CN" w:bidi="ar"/>
              </w:rPr>
              <w:t>实施服务</w:t>
            </w:r>
          </w:p>
        </w:tc>
        <w:tc>
          <w:tcPr>
            <w:tcW w:w="600" w:type="dxa"/>
            <w:shd w:val="clear" w:color="auto" w:fill="auto"/>
            <w:noWrap/>
            <w:vAlign w:val="center"/>
          </w:tcPr>
          <w:p w14:paraId="296CA6A9">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45" w:type="dxa"/>
            <w:shd w:val="clear" w:color="auto" w:fill="auto"/>
            <w:noWrap/>
            <w:vAlign w:val="center"/>
          </w:tcPr>
          <w:p w14:paraId="71027232">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项</w:t>
            </w:r>
          </w:p>
        </w:tc>
        <w:tc>
          <w:tcPr>
            <w:tcW w:w="6796" w:type="dxa"/>
            <w:shd w:val="clear" w:color="auto" w:fill="auto"/>
            <w:vAlign w:val="top"/>
          </w:tcPr>
          <w:p w14:paraId="7A9A1E36">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b w:val="0"/>
                <w:bCs w:val="0"/>
                <w:i w:val="0"/>
                <w:iCs w:val="0"/>
                <w:color w:val="auto"/>
                <w:kern w:val="0"/>
                <w:sz w:val="21"/>
                <w:szCs w:val="21"/>
                <w:u w:val="none"/>
                <w:lang w:val="en-US" w:eastAsia="zh-CN" w:bidi="ar"/>
              </w:rPr>
              <w:t>包含核心交换机设备安装、现网配置分析、迁移实施、业务/应用逻辑可用性验证等。</w:t>
            </w:r>
          </w:p>
        </w:tc>
      </w:tr>
      <w:tr w14:paraId="503C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5" w:hRule="atLeast"/>
          <w:jc w:val="center"/>
        </w:trPr>
        <w:tc>
          <w:tcPr>
            <w:tcW w:w="9809" w:type="dxa"/>
            <w:gridSpan w:val="5"/>
            <w:shd w:val="clear" w:color="auto" w:fill="auto"/>
            <w:noWrap/>
            <w:vAlign w:val="center"/>
          </w:tcPr>
          <w:p w14:paraId="54ED3E4E">
            <w:pPr>
              <w:keepNext w:val="0"/>
              <w:keepLines w:val="0"/>
              <w:pageBreakBefore w:val="0"/>
              <w:widowControl/>
              <w:kinsoku/>
              <w:wordWrap/>
              <w:overflowPunct/>
              <w:topLinePunct w:val="0"/>
              <w:autoSpaceDE/>
              <w:autoSpaceDN/>
              <w:bidi w:val="0"/>
              <w:adjustRightInd w:val="0"/>
              <w:snapToGrid w:val="0"/>
              <w:spacing w:line="360" w:lineRule="exact"/>
              <w:textAlignment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二、</w:t>
            </w:r>
            <w:r>
              <w:rPr>
                <w:rFonts w:hint="eastAsia" w:ascii="宋体" w:hAnsi="宋体" w:eastAsia="宋体" w:cs="宋体"/>
                <w:b/>
                <w:bCs/>
                <w:color w:val="auto"/>
                <w:sz w:val="21"/>
                <w:szCs w:val="21"/>
                <w:highlight w:val="none"/>
              </w:rPr>
              <w:t>商务条款</w:t>
            </w:r>
          </w:p>
        </w:tc>
      </w:tr>
      <w:tr w14:paraId="0FFE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shd w:val="clear" w:color="auto" w:fill="auto"/>
            <w:noWrap/>
            <w:vAlign w:val="center"/>
          </w:tcPr>
          <w:p w14:paraId="1268666C">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合同签订时间</w:t>
            </w:r>
          </w:p>
        </w:tc>
        <w:tc>
          <w:tcPr>
            <w:tcW w:w="8041" w:type="dxa"/>
            <w:gridSpan w:val="3"/>
            <w:shd w:val="clear" w:color="auto" w:fill="auto"/>
            <w:noWrap/>
            <w:vAlign w:val="center"/>
          </w:tcPr>
          <w:p w14:paraId="2DD6A834">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自成交通知书发出之日起25个日历日内。</w:t>
            </w:r>
          </w:p>
        </w:tc>
      </w:tr>
      <w:tr w14:paraId="46088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shd w:val="clear" w:color="auto" w:fill="auto"/>
            <w:noWrap/>
            <w:vAlign w:val="center"/>
          </w:tcPr>
          <w:p w14:paraId="552E6705">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交付时间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方式</w:t>
            </w:r>
          </w:p>
          <w:p w14:paraId="28E7B9C5">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及地点</w:t>
            </w:r>
          </w:p>
        </w:tc>
        <w:tc>
          <w:tcPr>
            <w:tcW w:w="8041" w:type="dxa"/>
            <w:gridSpan w:val="3"/>
            <w:shd w:val="clear" w:color="auto" w:fill="auto"/>
            <w:noWrap/>
            <w:vAlign w:val="center"/>
          </w:tcPr>
          <w:p w14:paraId="4D6B4C79">
            <w:pPr>
              <w:widowControl/>
              <w:adjustRightInd w:val="0"/>
              <w:snapToGrid w:val="0"/>
              <w:spacing w:line="360" w:lineRule="exact"/>
              <w:ind w:left="105" w:leftChars="50"/>
              <w:textAlignment w:val="center"/>
              <w:rPr>
                <w:rFonts w:hint="eastAsia" w:ascii="宋体" w:hAnsi="宋体" w:eastAsia="宋体" w:cs="宋体"/>
                <w:color w:val="auto"/>
                <w:kern w:val="2"/>
                <w:szCs w:val="21"/>
                <w:highlight w:val="none"/>
              </w:rPr>
            </w:pPr>
            <w:r>
              <w:rPr>
                <w:rFonts w:hint="eastAsia" w:ascii="宋体" w:hAnsi="宋体" w:eastAsia="宋体" w:cs="宋体"/>
                <w:color w:val="auto"/>
                <w:sz w:val="21"/>
                <w:szCs w:val="21"/>
                <w:highlight w:val="none"/>
              </w:rPr>
              <w:t>交付时间：</w:t>
            </w:r>
            <w:r>
              <w:rPr>
                <w:rFonts w:hint="eastAsia" w:ascii="宋体" w:hAnsi="宋体" w:eastAsia="宋体" w:cs="宋体"/>
                <w:color w:val="auto"/>
                <w:kern w:val="2"/>
                <w:sz w:val="21"/>
                <w:szCs w:val="21"/>
                <w:highlight w:val="none"/>
              </w:rPr>
              <w:t>自签订合同之日</w:t>
            </w:r>
            <w:r>
              <w:rPr>
                <w:rFonts w:hint="eastAsia" w:ascii="宋体" w:hAnsi="宋体" w:eastAsia="宋体" w:cs="宋体"/>
                <w:color w:val="auto"/>
                <w:kern w:val="2"/>
                <w:sz w:val="21"/>
                <w:szCs w:val="21"/>
                <w:highlight w:val="none"/>
                <w:lang w:val="en-US" w:eastAsia="zh-CN"/>
              </w:rPr>
              <w:t>起6</w:t>
            </w:r>
            <w:r>
              <w:rPr>
                <w:rFonts w:hint="eastAsia" w:ascii="宋体" w:hAnsi="宋体" w:eastAsia="宋体" w:cs="宋体"/>
                <w:color w:val="auto"/>
                <w:kern w:val="2"/>
                <w:sz w:val="21"/>
                <w:szCs w:val="21"/>
                <w:highlight w:val="none"/>
              </w:rPr>
              <w:t>0</w:t>
            </w:r>
            <w:r>
              <w:rPr>
                <w:rFonts w:hint="eastAsia" w:ascii="宋体" w:hAnsi="宋体" w:eastAsia="宋体" w:cs="宋体"/>
                <w:color w:val="auto"/>
                <w:kern w:val="2"/>
                <w:sz w:val="21"/>
                <w:szCs w:val="21"/>
                <w:highlight w:val="none"/>
                <w:lang w:val="en-US" w:eastAsia="zh-CN"/>
              </w:rPr>
              <w:t>个日历日内</w:t>
            </w:r>
            <w:r>
              <w:rPr>
                <w:rFonts w:hint="eastAsia" w:ascii="宋体" w:hAnsi="宋体" w:eastAsia="宋体" w:cs="宋体"/>
                <w:color w:val="auto"/>
                <w:kern w:val="2"/>
                <w:sz w:val="21"/>
                <w:szCs w:val="21"/>
                <w:highlight w:val="none"/>
              </w:rPr>
              <w:t>交货并完成安装调试。</w:t>
            </w:r>
          </w:p>
          <w:p w14:paraId="7D719497">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交付地点：</w:t>
            </w:r>
            <w:r>
              <w:rPr>
                <w:rFonts w:hint="eastAsia" w:ascii="宋体" w:hAnsi="宋体" w:eastAsia="宋体" w:cs="宋体"/>
                <w:color w:val="auto"/>
                <w:sz w:val="21"/>
                <w:szCs w:val="21"/>
                <w:highlight w:val="none"/>
                <w:lang w:val="en-US" w:eastAsia="zh-CN"/>
              </w:rPr>
              <w:t>采购人指定地点</w:t>
            </w:r>
            <w:r>
              <w:rPr>
                <w:rFonts w:hint="eastAsia" w:ascii="宋体" w:hAnsi="宋体" w:eastAsia="宋体" w:cs="宋体"/>
                <w:color w:val="auto"/>
                <w:sz w:val="21"/>
                <w:szCs w:val="21"/>
                <w:highlight w:val="none"/>
                <w:lang w:eastAsia="zh-CN"/>
              </w:rPr>
              <w:t>；</w:t>
            </w:r>
          </w:p>
          <w:p w14:paraId="5D73C96A">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交付方式：现场交付</w:t>
            </w:r>
            <w:r>
              <w:rPr>
                <w:rFonts w:hint="eastAsia" w:ascii="宋体" w:hAnsi="宋体" w:eastAsia="宋体" w:cs="宋体"/>
                <w:color w:val="auto"/>
                <w:sz w:val="21"/>
                <w:szCs w:val="21"/>
                <w:highlight w:val="none"/>
                <w:lang w:eastAsia="zh-CN"/>
              </w:rPr>
              <w:t>。</w:t>
            </w:r>
          </w:p>
        </w:tc>
      </w:tr>
      <w:tr w14:paraId="036BD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shd w:val="clear" w:color="auto" w:fill="auto"/>
            <w:noWrap/>
            <w:vAlign w:val="center"/>
          </w:tcPr>
          <w:p w14:paraId="33AE6D11">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实施及</w:t>
            </w:r>
            <w:r>
              <w:rPr>
                <w:rFonts w:hint="eastAsia" w:ascii="宋体" w:hAnsi="宋体" w:eastAsia="宋体" w:cs="宋体"/>
                <w:color w:val="auto"/>
                <w:sz w:val="21"/>
                <w:szCs w:val="21"/>
                <w:highlight w:val="none"/>
                <w:lang w:val="en-US" w:eastAsia="zh-CN"/>
              </w:rPr>
              <w:t>售后服务要求</w:t>
            </w:r>
          </w:p>
        </w:tc>
        <w:tc>
          <w:tcPr>
            <w:tcW w:w="8041" w:type="dxa"/>
            <w:gridSpan w:val="3"/>
            <w:shd w:val="clear" w:color="auto" w:fill="auto"/>
            <w:noWrap/>
            <w:vAlign w:val="center"/>
          </w:tcPr>
          <w:p w14:paraId="1176ACF8">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除另行特别注明外，</w:t>
            </w:r>
            <w:r>
              <w:rPr>
                <w:rFonts w:hint="eastAsia" w:ascii="宋体" w:hAnsi="宋体" w:eastAsia="宋体" w:cs="宋体"/>
                <w:color w:val="auto"/>
                <w:sz w:val="21"/>
                <w:szCs w:val="21"/>
                <w:highlight w:val="none"/>
                <w:lang w:val="en-US" w:eastAsia="zh-CN"/>
              </w:rPr>
              <w:t>实施及</w:t>
            </w:r>
            <w:r>
              <w:rPr>
                <w:rFonts w:hint="eastAsia" w:ascii="宋体" w:hAnsi="宋体" w:eastAsia="宋体" w:cs="宋体"/>
                <w:color w:val="auto"/>
                <w:sz w:val="21"/>
                <w:szCs w:val="21"/>
                <w:highlight w:val="none"/>
                <w:lang w:val="en-US" w:eastAsia="zh-CN"/>
              </w:rPr>
              <w:t>售后服务要求如下：</w:t>
            </w:r>
          </w:p>
          <w:p w14:paraId="57B8A884">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1.成交供应商按采购人指定的地点负责送货上门、安装、调试，负责培训使用人员和维护人员。</w:t>
            </w:r>
          </w:p>
          <w:p w14:paraId="16315A54">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成交供应商必须提供安装、配线以及软硬件的测试和调整服务。安装设备之前，应先对采购人人员进行现场培训。开始安装时，应让用户的硬软件和系统集成人员参与安装、检测和排除故障。成交供应商在施工、安装、调试等全过程中接受采购人的监督。</w:t>
            </w:r>
          </w:p>
          <w:p w14:paraId="0F89A4A8">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3.在成交供应商承诺的质保期内，设备保修包换所需要的配件均是原厂原装，不得使用兼容货物。</w:t>
            </w:r>
          </w:p>
          <w:p w14:paraId="44166B2F">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4.售后服务按厂家承诺执行。超过厂家承诺标准的，按成交供应商提交的售后服务承诺书执行。不少于3次回访以及对软件进行维护；质保期后需提供维修维护服务。</w:t>
            </w:r>
          </w:p>
          <w:p w14:paraId="0F0A595C">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5.成交供应商在质保期内应当为采购人提供以下技术支持和服务：</w:t>
            </w:r>
          </w:p>
          <w:p w14:paraId="171F39FB">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5.1电话咨询</w:t>
            </w:r>
          </w:p>
          <w:p w14:paraId="52797A06">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成交供应商应当为采购人提供技术援助电话，解答采购人在使用中遇到的问题，2个小时内为采购人提出解决问题的建议。</w:t>
            </w:r>
          </w:p>
          <w:p w14:paraId="31EBA339">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5.2服务响应时间</w:t>
            </w:r>
          </w:p>
          <w:p w14:paraId="2DD7EC1C">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保期内，采购人遇到使用或技术问题，电话咨询不能解决的，成交供应商应在48小时内到达现场进行处理，到达现场后24小时内排除故障，恢复正常使用。未能修复的直接更换，保证采购人正常使用，产生的一切费用由成交供应商承担。</w:t>
            </w:r>
          </w:p>
          <w:p w14:paraId="262709E8">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5.3技术升级</w:t>
            </w:r>
          </w:p>
          <w:p w14:paraId="541B36A9">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在质保期内，如果成交供应商的产品或服务升级，成交供应商应及时通知采购人，如采购人有相应要求，成交供应商应对采购人购买的产品或服务进行升级。</w:t>
            </w:r>
          </w:p>
          <w:p w14:paraId="4C27C63F">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6.质保期外服务要求</w:t>
            </w:r>
          </w:p>
          <w:p w14:paraId="4BACDF31">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6.1质保期过后，成交供应商应同样无偿提供电话咨询服务，并应承诺提供产品或服务上门维护。</w:t>
            </w:r>
          </w:p>
          <w:p w14:paraId="5D79CC3A">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6.2质保期过后，采购人需要继续由原成交供应商提供售后服务的，成交供应商和制造商应以优惠价格提供售后服务。</w:t>
            </w:r>
          </w:p>
          <w:p w14:paraId="1123AA9C">
            <w:pPr>
              <w:keepNext w:val="0"/>
              <w:keepLines w:val="0"/>
              <w:pageBreakBefore w:val="0"/>
              <w:widowControl/>
              <w:numPr>
                <w:ilvl w:val="0"/>
                <w:numId w:val="0"/>
              </w:numPr>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7.</w:t>
            </w:r>
            <w:r>
              <w:rPr>
                <w:rFonts w:hint="eastAsia" w:ascii="宋体" w:hAnsi="宋体" w:eastAsia="宋体" w:cs="宋体"/>
                <w:color w:val="auto"/>
                <w:sz w:val="21"/>
                <w:szCs w:val="21"/>
                <w:highlight w:val="none"/>
                <w:lang w:val="en-US" w:eastAsia="zh-CN"/>
              </w:rPr>
              <w:t>培训要求：成交供应商对其提供产品或服务的使用和操作应尽培训义务。成交供应商应提供对本项目的使用单位进行培训服务，涉及的相关费用应计算在项目报价内，并使使用人员能独立、熟练操作软件。</w:t>
            </w:r>
            <w:r>
              <w:rPr>
                <w:rFonts w:hint="eastAsia" w:ascii="宋体" w:hAnsi="宋体" w:eastAsia="宋体" w:cs="宋体"/>
                <w:b/>
                <w:bCs/>
                <w:color w:val="auto"/>
                <w:sz w:val="21"/>
                <w:szCs w:val="21"/>
                <w:highlight w:val="none"/>
                <w:lang w:val="en-US" w:eastAsia="zh-CN"/>
              </w:rPr>
              <w:t>要求在响应文件中提供培训方案。</w:t>
            </w:r>
          </w:p>
          <w:p w14:paraId="306C7483">
            <w:pPr>
              <w:keepNext w:val="0"/>
              <w:keepLines w:val="0"/>
              <w:pageBreakBefore w:val="0"/>
              <w:widowControl/>
              <w:numPr>
                <w:ilvl w:val="0"/>
                <w:numId w:val="0"/>
              </w:numPr>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8.为有效防止虚假应标，签订合同后，采购人在货物安装过程中，可进行测试，若测试达不到响应指标，成交供应商应按要求整改，成交供应商整改后仍未能证明达到要求的，按虚假应标进行处理，采购人有权解约合同及上报监督管理部门，并追究其</w:t>
            </w:r>
            <w:r>
              <w:rPr>
                <w:rFonts w:hint="eastAsia"/>
                <w:color w:val="auto"/>
                <w:highlight w:val="none"/>
                <w:lang w:val="en-US" w:eastAsia="zh-CN"/>
              </w:rPr>
              <w:t>相关</w:t>
            </w:r>
            <w:r>
              <w:rPr>
                <w:rFonts w:hint="eastAsia" w:ascii="宋体" w:hAnsi="宋体" w:eastAsia="宋体" w:cs="宋体"/>
                <w:color w:val="auto"/>
                <w:sz w:val="21"/>
                <w:szCs w:val="21"/>
                <w:highlight w:val="none"/>
                <w:lang w:val="en-US" w:eastAsia="zh-CN"/>
              </w:rPr>
              <w:t>法律责任及要求赔偿相应的经济损失。</w:t>
            </w:r>
          </w:p>
        </w:tc>
      </w:tr>
      <w:tr w14:paraId="04D0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shd w:val="clear" w:color="auto" w:fill="auto"/>
            <w:noWrap/>
            <w:vAlign w:val="center"/>
          </w:tcPr>
          <w:p w14:paraId="6162E60C">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质保期限</w:t>
            </w:r>
          </w:p>
        </w:tc>
        <w:tc>
          <w:tcPr>
            <w:tcW w:w="8041" w:type="dxa"/>
            <w:gridSpan w:val="3"/>
            <w:shd w:val="clear" w:color="auto" w:fill="auto"/>
            <w:noWrap/>
            <w:vAlign w:val="center"/>
          </w:tcPr>
          <w:p w14:paraId="7427D1B1">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质保期（保修期）</w:t>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年（自验收合格之日起计）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按国家规定的厂家承诺实行“三包”</w:t>
            </w:r>
            <w:r>
              <w:rPr>
                <w:rFonts w:hint="eastAsia" w:ascii="宋体" w:hAnsi="宋体" w:eastAsia="宋体" w:cs="宋体"/>
                <w:color w:val="auto"/>
                <w:sz w:val="21"/>
                <w:szCs w:val="21"/>
                <w:highlight w:val="none"/>
                <w:lang w:eastAsia="zh-CN"/>
              </w:rPr>
              <w:t>。</w:t>
            </w:r>
          </w:p>
        </w:tc>
      </w:tr>
      <w:tr w14:paraId="0B563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shd w:val="clear" w:color="auto" w:fill="auto"/>
            <w:noWrap/>
            <w:vAlign w:val="center"/>
          </w:tcPr>
          <w:p w14:paraId="769DB2ED">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8041" w:type="dxa"/>
            <w:gridSpan w:val="3"/>
            <w:shd w:val="clear" w:color="auto" w:fill="auto"/>
            <w:noWrap/>
            <w:vAlign w:val="center"/>
          </w:tcPr>
          <w:p w14:paraId="591B7A7D">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采用分期付款方式支付货款，全部货物到达指定地点、安装调试并验收合格，成交供应商凭双方签署验收合格文件，开具合法有效的全额增值税发票给采购人，采购人收到完整、有效请款材料后3个月内一次性支付总合同金额的50%；验收合格满12个月内支付至总合同金额100%。（不计利息）</w:t>
            </w:r>
          </w:p>
          <w:p w14:paraId="53B94D8B">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2.采购人付款前，成交供应商应向采购人开具</w:t>
            </w:r>
            <w:r>
              <w:rPr>
                <w:rFonts w:hint="eastAsia" w:ascii="宋体" w:hAnsi="宋体" w:eastAsia="宋体" w:cs="宋体"/>
                <w:color w:val="auto"/>
                <w:sz w:val="21"/>
                <w:szCs w:val="21"/>
                <w:highlight w:val="none"/>
                <w:lang w:val="en-US" w:eastAsia="zh-CN"/>
              </w:rPr>
              <w:t>全</w:t>
            </w:r>
            <w:r>
              <w:rPr>
                <w:rFonts w:hint="eastAsia" w:ascii="宋体" w:hAnsi="宋体" w:eastAsia="宋体" w:cs="宋体"/>
                <w:color w:val="auto"/>
                <w:sz w:val="21"/>
                <w:szCs w:val="21"/>
                <w:highlight w:val="none"/>
              </w:rPr>
              <w:t>额</w:t>
            </w:r>
            <w:r>
              <w:rPr>
                <w:rFonts w:hint="eastAsia" w:ascii="宋体" w:hAnsi="宋体" w:eastAsia="宋体" w:cs="宋体"/>
                <w:color w:val="auto"/>
                <w:sz w:val="21"/>
                <w:szCs w:val="21"/>
                <w:highlight w:val="none"/>
              </w:rPr>
              <w:t>有效的增值税发票，采购人未收到合格有效发票的，有权不予支付相应款项直至成交供应商提供合格发票，并不承担延迟付款责任。发票认证通过是付款的必要前提之一。</w:t>
            </w:r>
          </w:p>
          <w:p w14:paraId="0B169E4A">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3.付款方式：银行转账。</w:t>
            </w:r>
          </w:p>
        </w:tc>
      </w:tr>
      <w:tr w14:paraId="6C1EE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shd w:val="clear" w:color="auto" w:fill="auto"/>
            <w:noWrap/>
            <w:vAlign w:val="center"/>
          </w:tcPr>
          <w:p w14:paraId="66FDABB0">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其他要求</w:t>
            </w:r>
          </w:p>
        </w:tc>
        <w:tc>
          <w:tcPr>
            <w:tcW w:w="8041" w:type="dxa"/>
            <w:gridSpan w:val="3"/>
            <w:shd w:val="clear" w:color="auto" w:fill="auto"/>
            <w:noWrap/>
            <w:vAlign w:val="center"/>
          </w:tcPr>
          <w:p w14:paraId="3D4EF156">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一、总体要求</w:t>
            </w:r>
          </w:p>
          <w:p w14:paraId="0D96A201">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本项目按总价包干，为交钥匙项目，报价中须包含</w:t>
            </w:r>
            <w:r>
              <w:rPr>
                <w:rFonts w:hint="eastAsia" w:ascii="宋体" w:hAnsi="宋体" w:eastAsia="宋体" w:cs="宋体"/>
                <w:color w:val="auto"/>
                <w:sz w:val="21"/>
                <w:szCs w:val="21"/>
                <w:highlight w:val="none"/>
                <w:lang w:val="en-US" w:eastAsia="zh-CN"/>
              </w:rPr>
              <w:t>采购标的</w:t>
            </w:r>
            <w:r>
              <w:rPr>
                <w:rFonts w:hint="eastAsia" w:ascii="宋体" w:hAnsi="宋体" w:eastAsia="宋体" w:cs="宋体"/>
                <w:color w:val="auto"/>
                <w:sz w:val="21"/>
                <w:szCs w:val="21"/>
                <w:highlight w:val="none"/>
              </w:rPr>
              <w:t>、备品备件、材料、</w:t>
            </w:r>
            <w:r>
              <w:rPr>
                <w:rFonts w:hint="eastAsia"/>
                <w:color w:val="auto"/>
                <w:highlight w:val="none"/>
                <w:lang w:val="en-US" w:eastAsia="zh-CN"/>
              </w:rPr>
              <w:t>连接线缆、</w:t>
            </w:r>
            <w:r>
              <w:rPr>
                <w:rFonts w:hint="eastAsia" w:ascii="宋体" w:hAnsi="宋体" w:eastAsia="宋体" w:cs="宋体"/>
                <w:color w:val="auto"/>
                <w:sz w:val="21"/>
                <w:szCs w:val="21"/>
                <w:highlight w:val="none"/>
              </w:rPr>
              <w:t>消耗品、工具的采购和运输（装卸），项目安装、调试、检测、试验及验收、配合服务费、售后服务、税金、利润及其他所有成本等费用，若有与其他项目承包商配合服务费由</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自行与其他承包方按照市场规则进行协商，采购人予以积极配合。</w:t>
            </w:r>
          </w:p>
          <w:p w14:paraId="430E13AF">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成交供应商应保证采购人在接受其提供的相关服务时免受第三方提出侵犯其知识产权的起诉，由此引起的知识产权纠纷由成交供应商负责。</w:t>
            </w:r>
          </w:p>
          <w:p w14:paraId="3AA14B33">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确保本项目所有内容不存在意识形态问题。</w:t>
            </w:r>
          </w:p>
          <w:p w14:paraId="33BB15DE">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成交供应商不得将项目非法分包或转包给任何单位和个人，否则采购人有权即刻终止合同，并要求成交供应商赔偿相应损失。</w:t>
            </w:r>
          </w:p>
          <w:p w14:paraId="5B3871CA">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5.本项目不接受OEM产品，成交商供货时须提供设备生产厂家出具的项目授权函及售后服务承诺书，并加盖原厂公章。</w:t>
            </w:r>
          </w:p>
          <w:p w14:paraId="48726F49">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二、采购标的验收标准</w:t>
            </w:r>
          </w:p>
          <w:p w14:paraId="0238D0C8">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采购人对成交供应商提交的</w:t>
            </w:r>
            <w:r>
              <w:rPr>
                <w:rFonts w:hint="eastAsia" w:ascii="宋体" w:hAnsi="宋体" w:eastAsia="宋体" w:cs="宋体"/>
                <w:color w:val="auto"/>
                <w:sz w:val="21"/>
                <w:szCs w:val="21"/>
                <w:highlight w:val="none"/>
                <w:lang w:val="en-US" w:eastAsia="zh-CN"/>
              </w:rPr>
              <w:t>货物（</w:t>
            </w:r>
            <w:r>
              <w:rPr>
                <w:rFonts w:hint="eastAsia" w:ascii="宋体" w:hAnsi="宋体" w:eastAsia="宋体" w:cs="宋体"/>
                <w:color w:val="auto"/>
                <w:sz w:val="21"/>
                <w:szCs w:val="21"/>
                <w:highlight w:val="none"/>
              </w:rPr>
              <w:t>服务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依据采购合同进行验收。</w:t>
            </w:r>
          </w:p>
          <w:p w14:paraId="38F3A301">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成交供应商交付</w:t>
            </w:r>
            <w:r>
              <w:rPr>
                <w:rFonts w:hint="eastAsia" w:ascii="宋体" w:hAnsi="宋体" w:eastAsia="宋体" w:cs="宋体"/>
                <w:color w:val="auto"/>
                <w:sz w:val="21"/>
                <w:szCs w:val="21"/>
                <w:highlight w:val="none"/>
                <w:lang w:val="en-US" w:eastAsia="zh-CN"/>
              </w:rPr>
              <w:t>货物（</w:t>
            </w:r>
            <w:r>
              <w:rPr>
                <w:rFonts w:hint="eastAsia" w:ascii="宋体" w:hAnsi="宋体" w:eastAsia="宋体" w:cs="宋体"/>
                <w:color w:val="auto"/>
                <w:sz w:val="21"/>
                <w:szCs w:val="21"/>
                <w:highlight w:val="none"/>
              </w:rPr>
              <w:t>服务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前应对</w:t>
            </w:r>
            <w:r>
              <w:rPr>
                <w:rFonts w:hint="eastAsia" w:ascii="宋体" w:hAnsi="宋体" w:eastAsia="宋体" w:cs="宋体"/>
                <w:color w:val="auto"/>
                <w:sz w:val="21"/>
                <w:szCs w:val="21"/>
                <w:highlight w:val="none"/>
                <w:lang w:val="en-US" w:eastAsia="zh-CN"/>
              </w:rPr>
              <w:t>货物（</w:t>
            </w:r>
            <w:r>
              <w:rPr>
                <w:rFonts w:hint="eastAsia" w:ascii="宋体" w:hAnsi="宋体" w:eastAsia="宋体" w:cs="宋体"/>
                <w:color w:val="auto"/>
                <w:sz w:val="21"/>
                <w:szCs w:val="21"/>
                <w:highlight w:val="none"/>
              </w:rPr>
              <w:t>服务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作出全面检查和对验收文件进行整理，并列出清单，作为采购人验收和使用的技术条件依据，检验的结果应随</w:t>
            </w:r>
            <w:r>
              <w:rPr>
                <w:rFonts w:hint="eastAsia" w:ascii="宋体" w:hAnsi="宋体" w:eastAsia="宋体" w:cs="宋体"/>
                <w:color w:val="auto"/>
                <w:sz w:val="21"/>
                <w:szCs w:val="21"/>
                <w:highlight w:val="none"/>
                <w:lang w:val="en-US" w:eastAsia="zh-CN"/>
              </w:rPr>
              <w:t>货物（</w:t>
            </w:r>
            <w:r>
              <w:rPr>
                <w:rFonts w:hint="eastAsia" w:ascii="宋体" w:hAnsi="宋体" w:eastAsia="宋体" w:cs="宋体"/>
                <w:color w:val="auto"/>
                <w:sz w:val="21"/>
                <w:szCs w:val="21"/>
                <w:highlight w:val="none"/>
              </w:rPr>
              <w:t>服务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成果交采购人。成交</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不能完整交付服务及本款规定的单证和工具的，必须负责补齐，否则视为未按合同约定交付。</w:t>
            </w:r>
          </w:p>
          <w:p w14:paraId="24D8BC13">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采购人组织验收，成交供应商必须到场配合，验收合格后双方签署验收合格凭证。</w:t>
            </w:r>
          </w:p>
          <w:p w14:paraId="6BFEF515">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其他未尽事宜应严格按照《关于印发广西壮族自治区政府采购项目履约验收管理办法的通知》[桂财采〔2015〕22号]以及《财政部关于进一步加强政府采购需求和履约验收管理的指导意见》[财库〔2016〕205号]规定执行。</w:t>
            </w:r>
          </w:p>
          <w:p w14:paraId="1A96F43C">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验收产生的费用由成交供应商负责</w:t>
            </w:r>
            <w:r>
              <w:rPr>
                <w:rFonts w:hint="eastAsia" w:ascii="宋体" w:hAnsi="宋体" w:eastAsia="宋体" w:cs="宋体"/>
                <w:color w:val="auto"/>
                <w:sz w:val="21"/>
                <w:szCs w:val="21"/>
                <w:highlight w:val="none"/>
                <w:lang w:eastAsia="zh-CN"/>
              </w:rPr>
              <w:t>。</w:t>
            </w:r>
          </w:p>
          <w:p w14:paraId="581F359C">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三、响应文件中须附有序号1-3项货物的设备实物图片，其中核心产品须同时标注正面结构示意图。</w:t>
            </w:r>
          </w:p>
        </w:tc>
      </w:tr>
      <w:tr w14:paraId="29127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shd w:val="clear" w:color="auto" w:fill="auto"/>
            <w:noWrap/>
            <w:vAlign w:val="center"/>
          </w:tcPr>
          <w:p w14:paraId="44D486BE">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规范标准</w:t>
            </w:r>
          </w:p>
        </w:tc>
        <w:tc>
          <w:tcPr>
            <w:tcW w:w="8041" w:type="dxa"/>
            <w:gridSpan w:val="3"/>
            <w:shd w:val="clear" w:color="auto" w:fill="auto"/>
            <w:noWrap/>
            <w:vAlign w:val="center"/>
          </w:tcPr>
          <w:p w14:paraId="300D2D8F">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采购标的需执行的国家标准、行业标准、地方标准或者其他标准、规范。多项标准的，按最新标准或较高标准执行。</w:t>
            </w:r>
          </w:p>
        </w:tc>
      </w:tr>
      <w:tr w14:paraId="118E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7" w:hRule="atLeast"/>
          <w:jc w:val="center"/>
        </w:trPr>
        <w:tc>
          <w:tcPr>
            <w:tcW w:w="9809" w:type="dxa"/>
            <w:gridSpan w:val="5"/>
            <w:shd w:val="clear" w:color="auto" w:fill="auto"/>
            <w:noWrap/>
            <w:vAlign w:val="center"/>
          </w:tcPr>
          <w:p w14:paraId="2FE28A49">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三、</w:t>
            </w:r>
            <w:r>
              <w:rPr>
                <w:rFonts w:hint="eastAsia" w:ascii="宋体" w:hAnsi="宋体" w:eastAsia="宋体" w:cs="宋体"/>
                <w:b/>
                <w:bCs/>
                <w:color w:val="auto"/>
                <w:sz w:val="21"/>
                <w:szCs w:val="21"/>
                <w:highlight w:val="none"/>
              </w:rPr>
              <w:t>其他说明</w:t>
            </w:r>
          </w:p>
        </w:tc>
      </w:tr>
      <w:tr w14:paraId="7D01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70" w:hRule="atLeast"/>
          <w:jc w:val="center"/>
        </w:trPr>
        <w:tc>
          <w:tcPr>
            <w:tcW w:w="9809" w:type="dxa"/>
            <w:gridSpan w:val="5"/>
            <w:shd w:val="clear" w:color="auto" w:fill="auto"/>
            <w:noWrap/>
            <w:vAlign w:val="center"/>
          </w:tcPr>
          <w:p w14:paraId="76B4C79C">
            <w:pPr>
              <w:keepNext w:val="0"/>
              <w:keepLines w:val="0"/>
              <w:pageBreakBefore w:val="0"/>
              <w:widowControl/>
              <w:tabs>
                <w:tab w:val="left" w:pos="180"/>
                <w:tab w:val="left" w:pos="1620"/>
              </w:tabs>
              <w:kinsoku/>
              <w:wordWrap/>
              <w:overflowPunct/>
              <w:topLinePunct w:val="0"/>
              <w:autoSpaceDE/>
              <w:autoSpaceDN/>
              <w:bidi w:val="0"/>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一、进口产品说明：</w:t>
            </w:r>
          </w:p>
          <w:p w14:paraId="3390B571">
            <w:pPr>
              <w:keepNext w:val="0"/>
              <w:keepLines w:val="0"/>
              <w:pageBreakBefore w:val="0"/>
              <w:widowControl/>
              <w:tabs>
                <w:tab w:val="left" w:pos="180"/>
                <w:tab w:val="left" w:pos="1620"/>
              </w:tabs>
              <w:kinsoku/>
              <w:wordWrap/>
              <w:overflowPunct/>
              <w:topLinePunct w:val="0"/>
              <w:autoSpaceDE/>
              <w:autoSpaceDN/>
              <w:bidi w:val="0"/>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本项目所涉及的货物不接受进口产品（即通过中国海关报关验放进入中国境内且产自关境外的产品）参与竞标，</w:t>
            </w:r>
            <w:r>
              <w:rPr>
                <w:rFonts w:hint="eastAsia" w:ascii="宋体" w:hAnsi="宋体" w:eastAsia="宋体" w:cs="宋体"/>
                <w:b/>
                <w:color w:val="auto"/>
                <w:sz w:val="21"/>
                <w:szCs w:val="21"/>
                <w:highlight w:val="none"/>
              </w:rPr>
              <w:t>如有进口产品参与竞标的作无效竞标处理</w:t>
            </w:r>
            <w:r>
              <w:rPr>
                <w:rFonts w:hint="eastAsia" w:ascii="宋体" w:hAnsi="宋体" w:eastAsia="宋体" w:cs="宋体"/>
                <w:color w:val="auto"/>
                <w:sz w:val="21"/>
                <w:szCs w:val="21"/>
                <w:highlight w:val="none"/>
              </w:rPr>
              <w:t>。</w:t>
            </w:r>
          </w:p>
          <w:p w14:paraId="416A4869">
            <w:pPr>
              <w:keepNext w:val="0"/>
              <w:keepLines w:val="0"/>
              <w:pageBreakBefore w:val="0"/>
              <w:widowControl/>
              <w:tabs>
                <w:tab w:val="left" w:pos="180"/>
                <w:tab w:val="left" w:pos="1620"/>
              </w:tabs>
              <w:kinsoku/>
              <w:wordWrap/>
              <w:overflowPunct/>
              <w:topLinePunct w:val="0"/>
              <w:autoSpaceDE/>
              <w:autoSpaceDN/>
              <w:bidi w:val="0"/>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二、核心产品：</w:t>
            </w:r>
          </w:p>
          <w:p w14:paraId="673B06E2">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jc w:val="left"/>
              <w:textAlignment w:val="center"/>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本项目的核心产品为“需求一览表”中第</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1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项产品</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u w:val="single"/>
                <w:lang w:val="en-US" w:eastAsia="zh-CN"/>
              </w:rPr>
              <w:t>核心交换机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rPr>
              <w:t>。</w:t>
            </w:r>
          </w:p>
          <w:p w14:paraId="68587A10">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三、谈判小组根据与供应商谈判情况可能实质性变动的内容：未标注“▲”的内容</w:t>
            </w:r>
            <w:r>
              <w:rPr>
                <w:rFonts w:hint="eastAsia" w:ascii="宋体" w:hAnsi="宋体" w:eastAsia="宋体" w:cs="宋体"/>
                <w:b/>
                <w:bCs/>
                <w:color w:val="auto"/>
                <w:sz w:val="21"/>
                <w:szCs w:val="21"/>
                <w:highlight w:val="none"/>
                <w:lang w:eastAsia="zh-CN"/>
              </w:rPr>
              <w:t>。</w:t>
            </w:r>
          </w:p>
        </w:tc>
      </w:tr>
      <w:bookmarkEnd w:id="53"/>
    </w:tbl>
    <w:p w14:paraId="0F10933B">
      <w:pPr>
        <w:rPr>
          <w:rFonts w:ascii="Arial Unicode MS" w:hAnsi="Arial Unicode MS" w:eastAsia="Arial Unicode MS" w:cs="Arial Unicode MS"/>
          <w:color w:val="auto"/>
          <w:sz w:val="32"/>
          <w:szCs w:val="32"/>
          <w:highlight w:val="none"/>
        </w:rPr>
      </w:pPr>
      <w:r>
        <w:rPr>
          <w:rFonts w:hint="eastAsia" w:ascii="Arial Unicode MS" w:hAnsi="Arial Unicode MS" w:eastAsia="Arial Unicode MS" w:cs="Arial Unicode MS"/>
          <w:color w:val="auto"/>
          <w:sz w:val="32"/>
          <w:szCs w:val="32"/>
          <w:highlight w:val="none"/>
        </w:rPr>
        <w:br w:type="page"/>
      </w:r>
    </w:p>
    <w:p w14:paraId="23FCC459">
      <w:pPr>
        <w:spacing w:line="428" w:lineRule="exact"/>
        <w:rPr>
          <w:rFonts w:ascii="Arial Unicode MS" w:hAnsi="Arial Unicode MS" w:eastAsia="Arial Unicode MS" w:cs="Arial Unicode MS"/>
          <w:color w:val="auto"/>
          <w:sz w:val="17"/>
          <w:szCs w:val="17"/>
          <w:highlight w:val="none"/>
        </w:rPr>
      </w:pPr>
      <w:r>
        <w:rPr>
          <w:rFonts w:hint="eastAsia" w:ascii="Arial Unicode MS" w:hAnsi="Arial Unicode MS" w:eastAsia="Arial Unicode MS" w:cs="Arial Unicode MS"/>
          <w:color w:val="auto"/>
          <w:sz w:val="32"/>
          <w:szCs w:val="32"/>
          <w:highlight w:val="none"/>
        </w:rPr>
        <w:t>附件1：</w:t>
      </w:r>
    </w:p>
    <w:p w14:paraId="501D84C7">
      <w:pPr>
        <w:widowControl/>
        <w:spacing w:before="120" w:beforeLines="50" w:after="120" w:afterLines="50" w:line="280" w:lineRule="exact"/>
        <w:jc w:val="center"/>
        <w:rPr>
          <w:rFonts w:ascii="宋体" w:hAnsi="宋体" w:cs="宋体"/>
          <w:b/>
          <w:bCs/>
          <w:color w:val="auto"/>
          <w:kern w:val="0"/>
          <w:sz w:val="30"/>
          <w:szCs w:val="30"/>
          <w:highlight w:val="none"/>
        </w:rPr>
      </w:pPr>
      <w:bookmarkStart w:id="54" w:name="_Toc28361_WPSOffice_Level2"/>
      <w:bookmarkStart w:id="55" w:name="_Toc80205922"/>
      <w:bookmarkStart w:id="56" w:name="_Toc20724"/>
      <w:r>
        <w:rPr>
          <w:rFonts w:hint="eastAsia" w:ascii="宋体" w:hAnsi="宋体" w:cs="宋体"/>
          <w:b/>
          <w:bCs/>
          <w:color w:val="auto"/>
          <w:kern w:val="0"/>
          <w:sz w:val="30"/>
          <w:szCs w:val="30"/>
          <w:highlight w:val="none"/>
        </w:rPr>
        <w:t>统计上大中小微型企业划分标准</w:t>
      </w:r>
      <w:bookmarkEnd w:id="54"/>
    </w:p>
    <w:tbl>
      <w:tblPr>
        <w:tblStyle w:val="29"/>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45165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2113" w:type="dxa"/>
            <w:shd w:val="clear" w:color="auto" w:fill="8DB3E2"/>
            <w:vAlign w:val="center"/>
          </w:tcPr>
          <w:p w14:paraId="2A7EB6E3">
            <w:pPr>
              <w:widowControl/>
              <w:spacing w:line="280" w:lineRule="exact"/>
              <w:jc w:val="center"/>
              <w:rPr>
                <w:rFonts w:ascii="宋体" w:hAnsi="宋体" w:cs="宋体"/>
                <w:b/>
                <w:bCs/>
                <w:color w:val="auto"/>
                <w:kern w:val="0"/>
                <w:sz w:val="18"/>
                <w:szCs w:val="21"/>
                <w:highlight w:val="none"/>
              </w:rPr>
            </w:pPr>
            <w:r>
              <w:rPr>
                <w:rFonts w:hint="eastAsia" w:ascii="宋体" w:hAnsi="宋体" w:cs="宋体"/>
                <w:b/>
                <w:bCs/>
                <w:color w:val="auto"/>
                <w:kern w:val="0"/>
                <w:sz w:val="18"/>
                <w:szCs w:val="21"/>
                <w:highlight w:val="none"/>
              </w:rPr>
              <w:t>行业名称</w:t>
            </w:r>
          </w:p>
        </w:tc>
        <w:tc>
          <w:tcPr>
            <w:tcW w:w="1369" w:type="dxa"/>
            <w:shd w:val="clear" w:color="auto" w:fill="8DB3E2"/>
            <w:vAlign w:val="center"/>
          </w:tcPr>
          <w:p w14:paraId="21502E47">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指标名称</w:t>
            </w:r>
          </w:p>
        </w:tc>
        <w:tc>
          <w:tcPr>
            <w:tcW w:w="709" w:type="dxa"/>
            <w:shd w:val="clear" w:color="auto" w:fill="8DB3E2"/>
            <w:vAlign w:val="center"/>
          </w:tcPr>
          <w:p w14:paraId="4969FFEE">
            <w:pPr>
              <w:widowControl/>
              <w:spacing w:line="280" w:lineRule="exact"/>
              <w:jc w:val="center"/>
              <w:rPr>
                <w:rFonts w:ascii="宋体" w:hAnsi="宋体" w:eastAsia="宋体" w:cs="宋体"/>
                <w:b/>
                <w:bCs/>
                <w:color w:val="auto"/>
                <w:kern w:val="0"/>
                <w:sz w:val="18"/>
                <w:szCs w:val="18"/>
                <w:highlight w:val="none"/>
              </w:rPr>
            </w:pPr>
            <w:r>
              <w:rPr>
                <w:rFonts w:hint="eastAsia" w:ascii="宋体" w:hAnsi="宋体" w:cs="宋体"/>
                <w:b/>
                <w:bCs/>
                <w:color w:val="auto"/>
                <w:kern w:val="0"/>
                <w:sz w:val="18"/>
                <w:szCs w:val="18"/>
                <w:highlight w:val="none"/>
              </w:rPr>
              <w:t>计量</w:t>
            </w:r>
          </w:p>
          <w:p w14:paraId="64E10DA4">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单位</w:t>
            </w:r>
          </w:p>
        </w:tc>
        <w:tc>
          <w:tcPr>
            <w:tcW w:w="1125" w:type="dxa"/>
            <w:shd w:val="clear" w:color="auto" w:fill="8DB3E2"/>
            <w:vAlign w:val="center"/>
          </w:tcPr>
          <w:p w14:paraId="11D4205F">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大型</w:t>
            </w:r>
          </w:p>
        </w:tc>
        <w:tc>
          <w:tcPr>
            <w:tcW w:w="1701" w:type="dxa"/>
            <w:shd w:val="clear" w:color="auto" w:fill="8DB3E2"/>
            <w:vAlign w:val="center"/>
          </w:tcPr>
          <w:p w14:paraId="4CAE76C1">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中型</w:t>
            </w:r>
          </w:p>
        </w:tc>
        <w:tc>
          <w:tcPr>
            <w:tcW w:w="1426" w:type="dxa"/>
            <w:shd w:val="clear" w:color="auto" w:fill="8DB3E2"/>
            <w:vAlign w:val="center"/>
          </w:tcPr>
          <w:p w14:paraId="5782EC75">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小型</w:t>
            </w:r>
          </w:p>
        </w:tc>
        <w:tc>
          <w:tcPr>
            <w:tcW w:w="992" w:type="dxa"/>
            <w:shd w:val="clear" w:color="auto" w:fill="8DB3E2"/>
            <w:vAlign w:val="center"/>
          </w:tcPr>
          <w:p w14:paraId="74C08959">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微型</w:t>
            </w:r>
          </w:p>
        </w:tc>
      </w:tr>
      <w:tr w14:paraId="0AAAC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7AEB8C1F">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农、林、牧、渔业</w:t>
            </w:r>
          </w:p>
        </w:tc>
        <w:tc>
          <w:tcPr>
            <w:tcW w:w="1369" w:type="dxa"/>
            <w:vAlign w:val="center"/>
          </w:tcPr>
          <w:p w14:paraId="6158799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3F1E5C8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2BDF68F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vAlign w:val="center"/>
          </w:tcPr>
          <w:p w14:paraId="4602303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426" w:type="dxa"/>
            <w:vAlign w:val="center"/>
          </w:tcPr>
          <w:p w14:paraId="2CBF1BC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992" w:type="dxa"/>
            <w:vAlign w:val="center"/>
          </w:tcPr>
          <w:p w14:paraId="1017D87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5E6F1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C838F0D">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工业 *</w:t>
            </w:r>
          </w:p>
        </w:tc>
        <w:tc>
          <w:tcPr>
            <w:tcW w:w="1369" w:type="dxa"/>
            <w:vAlign w:val="center"/>
          </w:tcPr>
          <w:p w14:paraId="7491FB2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581794B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4B8A727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14:paraId="5BB025A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14:paraId="10716D8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vAlign w:val="center"/>
          </w:tcPr>
          <w:p w14:paraId="09CCC1B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6AFBC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D10F364">
            <w:pPr>
              <w:widowControl/>
              <w:spacing w:line="280" w:lineRule="exact"/>
              <w:jc w:val="left"/>
              <w:rPr>
                <w:rFonts w:ascii="宋体" w:hAnsi="宋体" w:cs="宋体"/>
                <w:color w:val="auto"/>
                <w:kern w:val="0"/>
                <w:sz w:val="18"/>
                <w:szCs w:val="18"/>
                <w:highlight w:val="none"/>
              </w:rPr>
            </w:pPr>
          </w:p>
        </w:tc>
        <w:tc>
          <w:tcPr>
            <w:tcW w:w="1369" w:type="dxa"/>
            <w:vAlign w:val="center"/>
          </w:tcPr>
          <w:p w14:paraId="7E6FE12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47B329D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731917F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vAlign w:val="center"/>
          </w:tcPr>
          <w:p w14:paraId="51F2282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426" w:type="dxa"/>
            <w:vAlign w:val="center"/>
          </w:tcPr>
          <w:p w14:paraId="41A14AC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992" w:type="dxa"/>
            <w:vAlign w:val="center"/>
          </w:tcPr>
          <w:p w14:paraId="7E1C957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60628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7C47876C">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建筑业</w:t>
            </w:r>
          </w:p>
        </w:tc>
        <w:tc>
          <w:tcPr>
            <w:tcW w:w="1369" w:type="dxa"/>
            <w:vAlign w:val="center"/>
          </w:tcPr>
          <w:p w14:paraId="0661ECC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5E5E1C2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7FB1442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Y≥80000</w:t>
            </w:r>
          </w:p>
        </w:tc>
        <w:tc>
          <w:tcPr>
            <w:tcW w:w="1701" w:type="dxa"/>
            <w:vAlign w:val="center"/>
          </w:tcPr>
          <w:p w14:paraId="4BCDE6A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426" w:type="dxa"/>
            <w:vAlign w:val="center"/>
          </w:tcPr>
          <w:p w14:paraId="5CD2E08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992" w:type="dxa"/>
            <w:vAlign w:val="center"/>
          </w:tcPr>
          <w:p w14:paraId="111E4AB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48855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578E8090">
            <w:pPr>
              <w:widowControl/>
              <w:spacing w:line="280" w:lineRule="exact"/>
              <w:jc w:val="left"/>
              <w:rPr>
                <w:rFonts w:ascii="宋体" w:hAnsi="宋体" w:cs="宋体"/>
                <w:color w:val="auto"/>
                <w:kern w:val="0"/>
                <w:sz w:val="18"/>
                <w:szCs w:val="18"/>
                <w:highlight w:val="none"/>
              </w:rPr>
            </w:pPr>
          </w:p>
        </w:tc>
        <w:tc>
          <w:tcPr>
            <w:tcW w:w="1369" w:type="dxa"/>
            <w:vAlign w:val="center"/>
          </w:tcPr>
          <w:p w14:paraId="7CDD81C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vAlign w:val="center"/>
          </w:tcPr>
          <w:p w14:paraId="7F9248F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766E084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Z≥80000</w:t>
            </w:r>
          </w:p>
        </w:tc>
        <w:tc>
          <w:tcPr>
            <w:tcW w:w="1701" w:type="dxa"/>
            <w:vAlign w:val="center"/>
          </w:tcPr>
          <w:p w14:paraId="3711CC9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426" w:type="dxa"/>
            <w:vAlign w:val="center"/>
          </w:tcPr>
          <w:p w14:paraId="1E14909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992" w:type="dxa"/>
            <w:vAlign w:val="center"/>
          </w:tcPr>
          <w:p w14:paraId="15F6D5D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14:paraId="05DE3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E061C0B">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批发业</w:t>
            </w:r>
          </w:p>
        </w:tc>
        <w:tc>
          <w:tcPr>
            <w:tcW w:w="1369" w:type="dxa"/>
            <w:vAlign w:val="center"/>
          </w:tcPr>
          <w:p w14:paraId="0B551F8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3A422A8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237758D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vAlign w:val="center"/>
          </w:tcPr>
          <w:p w14:paraId="5A840F2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426" w:type="dxa"/>
            <w:vAlign w:val="center"/>
          </w:tcPr>
          <w:p w14:paraId="640E2B0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992" w:type="dxa"/>
            <w:vAlign w:val="center"/>
          </w:tcPr>
          <w:p w14:paraId="2879807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14:paraId="7B74F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7AC35D0D">
            <w:pPr>
              <w:widowControl/>
              <w:spacing w:line="280" w:lineRule="exact"/>
              <w:jc w:val="left"/>
              <w:rPr>
                <w:rFonts w:ascii="宋体" w:hAnsi="宋体" w:cs="宋体"/>
                <w:color w:val="auto"/>
                <w:kern w:val="0"/>
                <w:sz w:val="18"/>
                <w:szCs w:val="18"/>
                <w:highlight w:val="none"/>
              </w:rPr>
            </w:pPr>
          </w:p>
        </w:tc>
        <w:tc>
          <w:tcPr>
            <w:tcW w:w="1369" w:type="dxa"/>
            <w:vAlign w:val="center"/>
          </w:tcPr>
          <w:p w14:paraId="2B52790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56634FB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76AD08D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vAlign w:val="center"/>
          </w:tcPr>
          <w:p w14:paraId="4BE92AE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426" w:type="dxa"/>
            <w:vAlign w:val="center"/>
          </w:tcPr>
          <w:p w14:paraId="19B64BCF">
            <w:pPr>
              <w:widowControl/>
              <w:spacing w:line="280" w:lineRule="exact"/>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992" w:type="dxa"/>
            <w:vAlign w:val="center"/>
          </w:tcPr>
          <w:p w14:paraId="2D8D3A1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14:paraId="05214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5CFDB469">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零售业</w:t>
            </w:r>
          </w:p>
        </w:tc>
        <w:tc>
          <w:tcPr>
            <w:tcW w:w="1369" w:type="dxa"/>
            <w:vAlign w:val="center"/>
          </w:tcPr>
          <w:p w14:paraId="2251A5A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178EE9E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391AD91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36CA1A0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426" w:type="dxa"/>
            <w:vAlign w:val="center"/>
          </w:tcPr>
          <w:p w14:paraId="55E2D80F">
            <w:pPr>
              <w:widowControl/>
              <w:spacing w:line="280" w:lineRule="exact"/>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10≤X＜50 </w:t>
            </w:r>
          </w:p>
        </w:tc>
        <w:tc>
          <w:tcPr>
            <w:tcW w:w="992" w:type="dxa"/>
            <w:vAlign w:val="center"/>
          </w:tcPr>
          <w:p w14:paraId="7EBCF2F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30EB6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6C513F6F">
            <w:pPr>
              <w:widowControl/>
              <w:spacing w:line="280" w:lineRule="exact"/>
              <w:jc w:val="left"/>
              <w:rPr>
                <w:rFonts w:ascii="宋体" w:hAnsi="宋体" w:cs="宋体"/>
                <w:color w:val="auto"/>
                <w:kern w:val="0"/>
                <w:sz w:val="18"/>
                <w:szCs w:val="18"/>
                <w:highlight w:val="none"/>
              </w:rPr>
            </w:pPr>
          </w:p>
        </w:tc>
        <w:tc>
          <w:tcPr>
            <w:tcW w:w="1369" w:type="dxa"/>
            <w:vAlign w:val="center"/>
          </w:tcPr>
          <w:p w14:paraId="4D29850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03977AB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460BF5B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vAlign w:val="center"/>
          </w:tcPr>
          <w:p w14:paraId="602EF68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426" w:type="dxa"/>
            <w:vAlign w:val="center"/>
          </w:tcPr>
          <w:p w14:paraId="00C8693E">
            <w:pPr>
              <w:widowControl/>
              <w:spacing w:line="280" w:lineRule="exact"/>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992" w:type="dxa"/>
            <w:vAlign w:val="center"/>
          </w:tcPr>
          <w:p w14:paraId="3316258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730E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4A4921B">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交通运输业 *</w:t>
            </w:r>
          </w:p>
        </w:tc>
        <w:tc>
          <w:tcPr>
            <w:tcW w:w="1369" w:type="dxa"/>
            <w:vAlign w:val="center"/>
          </w:tcPr>
          <w:p w14:paraId="4037365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25F4F67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61B3DDF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14:paraId="0BC2492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14:paraId="64A8CB8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vAlign w:val="center"/>
          </w:tcPr>
          <w:p w14:paraId="66F0260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497CA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9E5CDEE">
            <w:pPr>
              <w:widowControl/>
              <w:spacing w:line="280" w:lineRule="exact"/>
              <w:jc w:val="left"/>
              <w:rPr>
                <w:rFonts w:ascii="宋体" w:hAnsi="宋体" w:cs="宋体"/>
                <w:color w:val="auto"/>
                <w:kern w:val="0"/>
                <w:sz w:val="18"/>
                <w:szCs w:val="18"/>
                <w:highlight w:val="none"/>
              </w:rPr>
            </w:pPr>
          </w:p>
        </w:tc>
        <w:tc>
          <w:tcPr>
            <w:tcW w:w="1369" w:type="dxa"/>
            <w:vAlign w:val="center"/>
          </w:tcPr>
          <w:p w14:paraId="7EF2317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0846CF5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6A2B0A0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vAlign w:val="center"/>
          </w:tcPr>
          <w:p w14:paraId="100A0B6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426" w:type="dxa"/>
            <w:vAlign w:val="center"/>
          </w:tcPr>
          <w:p w14:paraId="4641218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992" w:type="dxa"/>
            <w:vAlign w:val="center"/>
          </w:tcPr>
          <w:p w14:paraId="33C6912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14:paraId="53B06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2F4D2232">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仓储业*</w:t>
            </w:r>
          </w:p>
        </w:tc>
        <w:tc>
          <w:tcPr>
            <w:tcW w:w="1369" w:type="dxa"/>
            <w:vAlign w:val="center"/>
          </w:tcPr>
          <w:p w14:paraId="4B40BBE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1F55237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0822559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vAlign w:val="center"/>
          </w:tcPr>
          <w:p w14:paraId="3455DCBE">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426" w:type="dxa"/>
            <w:vAlign w:val="center"/>
          </w:tcPr>
          <w:p w14:paraId="707E543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992" w:type="dxa"/>
            <w:vAlign w:val="center"/>
          </w:tcPr>
          <w:p w14:paraId="24F46E4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538B7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B9A7750">
            <w:pPr>
              <w:widowControl/>
              <w:spacing w:line="280" w:lineRule="exact"/>
              <w:jc w:val="left"/>
              <w:rPr>
                <w:rFonts w:ascii="宋体" w:hAnsi="宋体" w:cs="宋体"/>
                <w:color w:val="auto"/>
                <w:kern w:val="0"/>
                <w:sz w:val="18"/>
                <w:szCs w:val="18"/>
                <w:highlight w:val="none"/>
              </w:rPr>
            </w:pPr>
          </w:p>
        </w:tc>
        <w:tc>
          <w:tcPr>
            <w:tcW w:w="1369" w:type="dxa"/>
            <w:vAlign w:val="center"/>
          </w:tcPr>
          <w:p w14:paraId="49BEDDD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1F4EF8A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72FB0B7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vAlign w:val="center"/>
          </w:tcPr>
          <w:p w14:paraId="4257DBD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426" w:type="dxa"/>
            <w:vAlign w:val="center"/>
          </w:tcPr>
          <w:p w14:paraId="0B8818E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vAlign w:val="center"/>
          </w:tcPr>
          <w:p w14:paraId="7DC2089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48B9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987D059">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邮政业</w:t>
            </w:r>
          </w:p>
        </w:tc>
        <w:tc>
          <w:tcPr>
            <w:tcW w:w="1369" w:type="dxa"/>
            <w:vAlign w:val="center"/>
          </w:tcPr>
          <w:p w14:paraId="6D1EEFE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3D9A850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3506A2D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14:paraId="30379F2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14:paraId="20E0E76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vAlign w:val="center"/>
          </w:tcPr>
          <w:p w14:paraId="602AA06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7E334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64D94B91">
            <w:pPr>
              <w:widowControl/>
              <w:spacing w:line="280" w:lineRule="exact"/>
              <w:jc w:val="left"/>
              <w:rPr>
                <w:rFonts w:ascii="宋体" w:hAnsi="宋体" w:cs="宋体"/>
                <w:color w:val="auto"/>
                <w:kern w:val="0"/>
                <w:sz w:val="18"/>
                <w:szCs w:val="18"/>
                <w:highlight w:val="none"/>
              </w:rPr>
            </w:pPr>
          </w:p>
        </w:tc>
        <w:tc>
          <w:tcPr>
            <w:tcW w:w="1369" w:type="dxa"/>
            <w:vAlign w:val="center"/>
          </w:tcPr>
          <w:p w14:paraId="402C2E2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0CAF7F5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7717868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vAlign w:val="center"/>
          </w:tcPr>
          <w:p w14:paraId="22DF5A8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426" w:type="dxa"/>
            <w:vAlign w:val="center"/>
          </w:tcPr>
          <w:p w14:paraId="3262BD5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vAlign w:val="center"/>
          </w:tcPr>
          <w:p w14:paraId="3291F32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682F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6B869E4">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住宿业</w:t>
            </w:r>
          </w:p>
        </w:tc>
        <w:tc>
          <w:tcPr>
            <w:tcW w:w="1369" w:type="dxa"/>
            <w:vAlign w:val="center"/>
          </w:tcPr>
          <w:p w14:paraId="785A190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2F28F90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0DCD771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6C6E648B">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vAlign w:val="center"/>
          </w:tcPr>
          <w:p w14:paraId="7FDF252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14:paraId="6A17CD9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567C3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622EB85D">
            <w:pPr>
              <w:widowControl/>
              <w:spacing w:line="280" w:lineRule="exact"/>
              <w:jc w:val="left"/>
              <w:rPr>
                <w:rFonts w:ascii="宋体" w:hAnsi="宋体" w:cs="宋体"/>
                <w:color w:val="auto"/>
                <w:kern w:val="0"/>
                <w:sz w:val="18"/>
                <w:szCs w:val="18"/>
                <w:highlight w:val="none"/>
              </w:rPr>
            </w:pPr>
          </w:p>
        </w:tc>
        <w:tc>
          <w:tcPr>
            <w:tcW w:w="1369" w:type="dxa"/>
            <w:vAlign w:val="center"/>
          </w:tcPr>
          <w:p w14:paraId="2D607CA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0497538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168A120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vAlign w:val="center"/>
          </w:tcPr>
          <w:p w14:paraId="65300F8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vAlign w:val="center"/>
          </w:tcPr>
          <w:p w14:paraId="6F893BA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vAlign w:val="center"/>
          </w:tcPr>
          <w:p w14:paraId="235CA14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7F79D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6E75FA88">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餐饮业</w:t>
            </w:r>
          </w:p>
        </w:tc>
        <w:tc>
          <w:tcPr>
            <w:tcW w:w="1369" w:type="dxa"/>
            <w:vAlign w:val="center"/>
          </w:tcPr>
          <w:p w14:paraId="6C7F794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21DEEFC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36C4CFE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0CBF0A2A">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vAlign w:val="center"/>
          </w:tcPr>
          <w:p w14:paraId="32AD386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14:paraId="5DB2538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0E11C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06F0FD1C">
            <w:pPr>
              <w:widowControl/>
              <w:spacing w:line="280" w:lineRule="exact"/>
              <w:jc w:val="left"/>
              <w:rPr>
                <w:rFonts w:ascii="宋体" w:hAnsi="宋体" w:cs="宋体"/>
                <w:color w:val="auto"/>
                <w:kern w:val="0"/>
                <w:sz w:val="18"/>
                <w:szCs w:val="18"/>
                <w:highlight w:val="none"/>
              </w:rPr>
            </w:pPr>
          </w:p>
        </w:tc>
        <w:tc>
          <w:tcPr>
            <w:tcW w:w="1369" w:type="dxa"/>
            <w:vAlign w:val="center"/>
          </w:tcPr>
          <w:p w14:paraId="67385F7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23E2F6F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3716942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vAlign w:val="center"/>
          </w:tcPr>
          <w:p w14:paraId="1CDD7FD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vAlign w:val="center"/>
          </w:tcPr>
          <w:p w14:paraId="1DAE5B7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vAlign w:val="center"/>
          </w:tcPr>
          <w:p w14:paraId="5F678C1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06119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0FD20622">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信息传输业 *</w:t>
            </w:r>
          </w:p>
        </w:tc>
        <w:tc>
          <w:tcPr>
            <w:tcW w:w="1369" w:type="dxa"/>
            <w:vAlign w:val="center"/>
          </w:tcPr>
          <w:p w14:paraId="7C62F46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06F2EC6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226D26C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X≥2000</w:t>
            </w:r>
          </w:p>
        </w:tc>
        <w:tc>
          <w:tcPr>
            <w:tcW w:w="1701" w:type="dxa"/>
            <w:vAlign w:val="center"/>
          </w:tcPr>
          <w:p w14:paraId="6609D48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426" w:type="dxa"/>
            <w:vAlign w:val="center"/>
          </w:tcPr>
          <w:p w14:paraId="18EE2C3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14:paraId="26E619D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68351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628B7CEB">
            <w:pPr>
              <w:widowControl/>
              <w:spacing w:line="280" w:lineRule="exact"/>
              <w:jc w:val="left"/>
              <w:rPr>
                <w:rFonts w:ascii="宋体" w:hAnsi="宋体" w:cs="宋体"/>
                <w:color w:val="auto"/>
                <w:kern w:val="0"/>
                <w:sz w:val="18"/>
                <w:szCs w:val="18"/>
                <w:highlight w:val="none"/>
              </w:rPr>
            </w:pPr>
          </w:p>
        </w:tc>
        <w:tc>
          <w:tcPr>
            <w:tcW w:w="1369" w:type="dxa"/>
            <w:vAlign w:val="center"/>
          </w:tcPr>
          <w:p w14:paraId="727D731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3BAB824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388C530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Y≥100000</w:t>
            </w:r>
          </w:p>
        </w:tc>
        <w:tc>
          <w:tcPr>
            <w:tcW w:w="1701" w:type="dxa"/>
            <w:vAlign w:val="center"/>
          </w:tcPr>
          <w:p w14:paraId="11D6779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1426" w:type="dxa"/>
            <w:vAlign w:val="center"/>
          </w:tcPr>
          <w:p w14:paraId="1C74CDA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vAlign w:val="center"/>
          </w:tcPr>
          <w:p w14:paraId="7053196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760DE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61C9C467">
            <w:pPr>
              <w:widowControl/>
              <w:spacing w:line="280" w:lineRule="exact"/>
              <w:jc w:val="left"/>
              <w:rPr>
                <w:rFonts w:ascii="宋体" w:hAnsi="宋体" w:cs="宋体"/>
                <w:color w:val="auto"/>
                <w:spacing w:val="-12"/>
                <w:kern w:val="0"/>
                <w:sz w:val="18"/>
                <w:szCs w:val="18"/>
                <w:highlight w:val="none"/>
              </w:rPr>
            </w:pPr>
            <w:r>
              <w:rPr>
                <w:rFonts w:hint="eastAsia" w:ascii="宋体" w:hAnsi="宋体" w:cs="宋体"/>
                <w:color w:val="auto"/>
                <w:spacing w:val="-12"/>
                <w:kern w:val="0"/>
                <w:sz w:val="18"/>
                <w:szCs w:val="18"/>
                <w:highlight w:val="none"/>
              </w:rPr>
              <w:t>软件和信息技术服</w:t>
            </w:r>
            <w:r>
              <w:rPr>
                <w:rFonts w:hint="eastAsia" w:ascii="宋体" w:hAnsi="宋体" w:cs="宋体"/>
                <w:color w:val="auto"/>
                <w:kern w:val="0"/>
                <w:sz w:val="18"/>
                <w:szCs w:val="18"/>
                <w:highlight w:val="none"/>
              </w:rPr>
              <w:t>务业</w:t>
            </w:r>
          </w:p>
        </w:tc>
        <w:tc>
          <w:tcPr>
            <w:tcW w:w="1369" w:type="dxa"/>
            <w:vAlign w:val="center"/>
          </w:tcPr>
          <w:p w14:paraId="5FB31D7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0EC1D10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59CE671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5B1E43DE">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vAlign w:val="center"/>
          </w:tcPr>
          <w:p w14:paraId="769DD2C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14:paraId="2BE459B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33E43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4239EB5D">
            <w:pPr>
              <w:widowControl/>
              <w:spacing w:line="280" w:lineRule="exact"/>
              <w:jc w:val="left"/>
              <w:rPr>
                <w:rFonts w:ascii="宋体" w:hAnsi="宋体" w:cs="宋体"/>
                <w:color w:val="auto"/>
                <w:spacing w:val="-12"/>
                <w:kern w:val="0"/>
                <w:sz w:val="18"/>
                <w:szCs w:val="18"/>
                <w:highlight w:val="none"/>
              </w:rPr>
            </w:pPr>
          </w:p>
        </w:tc>
        <w:tc>
          <w:tcPr>
            <w:tcW w:w="1369" w:type="dxa"/>
            <w:vAlign w:val="center"/>
          </w:tcPr>
          <w:p w14:paraId="6377032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0F8280A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44995BD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vAlign w:val="center"/>
          </w:tcPr>
          <w:p w14:paraId="4AAB429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426" w:type="dxa"/>
            <w:vAlign w:val="center"/>
          </w:tcPr>
          <w:p w14:paraId="1BD3E0A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992" w:type="dxa"/>
            <w:vAlign w:val="center"/>
          </w:tcPr>
          <w:p w14:paraId="5079E64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7E3F6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1596AEA4">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房地产开发经营</w:t>
            </w:r>
          </w:p>
        </w:tc>
        <w:tc>
          <w:tcPr>
            <w:tcW w:w="1369" w:type="dxa"/>
            <w:vAlign w:val="center"/>
          </w:tcPr>
          <w:p w14:paraId="3E18217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2A2740C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7A43C08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Y≥200000</w:t>
            </w:r>
          </w:p>
        </w:tc>
        <w:tc>
          <w:tcPr>
            <w:tcW w:w="1701" w:type="dxa"/>
            <w:vAlign w:val="center"/>
          </w:tcPr>
          <w:p w14:paraId="55B684A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1426" w:type="dxa"/>
            <w:vAlign w:val="center"/>
          </w:tcPr>
          <w:p w14:paraId="306DFA4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vAlign w:val="center"/>
          </w:tcPr>
          <w:p w14:paraId="739A6E3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8F29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5B2C278A">
            <w:pPr>
              <w:widowControl/>
              <w:spacing w:line="280" w:lineRule="exact"/>
              <w:jc w:val="left"/>
              <w:rPr>
                <w:rFonts w:ascii="宋体" w:hAnsi="宋体" w:cs="宋体"/>
                <w:color w:val="auto"/>
                <w:kern w:val="0"/>
                <w:sz w:val="18"/>
                <w:szCs w:val="18"/>
                <w:highlight w:val="none"/>
              </w:rPr>
            </w:pPr>
          </w:p>
        </w:tc>
        <w:tc>
          <w:tcPr>
            <w:tcW w:w="1369" w:type="dxa"/>
            <w:vAlign w:val="center"/>
          </w:tcPr>
          <w:p w14:paraId="4971163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vAlign w:val="center"/>
          </w:tcPr>
          <w:p w14:paraId="4FD081E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4B2B2F9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Z≥10000</w:t>
            </w:r>
          </w:p>
        </w:tc>
        <w:tc>
          <w:tcPr>
            <w:tcW w:w="1701" w:type="dxa"/>
            <w:vAlign w:val="center"/>
          </w:tcPr>
          <w:p w14:paraId="69A4BB0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426" w:type="dxa"/>
            <w:vAlign w:val="center"/>
          </w:tcPr>
          <w:p w14:paraId="28230C2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2000≤Z＜5000</w:t>
            </w:r>
          </w:p>
        </w:tc>
        <w:tc>
          <w:tcPr>
            <w:tcW w:w="992" w:type="dxa"/>
            <w:vAlign w:val="center"/>
          </w:tcPr>
          <w:p w14:paraId="741D569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Z＜2000</w:t>
            </w:r>
          </w:p>
        </w:tc>
      </w:tr>
      <w:tr w14:paraId="217FC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5AE333DD">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物业管理</w:t>
            </w:r>
          </w:p>
        </w:tc>
        <w:tc>
          <w:tcPr>
            <w:tcW w:w="1369" w:type="dxa"/>
            <w:vAlign w:val="center"/>
          </w:tcPr>
          <w:p w14:paraId="2E6ADA0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53427D7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73BCE76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14:paraId="1EE549C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14:paraId="5F35D69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992" w:type="dxa"/>
            <w:vAlign w:val="center"/>
          </w:tcPr>
          <w:p w14:paraId="168B8C8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3464F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7F2D2AEA">
            <w:pPr>
              <w:widowControl/>
              <w:spacing w:line="280" w:lineRule="exact"/>
              <w:jc w:val="left"/>
              <w:rPr>
                <w:rFonts w:ascii="宋体" w:hAnsi="宋体" w:cs="宋体"/>
                <w:color w:val="auto"/>
                <w:kern w:val="0"/>
                <w:sz w:val="18"/>
                <w:szCs w:val="18"/>
                <w:highlight w:val="none"/>
              </w:rPr>
            </w:pPr>
          </w:p>
        </w:tc>
        <w:tc>
          <w:tcPr>
            <w:tcW w:w="1369" w:type="dxa"/>
            <w:vAlign w:val="center"/>
          </w:tcPr>
          <w:p w14:paraId="5D44B57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5183B6B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62EC455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Y≥5000</w:t>
            </w:r>
          </w:p>
        </w:tc>
        <w:tc>
          <w:tcPr>
            <w:tcW w:w="1701" w:type="dxa"/>
            <w:vAlign w:val="center"/>
          </w:tcPr>
          <w:p w14:paraId="592C360F">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426" w:type="dxa"/>
            <w:vAlign w:val="center"/>
          </w:tcPr>
          <w:p w14:paraId="30BC19B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992" w:type="dxa"/>
            <w:vAlign w:val="center"/>
          </w:tcPr>
          <w:p w14:paraId="1C119ED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14:paraId="1C48D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3349614D">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租赁和商务服务业</w:t>
            </w:r>
          </w:p>
        </w:tc>
        <w:tc>
          <w:tcPr>
            <w:tcW w:w="1369" w:type="dxa"/>
            <w:vAlign w:val="center"/>
          </w:tcPr>
          <w:p w14:paraId="5CF6E11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36EBDE4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278290C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2B83F1A9">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vAlign w:val="center"/>
          </w:tcPr>
          <w:p w14:paraId="5CCFF87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14:paraId="7689752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71028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5AB03451">
            <w:pPr>
              <w:widowControl/>
              <w:spacing w:line="280" w:lineRule="exact"/>
              <w:jc w:val="left"/>
              <w:rPr>
                <w:rFonts w:ascii="宋体" w:hAnsi="宋体" w:cs="宋体"/>
                <w:color w:val="auto"/>
                <w:kern w:val="0"/>
                <w:sz w:val="18"/>
                <w:szCs w:val="18"/>
                <w:highlight w:val="none"/>
              </w:rPr>
            </w:pPr>
          </w:p>
        </w:tc>
        <w:tc>
          <w:tcPr>
            <w:tcW w:w="1369" w:type="dxa"/>
            <w:vAlign w:val="center"/>
          </w:tcPr>
          <w:p w14:paraId="26A118D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vAlign w:val="center"/>
          </w:tcPr>
          <w:p w14:paraId="0B187CD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1258146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Z≥120000</w:t>
            </w:r>
          </w:p>
        </w:tc>
        <w:tc>
          <w:tcPr>
            <w:tcW w:w="1701" w:type="dxa"/>
            <w:vAlign w:val="center"/>
          </w:tcPr>
          <w:p w14:paraId="53F3D62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1426" w:type="dxa"/>
            <w:vAlign w:val="center"/>
          </w:tcPr>
          <w:p w14:paraId="7D55992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992" w:type="dxa"/>
            <w:vAlign w:val="center"/>
          </w:tcPr>
          <w:p w14:paraId="09983EF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Z＜100</w:t>
            </w:r>
          </w:p>
        </w:tc>
      </w:tr>
      <w:tr w14:paraId="10F7F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135D57E2">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其他未列明行业 *</w:t>
            </w:r>
          </w:p>
        </w:tc>
        <w:tc>
          <w:tcPr>
            <w:tcW w:w="1369" w:type="dxa"/>
            <w:vAlign w:val="center"/>
          </w:tcPr>
          <w:p w14:paraId="185EC15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2126DBC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297248F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41784363">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vAlign w:val="center"/>
          </w:tcPr>
          <w:p w14:paraId="5443048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14:paraId="7079AF1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14:paraId="366B4496">
      <w:pPr>
        <w:widowControl/>
        <w:spacing w:line="280" w:lineRule="exact"/>
        <w:rPr>
          <w:rFonts w:ascii="宋体" w:hAnsi="宋体" w:cs="宋体"/>
          <w:color w:val="auto"/>
          <w:spacing w:val="8"/>
          <w:kern w:val="0"/>
          <w:sz w:val="24"/>
          <w:highlight w:val="none"/>
        </w:rPr>
      </w:pPr>
    </w:p>
    <w:p w14:paraId="4AE7F39A">
      <w:pPr>
        <w:widowControl/>
        <w:spacing w:line="360" w:lineRule="auto"/>
        <w:rPr>
          <w:rFonts w:asciiTheme="minorEastAsia" w:hAnsiTheme="minorEastAsia" w:cstheme="minorEastAsia"/>
          <w:color w:val="auto"/>
          <w:spacing w:val="8"/>
          <w:kern w:val="0"/>
          <w:szCs w:val="21"/>
          <w:highlight w:val="none"/>
        </w:rPr>
      </w:pPr>
      <w:r>
        <w:rPr>
          <w:rFonts w:hint="eastAsia" w:asciiTheme="minorEastAsia" w:hAnsiTheme="minorEastAsia" w:cstheme="minorEastAsia"/>
          <w:color w:val="auto"/>
          <w:spacing w:val="8"/>
          <w:kern w:val="0"/>
          <w:szCs w:val="21"/>
          <w:highlight w:val="none"/>
        </w:rPr>
        <w:t>说明：</w:t>
      </w:r>
    </w:p>
    <w:p w14:paraId="29F1A364">
      <w:pPr>
        <w:pStyle w:val="18"/>
        <w:adjustRightInd w:val="0"/>
        <w:spacing w:line="360" w:lineRule="auto"/>
        <w:ind w:firstLine="452" w:firstLineChars="200"/>
        <w:contextualSpacing/>
        <w:rPr>
          <w:rFonts w:asciiTheme="minorEastAsia" w:hAnsiTheme="minorEastAsia" w:eastAsiaTheme="minorEastAsia" w:cstheme="minorEastAsia"/>
          <w:color w:val="auto"/>
          <w:spacing w:val="8"/>
          <w:sz w:val="21"/>
          <w:highlight w:val="none"/>
        </w:rPr>
      </w:pPr>
      <w:r>
        <w:rPr>
          <w:rFonts w:hint="eastAsia" w:asciiTheme="minorEastAsia" w:hAnsiTheme="minorEastAsia" w:eastAsiaTheme="minorEastAsia" w:cstheme="minorEastAsia"/>
          <w:color w:val="auto"/>
          <w:spacing w:val="8"/>
          <w:sz w:val="21"/>
          <w:highlight w:val="none"/>
        </w:rPr>
        <w:t>1.大型、中型和小型企业须同时满足所列指标的下限，否则下划一档；微型企业只须满足所列指标中的一项即可。</w:t>
      </w:r>
    </w:p>
    <w:p w14:paraId="0805394F">
      <w:pPr>
        <w:pStyle w:val="18"/>
        <w:adjustRightInd w:val="0"/>
        <w:spacing w:line="360" w:lineRule="auto"/>
        <w:ind w:firstLine="452" w:firstLineChars="200"/>
        <w:contextualSpacing/>
        <w:rPr>
          <w:rFonts w:asciiTheme="minorEastAsia" w:hAnsiTheme="minorEastAsia" w:eastAsiaTheme="minorEastAsia" w:cstheme="minorEastAsia"/>
          <w:color w:val="auto"/>
          <w:spacing w:val="8"/>
          <w:sz w:val="21"/>
          <w:highlight w:val="none"/>
        </w:rPr>
      </w:pPr>
      <w:r>
        <w:rPr>
          <w:rFonts w:hint="eastAsia" w:asciiTheme="minorEastAsia" w:hAnsiTheme="minorEastAsia" w:eastAsiaTheme="minorEastAsia" w:cstheme="minorEastAsia"/>
          <w:color w:val="auto"/>
          <w:spacing w:val="8"/>
          <w:sz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32400D50">
      <w:pPr>
        <w:pStyle w:val="18"/>
        <w:spacing w:line="360" w:lineRule="auto"/>
        <w:ind w:firstLine="452" w:firstLineChars="200"/>
        <w:rPr>
          <w:rFonts w:asciiTheme="minorEastAsia" w:hAnsiTheme="minorEastAsia" w:eastAsiaTheme="minorEastAsia" w:cstheme="minorEastAsia"/>
          <w:color w:val="auto"/>
          <w:spacing w:val="8"/>
          <w:sz w:val="21"/>
          <w:highlight w:val="none"/>
        </w:rPr>
      </w:pPr>
      <w:r>
        <w:rPr>
          <w:rFonts w:hint="eastAsia" w:asciiTheme="minorEastAsia" w:hAnsiTheme="minorEastAsia" w:eastAsiaTheme="minorEastAsia" w:cstheme="minorEastAsia"/>
          <w:color w:val="auto"/>
          <w:spacing w:val="8"/>
          <w:sz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7049C50D">
      <w:pPr>
        <w:keepNext/>
        <w:keepLines/>
        <w:pageBreakBefore w:val="0"/>
        <w:widowControl w:val="0"/>
        <w:kinsoku/>
        <w:wordWrap/>
        <w:overflowPunct/>
        <w:topLinePunct w:val="0"/>
        <w:autoSpaceDE/>
        <w:autoSpaceDN/>
        <w:bidi w:val="0"/>
        <w:adjustRightInd/>
        <w:snapToGrid/>
        <w:spacing w:before="340" w:after="330" w:line="240" w:lineRule="auto"/>
        <w:jc w:val="center"/>
        <w:textAlignment w:val="auto"/>
        <w:outlineLvl w:val="0"/>
        <w:rPr>
          <w:rFonts w:ascii="Times New Roman" w:hAnsi="Times New Roman" w:eastAsia="宋体" w:cs="Times New Roman"/>
          <w:b/>
          <w:bCs/>
          <w:color w:val="auto"/>
          <w:kern w:val="44"/>
          <w:sz w:val="44"/>
          <w:szCs w:val="44"/>
          <w:highlight w:val="none"/>
          <w:lang w:val="zh-CN"/>
        </w:rPr>
      </w:pPr>
      <w:r>
        <w:rPr>
          <w:rFonts w:hint="eastAsia" w:asciiTheme="minorEastAsia" w:hAnsiTheme="minorEastAsia" w:cstheme="minorEastAsia"/>
          <w:color w:val="auto"/>
          <w:szCs w:val="21"/>
          <w:highlight w:val="none"/>
        </w:rPr>
        <w:br w:type="page"/>
      </w:r>
      <w:bookmarkStart w:id="57" w:name="_Toc2044"/>
      <w:bookmarkStart w:id="58" w:name="_Toc1222"/>
      <w:bookmarkStart w:id="59" w:name="_Toc16363"/>
      <w:bookmarkStart w:id="60" w:name="_Toc382"/>
      <w:bookmarkStart w:id="61" w:name="_Toc9409"/>
      <w:bookmarkStart w:id="62" w:name="_Toc25569"/>
      <w:bookmarkStart w:id="63" w:name="_Toc10873"/>
      <w:r>
        <w:rPr>
          <w:rFonts w:hint="eastAsia" w:ascii="Cambria" w:hAnsi="Cambria" w:eastAsia="宋体" w:cs="Times New Roman"/>
          <w:b/>
          <w:color w:val="auto"/>
          <w:kern w:val="44"/>
          <w:sz w:val="32"/>
          <w:szCs w:val="32"/>
          <w:highlight w:val="none"/>
          <w:lang w:val="zh-CN"/>
        </w:rPr>
        <w:t>第三章 供应商须知</w:t>
      </w:r>
      <w:bookmarkEnd w:id="55"/>
      <w:bookmarkEnd w:id="56"/>
      <w:bookmarkEnd w:id="57"/>
      <w:bookmarkEnd w:id="58"/>
      <w:bookmarkEnd w:id="59"/>
      <w:bookmarkEnd w:id="60"/>
      <w:bookmarkEnd w:id="61"/>
      <w:bookmarkEnd w:id="62"/>
      <w:bookmarkEnd w:id="63"/>
    </w:p>
    <w:p w14:paraId="5EB5BE7D">
      <w:pPr>
        <w:keepNext/>
        <w:keepLines/>
        <w:pageBreakBefore w:val="0"/>
        <w:widowControl w:val="0"/>
        <w:kinsoku/>
        <w:wordWrap/>
        <w:overflowPunct/>
        <w:topLinePunct w:val="0"/>
        <w:autoSpaceDE/>
        <w:autoSpaceDN/>
        <w:bidi w:val="0"/>
        <w:adjustRightInd/>
        <w:snapToGrid/>
        <w:spacing w:before="260" w:after="260" w:line="240" w:lineRule="auto"/>
        <w:jc w:val="center"/>
        <w:textAlignment w:val="auto"/>
        <w:outlineLvl w:val="1"/>
        <w:rPr>
          <w:rFonts w:ascii="宋体" w:hAnsi="宋体" w:eastAsia="宋体" w:cs="Times New Roman"/>
          <w:bCs/>
          <w:color w:val="auto"/>
          <w:sz w:val="32"/>
          <w:szCs w:val="32"/>
          <w:highlight w:val="none"/>
          <w:lang w:val="zh-CN"/>
        </w:rPr>
      </w:pPr>
      <w:bookmarkStart w:id="64" w:name="_Toc28658"/>
      <w:bookmarkStart w:id="65" w:name="_Toc80205923"/>
      <w:bookmarkStart w:id="66" w:name="_Toc10590"/>
      <w:r>
        <w:rPr>
          <w:rFonts w:hint="eastAsia" w:ascii="宋体" w:hAnsi="宋体" w:eastAsia="宋体" w:cs="Times New Roman"/>
          <w:bCs/>
          <w:color w:val="auto"/>
          <w:sz w:val="32"/>
          <w:szCs w:val="32"/>
          <w:highlight w:val="none"/>
          <w:lang w:val="zh-CN"/>
        </w:rPr>
        <w:t>第一节 供应商须知前附表</w:t>
      </w:r>
      <w:bookmarkEnd w:id="64"/>
      <w:bookmarkEnd w:id="65"/>
      <w:bookmarkEnd w:id="66"/>
    </w:p>
    <w:tbl>
      <w:tblPr>
        <w:tblStyle w:val="29"/>
        <w:tblW w:w="99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2382"/>
        <w:gridCol w:w="6586"/>
      </w:tblGrid>
      <w:tr w14:paraId="041C1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92" w:type="dxa"/>
          </w:tcPr>
          <w:p w14:paraId="104644A9">
            <w:pPr>
              <w:keepNext w:val="0"/>
              <w:keepLines w:val="0"/>
              <w:pageBreakBefore w:val="0"/>
              <w:widowControl w:val="0"/>
              <w:kinsoku/>
              <w:wordWrap/>
              <w:overflowPunct/>
              <w:topLinePunct w:val="0"/>
              <w:bidi w:val="0"/>
              <w:adjustRightInd/>
              <w:spacing w:line="380" w:lineRule="exact"/>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条款号</w:t>
            </w:r>
          </w:p>
        </w:tc>
        <w:tc>
          <w:tcPr>
            <w:tcW w:w="2382" w:type="dxa"/>
            <w:vAlign w:val="center"/>
          </w:tcPr>
          <w:p w14:paraId="16B22580">
            <w:pPr>
              <w:keepNext w:val="0"/>
              <w:keepLines w:val="0"/>
              <w:pageBreakBefore w:val="0"/>
              <w:widowControl w:val="0"/>
              <w:kinsoku/>
              <w:wordWrap/>
              <w:overflowPunct/>
              <w:topLinePunct w:val="0"/>
              <w:bidi w:val="0"/>
              <w:adjustRightInd/>
              <w:spacing w:line="380" w:lineRule="exact"/>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条款内容</w:t>
            </w:r>
          </w:p>
        </w:tc>
        <w:tc>
          <w:tcPr>
            <w:tcW w:w="6586" w:type="dxa"/>
          </w:tcPr>
          <w:p w14:paraId="579B4B72">
            <w:pPr>
              <w:keepNext w:val="0"/>
              <w:keepLines w:val="0"/>
              <w:pageBreakBefore w:val="0"/>
              <w:widowControl w:val="0"/>
              <w:kinsoku/>
              <w:wordWrap/>
              <w:overflowPunct/>
              <w:topLinePunct w:val="0"/>
              <w:bidi w:val="0"/>
              <w:adjustRightInd/>
              <w:spacing w:line="380" w:lineRule="exact"/>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具体要求</w:t>
            </w:r>
          </w:p>
        </w:tc>
      </w:tr>
      <w:tr w14:paraId="19508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92" w:type="dxa"/>
            <w:vAlign w:val="center"/>
          </w:tcPr>
          <w:p w14:paraId="11EED669">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3.1</w:t>
            </w:r>
          </w:p>
        </w:tc>
        <w:tc>
          <w:tcPr>
            <w:tcW w:w="2382" w:type="dxa"/>
            <w:vAlign w:val="center"/>
          </w:tcPr>
          <w:p w14:paraId="71096F9C">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供应商资格条件</w:t>
            </w:r>
          </w:p>
        </w:tc>
        <w:tc>
          <w:tcPr>
            <w:tcW w:w="6586" w:type="dxa"/>
          </w:tcPr>
          <w:p w14:paraId="18EC5FAB">
            <w:pPr>
              <w:keepNext w:val="0"/>
              <w:keepLines w:val="0"/>
              <w:pageBreakBefore w:val="0"/>
              <w:widowControl w:val="0"/>
              <w:kinsoku/>
              <w:wordWrap/>
              <w:overflowPunct/>
              <w:topLinePunct w:val="0"/>
              <w:bidi w:val="0"/>
              <w:adjustRightInd/>
              <w:spacing w:line="380" w:lineRule="exact"/>
              <w:rPr>
                <w:rFonts w:ascii="宋体" w:hAnsi="宋体" w:eastAsia="宋体" w:cs="宋体"/>
                <w:b/>
                <w:color w:val="auto"/>
                <w:szCs w:val="21"/>
                <w:highlight w:val="none"/>
              </w:rPr>
            </w:pPr>
            <w:r>
              <w:rPr>
                <w:rFonts w:hint="eastAsia" w:ascii="宋体" w:hAnsi="宋体" w:eastAsia="宋体" w:cs="Times New Roman"/>
                <w:color w:val="auto"/>
                <w:szCs w:val="21"/>
                <w:highlight w:val="none"/>
              </w:rPr>
              <w:t xml:space="preserve">供应商资格条件要求详见竞争性谈判公告。 </w:t>
            </w:r>
          </w:p>
        </w:tc>
      </w:tr>
      <w:tr w14:paraId="1198A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B37BE5F">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2382" w:type="dxa"/>
            <w:vAlign w:val="center"/>
          </w:tcPr>
          <w:p w14:paraId="2E53BE16">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是否接受联合体竞标</w:t>
            </w:r>
          </w:p>
        </w:tc>
        <w:tc>
          <w:tcPr>
            <w:tcW w:w="6586" w:type="dxa"/>
            <w:vAlign w:val="center"/>
          </w:tcPr>
          <w:p w14:paraId="49DE5216">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bookmarkStart w:id="67" w:name="PO_3000001871_PM007_1"/>
            <w:r>
              <w:rPr>
                <w:rFonts w:hint="eastAsia" w:ascii="宋体" w:hAnsi="宋体" w:eastAsia="宋体" w:cs="Times New Roman"/>
                <w:color w:val="auto"/>
                <w:szCs w:val="21"/>
                <w:highlight w:val="none"/>
              </w:rPr>
              <w:t>详见竞争性谈判公告</w:t>
            </w:r>
            <w:bookmarkEnd w:id="67"/>
            <w:r>
              <w:rPr>
                <w:rFonts w:hint="eastAsia" w:ascii="宋体" w:hAnsi="宋体" w:eastAsia="宋体" w:cs="Times New Roman"/>
                <w:color w:val="auto"/>
                <w:szCs w:val="21"/>
                <w:highlight w:val="none"/>
              </w:rPr>
              <w:t>。</w:t>
            </w:r>
          </w:p>
        </w:tc>
      </w:tr>
      <w:tr w14:paraId="0EA9E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BAB4035">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5</w:t>
            </w:r>
            <w:r>
              <w:rPr>
                <w:rFonts w:ascii="宋体" w:hAnsi="宋体" w:eastAsia="宋体" w:cs="宋体"/>
                <w:color w:val="auto"/>
                <w:szCs w:val="21"/>
                <w:highlight w:val="none"/>
              </w:rPr>
              <w:t>.2</w:t>
            </w:r>
          </w:p>
        </w:tc>
        <w:tc>
          <w:tcPr>
            <w:tcW w:w="2382" w:type="dxa"/>
            <w:vAlign w:val="center"/>
          </w:tcPr>
          <w:p w14:paraId="75A2635F">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Times New Roman"/>
                <w:color w:val="auto"/>
                <w:szCs w:val="21"/>
                <w:highlight w:val="none"/>
              </w:rPr>
              <w:t>联合体竞标要求</w:t>
            </w:r>
          </w:p>
        </w:tc>
        <w:tc>
          <w:tcPr>
            <w:tcW w:w="6586" w:type="dxa"/>
            <w:vAlign w:val="center"/>
          </w:tcPr>
          <w:p w14:paraId="12656B4D">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无</w:t>
            </w:r>
          </w:p>
        </w:tc>
      </w:tr>
      <w:tr w14:paraId="2EFA7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D24D037">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6.1</w:t>
            </w:r>
          </w:p>
        </w:tc>
        <w:tc>
          <w:tcPr>
            <w:tcW w:w="2382" w:type="dxa"/>
            <w:vAlign w:val="center"/>
          </w:tcPr>
          <w:p w14:paraId="2F7CD91F">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是否允许分包</w:t>
            </w:r>
          </w:p>
        </w:tc>
        <w:tc>
          <w:tcPr>
            <w:tcW w:w="6586" w:type="dxa"/>
            <w:vAlign w:val="center"/>
          </w:tcPr>
          <w:p w14:paraId="150A12D3">
            <w:pPr>
              <w:keepNext w:val="0"/>
              <w:keepLines w:val="0"/>
              <w:pageBreakBefore w:val="0"/>
              <w:widowControl w:val="0"/>
              <w:kinsoku/>
              <w:wordWrap/>
              <w:overflowPunct/>
              <w:topLinePunct w:val="0"/>
              <w:bidi w:val="0"/>
              <w:adjustRightInd/>
              <w:spacing w:line="380" w:lineRule="exact"/>
              <w:jc w:val="left"/>
              <w:rPr>
                <w:rFonts w:ascii="宋体" w:hAnsi="宋体" w:eastAsia="宋体" w:cs="Times New Roman"/>
                <w:color w:val="auto"/>
                <w:szCs w:val="21"/>
                <w:highlight w:val="none"/>
              </w:rPr>
            </w:pPr>
            <w:bookmarkStart w:id="68" w:name="PO_3000001871_PM044"/>
            <w:r>
              <w:rPr>
                <w:rFonts w:hint="eastAsia"/>
                <w:color w:val="auto"/>
                <w:highlight w:val="none"/>
              </w:rPr>
              <w:t>☑</w:t>
            </w:r>
            <w:r>
              <w:rPr>
                <w:rFonts w:hint="eastAsia" w:ascii="宋体" w:hAnsi="宋体" w:eastAsia="宋体" w:cs="Times New Roman"/>
                <w:color w:val="auto"/>
                <w:szCs w:val="21"/>
                <w:highlight w:val="none"/>
              </w:rPr>
              <w:t>不允许分包</w:t>
            </w:r>
            <w:bookmarkEnd w:id="68"/>
          </w:p>
          <w:p w14:paraId="61E05189">
            <w:pPr>
              <w:pStyle w:val="11"/>
              <w:keepNext w:val="0"/>
              <w:keepLines w:val="0"/>
              <w:pageBreakBefore w:val="0"/>
              <w:widowControl w:val="0"/>
              <w:kinsoku/>
              <w:wordWrap/>
              <w:overflowPunct/>
              <w:topLinePunct w:val="0"/>
              <w:bidi w:val="0"/>
              <w:adjustRightInd/>
              <w:spacing w:line="380" w:lineRule="exact"/>
              <w:rPr>
                <w:color w:val="auto"/>
                <w:highlight w:val="none"/>
                <w:lang w:val="en-US"/>
              </w:rPr>
            </w:pPr>
            <w:r>
              <w:rPr>
                <w:rFonts w:hint="eastAsia"/>
                <w:color w:val="auto"/>
                <w:highlight w:val="none"/>
                <w:lang w:val="en-US"/>
              </w:rPr>
              <w:t>□允许分包</w:t>
            </w:r>
          </w:p>
          <w:p w14:paraId="14E35F26">
            <w:pPr>
              <w:keepNext w:val="0"/>
              <w:keepLines w:val="0"/>
              <w:pageBreakBefore w:val="0"/>
              <w:widowControl w:val="0"/>
              <w:kinsoku/>
              <w:wordWrap/>
              <w:overflowPunct/>
              <w:topLinePunct w:val="0"/>
              <w:bidi w:val="0"/>
              <w:adjustRightInd/>
              <w:spacing w:line="380" w:lineRule="exact"/>
              <w:jc w:val="left"/>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rPr>
              <w:t>分包内容：</w:t>
            </w:r>
            <w:r>
              <w:rPr>
                <w:rFonts w:hint="eastAsia" w:ascii="宋体" w:hAnsi="宋体" w:eastAsia="宋体" w:cs="Times New Roman"/>
                <w:color w:val="auto"/>
                <w:szCs w:val="21"/>
                <w:highlight w:val="none"/>
                <w:u w:val="single"/>
              </w:rPr>
              <w:t xml:space="preserve">                                     。</w:t>
            </w:r>
          </w:p>
          <w:p w14:paraId="650A3E89">
            <w:pPr>
              <w:keepNext w:val="0"/>
              <w:keepLines w:val="0"/>
              <w:pageBreakBefore w:val="0"/>
              <w:widowControl w:val="0"/>
              <w:kinsoku/>
              <w:wordWrap/>
              <w:overflowPunct/>
              <w:topLinePunct w:val="0"/>
              <w:bidi w:val="0"/>
              <w:adjustRightInd/>
              <w:spacing w:line="380" w:lineRule="exact"/>
              <w:jc w:val="left"/>
              <w:rPr>
                <w:rFonts w:ascii="宋体" w:hAnsi="宋体" w:eastAsia="宋体" w:cs="宋体"/>
                <w:color w:val="auto"/>
                <w:szCs w:val="21"/>
                <w:highlight w:val="none"/>
              </w:rPr>
            </w:pPr>
            <w:r>
              <w:rPr>
                <w:rFonts w:hint="eastAsia" w:ascii="宋体" w:hAnsi="宋体" w:eastAsia="宋体" w:cs="Times New Roman"/>
                <w:color w:val="auto"/>
                <w:szCs w:val="21"/>
                <w:highlight w:val="none"/>
              </w:rPr>
              <w:t>分包金额或者比例：</w:t>
            </w:r>
            <w:r>
              <w:rPr>
                <w:rFonts w:hint="eastAsia" w:ascii="宋体" w:hAnsi="宋体" w:eastAsia="宋体" w:cs="Times New Roman"/>
                <w:color w:val="auto"/>
                <w:szCs w:val="21"/>
                <w:highlight w:val="none"/>
                <w:u w:val="single"/>
              </w:rPr>
              <w:t xml:space="preserve">                                     。</w:t>
            </w:r>
          </w:p>
        </w:tc>
      </w:tr>
      <w:tr w14:paraId="6D0E2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91EBA74">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12.1.</w:t>
            </w:r>
            <w:r>
              <w:rPr>
                <w:rFonts w:ascii="宋体" w:hAnsi="宋体" w:eastAsia="宋体" w:cs="宋体"/>
                <w:color w:val="auto"/>
                <w:szCs w:val="21"/>
                <w:highlight w:val="none"/>
              </w:rPr>
              <w:t>1</w:t>
            </w:r>
          </w:p>
        </w:tc>
        <w:tc>
          <w:tcPr>
            <w:tcW w:w="2382" w:type="dxa"/>
            <w:vAlign w:val="center"/>
          </w:tcPr>
          <w:p w14:paraId="63F6A564">
            <w:pPr>
              <w:keepNext w:val="0"/>
              <w:keepLines w:val="0"/>
              <w:pageBreakBefore w:val="0"/>
              <w:widowControl w:val="0"/>
              <w:kinsoku/>
              <w:wordWrap/>
              <w:overflowPunct/>
              <w:topLinePunct w:val="0"/>
              <w:bidi w:val="0"/>
              <w:adjustRightInd/>
              <w:snapToGrid w:val="0"/>
              <w:spacing w:line="380" w:lineRule="exact"/>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资格证明文件组成</w:t>
            </w:r>
          </w:p>
          <w:p w14:paraId="17354BA5">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6586" w:type="dxa"/>
            <w:vAlign w:val="center"/>
          </w:tcPr>
          <w:p w14:paraId="7932FC30">
            <w:pPr>
              <w:keepNext w:val="0"/>
              <w:keepLines w:val="0"/>
              <w:pageBreakBefore w:val="0"/>
              <w:widowControl w:val="0"/>
              <w:kinsoku/>
              <w:wordWrap/>
              <w:overflowPunct/>
              <w:topLinePunct w:val="0"/>
              <w:bidi w:val="0"/>
              <w:adjustRightInd/>
              <w:spacing w:line="380" w:lineRule="exact"/>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1.供应商为法人或者其他组织的提供其营业执照等证明文件复印件（如营业执照或者事业单位法人证书或者执业许可证等），供应商为自然人的提供其有效身份证</w:t>
            </w:r>
            <w:r>
              <w:rPr>
                <w:rFonts w:hint="eastAsia" w:cs="宋体"/>
                <w:color w:val="auto"/>
                <w:szCs w:val="21"/>
                <w:highlight w:val="none"/>
              </w:rPr>
              <w:t>正反面</w:t>
            </w:r>
            <w:r>
              <w:rPr>
                <w:rFonts w:hint="eastAsia" w:ascii="宋体" w:hAnsi="宋体" w:eastAsia="宋体" w:cs="宋体"/>
                <w:color w:val="auto"/>
                <w:szCs w:val="21"/>
                <w:highlight w:val="none"/>
              </w:rPr>
              <w:t>复印件；（</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14:paraId="65FA894C">
            <w:pPr>
              <w:keepNext w:val="0"/>
              <w:keepLines w:val="0"/>
              <w:pageBreakBefore w:val="0"/>
              <w:widowControl w:val="0"/>
              <w:kinsoku/>
              <w:wordWrap/>
              <w:overflowPunct/>
              <w:topLinePunct w:val="0"/>
              <w:bidi w:val="0"/>
              <w:adjustRightInd/>
              <w:snapToGrid w:val="0"/>
              <w:spacing w:line="380" w:lineRule="exact"/>
              <w:jc w:val="left"/>
              <w:rPr>
                <w:rFonts w:ascii="宋体" w:hAnsi="宋体" w:cs="宋体"/>
                <w:color w:val="auto"/>
                <w:szCs w:val="21"/>
                <w:highlight w:val="none"/>
              </w:rPr>
            </w:pPr>
            <w:bookmarkStart w:id="69" w:name="OLE_LINK8"/>
            <w:r>
              <w:rPr>
                <w:rFonts w:hint="eastAsia" w:ascii="宋体" w:hAnsi="宋体" w:cs="宋体"/>
                <w:color w:val="auto"/>
                <w:szCs w:val="21"/>
                <w:highlight w:val="none"/>
              </w:rPr>
              <w:t>2.供应商依法缴纳税收的相关材料（提供税款所属时期为</w:t>
            </w:r>
            <w:r>
              <w:rPr>
                <w:rFonts w:hint="eastAsia" w:ascii="宋体" w:hAnsi="宋体" w:eastAsia="宋体" w:cs="宋体"/>
                <w:color w:val="auto"/>
                <w:szCs w:val="21"/>
                <w:highlight w:val="none"/>
                <w:u w:val="single"/>
              </w:rPr>
              <w:t>202</w:t>
            </w:r>
            <w:r>
              <w:rPr>
                <w:rFonts w:hint="eastAsia" w:ascii="宋体" w:hAnsi="宋体" w:eastAsia="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lang w:val="en-US" w:eastAsia="zh-CN"/>
              </w:rPr>
              <w:t>3</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月至首次响应文件提交截止时间止</w:t>
            </w:r>
            <w:r>
              <w:rPr>
                <w:rFonts w:hint="eastAsia" w:ascii="宋体" w:hAnsi="宋体" w:cs="宋体"/>
                <w:color w:val="auto"/>
                <w:szCs w:val="21"/>
                <w:highlight w:val="none"/>
              </w:rPr>
              <w:t>的</w:t>
            </w:r>
            <w:r>
              <w:rPr>
                <w:rFonts w:hint="eastAsia" w:ascii="宋体" w:hAnsi="宋体" w:eastAsia="宋体" w:cs="宋体"/>
                <w:color w:val="auto"/>
                <w:szCs w:val="21"/>
                <w:highlight w:val="none"/>
              </w:rPr>
              <w:t>任意</w:t>
            </w:r>
            <w:r>
              <w:rPr>
                <w:rFonts w:hint="eastAsia" w:ascii="宋体" w:hAnsi="宋体" w:eastAsia="宋体" w:cs="宋体"/>
                <w:color w:val="auto"/>
                <w:szCs w:val="21"/>
                <w:highlight w:val="none"/>
                <w:u w:val="single"/>
              </w:rPr>
              <w:t xml:space="preserve"> 1 </w:t>
            </w:r>
            <w:r>
              <w:rPr>
                <w:rFonts w:hint="eastAsia" w:ascii="宋体" w:hAnsi="宋体" w:eastAsia="宋体" w:cs="宋体"/>
                <w:color w:val="auto"/>
                <w:szCs w:val="21"/>
                <w:highlight w:val="none"/>
              </w:rPr>
              <w:t>个月</w:t>
            </w:r>
            <w:r>
              <w:rPr>
                <w:rFonts w:hint="eastAsia" w:ascii="宋体" w:hAnsi="宋体" w:cs="宋体"/>
                <w:color w:val="auto"/>
                <w:szCs w:val="21"/>
                <w:highlight w:val="none"/>
              </w:rPr>
              <w:t>的依法缴纳税收的凭据复印件；</w:t>
            </w:r>
            <w:r>
              <w:rPr>
                <w:rFonts w:hint="eastAsia"/>
                <w:color w:val="auto"/>
                <w:highlight w:val="none"/>
              </w:rPr>
              <w:t>依法免税的</w:t>
            </w:r>
            <w:r>
              <w:rPr>
                <w:rFonts w:hint="eastAsia" w:ascii="宋体" w:hAnsi="宋体"/>
                <w:color w:val="auto"/>
                <w:szCs w:val="21"/>
                <w:highlight w:val="none"/>
              </w:rPr>
              <w:t>供应商</w:t>
            </w:r>
            <w:r>
              <w:rPr>
                <w:rFonts w:hint="eastAsia"/>
                <w:color w:val="auto"/>
                <w:highlight w:val="none"/>
              </w:rPr>
              <w:t>，必须提供相应文件证明其依法免税。</w:t>
            </w:r>
            <w:r>
              <w:rPr>
                <w:rFonts w:hint="eastAsia" w:ascii="宋体" w:hAnsi="宋体" w:cs="宋体"/>
                <w:color w:val="auto"/>
                <w:szCs w:val="21"/>
                <w:highlight w:val="none"/>
              </w:rPr>
              <w:t>从取得营业执照时间起到首次响应文件提交截止时间为止不足要求月数的，只需提供从取得营业执照起的依法缴纳税收</w:t>
            </w:r>
            <w:r>
              <w:rPr>
                <w:rFonts w:hint="eastAsia"/>
                <w:color w:val="auto"/>
                <w:highlight w:val="none"/>
              </w:rPr>
              <w:t>相应证明文件</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必须提供，否则响应文件作无效响应处理</w:t>
            </w:r>
            <w:r>
              <w:rPr>
                <w:rFonts w:hint="eastAsia" w:ascii="宋体" w:hAnsi="宋体" w:cs="宋体"/>
                <w:color w:val="auto"/>
                <w:szCs w:val="21"/>
                <w:highlight w:val="none"/>
              </w:rPr>
              <w:t>）</w:t>
            </w:r>
            <w:bookmarkEnd w:id="69"/>
          </w:p>
          <w:p w14:paraId="7595F547">
            <w:pPr>
              <w:keepNext w:val="0"/>
              <w:keepLines w:val="0"/>
              <w:pageBreakBefore w:val="0"/>
              <w:widowControl w:val="0"/>
              <w:kinsoku/>
              <w:wordWrap/>
              <w:overflowPunct/>
              <w:topLinePunct w:val="0"/>
              <w:bidi w:val="0"/>
              <w:adjustRightInd/>
              <w:snapToGrid w:val="0"/>
              <w:spacing w:line="380" w:lineRule="exact"/>
              <w:jc w:val="left"/>
              <w:rPr>
                <w:rFonts w:ascii="宋体" w:hAnsi="宋体" w:cs="宋体"/>
                <w:color w:val="auto"/>
                <w:szCs w:val="21"/>
                <w:highlight w:val="none"/>
              </w:rPr>
            </w:pPr>
            <w:bookmarkStart w:id="70" w:name="OLE_LINK9"/>
            <w:r>
              <w:rPr>
                <w:rFonts w:hint="eastAsia" w:ascii="宋体" w:hAnsi="宋体" w:cs="宋体"/>
                <w:color w:val="auto"/>
                <w:szCs w:val="21"/>
                <w:highlight w:val="none"/>
              </w:rPr>
              <w:t>3.供应商依法缴纳社会保障资金的相关材料（提供税款所属时期或缴费起始时间为</w:t>
            </w:r>
            <w:r>
              <w:rPr>
                <w:rFonts w:hint="eastAsia" w:ascii="宋体" w:hAnsi="宋体" w:eastAsia="宋体" w:cs="宋体"/>
                <w:color w:val="auto"/>
                <w:szCs w:val="21"/>
                <w:highlight w:val="none"/>
                <w:u w:val="single"/>
              </w:rPr>
              <w:t>202</w:t>
            </w:r>
            <w:r>
              <w:rPr>
                <w:rFonts w:hint="eastAsia" w:ascii="宋体" w:hAnsi="宋体" w:eastAsia="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lang w:val="en-US" w:eastAsia="zh-CN"/>
              </w:rPr>
              <w:t>3</w:t>
            </w:r>
            <w:r>
              <w:rPr>
                <w:rFonts w:hint="eastAsia" w:ascii="宋体" w:hAnsi="宋体" w:eastAsia="宋体" w:cs="宋体"/>
                <w:color w:val="auto"/>
                <w:szCs w:val="21"/>
                <w:highlight w:val="none"/>
              </w:rPr>
              <w:t>月至首次响应文件提交截止时间止</w:t>
            </w:r>
            <w:r>
              <w:rPr>
                <w:rFonts w:hint="eastAsia" w:ascii="宋体" w:hAnsi="宋体" w:cs="宋体"/>
                <w:color w:val="auto"/>
                <w:szCs w:val="21"/>
                <w:highlight w:val="none"/>
              </w:rPr>
              <w:t>的</w:t>
            </w:r>
            <w:r>
              <w:rPr>
                <w:rFonts w:hint="eastAsia" w:ascii="宋体" w:hAnsi="宋体" w:eastAsia="宋体" w:cs="宋体"/>
                <w:color w:val="auto"/>
                <w:szCs w:val="21"/>
                <w:highlight w:val="none"/>
              </w:rPr>
              <w:t>任意</w:t>
            </w:r>
            <w:r>
              <w:rPr>
                <w:rFonts w:hint="eastAsia" w:ascii="宋体" w:hAnsi="宋体" w:eastAsia="宋体" w:cs="宋体"/>
                <w:color w:val="auto"/>
                <w:szCs w:val="21"/>
                <w:highlight w:val="none"/>
                <w:u w:val="single"/>
              </w:rPr>
              <w:t xml:space="preserve"> 1  </w:t>
            </w:r>
            <w:r>
              <w:rPr>
                <w:rFonts w:hint="eastAsia" w:ascii="宋体" w:hAnsi="宋体" w:eastAsia="宋体" w:cs="宋体"/>
                <w:color w:val="auto"/>
                <w:szCs w:val="21"/>
                <w:highlight w:val="none"/>
              </w:rPr>
              <w:t>个月</w:t>
            </w:r>
            <w:r>
              <w:rPr>
                <w:rFonts w:hint="eastAsia" w:ascii="宋体" w:hAnsi="宋体" w:cs="宋体"/>
                <w:color w:val="auto"/>
                <w:szCs w:val="21"/>
                <w:highlight w:val="none"/>
              </w:rPr>
              <w:t>的依法缴纳社会保障资金的缴费凭证复印件；</w:t>
            </w:r>
            <w:r>
              <w:rPr>
                <w:rFonts w:hint="eastAsia"/>
                <w:color w:val="auto"/>
                <w:highlight w:val="none"/>
              </w:rPr>
              <w:t>依法不需要缴纳社会保障资金的</w:t>
            </w:r>
            <w:r>
              <w:rPr>
                <w:rFonts w:hint="eastAsia" w:ascii="宋体" w:hAnsi="宋体"/>
                <w:color w:val="auto"/>
                <w:szCs w:val="21"/>
                <w:highlight w:val="none"/>
              </w:rPr>
              <w:t>供应商</w:t>
            </w:r>
            <w:r>
              <w:rPr>
                <w:rFonts w:hint="eastAsia"/>
                <w:color w:val="auto"/>
                <w:highlight w:val="none"/>
              </w:rPr>
              <w:t>，必须提供相应文件证明不需要缴纳社会保障资金。</w:t>
            </w:r>
            <w:r>
              <w:rPr>
                <w:rFonts w:hint="eastAsia" w:ascii="宋体" w:hAnsi="宋体" w:cs="宋体"/>
                <w:color w:val="auto"/>
                <w:szCs w:val="21"/>
                <w:highlight w:val="none"/>
              </w:rPr>
              <w:t>从取得营业执照时间起到首次响应文件提交截止时间为止不足要求月数的只需提供从取得营业执照起的依法缴纳社会保障资金的</w:t>
            </w:r>
            <w:r>
              <w:rPr>
                <w:rFonts w:hint="eastAsia"/>
                <w:color w:val="auto"/>
                <w:highlight w:val="none"/>
              </w:rPr>
              <w:t>相应证明文件</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必须提供，否则响应文件作无效响应处理</w:t>
            </w:r>
            <w:r>
              <w:rPr>
                <w:rFonts w:hint="eastAsia" w:ascii="宋体" w:hAnsi="宋体" w:cs="宋体"/>
                <w:color w:val="auto"/>
                <w:szCs w:val="21"/>
                <w:highlight w:val="none"/>
              </w:rPr>
              <w:t>）</w:t>
            </w:r>
            <w:bookmarkEnd w:id="70"/>
          </w:p>
          <w:p w14:paraId="137B50BA">
            <w:pPr>
              <w:keepNext w:val="0"/>
              <w:keepLines w:val="0"/>
              <w:pageBreakBefore w:val="0"/>
              <w:widowControl w:val="0"/>
              <w:kinsoku/>
              <w:wordWrap/>
              <w:overflowPunct/>
              <w:topLinePunct w:val="0"/>
              <w:bidi w:val="0"/>
              <w:adjustRightInd/>
              <w:snapToGrid w:val="0"/>
              <w:spacing w:line="380" w:lineRule="exact"/>
              <w:jc w:val="left"/>
              <w:rPr>
                <w:rFonts w:ascii="宋体" w:hAnsi="宋体" w:cs="宋体"/>
                <w:bCs/>
                <w:color w:val="auto"/>
                <w:szCs w:val="21"/>
                <w:highlight w:val="none"/>
              </w:rPr>
            </w:pPr>
            <w:r>
              <w:rPr>
                <w:rFonts w:hint="eastAsia" w:ascii="宋体" w:hAnsi="宋体" w:cs="宋体"/>
                <w:color w:val="auto"/>
                <w:szCs w:val="21"/>
                <w:highlight w:val="none"/>
              </w:rPr>
              <w:t>4.供应商财务状况报告</w:t>
            </w:r>
            <w:r>
              <w:rPr>
                <w:rFonts w:hint="eastAsia" w:ascii="宋体" w:hAnsi="宋体" w:eastAsia="宋体" w:cs="宋体"/>
                <w:color w:val="auto"/>
                <w:szCs w:val="21"/>
                <w:highlight w:val="none"/>
              </w:rPr>
              <w:t>（提供</w:t>
            </w:r>
            <w:r>
              <w:rPr>
                <w:rFonts w:hint="eastAsia" w:ascii="宋体" w:hAnsi="宋体" w:eastAsia="宋体" w:cs="宋体"/>
                <w:color w:val="auto"/>
                <w:szCs w:val="21"/>
                <w:highlight w:val="none"/>
                <w:u w:val="single"/>
              </w:rPr>
              <w:t>2024</w:t>
            </w:r>
            <w:r>
              <w:rPr>
                <w:rFonts w:hint="eastAsia" w:ascii="宋体" w:hAnsi="宋体" w:eastAsia="宋体" w:cs="宋体"/>
                <w:color w:val="auto"/>
                <w:szCs w:val="21"/>
                <w:highlight w:val="none"/>
              </w:rPr>
              <w:t>年度经审计的财务报告复印件或者截标时间前半年内至少一个月能反映财务状况的报表或者供应商自拟的截标时间前半年内至少一个月的财务情况说明）</w:t>
            </w:r>
            <w:r>
              <w:rPr>
                <w:rFonts w:hint="eastAsia" w:ascii="宋体" w:hAnsi="宋体" w:cs="宋体"/>
                <w:color w:val="auto"/>
                <w:szCs w:val="21"/>
                <w:highlight w:val="none"/>
              </w:rPr>
              <w:t>；</w:t>
            </w:r>
            <w:r>
              <w:rPr>
                <w:rFonts w:hint="eastAsia" w:ascii="宋体" w:hAnsi="宋体" w:cs="宋体"/>
                <w:bCs/>
                <w:color w:val="auto"/>
                <w:szCs w:val="21"/>
                <w:highlight w:val="none"/>
              </w:rPr>
              <w:t>（</w:t>
            </w:r>
            <w:r>
              <w:rPr>
                <w:rFonts w:hint="eastAsia" w:ascii="宋体" w:hAnsi="宋体" w:cs="宋体"/>
                <w:b/>
                <w:color w:val="auto"/>
                <w:szCs w:val="21"/>
                <w:highlight w:val="none"/>
              </w:rPr>
              <w:t>必须提供，否则响应文件作无效响应处理</w:t>
            </w:r>
            <w:r>
              <w:rPr>
                <w:rFonts w:hint="eastAsia" w:ascii="宋体" w:hAnsi="宋体" w:cs="宋体"/>
                <w:bCs/>
                <w:color w:val="auto"/>
                <w:szCs w:val="21"/>
                <w:highlight w:val="none"/>
              </w:rPr>
              <w:t>）</w:t>
            </w:r>
          </w:p>
          <w:p w14:paraId="0ECD4D52">
            <w:pPr>
              <w:pStyle w:val="11"/>
              <w:keepNext w:val="0"/>
              <w:keepLines w:val="0"/>
              <w:pageBreakBefore w:val="0"/>
              <w:widowControl w:val="0"/>
              <w:kinsoku/>
              <w:wordWrap/>
              <w:overflowPunct/>
              <w:topLinePunct w:val="0"/>
              <w:bidi w:val="0"/>
              <w:adjustRightInd/>
              <w:spacing w:line="380" w:lineRule="exact"/>
              <w:rPr>
                <w:rFonts w:ascii="宋体" w:hAnsi="宋体" w:cs="宋体"/>
                <w:color w:val="auto"/>
                <w:szCs w:val="21"/>
                <w:highlight w:val="none"/>
              </w:rPr>
            </w:pPr>
            <w:r>
              <w:rPr>
                <w:rFonts w:hint="eastAsia" w:ascii="宋体" w:hAnsi="宋体" w:cs="宋体"/>
                <w:color w:val="auto"/>
                <w:szCs w:val="21"/>
                <w:highlight w:val="none"/>
                <w:lang w:val="en-US"/>
              </w:rPr>
              <w:t>5.</w:t>
            </w:r>
            <w:r>
              <w:rPr>
                <w:rFonts w:hint="eastAsia" w:ascii="宋体" w:hAnsi="宋体" w:cs="宋体"/>
                <w:color w:val="auto"/>
                <w:szCs w:val="21"/>
                <w:highlight w:val="none"/>
              </w:rPr>
              <w:t>本项目的特定资格要求：</w:t>
            </w:r>
            <w:r>
              <w:rPr>
                <w:rFonts w:hint="eastAsia" w:ascii="宋体" w:hAnsi="宋体" w:cs="宋体"/>
                <w:color w:val="auto"/>
                <w:szCs w:val="21"/>
                <w:highlight w:val="none"/>
                <w:lang w:val="en-US"/>
              </w:rPr>
              <w:t>无</w:t>
            </w:r>
            <w:r>
              <w:rPr>
                <w:rFonts w:hint="eastAsia" w:ascii="宋体" w:hAnsi="宋体" w:cs="宋体"/>
                <w:color w:val="auto"/>
                <w:szCs w:val="21"/>
                <w:highlight w:val="none"/>
              </w:rPr>
              <w:t>；（如有要求，则</w:t>
            </w:r>
            <w:r>
              <w:rPr>
                <w:rFonts w:hint="eastAsia" w:ascii="宋体" w:hAnsi="宋体" w:cs="宋体"/>
                <w:b/>
                <w:color w:val="auto"/>
                <w:szCs w:val="21"/>
                <w:highlight w:val="none"/>
              </w:rPr>
              <w:t>必须提供，否则响应文件作无效响应处理</w:t>
            </w:r>
            <w:r>
              <w:rPr>
                <w:rFonts w:hint="eastAsia" w:ascii="宋体" w:hAnsi="宋体" w:cs="宋体"/>
                <w:color w:val="auto"/>
                <w:szCs w:val="21"/>
                <w:highlight w:val="none"/>
              </w:rPr>
              <w:t>）</w:t>
            </w:r>
          </w:p>
          <w:p w14:paraId="7F55E447">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rPr>
            </w:pPr>
            <w:r>
              <w:rPr>
                <w:rFonts w:ascii="宋体" w:hAnsi="宋体" w:eastAsia="宋体" w:cs="宋体"/>
                <w:color w:val="auto"/>
                <w:szCs w:val="21"/>
                <w:highlight w:val="none"/>
              </w:rPr>
              <w:t>6</w:t>
            </w:r>
            <w:r>
              <w:rPr>
                <w:rFonts w:hint="eastAsia" w:ascii="宋体" w:hAnsi="宋体" w:eastAsia="宋体" w:cs="宋体"/>
                <w:color w:val="auto"/>
                <w:szCs w:val="21"/>
                <w:highlight w:val="none"/>
              </w:rPr>
              <w:t>.声明函（格式后附）；（</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14:paraId="0C13E768">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7.</w:t>
            </w:r>
            <w:r>
              <w:rPr>
                <w:rFonts w:hint="eastAsia" w:ascii="宋体" w:hAnsi="宋体" w:eastAsia="宋体" w:cs="Times New Roman"/>
                <w:color w:val="auto"/>
                <w:szCs w:val="21"/>
                <w:highlight w:val="none"/>
              </w:rPr>
              <w:t>联合体竞标协议书</w:t>
            </w:r>
            <w:r>
              <w:rPr>
                <w:rFonts w:hint="eastAsia" w:ascii="宋体" w:hAnsi="宋体" w:eastAsia="宋体" w:cs="宋体"/>
                <w:color w:val="auto"/>
                <w:szCs w:val="21"/>
                <w:highlight w:val="none"/>
              </w:rPr>
              <w:t>（格式后附）；（</w:t>
            </w:r>
            <w:r>
              <w:rPr>
                <w:rFonts w:hint="eastAsia" w:ascii="宋体" w:hAnsi="宋体" w:eastAsia="宋体" w:cs="宋体"/>
                <w:b/>
                <w:color w:val="auto"/>
                <w:szCs w:val="21"/>
                <w:highlight w:val="none"/>
              </w:rPr>
              <w:t>联合体竞标时必须提供，否则响应文件作无效响应处理</w:t>
            </w:r>
            <w:r>
              <w:rPr>
                <w:rFonts w:hint="eastAsia" w:ascii="宋体" w:hAnsi="宋体" w:eastAsia="宋体" w:cs="宋体"/>
                <w:color w:val="auto"/>
                <w:szCs w:val="21"/>
                <w:highlight w:val="none"/>
              </w:rPr>
              <w:t>）</w:t>
            </w:r>
          </w:p>
          <w:p w14:paraId="3BB60963">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.除谈判文件规定必须提供以外，供应商认为需要提供的其他证明材料（格式自拟）。</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color w:val="auto"/>
                <w:szCs w:val="21"/>
                <w:highlight w:val="none"/>
                <w:lang w:eastAsia="zh-CN"/>
              </w:rPr>
              <w:t>）</w:t>
            </w:r>
          </w:p>
          <w:p w14:paraId="3C77C53B">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7E9F0B95">
            <w:pPr>
              <w:keepNext w:val="0"/>
              <w:keepLines w:val="0"/>
              <w:pageBreakBefore w:val="0"/>
              <w:widowControl w:val="0"/>
              <w:kinsoku/>
              <w:wordWrap/>
              <w:overflowPunct/>
              <w:topLinePunct w:val="0"/>
              <w:bidi w:val="0"/>
              <w:adjustRightInd/>
              <w:snapToGrid w:val="0"/>
              <w:spacing w:line="380" w:lineRule="exact"/>
              <w:ind w:firstLine="413" w:firstLineChars="196"/>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1.以上标明“必须提供”的材料属于复印件的扫描件的，必须加盖供应商公章，否则响应文件作无效响应处理。</w:t>
            </w:r>
          </w:p>
          <w:p w14:paraId="5DB9839F">
            <w:pPr>
              <w:keepNext w:val="0"/>
              <w:keepLines w:val="0"/>
              <w:pageBreakBefore w:val="0"/>
              <w:widowControl w:val="0"/>
              <w:kinsoku/>
              <w:wordWrap/>
              <w:overflowPunct/>
              <w:topLinePunct w:val="0"/>
              <w:bidi w:val="0"/>
              <w:adjustRightInd/>
              <w:spacing w:line="380" w:lineRule="exact"/>
              <w:ind w:firstLine="422" w:firstLineChars="200"/>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2.联合体竞标时，第1-</w:t>
            </w:r>
            <w:r>
              <w:rPr>
                <w:rFonts w:ascii="宋体" w:hAnsi="宋体" w:eastAsia="宋体" w:cs="宋体"/>
                <w:b/>
                <w:color w:val="auto"/>
                <w:szCs w:val="21"/>
                <w:highlight w:val="none"/>
              </w:rPr>
              <w:t>5</w:t>
            </w:r>
            <w:r>
              <w:rPr>
                <w:rFonts w:hint="eastAsia" w:ascii="宋体" w:hAnsi="宋体" w:eastAsia="宋体" w:cs="宋体"/>
                <w:b/>
                <w:color w:val="auto"/>
                <w:szCs w:val="21"/>
                <w:highlight w:val="none"/>
              </w:rPr>
              <w:t>项资格证明文件联合体各方均必须分别提供，联合体各方分别盖章，否则响应文件作无效响应处理。</w:t>
            </w:r>
          </w:p>
        </w:tc>
      </w:tr>
      <w:tr w14:paraId="3094B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restart"/>
            <w:vAlign w:val="center"/>
          </w:tcPr>
          <w:p w14:paraId="7EBC66B9">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12.</w:t>
            </w:r>
            <w:r>
              <w:rPr>
                <w:rFonts w:ascii="宋体" w:hAnsi="宋体" w:eastAsia="宋体" w:cs="宋体"/>
                <w:color w:val="auto"/>
                <w:szCs w:val="21"/>
                <w:highlight w:val="none"/>
              </w:rPr>
              <w:t>1</w:t>
            </w:r>
            <w:r>
              <w:rPr>
                <w:rFonts w:hint="eastAsia" w:ascii="宋体" w:hAnsi="宋体" w:eastAsia="宋体" w:cs="宋体"/>
                <w:color w:val="auto"/>
                <w:szCs w:val="21"/>
                <w:highlight w:val="none"/>
              </w:rPr>
              <w:t>.2</w:t>
            </w:r>
          </w:p>
        </w:tc>
        <w:tc>
          <w:tcPr>
            <w:tcW w:w="2382" w:type="dxa"/>
            <w:vAlign w:val="center"/>
          </w:tcPr>
          <w:p w14:paraId="6BFC629F">
            <w:pPr>
              <w:keepNext w:val="0"/>
              <w:keepLines w:val="0"/>
              <w:pageBreakBefore w:val="0"/>
              <w:widowControl w:val="0"/>
              <w:kinsoku/>
              <w:wordWrap/>
              <w:overflowPunct/>
              <w:topLinePunct w:val="0"/>
              <w:bidi w:val="0"/>
              <w:adjustRightInd/>
              <w:spacing w:line="380" w:lineRule="exact"/>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商务文件组成</w:t>
            </w:r>
          </w:p>
        </w:tc>
        <w:tc>
          <w:tcPr>
            <w:tcW w:w="6586" w:type="dxa"/>
            <w:vAlign w:val="center"/>
          </w:tcPr>
          <w:p w14:paraId="6394D37D">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1.无串通竞标行为的承诺函（格式后附）；（</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14:paraId="2FEF5940">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2.法定代表人身份证明及法定代表人有效身份证正反面复印件（格式后附）；（</w:t>
            </w:r>
            <w:r>
              <w:rPr>
                <w:rFonts w:hint="eastAsia" w:ascii="宋体" w:hAnsi="宋体" w:eastAsia="宋体" w:cs="宋体"/>
                <w:b/>
                <w:bCs/>
                <w:color w:val="auto"/>
                <w:szCs w:val="21"/>
                <w:highlight w:val="none"/>
              </w:rPr>
              <w:t>除自然人竞标外</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14:paraId="184D3255">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3.法定代表人授权委托书及委托代理人有效身份证正反面复印件（格式后附）；（</w:t>
            </w:r>
            <w:r>
              <w:rPr>
                <w:rFonts w:hint="eastAsia" w:ascii="宋体" w:hAnsi="宋体" w:eastAsia="宋体" w:cs="宋体"/>
                <w:b/>
                <w:color w:val="auto"/>
                <w:szCs w:val="21"/>
                <w:highlight w:val="none"/>
              </w:rPr>
              <w:t>委托时必须提供，否则响应文件作无效响应处理</w:t>
            </w:r>
            <w:r>
              <w:rPr>
                <w:rFonts w:hint="eastAsia" w:ascii="宋体" w:hAnsi="宋体" w:eastAsia="宋体" w:cs="宋体"/>
                <w:color w:val="auto"/>
                <w:szCs w:val="21"/>
                <w:highlight w:val="none"/>
              </w:rPr>
              <w:t>）</w:t>
            </w:r>
          </w:p>
          <w:p w14:paraId="56EBF607">
            <w:pPr>
              <w:keepNext w:val="0"/>
              <w:keepLines w:val="0"/>
              <w:pageBreakBefore w:val="0"/>
              <w:widowControl w:val="0"/>
              <w:kinsoku/>
              <w:wordWrap/>
              <w:overflowPunct/>
              <w:topLinePunct w:val="0"/>
              <w:bidi w:val="0"/>
              <w:adjustRightInd/>
              <w:spacing w:line="380" w:lineRule="exact"/>
              <w:rPr>
                <w:color w:val="auto"/>
                <w:highlight w:val="none"/>
              </w:rPr>
            </w:pPr>
            <w:r>
              <w:rPr>
                <w:rFonts w:hint="eastAsia" w:ascii="宋体" w:hAnsi="宋体" w:cs="宋体"/>
                <w:color w:val="auto"/>
                <w:szCs w:val="21"/>
                <w:highlight w:val="none"/>
              </w:rPr>
              <w:t>4.谈判保证金提交凭证；（</w:t>
            </w:r>
            <w:r>
              <w:rPr>
                <w:rFonts w:hint="eastAsia" w:ascii="宋体" w:hAnsi="宋体" w:cs="宋体"/>
                <w:b/>
                <w:color w:val="auto"/>
                <w:szCs w:val="21"/>
                <w:highlight w:val="none"/>
              </w:rPr>
              <w:t>必须提供，否则响应文件作无效响应处理</w:t>
            </w:r>
            <w:r>
              <w:rPr>
                <w:rFonts w:hint="eastAsia" w:ascii="宋体" w:hAnsi="宋体" w:cs="宋体"/>
                <w:color w:val="auto"/>
                <w:szCs w:val="21"/>
                <w:highlight w:val="none"/>
              </w:rPr>
              <w:t>）</w:t>
            </w:r>
          </w:p>
          <w:p w14:paraId="1025DA69">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5.商务条款偏离表（格式后附）；（</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14:paraId="3F31AD6A">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6.供应商情况介绍（格式自拟）；</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color w:val="auto"/>
                <w:szCs w:val="21"/>
                <w:highlight w:val="none"/>
                <w:lang w:eastAsia="zh-CN"/>
              </w:rPr>
              <w:t>）</w:t>
            </w:r>
          </w:p>
          <w:p w14:paraId="3211CF10">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7.对应采购需求的商务条款提供的其他文件资料（格式自拟）；</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color w:val="auto"/>
                <w:szCs w:val="21"/>
                <w:highlight w:val="none"/>
                <w:lang w:eastAsia="zh-CN"/>
              </w:rPr>
              <w:t>）</w:t>
            </w:r>
          </w:p>
          <w:p w14:paraId="2432064D">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8.供应商认为需要提供的其他有关资料（格式自拟）。</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color w:val="auto"/>
                <w:szCs w:val="21"/>
                <w:highlight w:val="none"/>
                <w:lang w:eastAsia="zh-CN"/>
              </w:rPr>
              <w:t>）</w:t>
            </w:r>
          </w:p>
          <w:p w14:paraId="67CF9512">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 xml:space="preserve">注： </w:t>
            </w:r>
          </w:p>
          <w:p w14:paraId="004F30A1">
            <w:pPr>
              <w:keepNext w:val="0"/>
              <w:keepLines w:val="0"/>
              <w:pageBreakBefore w:val="0"/>
              <w:widowControl w:val="0"/>
              <w:kinsoku/>
              <w:wordWrap/>
              <w:overflowPunct/>
              <w:topLinePunct w:val="0"/>
              <w:bidi w:val="0"/>
              <w:adjustRightInd/>
              <w:snapToGrid w:val="0"/>
              <w:spacing w:line="380" w:lineRule="exact"/>
              <w:ind w:firstLine="413" w:firstLineChars="196"/>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1.法定代表人授权委托书必须由法定代表人及委托代理人签字，并加盖供应商公章，否则响应文件作无效响应处理。</w:t>
            </w:r>
          </w:p>
          <w:p w14:paraId="2837DBAC">
            <w:pPr>
              <w:keepNext w:val="0"/>
              <w:keepLines w:val="0"/>
              <w:pageBreakBefore w:val="0"/>
              <w:widowControl w:val="0"/>
              <w:kinsoku/>
              <w:wordWrap/>
              <w:overflowPunct/>
              <w:topLinePunct w:val="0"/>
              <w:bidi w:val="0"/>
              <w:adjustRightInd/>
              <w:spacing w:line="380" w:lineRule="exact"/>
              <w:ind w:firstLine="413" w:firstLineChars="196"/>
              <w:rPr>
                <w:rFonts w:ascii="宋体" w:hAnsi="宋体" w:eastAsia="宋体" w:cs="宋体"/>
                <w:b/>
                <w:color w:val="auto"/>
                <w:szCs w:val="21"/>
                <w:highlight w:val="none"/>
              </w:rPr>
            </w:pPr>
            <w:r>
              <w:rPr>
                <w:rFonts w:ascii="宋体" w:hAnsi="宋体" w:eastAsia="宋体" w:cs="宋体"/>
                <w:b/>
                <w:color w:val="auto"/>
                <w:szCs w:val="21"/>
                <w:highlight w:val="none"/>
              </w:rPr>
              <w:t>2</w:t>
            </w:r>
            <w:r>
              <w:rPr>
                <w:rFonts w:hint="eastAsia" w:ascii="宋体" w:hAnsi="宋体" w:eastAsia="宋体" w:cs="宋体"/>
                <w:b/>
                <w:color w:val="auto"/>
                <w:szCs w:val="21"/>
                <w:highlight w:val="none"/>
              </w:rPr>
              <w:t>.以上标明“必须提供”的材料属于复印件的扫描件的，必须加盖供应商公章，否则响应文件作无效响应处理。</w:t>
            </w:r>
          </w:p>
        </w:tc>
      </w:tr>
      <w:tr w14:paraId="5BD45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0F005A70">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2382" w:type="dxa"/>
            <w:vAlign w:val="center"/>
          </w:tcPr>
          <w:p w14:paraId="79096161">
            <w:pPr>
              <w:keepNext w:val="0"/>
              <w:keepLines w:val="0"/>
              <w:pageBreakBefore w:val="0"/>
              <w:widowControl w:val="0"/>
              <w:kinsoku/>
              <w:wordWrap/>
              <w:overflowPunct/>
              <w:topLinePunct w:val="0"/>
              <w:bidi w:val="0"/>
              <w:adjustRightInd/>
              <w:spacing w:line="380" w:lineRule="exact"/>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技术文件组成</w:t>
            </w:r>
          </w:p>
        </w:tc>
        <w:tc>
          <w:tcPr>
            <w:tcW w:w="6586" w:type="dxa"/>
            <w:vAlign w:val="center"/>
          </w:tcPr>
          <w:p w14:paraId="1DC1A550">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1.技术需求偏离表（格式后附）；（</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14:paraId="48CFAB7C">
            <w:pPr>
              <w:keepNext w:val="0"/>
              <w:keepLines w:val="0"/>
              <w:pageBreakBefore w:val="0"/>
              <w:widowControl w:val="0"/>
              <w:kinsoku/>
              <w:wordWrap/>
              <w:overflowPunct/>
              <w:topLinePunct w:val="0"/>
              <w:bidi w:val="0"/>
              <w:adjustRightInd/>
              <w:spacing w:line="38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color w:val="auto"/>
                <w:highlight w:val="none"/>
                <w:lang w:val="en-US" w:eastAsia="zh-CN"/>
              </w:rPr>
              <w:t>实施及</w:t>
            </w:r>
            <w:r>
              <w:rPr>
                <w:rFonts w:hint="eastAsia" w:ascii="宋体" w:hAnsi="宋体" w:eastAsia="宋体" w:cs="宋体"/>
                <w:color w:val="auto"/>
                <w:szCs w:val="21"/>
                <w:highlight w:val="none"/>
              </w:rPr>
              <w:t>售后服务方案（部分格式后附）；（</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14:paraId="1A510702">
            <w:pPr>
              <w:keepNext w:val="0"/>
              <w:keepLines w:val="0"/>
              <w:pageBreakBefore w:val="0"/>
              <w:widowControl w:val="0"/>
              <w:kinsoku/>
              <w:wordWrap/>
              <w:overflowPunct/>
              <w:topLinePunct w:val="0"/>
              <w:bidi w:val="0"/>
              <w:adjustRightInd/>
              <w:spacing w:line="380" w:lineRule="exact"/>
              <w:rPr>
                <w:rFonts w:hint="default" w:ascii="宋体" w:hAnsi="宋体" w:eastAsia="宋体" w:cs="宋体"/>
                <w:b/>
                <w:bCs/>
                <w:color w:val="auto"/>
                <w:szCs w:val="21"/>
                <w:highlight w:val="none"/>
                <w:lang w:val="en-US" w:eastAsia="zh-CN"/>
              </w:rPr>
            </w:pPr>
            <w:bookmarkStart w:id="71" w:name="OLE_LINK10"/>
            <w:r>
              <w:rPr>
                <w:rFonts w:hint="eastAsia" w:ascii="宋体" w:hAnsi="宋体" w:eastAsia="宋体" w:cs="宋体"/>
                <w:color w:val="auto"/>
                <w:szCs w:val="21"/>
                <w:highlight w:val="none"/>
                <w:lang w:val="en-US" w:eastAsia="zh-CN"/>
              </w:rPr>
              <w:t>3.培训方案（格式自拟）；</w:t>
            </w:r>
            <w:r>
              <w:rPr>
                <w:rFonts w:hint="eastAsia" w:ascii="宋体" w:hAnsi="宋体" w:eastAsia="宋体" w:cs="宋体"/>
                <w:b/>
                <w:bCs/>
                <w:color w:val="auto"/>
                <w:szCs w:val="21"/>
                <w:highlight w:val="none"/>
                <w:lang w:val="en-US" w:eastAsia="zh-CN"/>
              </w:rPr>
              <w:t>（必须提供，否则响应文件作无效响应处理）</w:t>
            </w:r>
            <w:bookmarkEnd w:id="71"/>
          </w:p>
          <w:p w14:paraId="2A1C13A1">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.项目实施人员一览表（格式后附）</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lang w:val="en-US" w:eastAsia="zh-CN"/>
              </w:rPr>
              <w:t>必须</w:t>
            </w:r>
            <w:r>
              <w:rPr>
                <w:rFonts w:ascii="宋体" w:hAnsi="宋体" w:eastAsia="宋体" w:cs="宋体"/>
                <w:b/>
                <w:bCs/>
                <w:color w:val="auto"/>
                <w:szCs w:val="21"/>
                <w:highlight w:val="none"/>
              </w:rPr>
              <w:t>提</w:t>
            </w:r>
            <w:r>
              <w:rPr>
                <w:rFonts w:ascii="宋体" w:hAnsi="宋体" w:eastAsia="宋体" w:cs="宋体"/>
                <w:b/>
                <w:color w:val="auto"/>
                <w:szCs w:val="21"/>
                <w:highlight w:val="none"/>
              </w:rPr>
              <w:t>供</w:t>
            </w:r>
            <w:r>
              <w:rPr>
                <w:rFonts w:hint="eastAsia" w:ascii="宋体" w:hAnsi="宋体" w:eastAsia="宋体" w:cs="宋体"/>
                <w:b/>
                <w:bCs/>
                <w:color w:val="auto"/>
                <w:szCs w:val="21"/>
                <w:highlight w:val="none"/>
                <w:lang w:val="en-US" w:eastAsia="zh-CN"/>
              </w:rPr>
              <w:t>，否则响应文件作无效响应处理</w:t>
            </w:r>
            <w:r>
              <w:rPr>
                <w:rFonts w:hint="eastAsia" w:ascii="宋体" w:hAnsi="宋体" w:eastAsia="宋体" w:cs="宋体"/>
                <w:color w:val="auto"/>
                <w:szCs w:val="21"/>
                <w:highlight w:val="none"/>
              </w:rPr>
              <w:t xml:space="preserve">）； </w:t>
            </w:r>
          </w:p>
          <w:p w14:paraId="40CF6E40">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.对应采购需求的技术需求提供的其他文件资料（格式自拟）；</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color w:val="auto"/>
                <w:szCs w:val="21"/>
                <w:highlight w:val="none"/>
                <w:lang w:eastAsia="zh-CN"/>
              </w:rPr>
              <w:t>）</w:t>
            </w:r>
          </w:p>
          <w:p w14:paraId="5261ABB5">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.供应商认为需要提供的其他有关资料（格式自拟）。</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color w:val="auto"/>
                <w:szCs w:val="21"/>
                <w:highlight w:val="none"/>
                <w:lang w:eastAsia="zh-CN"/>
              </w:rPr>
              <w:t>）</w:t>
            </w:r>
          </w:p>
          <w:p w14:paraId="6835CBB8">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b/>
                <w:color w:val="auto"/>
                <w:szCs w:val="21"/>
                <w:highlight w:val="none"/>
              </w:rPr>
              <w:t>注：1.以上标明“必须提供”的材料属于复印件的扫描件的，必须加盖供应商公章，否则响应文件作无效响应处理。</w:t>
            </w:r>
          </w:p>
        </w:tc>
      </w:tr>
      <w:tr w14:paraId="24A74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09DCF90">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12.</w:t>
            </w:r>
            <w:r>
              <w:rPr>
                <w:rFonts w:ascii="宋体" w:hAnsi="宋体" w:eastAsia="宋体" w:cs="宋体"/>
                <w:color w:val="auto"/>
                <w:szCs w:val="21"/>
                <w:highlight w:val="none"/>
              </w:rPr>
              <w:t>1</w:t>
            </w:r>
            <w:r>
              <w:rPr>
                <w:rFonts w:hint="eastAsia" w:ascii="宋体" w:hAnsi="宋体" w:eastAsia="宋体" w:cs="宋体"/>
                <w:color w:val="auto"/>
                <w:szCs w:val="21"/>
                <w:highlight w:val="none"/>
              </w:rPr>
              <w:t>.3</w:t>
            </w:r>
          </w:p>
        </w:tc>
        <w:tc>
          <w:tcPr>
            <w:tcW w:w="2382" w:type="dxa"/>
            <w:vAlign w:val="center"/>
          </w:tcPr>
          <w:p w14:paraId="6B7BDCEA">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b/>
                <w:bCs/>
                <w:color w:val="auto"/>
                <w:szCs w:val="21"/>
                <w:highlight w:val="none"/>
              </w:rPr>
              <w:t>报价文件组成</w:t>
            </w:r>
          </w:p>
        </w:tc>
        <w:tc>
          <w:tcPr>
            <w:tcW w:w="6586" w:type="dxa"/>
            <w:vAlign w:val="center"/>
          </w:tcPr>
          <w:p w14:paraId="73111025">
            <w:pPr>
              <w:keepNext w:val="0"/>
              <w:keepLines w:val="0"/>
              <w:pageBreakBefore w:val="0"/>
              <w:widowControl w:val="0"/>
              <w:numPr>
                <w:ilvl w:val="0"/>
                <w:numId w:val="0"/>
              </w:numPr>
              <w:kinsoku/>
              <w:wordWrap/>
              <w:overflowPunct/>
              <w:topLinePunct w:val="0"/>
              <w:bidi w:val="0"/>
              <w:adjustRightInd/>
              <w:spacing w:line="380" w:lineRule="exact"/>
              <w:jc w:val="left"/>
              <w:rPr>
                <w:rFonts w:ascii="宋体" w:hAnsi="宋体" w:eastAsia="宋体" w:cs="Times New Roman"/>
                <w:color w:val="auto"/>
                <w:szCs w:val="21"/>
                <w:highlight w:val="none"/>
              </w:rPr>
            </w:pPr>
            <w:r>
              <w:rPr>
                <w:rFonts w:ascii="宋体" w:hAnsi="宋体" w:eastAsia="宋体" w:cs="Times New Roman"/>
                <w:color w:val="auto"/>
                <w:kern w:val="2"/>
                <w:sz w:val="21"/>
                <w:szCs w:val="21"/>
                <w:lang w:val="en-US" w:eastAsia="zh-CN" w:bidi="ar-SA"/>
              </w:rPr>
              <w:t>1.</w:t>
            </w:r>
            <w:r>
              <w:rPr>
                <w:rFonts w:hint="eastAsia" w:ascii="宋体" w:hAnsi="宋体" w:eastAsia="宋体" w:cs="Times New Roman"/>
                <w:color w:val="auto"/>
                <w:szCs w:val="21"/>
                <w:highlight w:val="none"/>
              </w:rPr>
              <w:t>响应函</w:t>
            </w:r>
            <w:r>
              <w:rPr>
                <w:rFonts w:hint="eastAsia" w:ascii="宋体" w:hAnsi="宋体" w:eastAsia="宋体" w:cs="宋体"/>
                <w:color w:val="auto"/>
                <w:szCs w:val="21"/>
                <w:highlight w:val="none"/>
              </w:rPr>
              <w:t>（格式后附）</w:t>
            </w:r>
            <w:r>
              <w:rPr>
                <w:rFonts w:hint="eastAsia" w:ascii="宋体" w:hAnsi="宋体" w:eastAsia="宋体" w:cs="Times New Roman"/>
                <w:color w:val="auto"/>
                <w:szCs w:val="21"/>
                <w:highlight w:val="none"/>
              </w:rPr>
              <w:t>；</w:t>
            </w:r>
            <w:r>
              <w:rPr>
                <w:rFonts w:hint="eastAsia" w:ascii="宋体" w:hAnsi="宋体" w:eastAsia="宋体" w:cs="Times New Roman"/>
                <w:b/>
                <w:color w:val="auto"/>
                <w:szCs w:val="21"/>
                <w:highlight w:val="none"/>
              </w:rPr>
              <w:t>（必须提供，否则</w:t>
            </w:r>
            <w:r>
              <w:rPr>
                <w:rFonts w:hint="eastAsia" w:ascii="宋体" w:hAnsi="宋体" w:eastAsia="宋体" w:cs="宋体"/>
                <w:b/>
                <w:color w:val="auto"/>
                <w:szCs w:val="21"/>
                <w:highlight w:val="none"/>
              </w:rPr>
              <w:t>响应文件作无效</w:t>
            </w:r>
            <w:r>
              <w:rPr>
                <w:rFonts w:hint="eastAsia" w:ascii="宋体" w:hAnsi="宋体" w:eastAsia="宋体" w:cs="Times New Roman"/>
                <w:b/>
                <w:color w:val="auto"/>
                <w:szCs w:val="21"/>
                <w:highlight w:val="none"/>
              </w:rPr>
              <w:t>响应处理）</w:t>
            </w:r>
          </w:p>
          <w:p w14:paraId="0F785CBB">
            <w:pPr>
              <w:keepNext w:val="0"/>
              <w:keepLines w:val="0"/>
              <w:pageBreakBefore w:val="0"/>
              <w:widowControl w:val="0"/>
              <w:kinsoku/>
              <w:wordWrap/>
              <w:overflowPunct/>
              <w:topLinePunct w:val="0"/>
              <w:bidi w:val="0"/>
              <w:adjustRightInd/>
              <w:spacing w:line="380" w:lineRule="exact"/>
              <w:jc w:val="left"/>
              <w:rPr>
                <w:rFonts w:ascii="宋体" w:hAnsi="宋体" w:eastAsia="宋体" w:cs="宋体"/>
                <w:color w:val="auto"/>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Cs w:val="21"/>
                <w:highlight w:val="none"/>
              </w:rPr>
              <w:t>响应报价表（格式后附）；（</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14:paraId="0E478CD6">
            <w:pPr>
              <w:pStyle w:val="21"/>
              <w:keepNext w:val="0"/>
              <w:keepLines w:val="0"/>
              <w:pageBreakBefore w:val="0"/>
              <w:widowControl w:val="0"/>
              <w:kinsoku/>
              <w:wordWrap/>
              <w:overflowPunct/>
              <w:topLinePunct w:val="0"/>
              <w:bidi w:val="0"/>
              <w:adjustRightInd/>
              <w:spacing w:line="380" w:lineRule="exact"/>
              <w:rPr>
                <w:rFonts w:ascii="宋体" w:hAnsi="宋体" w:cs="宋体"/>
                <w:color w:val="auto"/>
                <w:sz w:val="21"/>
                <w:szCs w:val="21"/>
                <w:highlight w:val="none"/>
                <w:lang w:val="en-US"/>
              </w:rPr>
            </w:pPr>
            <w:r>
              <w:rPr>
                <w:rFonts w:hint="eastAsia" w:ascii="宋体" w:hAnsi="宋体"/>
                <w:color w:val="auto"/>
                <w:sz w:val="21"/>
                <w:szCs w:val="24"/>
                <w:highlight w:val="none"/>
              </w:rPr>
              <w:t>3.</w:t>
            </w:r>
            <w:r>
              <w:rPr>
                <w:rFonts w:hint="eastAsia" w:ascii="宋体" w:hAnsi="宋体" w:cs="宋体"/>
                <w:color w:val="auto"/>
                <w:sz w:val="21"/>
                <w:szCs w:val="21"/>
                <w:highlight w:val="none"/>
              </w:rPr>
              <w:t>中小企业声明函或者残疾人福利性单位声明函（格式后附）或者供应商属于监狱企业的，提供由省级以上监狱管理局、戒毒管理局（含新疆生产建设兵团）出具的属于监狱企业的证明文件；</w:t>
            </w:r>
            <w:r>
              <w:rPr>
                <w:rFonts w:hint="eastAsia" w:ascii="宋体" w:hAnsi="宋体" w:cs="宋体"/>
                <w:b/>
                <w:bCs/>
                <w:color w:val="auto"/>
                <w:sz w:val="21"/>
                <w:szCs w:val="21"/>
                <w:highlight w:val="none"/>
              </w:rPr>
              <w:t>（如有</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rPr>
              <w:t>请提供）</w:t>
            </w:r>
          </w:p>
          <w:p w14:paraId="4FFACEE8">
            <w:pPr>
              <w:keepNext w:val="0"/>
              <w:keepLines w:val="0"/>
              <w:pageBreakBefore w:val="0"/>
              <w:widowControl w:val="0"/>
              <w:kinsoku/>
              <w:wordWrap/>
              <w:overflowPunct/>
              <w:topLinePunct w:val="0"/>
              <w:bidi w:val="0"/>
              <w:adjustRightInd/>
              <w:spacing w:line="380" w:lineRule="exact"/>
              <w:jc w:val="left"/>
              <w:rPr>
                <w:rFonts w:ascii="宋体" w:hAnsi="宋体" w:eastAsia="宋体" w:cs="Times New Roman"/>
                <w:color w:val="auto"/>
                <w:szCs w:val="21"/>
                <w:highlight w:val="none"/>
              </w:rPr>
            </w:pPr>
            <w:r>
              <w:rPr>
                <w:rFonts w:hint="eastAsia" w:ascii="宋体" w:hAnsi="宋体" w:cs="宋体"/>
                <w:color w:val="auto"/>
                <w:szCs w:val="21"/>
                <w:highlight w:val="none"/>
              </w:rPr>
              <w:t>4.供应商针对报价需要说明的其他文件和说明</w:t>
            </w:r>
            <w:r>
              <w:rPr>
                <w:rFonts w:hint="eastAsia" w:ascii="宋体" w:hAnsi="宋体" w:eastAsia="宋体" w:cs="宋体"/>
                <w:color w:val="auto"/>
                <w:szCs w:val="21"/>
                <w:highlight w:val="none"/>
              </w:rPr>
              <w:t>（格式自拟）</w:t>
            </w:r>
            <w:r>
              <w:rPr>
                <w:rFonts w:hint="eastAsia" w:ascii="宋体" w:hAnsi="宋体" w:cs="宋体"/>
                <w:color w:val="auto"/>
                <w:szCs w:val="21"/>
                <w:highlight w:val="none"/>
              </w:rPr>
              <w:t>。</w:t>
            </w:r>
            <w:r>
              <w:rPr>
                <w:rFonts w:hint="eastAsia" w:ascii="宋体" w:hAnsi="宋体" w:cs="宋体"/>
                <w:b/>
                <w:bCs/>
                <w:color w:val="auto"/>
                <w:sz w:val="21"/>
                <w:szCs w:val="21"/>
                <w:highlight w:val="none"/>
              </w:rPr>
              <w:t>（</w:t>
            </w:r>
            <w:bookmarkStart w:id="179" w:name="_GoBack"/>
            <w:r>
              <w:rPr>
                <w:rFonts w:hint="eastAsia" w:ascii="宋体" w:hAnsi="宋体" w:cs="宋体"/>
                <w:b/>
                <w:bCs/>
                <w:color w:val="auto"/>
                <w:sz w:val="21"/>
                <w:szCs w:val="21"/>
                <w:highlight w:val="none"/>
              </w:rPr>
              <w:t>如有</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rPr>
              <w:t>请提供</w:t>
            </w:r>
            <w:bookmarkEnd w:id="179"/>
            <w:r>
              <w:rPr>
                <w:rFonts w:hint="eastAsia" w:ascii="宋体" w:hAnsi="宋体" w:cs="宋体"/>
                <w:b/>
                <w:bCs/>
                <w:color w:val="auto"/>
                <w:sz w:val="21"/>
                <w:szCs w:val="21"/>
                <w:highlight w:val="none"/>
              </w:rPr>
              <w:t>）</w:t>
            </w:r>
          </w:p>
        </w:tc>
      </w:tr>
      <w:tr w14:paraId="729E9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DB20AA7">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12.</w:t>
            </w:r>
            <w:r>
              <w:rPr>
                <w:rFonts w:ascii="宋体" w:hAnsi="宋体" w:eastAsia="宋体" w:cs="宋体"/>
                <w:color w:val="auto"/>
                <w:szCs w:val="21"/>
                <w:highlight w:val="none"/>
              </w:rPr>
              <w:t>2</w:t>
            </w:r>
          </w:p>
        </w:tc>
        <w:tc>
          <w:tcPr>
            <w:tcW w:w="2382" w:type="dxa"/>
            <w:vAlign w:val="center"/>
          </w:tcPr>
          <w:p w14:paraId="791C928A">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响应文件电子版要求</w:t>
            </w:r>
          </w:p>
        </w:tc>
        <w:tc>
          <w:tcPr>
            <w:tcW w:w="6586" w:type="dxa"/>
            <w:vAlign w:val="center"/>
          </w:tcPr>
          <w:p w14:paraId="277E6A56">
            <w:pPr>
              <w:pStyle w:val="11"/>
              <w:keepNext w:val="0"/>
              <w:keepLines w:val="0"/>
              <w:pageBreakBefore w:val="0"/>
              <w:widowControl w:val="0"/>
              <w:kinsoku/>
              <w:wordWrap/>
              <w:overflowPunct/>
              <w:topLinePunct w:val="0"/>
              <w:bidi w:val="0"/>
              <w:adjustRightInd/>
              <w:spacing w:line="380" w:lineRule="exact"/>
              <w:rPr>
                <w:rFonts w:ascii="宋体" w:hAnsi="宋体" w:cs="宋体"/>
                <w:color w:val="auto"/>
                <w:szCs w:val="21"/>
                <w:highlight w:val="none"/>
              </w:rPr>
            </w:pPr>
            <w:r>
              <w:rPr>
                <w:rFonts w:hint="eastAsia" w:ascii="宋体" w:hAnsi="宋体" w:cs="宋体"/>
                <w:color w:val="auto"/>
                <w:szCs w:val="21"/>
                <w:highlight w:val="none"/>
              </w:rPr>
              <w:t>1.响应文件电子版要求：按照本</w:t>
            </w:r>
            <w:r>
              <w:rPr>
                <w:rFonts w:hint="eastAsia" w:ascii="宋体" w:hAnsi="宋体" w:cs="宋体"/>
                <w:color w:val="auto"/>
                <w:szCs w:val="21"/>
                <w:highlight w:val="none"/>
                <w:lang w:val="en-US"/>
              </w:rPr>
              <w:t>竞争性谈判</w:t>
            </w:r>
            <w:r>
              <w:rPr>
                <w:rFonts w:hint="eastAsia" w:ascii="宋体" w:hAnsi="宋体" w:cs="宋体"/>
                <w:color w:val="auto"/>
                <w:szCs w:val="21"/>
                <w:highlight w:val="none"/>
              </w:rPr>
              <w:t>文件“</w:t>
            </w:r>
            <w:r>
              <w:rPr>
                <w:rFonts w:hint="eastAsia" w:ascii="宋体" w:hAnsi="宋体"/>
                <w:color w:val="auto"/>
                <w:szCs w:val="21"/>
                <w:highlight w:val="none"/>
              </w:rPr>
              <w:t>第五章 响应文件格式</w:t>
            </w:r>
            <w:r>
              <w:rPr>
                <w:rFonts w:hint="eastAsia" w:ascii="宋体" w:hAnsi="宋体" w:cs="宋体"/>
                <w:color w:val="auto"/>
                <w:szCs w:val="21"/>
                <w:highlight w:val="none"/>
              </w:rPr>
              <w:t>”编写，第五章未附格式的，由供应商自行拟定。</w:t>
            </w:r>
          </w:p>
          <w:p w14:paraId="7C2DDA1E">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Courier New"/>
                <w:color w:val="auto"/>
                <w:szCs w:val="21"/>
                <w:highlight w:val="none"/>
              </w:rPr>
              <w:t>.响应文件电子版密封方式：电子响应文件通过平台有效CA加密后在</w:t>
            </w:r>
            <w:r>
              <w:rPr>
                <w:rFonts w:hint="eastAsia" w:ascii="宋体" w:hAnsi="宋体" w:cs="宋体"/>
                <w:color w:val="auto"/>
                <w:szCs w:val="21"/>
                <w:highlight w:val="none"/>
              </w:rPr>
              <w:t>广西政府采购云平台</w:t>
            </w:r>
            <w:r>
              <w:rPr>
                <w:rFonts w:hint="eastAsia" w:ascii="宋体" w:hAnsi="宋体" w:eastAsia="宋体" w:cs="Courier New"/>
                <w:color w:val="auto"/>
                <w:szCs w:val="21"/>
                <w:highlight w:val="none"/>
              </w:rPr>
              <w:t>投送。</w:t>
            </w:r>
          </w:p>
        </w:tc>
      </w:tr>
      <w:tr w14:paraId="3A865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006D487">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15.2</w:t>
            </w:r>
          </w:p>
        </w:tc>
        <w:tc>
          <w:tcPr>
            <w:tcW w:w="2382" w:type="dxa"/>
            <w:vAlign w:val="center"/>
          </w:tcPr>
          <w:p w14:paraId="40AABBFF">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响应报价要求</w:t>
            </w:r>
          </w:p>
        </w:tc>
        <w:tc>
          <w:tcPr>
            <w:tcW w:w="6586" w:type="dxa"/>
            <w:vAlign w:val="center"/>
          </w:tcPr>
          <w:p w14:paraId="02F32E57">
            <w:pPr>
              <w:keepNext w:val="0"/>
              <w:keepLines w:val="0"/>
              <w:pageBreakBefore w:val="0"/>
              <w:widowControl w:val="0"/>
              <w:kinsoku/>
              <w:wordWrap/>
              <w:overflowPunct/>
              <w:topLinePunct w:val="0"/>
              <w:bidi w:val="0"/>
              <w:adjustRightInd/>
              <w:snapToGrid w:val="0"/>
              <w:spacing w:line="380" w:lineRule="exact"/>
              <w:jc w:val="left"/>
              <w:rPr>
                <w:color w:val="auto"/>
                <w:highlight w:val="none"/>
              </w:rPr>
            </w:pPr>
            <w:r>
              <w:rPr>
                <w:rFonts w:hint="eastAsia"/>
                <w:color w:val="auto"/>
                <w:highlight w:val="none"/>
              </w:rPr>
              <w:t>响应报价必须包含</w:t>
            </w:r>
            <w:r>
              <w:rPr>
                <w:rFonts w:hint="eastAsia"/>
                <w:color w:val="auto"/>
                <w:highlight w:val="none"/>
                <w:lang w:val="en-US" w:eastAsia="zh-CN"/>
              </w:rPr>
              <w:t>采购标的</w:t>
            </w:r>
            <w:r>
              <w:rPr>
                <w:rFonts w:hint="eastAsia"/>
                <w:color w:val="auto"/>
                <w:highlight w:val="none"/>
              </w:rPr>
              <w:t>、备品备件、材料、消耗品、工具的采购和运输（装卸），项目安装、调试、检测、试验及验收、配合服务费、售后服务、税金、利润及其他所有成本等费用。</w:t>
            </w:r>
          </w:p>
          <w:p w14:paraId="5F80E33C">
            <w:pPr>
              <w:pStyle w:val="13"/>
              <w:keepNext w:val="0"/>
              <w:keepLines w:val="0"/>
              <w:pageBreakBefore w:val="0"/>
              <w:widowControl w:val="0"/>
              <w:kinsoku/>
              <w:wordWrap/>
              <w:overflowPunct/>
              <w:topLinePunct w:val="0"/>
              <w:bidi w:val="0"/>
              <w:adjustRightInd/>
              <w:spacing w:line="380" w:lineRule="exact"/>
              <w:rPr>
                <w:b/>
                <w:bCs/>
                <w:color w:val="auto"/>
                <w:highlight w:val="none"/>
              </w:rPr>
            </w:pPr>
            <w:r>
              <w:rPr>
                <w:rFonts w:hint="eastAsia"/>
                <w:b/>
                <w:bCs/>
                <w:color w:val="auto"/>
                <w:highlight w:val="none"/>
              </w:rPr>
              <w:t>☑响应报价包含验收费用</w:t>
            </w:r>
          </w:p>
          <w:p w14:paraId="7BA27FB4">
            <w:pPr>
              <w:pStyle w:val="13"/>
              <w:keepNext w:val="0"/>
              <w:keepLines w:val="0"/>
              <w:pageBreakBefore w:val="0"/>
              <w:widowControl w:val="0"/>
              <w:kinsoku/>
              <w:wordWrap/>
              <w:overflowPunct/>
              <w:topLinePunct w:val="0"/>
              <w:bidi w:val="0"/>
              <w:adjustRightInd/>
              <w:spacing w:line="380" w:lineRule="exact"/>
              <w:rPr>
                <w:color w:val="auto"/>
                <w:highlight w:val="none"/>
              </w:rPr>
            </w:pPr>
            <w:r>
              <w:rPr>
                <w:rFonts w:hint="eastAsia"/>
                <w:b/>
                <w:bCs/>
                <w:color w:val="auto"/>
                <w:highlight w:val="none"/>
              </w:rPr>
              <w:t>□响应报价不包含验收费用</w:t>
            </w:r>
          </w:p>
        </w:tc>
      </w:tr>
      <w:tr w14:paraId="3512B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A33130F">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16.</w:t>
            </w:r>
            <w:r>
              <w:rPr>
                <w:rFonts w:ascii="宋体" w:hAnsi="宋体" w:eastAsia="宋体" w:cs="宋体"/>
                <w:color w:val="auto"/>
                <w:szCs w:val="21"/>
                <w:highlight w:val="none"/>
              </w:rPr>
              <w:t>2</w:t>
            </w:r>
          </w:p>
        </w:tc>
        <w:tc>
          <w:tcPr>
            <w:tcW w:w="2382" w:type="dxa"/>
            <w:vAlign w:val="center"/>
          </w:tcPr>
          <w:p w14:paraId="4FCA7138">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竞标有效期</w:t>
            </w:r>
          </w:p>
        </w:tc>
        <w:tc>
          <w:tcPr>
            <w:tcW w:w="6586" w:type="dxa"/>
            <w:vAlign w:val="center"/>
          </w:tcPr>
          <w:p w14:paraId="4074F5F5">
            <w:pPr>
              <w:keepNext w:val="0"/>
              <w:keepLines w:val="0"/>
              <w:pageBreakBefore w:val="0"/>
              <w:widowControl w:val="0"/>
              <w:tabs>
                <w:tab w:val="left" w:pos="720"/>
                <w:tab w:val="left" w:pos="840"/>
              </w:tabs>
              <w:kinsoku/>
              <w:wordWrap/>
              <w:overflowPunct/>
              <w:topLinePunct w:val="0"/>
              <w:bidi w:val="0"/>
              <w:adjustRightInd/>
              <w:snapToGrid w:val="0"/>
              <w:spacing w:after="50" w:line="380" w:lineRule="exact"/>
              <w:ind w:left="283" w:hanging="283" w:hangingChars="135"/>
              <w:jc w:val="left"/>
              <w:rPr>
                <w:rFonts w:ascii="宋体" w:hAnsi="宋体" w:eastAsia="宋体" w:cs="宋体"/>
                <w:color w:val="auto"/>
                <w:szCs w:val="21"/>
                <w:highlight w:val="none"/>
              </w:rPr>
            </w:pPr>
            <w:r>
              <w:rPr>
                <w:rFonts w:hint="eastAsia" w:ascii="宋体" w:hAnsi="宋体" w:eastAsia="宋体" w:cs="宋体"/>
                <w:color w:val="auto"/>
                <w:szCs w:val="21"/>
                <w:highlight w:val="none"/>
              </w:rPr>
              <w:t>自首次响应文件提交截止之日起</w:t>
            </w:r>
            <w:r>
              <w:rPr>
                <w:rFonts w:hint="eastAsia" w:ascii="宋体" w:hAnsi="宋体" w:eastAsia="宋体" w:cs="宋体"/>
                <w:color w:val="auto"/>
                <w:szCs w:val="21"/>
                <w:highlight w:val="none"/>
                <w:u w:val="single"/>
              </w:rPr>
              <w:t>90</w:t>
            </w:r>
            <w:r>
              <w:rPr>
                <w:rFonts w:hint="eastAsia" w:ascii="宋体" w:hAnsi="宋体" w:eastAsia="宋体" w:cs="宋体"/>
                <w:color w:val="auto"/>
                <w:szCs w:val="21"/>
                <w:highlight w:val="none"/>
              </w:rPr>
              <w:t>日。</w:t>
            </w:r>
          </w:p>
        </w:tc>
      </w:tr>
      <w:tr w14:paraId="0C7773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B1EC90E">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17.1</w:t>
            </w:r>
          </w:p>
        </w:tc>
        <w:tc>
          <w:tcPr>
            <w:tcW w:w="2382" w:type="dxa"/>
            <w:vAlign w:val="center"/>
          </w:tcPr>
          <w:p w14:paraId="75D8FCC0">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谈判保证金</w:t>
            </w:r>
          </w:p>
        </w:tc>
        <w:tc>
          <w:tcPr>
            <w:tcW w:w="6586" w:type="dxa"/>
            <w:vAlign w:val="center"/>
          </w:tcPr>
          <w:p w14:paraId="2B926923">
            <w:pPr>
              <w:keepNext w:val="0"/>
              <w:keepLines w:val="0"/>
              <w:pageBreakBefore w:val="0"/>
              <w:widowControl w:val="0"/>
              <w:kinsoku/>
              <w:wordWrap/>
              <w:overflowPunct/>
              <w:topLinePunct w:val="0"/>
              <w:bidi w:val="0"/>
              <w:adjustRightInd/>
              <w:spacing w:line="380" w:lineRule="exact"/>
              <w:rPr>
                <w:rFonts w:ascii="宋体" w:hAnsi="宋体"/>
                <w:b/>
                <w:bCs/>
                <w:color w:val="auto"/>
                <w:szCs w:val="21"/>
                <w:highlight w:val="none"/>
              </w:rPr>
            </w:pPr>
            <w:r>
              <w:rPr>
                <w:rFonts w:hint="eastAsia" w:ascii="宋体" w:hAnsi="宋体"/>
                <w:b/>
                <w:bCs/>
                <w:color w:val="auto"/>
                <w:szCs w:val="21"/>
                <w:highlight w:val="none"/>
              </w:rPr>
              <w:t>本项目是否需要</w:t>
            </w:r>
            <w:r>
              <w:rPr>
                <w:rFonts w:hint="eastAsia" w:ascii="宋体" w:hAnsi="宋体" w:cs="宋体"/>
                <w:b/>
                <w:bCs/>
                <w:color w:val="auto"/>
                <w:szCs w:val="21"/>
                <w:highlight w:val="none"/>
              </w:rPr>
              <w:t>缴</w:t>
            </w:r>
            <w:r>
              <w:rPr>
                <w:rFonts w:hint="eastAsia" w:ascii="宋体" w:hAnsi="宋体" w:cs="宋体"/>
                <w:b/>
                <w:bCs/>
                <w:color w:val="auto"/>
                <w:kern w:val="0"/>
                <w:szCs w:val="21"/>
                <w:highlight w:val="none"/>
              </w:rPr>
              <w:t>纳谈判</w:t>
            </w:r>
            <w:r>
              <w:rPr>
                <w:rFonts w:hint="eastAsia" w:ascii="宋体" w:hAnsi="宋体"/>
                <w:b/>
                <w:bCs/>
                <w:color w:val="auto"/>
                <w:szCs w:val="21"/>
                <w:highlight w:val="none"/>
              </w:rPr>
              <w:t>保证金详见竞争性谈判公告。</w:t>
            </w:r>
          </w:p>
          <w:p w14:paraId="0F0E283C">
            <w:pPr>
              <w:keepNext w:val="0"/>
              <w:keepLines w:val="0"/>
              <w:pageBreakBefore w:val="0"/>
              <w:widowControl w:val="0"/>
              <w:kinsoku/>
              <w:wordWrap/>
              <w:overflowPunct/>
              <w:topLinePunct w:val="0"/>
              <w:bidi w:val="0"/>
              <w:adjustRightInd/>
              <w:snapToGrid w:val="0"/>
              <w:spacing w:line="380" w:lineRule="exact"/>
              <w:rPr>
                <w:rFonts w:ascii="宋体" w:hAnsi="宋体" w:cs="宋体"/>
                <w:b/>
                <w:bCs/>
                <w:color w:val="auto"/>
                <w:szCs w:val="21"/>
                <w:highlight w:val="none"/>
              </w:rPr>
            </w:pPr>
            <w:r>
              <w:rPr>
                <w:rFonts w:hint="eastAsia" w:ascii="宋体" w:hAnsi="宋体"/>
                <w:b/>
                <w:bCs/>
                <w:color w:val="auto"/>
                <w:szCs w:val="21"/>
                <w:highlight w:val="none"/>
              </w:rPr>
              <w:t>如本项目需要</w:t>
            </w:r>
            <w:r>
              <w:rPr>
                <w:rFonts w:hint="eastAsia" w:ascii="宋体" w:hAnsi="宋体" w:cs="宋体"/>
                <w:b/>
                <w:bCs/>
                <w:color w:val="auto"/>
                <w:szCs w:val="21"/>
                <w:highlight w:val="none"/>
              </w:rPr>
              <w:t>缴</w:t>
            </w:r>
            <w:r>
              <w:rPr>
                <w:rFonts w:hint="eastAsia" w:ascii="宋体" w:hAnsi="宋体" w:cs="宋体"/>
                <w:b/>
                <w:bCs/>
                <w:color w:val="auto"/>
                <w:kern w:val="0"/>
                <w:szCs w:val="21"/>
                <w:highlight w:val="none"/>
              </w:rPr>
              <w:t>纳谈判</w:t>
            </w:r>
            <w:r>
              <w:rPr>
                <w:rFonts w:hint="eastAsia" w:ascii="宋体" w:hAnsi="宋体"/>
                <w:b/>
                <w:bCs/>
                <w:color w:val="auto"/>
                <w:szCs w:val="21"/>
                <w:highlight w:val="none"/>
              </w:rPr>
              <w:t>保证金，</w:t>
            </w:r>
            <w:r>
              <w:rPr>
                <w:rFonts w:hint="eastAsia" w:ascii="宋体" w:hAnsi="宋体" w:cs="宋体"/>
                <w:b/>
                <w:bCs/>
                <w:color w:val="auto"/>
                <w:szCs w:val="21"/>
                <w:highlight w:val="none"/>
              </w:rPr>
              <w:t>相关要求如下：</w:t>
            </w:r>
          </w:p>
          <w:p w14:paraId="601E3980">
            <w:pPr>
              <w:keepNext w:val="0"/>
              <w:keepLines w:val="0"/>
              <w:pageBreakBefore w:val="0"/>
              <w:widowControl w:val="0"/>
              <w:kinsoku/>
              <w:wordWrap/>
              <w:overflowPunct/>
              <w:topLinePunct w:val="0"/>
              <w:bidi w:val="0"/>
              <w:adjustRightInd/>
              <w:snapToGrid w:val="0"/>
              <w:spacing w:line="380" w:lineRule="exact"/>
              <w:rPr>
                <w:rFonts w:ascii="宋体" w:hAnsi="宋体" w:cs="宋体"/>
                <w:color w:val="auto"/>
                <w:szCs w:val="21"/>
                <w:highlight w:val="none"/>
              </w:rPr>
            </w:pPr>
            <w:r>
              <w:rPr>
                <w:rFonts w:hint="eastAsia" w:ascii="宋体" w:hAnsi="宋体" w:cs="宋体"/>
                <w:color w:val="auto"/>
                <w:szCs w:val="21"/>
                <w:highlight w:val="none"/>
              </w:rPr>
              <w:t>1.谈判保证金的缴纳方式：详见竞争性谈判公告。</w:t>
            </w:r>
          </w:p>
          <w:p w14:paraId="26130883">
            <w:pPr>
              <w:keepNext w:val="0"/>
              <w:keepLines w:val="0"/>
              <w:pageBreakBefore w:val="0"/>
              <w:widowControl w:val="0"/>
              <w:kinsoku/>
              <w:wordWrap/>
              <w:overflowPunct/>
              <w:topLinePunct w:val="0"/>
              <w:bidi w:val="0"/>
              <w:adjustRightInd/>
              <w:snapToGrid w:val="0"/>
              <w:spacing w:line="380" w:lineRule="exact"/>
              <w:rPr>
                <w:rFonts w:ascii="宋体" w:hAnsi="宋体" w:cs="宋体"/>
                <w:color w:val="auto"/>
                <w:szCs w:val="21"/>
                <w:highlight w:val="none"/>
              </w:rPr>
            </w:pPr>
            <w:r>
              <w:rPr>
                <w:rFonts w:hint="eastAsia" w:ascii="宋体" w:hAnsi="宋体" w:cs="宋体"/>
                <w:color w:val="auto"/>
                <w:szCs w:val="21"/>
                <w:highlight w:val="none"/>
              </w:rPr>
              <w:t>2.谈判保证金的金额：详见竞争性谈判公告。</w:t>
            </w:r>
          </w:p>
          <w:p w14:paraId="332EDA0D">
            <w:pPr>
              <w:keepNext w:val="0"/>
              <w:keepLines w:val="0"/>
              <w:pageBreakBefore w:val="0"/>
              <w:widowControl w:val="0"/>
              <w:kinsoku/>
              <w:wordWrap/>
              <w:overflowPunct/>
              <w:topLinePunct w:val="0"/>
              <w:bidi w:val="0"/>
              <w:adjustRightInd/>
              <w:snapToGrid w:val="0"/>
              <w:spacing w:line="380" w:lineRule="exact"/>
              <w:rPr>
                <w:rFonts w:ascii="宋体" w:hAnsi="宋体" w:cs="宋体"/>
                <w:color w:val="auto"/>
                <w:szCs w:val="21"/>
                <w:highlight w:val="none"/>
              </w:rPr>
            </w:pPr>
            <w:r>
              <w:rPr>
                <w:rFonts w:hint="eastAsia" w:ascii="宋体" w:hAnsi="宋体" w:cs="宋体"/>
                <w:color w:val="auto"/>
                <w:szCs w:val="21"/>
                <w:highlight w:val="none"/>
              </w:rPr>
              <w:t>3.谈判保证金采用银行转账缴纳方式的，在首次响应文件提交截止时间前交至采购代理机构指定账户并且到账，供应商应将银行转账底单的复印件</w:t>
            </w:r>
            <w:r>
              <w:rPr>
                <w:rFonts w:hint="eastAsia" w:ascii="宋体" w:hAnsi="宋体" w:eastAsia="宋体" w:cs="宋体"/>
                <w:color w:val="auto"/>
                <w:szCs w:val="21"/>
                <w:highlight w:val="none"/>
              </w:rPr>
              <w:t>或者金融机构、担保机构出具的</w:t>
            </w:r>
            <w:r>
              <w:rPr>
                <w:rFonts w:hint="eastAsia" w:ascii="宋体" w:hAnsi="宋体" w:cs="宋体"/>
                <w:color w:val="auto"/>
                <w:kern w:val="0"/>
                <w:szCs w:val="21"/>
                <w:highlight w:val="none"/>
              </w:rPr>
              <w:t>电子保函</w:t>
            </w:r>
            <w:r>
              <w:rPr>
                <w:rFonts w:hint="eastAsia" w:ascii="宋体" w:hAnsi="宋体" w:cs="宋体"/>
                <w:color w:val="auto"/>
                <w:szCs w:val="21"/>
                <w:highlight w:val="none"/>
              </w:rPr>
              <w:t>作为谈判保证金提交凭证，放置于商务文件中，</w:t>
            </w:r>
            <w:r>
              <w:rPr>
                <w:rFonts w:hint="eastAsia" w:ascii="宋体" w:hAnsi="宋体" w:eastAsia="宋体" w:cs="宋体"/>
                <w:b/>
                <w:color w:val="auto"/>
                <w:szCs w:val="21"/>
                <w:highlight w:val="none"/>
              </w:rPr>
              <w:t>否则响应文件作无效响应处理</w:t>
            </w:r>
            <w:r>
              <w:rPr>
                <w:rFonts w:hint="eastAsia" w:ascii="宋体" w:hAnsi="宋体" w:cs="宋体"/>
                <w:color w:val="auto"/>
                <w:szCs w:val="21"/>
                <w:highlight w:val="none"/>
              </w:rPr>
              <w:t>。</w:t>
            </w:r>
          </w:p>
          <w:p w14:paraId="1083D923">
            <w:pPr>
              <w:keepNext w:val="0"/>
              <w:keepLines w:val="0"/>
              <w:pageBreakBefore w:val="0"/>
              <w:widowControl w:val="0"/>
              <w:kinsoku/>
              <w:wordWrap/>
              <w:overflowPunct/>
              <w:topLinePunct w:val="0"/>
              <w:bidi w:val="0"/>
              <w:adjustRightInd/>
              <w:snapToGrid w:val="0"/>
              <w:spacing w:line="380" w:lineRule="exact"/>
              <w:rPr>
                <w:rFonts w:ascii="宋体" w:hAnsi="宋体"/>
                <w:color w:val="auto"/>
                <w:szCs w:val="21"/>
                <w:highlight w:val="none"/>
              </w:rPr>
            </w:pPr>
            <w:r>
              <w:rPr>
                <w:rFonts w:hint="eastAsia" w:ascii="宋体" w:hAnsi="宋体"/>
                <w:color w:val="auto"/>
                <w:szCs w:val="21"/>
                <w:highlight w:val="none"/>
              </w:rPr>
              <w:t>4.谈判保证金采用支票、汇票、本票或者金融机构、担保机构出具的保函等缴纳方式的，供应商应将支票、汇票、本票或者金融机构、担保机构出具的保函等的复印件作为谈判保证金提交凭证，放置于</w:t>
            </w:r>
            <w:r>
              <w:rPr>
                <w:rFonts w:hint="eastAsia" w:ascii="宋体" w:hAnsi="宋体" w:cs="宋体"/>
                <w:color w:val="auto"/>
                <w:szCs w:val="21"/>
                <w:highlight w:val="none"/>
              </w:rPr>
              <w:t>商务文件</w:t>
            </w:r>
            <w:r>
              <w:rPr>
                <w:rFonts w:hint="eastAsia" w:ascii="宋体" w:hAnsi="宋体"/>
                <w:color w:val="auto"/>
                <w:szCs w:val="21"/>
                <w:highlight w:val="none"/>
              </w:rPr>
              <w:t>中，</w:t>
            </w:r>
            <w:r>
              <w:rPr>
                <w:rFonts w:hint="eastAsia" w:ascii="宋体" w:hAnsi="宋体" w:eastAsia="宋体" w:cs="宋体"/>
                <w:b/>
                <w:color w:val="auto"/>
                <w:szCs w:val="21"/>
                <w:highlight w:val="none"/>
              </w:rPr>
              <w:t>否则响应文件作无效响应处理</w:t>
            </w:r>
            <w:r>
              <w:rPr>
                <w:rFonts w:hint="eastAsia" w:ascii="宋体" w:hAnsi="宋体"/>
                <w:color w:val="auto"/>
                <w:szCs w:val="21"/>
                <w:highlight w:val="none"/>
              </w:rPr>
              <w:t>。供应商必须在首次响应文件提交截止时间前将支票、汇票、本票或者金融机构、担保机构出具的保函</w:t>
            </w:r>
            <w:r>
              <w:rPr>
                <w:rFonts w:hint="eastAsia" w:ascii="宋体" w:hAnsi="宋体" w:cs="宋体"/>
                <w:color w:val="auto"/>
                <w:szCs w:val="21"/>
                <w:highlight w:val="none"/>
              </w:rPr>
              <w:t>（</w:t>
            </w:r>
            <w:r>
              <w:rPr>
                <w:rFonts w:hint="eastAsia" w:ascii="宋体" w:hAnsi="宋体" w:cs="宋体"/>
                <w:color w:val="auto"/>
                <w:kern w:val="0"/>
                <w:szCs w:val="21"/>
                <w:highlight w:val="none"/>
              </w:rPr>
              <w:t>电子保函除外</w:t>
            </w:r>
            <w:r>
              <w:rPr>
                <w:rFonts w:hint="eastAsia" w:ascii="宋体" w:hAnsi="宋体" w:cs="宋体"/>
                <w:color w:val="auto"/>
                <w:szCs w:val="21"/>
                <w:highlight w:val="none"/>
              </w:rPr>
              <w:t>）</w:t>
            </w:r>
            <w:r>
              <w:rPr>
                <w:rFonts w:hint="eastAsia" w:ascii="宋体" w:hAnsi="宋体"/>
                <w:color w:val="auto"/>
                <w:szCs w:val="21"/>
                <w:highlight w:val="none"/>
              </w:rPr>
              <w:t>等原件提交给采购代理机构，由采购代理机构向供应商出具回执，并妥善保管。</w:t>
            </w:r>
          </w:p>
          <w:p w14:paraId="6C910D8E">
            <w:pPr>
              <w:keepNext w:val="0"/>
              <w:keepLines w:val="0"/>
              <w:pageBreakBefore w:val="0"/>
              <w:widowControl w:val="0"/>
              <w:kinsoku/>
              <w:wordWrap/>
              <w:overflowPunct/>
              <w:topLinePunct w:val="0"/>
              <w:bidi w:val="0"/>
              <w:adjustRightInd/>
              <w:snapToGrid w:val="0"/>
              <w:spacing w:line="380" w:lineRule="exact"/>
              <w:rPr>
                <w:rFonts w:ascii="宋体" w:hAnsi="宋体" w:cs="宋体"/>
                <w:color w:val="auto"/>
                <w:szCs w:val="21"/>
                <w:highlight w:val="none"/>
              </w:rPr>
            </w:pPr>
            <w:r>
              <w:rPr>
                <w:rFonts w:hint="eastAsia" w:ascii="宋体" w:hAnsi="宋体" w:cs="宋体"/>
                <w:color w:val="auto"/>
                <w:szCs w:val="21"/>
                <w:highlight w:val="none"/>
              </w:rPr>
              <w:t>5.谈判保证金指定账户：详见竞争性谈判公告。</w:t>
            </w:r>
          </w:p>
          <w:p w14:paraId="3F6B3DAB">
            <w:pPr>
              <w:pStyle w:val="11"/>
              <w:keepNext w:val="0"/>
              <w:keepLines w:val="0"/>
              <w:pageBreakBefore w:val="0"/>
              <w:widowControl w:val="0"/>
              <w:kinsoku/>
              <w:wordWrap/>
              <w:overflowPunct/>
              <w:topLinePunct w:val="0"/>
              <w:bidi w:val="0"/>
              <w:adjustRightInd/>
              <w:spacing w:line="380" w:lineRule="exact"/>
              <w:rPr>
                <w:rFonts w:ascii="宋体" w:hAnsi="宋体" w:cs="宋体"/>
                <w:b/>
                <w:color w:val="auto"/>
                <w:szCs w:val="21"/>
                <w:highlight w:val="none"/>
              </w:rPr>
            </w:pPr>
            <w:r>
              <w:rPr>
                <w:rFonts w:hint="eastAsia" w:ascii="宋体" w:hAnsi="宋体" w:cs="宋体"/>
                <w:color w:val="auto"/>
                <w:szCs w:val="21"/>
                <w:highlight w:val="none"/>
                <w:lang w:val="en-US"/>
              </w:rPr>
              <w:t>6</w:t>
            </w:r>
            <w:r>
              <w:rPr>
                <w:rFonts w:hint="eastAsia" w:ascii="宋体" w:hAnsi="宋体" w:cs="宋体"/>
                <w:color w:val="auto"/>
                <w:szCs w:val="21"/>
                <w:highlight w:val="none"/>
              </w:rPr>
              <w:t>.供应商为联合体的，可以由联合体中的一方或者多方共同缴纳</w:t>
            </w:r>
            <w:r>
              <w:rPr>
                <w:rFonts w:hint="eastAsia"/>
                <w:color w:val="auto"/>
                <w:highlight w:val="none"/>
              </w:rPr>
              <w:t>谈判保证金</w:t>
            </w:r>
            <w:r>
              <w:rPr>
                <w:rFonts w:hint="eastAsia" w:ascii="宋体" w:hAnsi="宋体" w:cs="宋体"/>
                <w:color w:val="auto"/>
                <w:szCs w:val="21"/>
                <w:highlight w:val="none"/>
              </w:rPr>
              <w:t>，其缴纳的谈判保证金对联合体各方均具有约束力。</w:t>
            </w:r>
          </w:p>
          <w:p w14:paraId="680CB472">
            <w:pPr>
              <w:keepNext w:val="0"/>
              <w:keepLines w:val="0"/>
              <w:pageBreakBefore w:val="0"/>
              <w:widowControl w:val="0"/>
              <w:kinsoku/>
              <w:wordWrap/>
              <w:overflowPunct/>
              <w:topLinePunct w:val="0"/>
              <w:bidi w:val="0"/>
              <w:adjustRightInd/>
              <w:snapToGrid w:val="0"/>
              <w:spacing w:line="380" w:lineRule="exact"/>
              <w:rPr>
                <w:rFonts w:ascii="宋体" w:hAnsi="宋体" w:cs="宋体"/>
                <w:b/>
                <w:color w:val="auto"/>
                <w:szCs w:val="21"/>
                <w:highlight w:val="none"/>
              </w:rPr>
            </w:pPr>
            <w:r>
              <w:rPr>
                <w:rFonts w:hint="eastAsia" w:ascii="宋体" w:hAnsi="宋体" w:cs="宋体"/>
                <w:b/>
                <w:color w:val="auto"/>
                <w:szCs w:val="21"/>
                <w:highlight w:val="none"/>
              </w:rPr>
              <w:t xml:space="preserve">备注： </w:t>
            </w:r>
          </w:p>
          <w:p w14:paraId="78B5B1C2">
            <w:pPr>
              <w:keepNext w:val="0"/>
              <w:keepLines w:val="0"/>
              <w:pageBreakBefore w:val="0"/>
              <w:widowControl w:val="0"/>
              <w:kinsoku/>
              <w:wordWrap/>
              <w:overflowPunct/>
              <w:topLinePunct w:val="0"/>
              <w:bidi w:val="0"/>
              <w:adjustRightInd/>
              <w:snapToGrid w:val="0"/>
              <w:spacing w:line="380" w:lineRule="exact"/>
              <w:rPr>
                <w:rFonts w:ascii="宋体" w:hAnsi="宋体" w:cs="宋体"/>
                <w:b/>
                <w:color w:val="auto"/>
                <w:szCs w:val="21"/>
                <w:highlight w:val="none"/>
              </w:rPr>
            </w:pPr>
            <w:r>
              <w:rPr>
                <w:rFonts w:hint="eastAsia" w:ascii="宋体" w:hAnsi="宋体" w:cs="宋体"/>
                <w:b/>
                <w:color w:val="auto"/>
                <w:szCs w:val="21"/>
                <w:highlight w:val="none"/>
              </w:rPr>
              <w:t>1. 首次响应文件提交截止时间后提交的，或者未足额缴纳的，或者保函额度不足的，视为无效谈判保证金。</w:t>
            </w:r>
          </w:p>
          <w:p w14:paraId="71CEAE7A">
            <w:pPr>
              <w:keepNext w:val="0"/>
              <w:keepLines w:val="0"/>
              <w:pageBreakBefore w:val="0"/>
              <w:widowControl w:val="0"/>
              <w:kinsoku/>
              <w:wordWrap/>
              <w:overflowPunct/>
              <w:topLinePunct w:val="0"/>
              <w:bidi w:val="0"/>
              <w:adjustRightInd/>
              <w:snapToGrid w:val="0"/>
              <w:spacing w:line="380" w:lineRule="exact"/>
              <w:rPr>
                <w:rFonts w:ascii="宋体" w:hAnsi="宋体" w:cs="宋体"/>
                <w:b/>
                <w:color w:val="auto"/>
                <w:szCs w:val="21"/>
                <w:highlight w:val="none"/>
              </w:rPr>
            </w:pPr>
            <w:r>
              <w:rPr>
                <w:rFonts w:hint="eastAsia" w:ascii="宋体" w:hAnsi="宋体" w:cs="宋体"/>
                <w:b/>
                <w:color w:val="auto"/>
                <w:szCs w:val="21"/>
                <w:highlight w:val="none"/>
              </w:rPr>
              <w:t>2.供应商采用现金方式或者从个人账户（自然人竞标除外）转出的谈判保证金，视为无效谈判保证金。</w:t>
            </w:r>
          </w:p>
          <w:p w14:paraId="7A69693A">
            <w:pPr>
              <w:keepNext w:val="0"/>
              <w:keepLines w:val="0"/>
              <w:pageBreakBefore w:val="0"/>
              <w:widowControl w:val="0"/>
              <w:kinsoku/>
              <w:wordWrap/>
              <w:overflowPunct/>
              <w:topLinePunct w:val="0"/>
              <w:bidi w:val="0"/>
              <w:adjustRightInd/>
              <w:snapToGrid w:val="0"/>
              <w:spacing w:line="380" w:lineRule="exact"/>
              <w:rPr>
                <w:rFonts w:ascii="宋体" w:hAnsi="宋体" w:cs="宋体"/>
                <w:b/>
                <w:color w:val="auto"/>
                <w:szCs w:val="21"/>
                <w:highlight w:val="none"/>
              </w:rPr>
            </w:pPr>
            <w:r>
              <w:rPr>
                <w:rFonts w:hint="eastAsia" w:ascii="宋体" w:hAnsi="宋体" w:cs="宋体"/>
                <w:b/>
                <w:color w:val="auto"/>
                <w:szCs w:val="21"/>
                <w:highlight w:val="none"/>
              </w:rPr>
              <w:t>3.支票、汇票或者本票出现无效或者背书情形的，视为无效谈判保证金。</w:t>
            </w:r>
          </w:p>
          <w:p w14:paraId="5CF80B17">
            <w:pPr>
              <w:keepNext w:val="0"/>
              <w:keepLines w:val="0"/>
              <w:pageBreakBefore w:val="0"/>
              <w:widowControl w:val="0"/>
              <w:kinsoku/>
              <w:wordWrap/>
              <w:overflowPunct/>
              <w:topLinePunct w:val="0"/>
              <w:bidi w:val="0"/>
              <w:adjustRightInd/>
              <w:snapToGrid w:val="0"/>
              <w:spacing w:line="380" w:lineRule="exact"/>
              <w:rPr>
                <w:rFonts w:ascii="宋体" w:hAnsi="宋体" w:cs="宋体"/>
                <w:b/>
                <w:color w:val="auto"/>
                <w:szCs w:val="21"/>
                <w:highlight w:val="none"/>
              </w:rPr>
            </w:pPr>
            <w:r>
              <w:rPr>
                <w:rFonts w:hint="eastAsia" w:ascii="宋体" w:hAnsi="宋体" w:cs="宋体"/>
                <w:b/>
                <w:color w:val="auto"/>
                <w:szCs w:val="21"/>
                <w:highlight w:val="none"/>
              </w:rPr>
              <w:t>4.保函有效期低于竞标有效期的，视为无效谈判保证金。</w:t>
            </w:r>
          </w:p>
          <w:p w14:paraId="69909336">
            <w:pPr>
              <w:keepNext w:val="0"/>
              <w:keepLines w:val="0"/>
              <w:pageBreakBefore w:val="0"/>
              <w:widowControl w:val="0"/>
              <w:kinsoku/>
              <w:wordWrap/>
              <w:overflowPunct/>
              <w:topLinePunct w:val="0"/>
              <w:autoSpaceDE w:val="0"/>
              <w:autoSpaceDN w:val="0"/>
              <w:bidi w:val="0"/>
              <w:adjustRightInd/>
              <w:snapToGrid w:val="0"/>
              <w:spacing w:line="380" w:lineRule="exact"/>
              <w:textAlignment w:val="bottom"/>
              <w:rPr>
                <w:rFonts w:ascii="宋体" w:hAnsi="宋体" w:eastAsia="宋体" w:cs="Times New Roman"/>
                <w:color w:val="auto"/>
                <w:szCs w:val="21"/>
                <w:highlight w:val="none"/>
              </w:rPr>
            </w:pPr>
            <w:r>
              <w:rPr>
                <w:rFonts w:hint="eastAsia" w:ascii="宋体" w:hAnsi="宋体" w:cs="宋体"/>
                <w:b/>
                <w:color w:val="auto"/>
                <w:szCs w:val="21"/>
                <w:highlight w:val="none"/>
              </w:rPr>
              <w:t>5.谈判保证金采用金融、担保机构出具的保函为有条件保函的，视为无效谈判保证金</w:t>
            </w:r>
            <w:r>
              <w:rPr>
                <w:rFonts w:hint="eastAsia" w:ascii="宋体" w:hAnsi="宋体" w:eastAsia="宋体" w:cs="Times New Roman"/>
                <w:color w:val="auto"/>
                <w:szCs w:val="21"/>
                <w:highlight w:val="none"/>
              </w:rPr>
              <w:t>。</w:t>
            </w:r>
          </w:p>
        </w:tc>
      </w:tr>
      <w:tr w14:paraId="2D6AB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92" w:type="dxa"/>
            <w:vMerge w:val="restart"/>
            <w:vAlign w:val="center"/>
          </w:tcPr>
          <w:p w14:paraId="050FAC15">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2382" w:type="dxa"/>
            <w:vAlign w:val="center"/>
          </w:tcPr>
          <w:p w14:paraId="4F8F3389">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首次响应文件提交截止时间</w:t>
            </w:r>
          </w:p>
        </w:tc>
        <w:tc>
          <w:tcPr>
            <w:tcW w:w="6586" w:type="dxa"/>
            <w:vAlign w:val="center"/>
          </w:tcPr>
          <w:p w14:paraId="62135EA3">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u w:val="single"/>
              </w:rPr>
            </w:pPr>
            <w:r>
              <w:rPr>
                <w:rFonts w:hint="eastAsia" w:ascii="宋体" w:hAnsi="宋体" w:eastAsia="宋体" w:cs="宋体"/>
                <w:color w:val="auto"/>
                <w:szCs w:val="21"/>
                <w:highlight w:val="none"/>
              </w:rPr>
              <w:t>详见竞争性谈判公告。</w:t>
            </w:r>
          </w:p>
        </w:tc>
      </w:tr>
      <w:tr w14:paraId="099E1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92" w:type="dxa"/>
            <w:vMerge w:val="continue"/>
            <w:vAlign w:val="center"/>
          </w:tcPr>
          <w:p w14:paraId="2B9D037D">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2382" w:type="dxa"/>
            <w:vAlign w:val="center"/>
          </w:tcPr>
          <w:p w14:paraId="6303E888">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首次响应文件开启时间</w:t>
            </w:r>
          </w:p>
        </w:tc>
        <w:tc>
          <w:tcPr>
            <w:tcW w:w="6586" w:type="dxa"/>
            <w:vAlign w:val="center"/>
          </w:tcPr>
          <w:p w14:paraId="3EEE0800">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详见竞争性谈判公告。</w:t>
            </w:r>
          </w:p>
        </w:tc>
      </w:tr>
      <w:tr w14:paraId="717BC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92" w:type="dxa"/>
            <w:vMerge w:val="continue"/>
            <w:vAlign w:val="center"/>
          </w:tcPr>
          <w:p w14:paraId="49BD41A2">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2382" w:type="dxa"/>
            <w:vAlign w:val="center"/>
          </w:tcPr>
          <w:p w14:paraId="5817161C">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首次响应文件提交地点</w:t>
            </w:r>
          </w:p>
        </w:tc>
        <w:tc>
          <w:tcPr>
            <w:tcW w:w="6586" w:type="dxa"/>
            <w:vAlign w:val="center"/>
          </w:tcPr>
          <w:p w14:paraId="23DEB187">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u w:val="single"/>
              </w:rPr>
            </w:pPr>
            <w:r>
              <w:rPr>
                <w:rFonts w:hint="eastAsia" w:ascii="宋体" w:hAnsi="宋体" w:eastAsia="宋体" w:cs="宋体"/>
                <w:color w:val="auto"/>
                <w:szCs w:val="21"/>
                <w:highlight w:val="none"/>
              </w:rPr>
              <w:t>详见竞争性谈判公告。</w:t>
            </w:r>
          </w:p>
        </w:tc>
      </w:tr>
      <w:tr w14:paraId="16FD0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92" w:type="dxa"/>
            <w:vAlign w:val="center"/>
          </w:tcPr>
          <w:p w14:paraId="74E60D39">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20.6</w:t>
            </w:r>
          </w:p>
        </w:tc>
        <w:tc>
          <w:tcPr>
            <w:tcW w:w="2382" w:type="dxa"/>
            <w:vAlign w:val="center"/>
          </w:tcPr>
          <w:p w14:paraId="4CBD6D50">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备份响应文件</w:t>
            </w:r>
          </w:p>
        </w:tc>
        <w:tc>
          <w:tcPr>
            <w:tcW w:w="6586" w:type="dxa"/>
            <w:vAlign w:val="center"/>
          </w:tcPr>
          <w:p w14:paraId="149436F4">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rPr>
            </w:pPr>
            <w:r>
              <w:rPr>
                <w:rFonts w:hint="eastAsia" w:ascii="宋体" w:hAnsi="宋体" w:eastAsia="宋体" w:cs="Times New Roman"/>
                <w:color w:val="auto"/>
                <w:szCs w:val="21"/>
                <w:highlight w:val="none"/>
              </w:rPr>
              <w:t>本项目不接受备份响应文件。</w:t>
            </w:r>
          </w:p>
        </w:tc>
      </w:tr>
      <w:tr w14:paraId="67F33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92" w:type="dxa"/>
            <w:vAlign w:val="center"/>
          </w:tcPr>
          <w:p w14:paraId="145BF580">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2</w:t>
            </w:r>
            <w:r>
              <w:rPr>
                <w:rFonts w:ascii="宋体" w:hAnsi="宋体" w:eastAsia="宋体" w:cs="宋体"/>
                <w:color w:val="auto"/>
                <w:szCs w:val="21"/>
                <w:highlight w:val="none"/>
              </w:rPr>
              <w:t>1</w:t>
            </w:r>
          </w:p>
        </w:tc>
        <w:tc>
          <w:tcPr>
            <w:tcW w:w="2382" w:type="dxa"/>
            <w:vAlign w:val="center"/>
          </w:tcPr>
          <w:p w14:paraId="19BD880B">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首次响应文件的补充、修改与撤回</w:t>
            </w:r>
          </w:p>
        </w:tc>
        <w:tc>
          <w:tcPr>
            <w:tcW w:w="6586" w:type="dxa"/>
            <w:vAlign w:val="center"/>
          </w:tcPr>
          <w:p w14:paraId="58211AD9">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详见</w:t>
            </w:r>
            <w:r>
              <w:rPr>
                <w:rFonts w:hint="eastAsia" w:ascii="宋体" w:hAnsi="宋体"/>
                <w:bCs/>
                <w:color w:val="auto"/>
                <w:highlight w:val="none"/>
              </w:rPr>
              <w:t>供应商须知正文</w:t>
            </w:r>
            <w:r>
              <w:rPr>
                <w:rFonts w:hint="eastAsia" w:ascii="宋体" w:hAnsi="宋体" w:eastAsia="宋体" w:cs="宋体"/>
                <w:color w:val="auto"/>
                <w:szCs w:val="21"/>
                <w:highlight w:val="none"/>
              </w:rPr>
              <w:t>。</w:t>
            </w:r>
          </w:p>
        </w:tc>
      </w:tr>
      <w:tr w14:paraId="312DB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Merge w:val="restart"/>
            <w:vAlign w:val="center"/>
          </w:tcPr>
          <w:p w14:paraId="4F4D60C3">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25</w:t>
            </w:r>
          </w:p>
        </w:tc>
        <w:tc>
          <w:tcPr>
            <w:tcW w:w="2382" w:type="dxa"/>
            <w:vAlign w:val="center"/>
          </w:tcPr>
          <w:p w14:paraId="4CE8A692">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负偏离要求</w:t>
            </w:r>
          </w:p>
        </w:tc>
        <w:tc>
          <w:tcPr>
            <w:tcW w:w="6586" w:type="dxa"/>
            <w:vAlign w:val="center"/>
          </w:tcPr>
          <w:p w14:paraId="36D1DE91">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商务条款评审中允许负偏离的条款数为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0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p w14:paraId="31E1E05E">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技术需求评审中允许负偏离的条款数为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1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tc>
      </w:tr>
      <w:tr w14:paraId="33E39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70B32949">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2382" w:type="dxa"/>
            <w:vAlign w:val="center"/>
          </w:tcPr>
          <w:p w14:paraId="1818D347">
            <w:pPr>
              <w:keepNext w:val="0"/>
              <w:keepLines w:val="0"/>
              <w:pageBreakBefore w:val="0"/>
              <w:widowControl w:val="0"/>
              <w:kinsoku/>
              <w:wordWrap/>
              <w:overflowPunct/>
              <w:topLinePunct w:val="0"/>
              <w:bidi w:val="0"/>
              <w:adjustRightInd/>
              <w:snapToGrid w:val="0"/>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谈判的顺序</w:t>
            </w:r>
          </w:p>
          <w:p w14:paraId="7B54D262">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6586" w:type="dxa"/>
            <w:vAlign w:val="center"/>
          </w:tcPr>
          <w:p w14:paraId="2D6A4CC8">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系统自动提取的顺序</w:t>
            </w:r>
          </w:p>
          <w:p w14:paraId="0B2E5C95">
            <w:pPr>
              <w:keepNext w:val="0"/>
              <w:keepLines w:val="0"/>
              <w:pageBreakBefore w:val="0"/>
              <w:widowControl w:val="0"/>
              <w:kinsoku/>
              <w:wordWrap/>
              <w:overflowPunct/>
              <w:topLinePunct w:val="0"/>
              <w:bidi w:val="0"/>
              <w:adjustRightInd/>
              <w:spacing w:line="380" w:lineRule="exact"/>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参与谈判前，谈判小组如有要求，供应商法定代表人或者委托代理人必须通过电脑摄像头向谈判小组出示本人有效证件原件</w:t>
            </w:r>
            <w:r>
              <w:rPr>
                <w:rFonts w:ascii="宋体" w:hAnsi="宋体" w:eastAsia="宋体" w:cs="宋体"/>
                <w:b/>
                <w:color w:val="auto"/>
                <w:szCs w:val="21"/>
                <w:highlight w:val="none"/>
              </w:rPr>
              <w:t>[</w:t>
            </w:r>
            <w:r>
              <w:rPr>
                <w:rFonts w:hint="eastAsia" w:ascii="宋体" w:hAnsi="宋体" w:eastAsia="宋体" w:cs="宋体"/>
                <w:b/>
                <w:color w:val="auto"/>
                <w:szCs w:val="21"/>
                <w:highlight w:val="none"/>
              </w:rPr>
              <w:t>有效证件可以是身份证（含临时身份证明）、机动车驾驶证、社会保障卡或者护照的其中一项]，若参与谈判的委托代理人不是响应文件中授权的委托代理人时，必须同时出示有效的法定代表人授权委托书原件。如无法核实谈判对象有效身份证明的，谈判小组将拒绝其谈判。</w:t>
            </w:r>
          </w:p>
        </w:tc>
      </w:tr>
      <w:tr w14:paraId="50DAF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5FD3A57F">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2382" w:type="dxa"/>
            <w:vAlign w:val="center"/>
          </w:tcPr>
          <w:p w14:paraId="6CFB6424">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评审方法</w:t>
            </w:r>
          </w:p>
        </w:tc>
        <w:tc>
          <w:tcPr>
            <w:tcW w:w="6586" w:type="dxa"/>
            <w:vAlign w:val="center"/>
          </w:tcPr>
          <w:p w14:paraId="5F4D7824">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szCs w:val="21"/>
                <w:highlight w:val="none"/>
              </w:rPr>
            </w:pPr>
            <w:r>
              <w:rPr>
                <w:rFonts w:hint="eastAsia"/>
                <w:color w:val="auto"/>
                <w:highlight w:val="none"/>
              </w:rPr>
              <w:t>本项目采用最低评标价法。最低评标价法是指响应文件满足竞争性谈判文件全部实质性要求且评</w:t>
            </w:r>
            <w:r>
              <w:rPr>
                <w:rFonts w:hint="eastAsia" w:ascii="宋体" w:hAnsi="宋体" w:eastAsia="宋体" w:cs="宋体"/>
                <w:color w:val="auto"/>
                <w:szCs w:val="21"/>
                <w:highlight w:val="none"/>
              </w:rPr>
              <w:t>审价</w:t>
            </w:r>
            <w:r>
              <w:rPr>
                <w:rFonts w:hint="eastAsia"/>
                <w:color w:val="auto"/>
                <w:highlight w:val="none"/>
              </w:rPr>
              <w:t>最低的供应商为成交候选人的评审方法。</w:t>
            </w:r>
          </w:p>
        </w:tc>
      </w:tr>
      <w:tr w14:paraId="0D57F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133DC970">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2382" w:type="dxa"/>
            <w:vAlign w:val="center"/>
          </w:tcPr>
          <w:p w14:paraId="4C1F13F8">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评审价相同时成交原则</w:t>
            </w:r>
          </w:p>
        </w:tc>
        <w:tc>
          <w:tcPr>
            <w:tcW w:w="6586" w:type="dxa"/>
            <w:vAlign w:val="center"/>
          </w:tcPr>
          <w:p w14:paraId="7A4CF55D">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评审价相同时，按照最后报价由低到高顺序依次推荐；最后报价相同时，按以下原则确定成交候选人的顺序：</w:t>
            </w:r>
          </w:p>
          <w:p w14:paraId="2889BF8D">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☑依次按带“▲”的实质性要求正偏离项数多的优先、均无正偏离或者正偏离项数一致时负偏离项数少的优先、</w:t>
            </w:r>
            <w:r>
              <w:rPr>
                <w:rFonts w:hint="eastAsia" w:ascii="宋体" w:hAnsi="宋体" w:eastAsia="宋体" w:cs="宋体"/>
                <w:color w:val="auto"/>
                <w:szCs w:val="21"/>
                <w:highlight w:val="none"/>
                <w:lang w:eastAsia="zh-CN"/>
              </w:rPr>
              <w:t>项目经理具备HCIE</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H3CIE</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CCIE网络</w:t>
            </w:r>
            <w:r>
              <w:rPr>
                <w:rFonts w:hint="eastAsia" w:ascii="宋体" w:hAnsi="宋体" w:eastAsia="宋体" w:cs="宋体"/>
                <w:color w:val="auto"/>
                <w:szCs w:val="21"/>
                <w:highlight w:val="none"/>
                <w:lang w:val="en-US" w:eastAsia="zh-CN"/>
              </w:rPr>
              <w:t>认证</w:t>
            </w:r>
            <w:r>
              <w:rPr>
                <w:rFonts w:hint="eastAsia" w:ascii="宋体" w:hAnsi="宋体" w:eastAsia="宋体" w:cs="宋体"/>
                <w:color w:val="auto"/>
                <w:szCs w:val="21"/>
                <w:highlight w:val="none"/>
                <w:lang w:eastAsia="zh-CN"/>
              </w:rPr>
              <w:t>或同等级</w:t>
            </w:r>
            <w:r>
              <w:rPr>
                <w:rFonts w:hint="eastAsia" w:ascii="宋体" w:hAnsi="宋体" w:eastAsia="宋体" w:cs="宋体"/>
                <w:color w:val="auto"/>
                <w:szCs w:val="21"/>
                <w:highlight w:val="none"/>
                <w:lang w:val="en-US" w:eastAsia="zh-CN"/>
              </w:rPr>
              <w:t>网络</w:t>
            </w:r>
            <w:r>
              <w:rPr>
                <w:rFonts w:hint="eastAsia" w:ascii="宋体" w:hAnsi="宋体" w:eastAsia="宋体" w:cs="宋体"/>
                <w:color w:val="auto"/>
                <w:szCs w:val="21"/>
                <w:highlight w:val="none"/>
                <w:lang w:eastAsia="zh-CN"/>
              </w:rPr>
              <w:t>认证优先、</w:t>
            </w:r>
            <w:r>
              <w:rPr>
                <w:rFonts w:hint="eastAsia" w:ascii="宋体" w:hAnsi="宋体" w:eastAsia="宋体" w:cs="宋体"/>
                <w:color w:val="auto"/>
                <w:szCs w:val="21"/>
                <w:highlight w:val="none"/>
              </w:rPr>
              <w:t>质量保证期长优先、交付时间短优先、故障响应时间短优先</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节能、环保产品累计项数多的优先的顺序排列。</w:t>
            </w:r>
          </w:p>
          <w:p w14:paraId="1F999D65">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□由谈判小组推荐代表随机抽取。</w:t>
            </w:r>
          </w:p>
        </w:tc>
      </w:tr>
      <w:tr w14:paraId="60D1D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1DC7D83">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ascii="宋体" w:hAnsi="宋体" w:eastAsia="宋体" w:cs="宋体"/>
                <w:color w:val="auto"/>
                <w:szCs w:val="21"/>
                <w:highlight w:val="none"/>
              </w:rPr>
              <w:t>2</w:t>
            </w:r>
            <w:r>
              <w:rPr>
                <w:rFonts w:hint="eastAsia" w:ascii="宋体" w:hAnsi="宋体" w:eastAsia="宋体" w:cs="宋体"/>
                <w:color w:val="auto"/>
                <w:szCs w:val="21"/>
                <w:highlight w:val="none"/>
              </w:rPr>
              <w:t>7</w:t>
            </w:r>
          </w:p>
        </w:tc>
        <w:tc>
          <w:tcPr>
            <w:tcW w:w="2382" w:type="dxa"/>
            <w:vAlign w:val="center"/>
          </w:tcPr>
          <w:p w14:paraId="02FBEDF3">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履约保证金</w:t>
            </w:r>
          </w:p>
        </w:tc>
        <w:tc>
          <w:tcPr>
            <w:tcW w:w="6586" w:type="dxa"/>
            <w:vAlign w:val="center"/>
          </w:tcPr>
          <w:p w14:paraId="5754914F">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b/>
                <w:bCs/>
                <w:color w:val="auto"/>
                <w:szCs w:val="21"/>
                <w:highlight w:val="none"/>
              </w:rPr>
              <w:t>本项目不需要</w:t>
            </w:r>
            <w:r>
              <w:rPr>
                <w:rFonts w:hint="eastAsia" w:ascii="宋体" w:hAnsi="宋体" w:cs="宋体"/>
                <w:b/>
                <w:bCs/>
                <w:color w:val="auto"/>
                <w:szCs w:val="21"/>
                <w:highlight w:val="none"/>
              </w:rPr>
              <w:t>缴</w:t>
            </w:r>
            <w:r>
              <w:rPr>
                <w:rFonts w:hint="eastAsia" w:ascii="宋体" w:hAnsi="宋体" w:cs="宋体"/>
                <w:b/>
                <w:bCs/>
                <w:color w:val="auto"/>
                <w:kern w:val="0"/>
                <w:szCs w:val="21"/>
                <w:highlight w:val="none"/>
              </w:rPr>
              <w:t>纳</w:t>
            </w:r>
            <w:r>
              <w:rPr>
                <w:rFonts w:hint="eastAsia" w:cs="宋体"/>
                <w:b/>
                <w:bCs/>
                <w:color w:val="auto"/>
                <w:szCs w:val="21"/>
                <w:highlight w:val="none"/>
              </w:rPr>
              <w:t>履约</w:t>
            </w:r>
            <w:r>
              <w:rPr>
                <w:rFonts w:hint="eastAsia" w:ascii="宋体" w:hAnsi="宋体"/>
                <w:b/>
                <w:bCs/>
                <w:color w:val="auto"/>
                <w:szCs w:val="21"/>
                <w:highlight w:val="none"/>
              </w:rPr>
              <w:t xml:space="preserve">保证金。 </w:t>
            </w:r>
          </w:p>
        </w:tc>
      </w:tr>
      <w:tr w14:paraId="01D4D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7B7B24E">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ascii="宋体" w:hAnsi="宋体" w:eastAsia="宋体" w:cs="宋体"/>
                <w:color w:val="auto"/>
                <w:szCs w:val="21"/>
                <w:highlight w:val="none"/>
              </w:rPr>
              <w:t>2</w:t>
            </w:r>
            <w:r>
              <w:rPr>
                <w:rFonts w:hint="eastAsia" w:ascii="宋体" w:hAnsi="宋体" w:eastAsia="宋体" w:cs="宋体"/>
                <w:color w:val="auto"/>
                <w:szCs w:val="21"/>
                <w:highlight w:val="none"/>
              </w:rPr>
              <w:t>8</w:t>
            </w:r>
            <w:r>
              <w:rPr>
                <w:rFonts w:ascii="宋体" w:hAnsi="宋体" w:eastAsia="宋体" w:cs="宋体"/>
                <w:color w:val="auto"/>
                <w:szCs w:val="21"/>
                <w:highlight w:val="none"/>
              </w:rPr>
              <w:t>.</w:t>
            </w:r>
            <w:r>
              <w:rPr>
                <w:rFonts w:hint="eastAsia" w:ascii="宋体" w:hAnsi="宋体" w:eastAsia="宋体" w:cs="宋体"/>
                <w:color w:val="auto"/>
                <w:szCs w:val="21"/>
                <w:highlight w:val="none"/>
              </w:rPr>
              <w:t>5</w:t>
            </w:r>
          </w:p>
        </w:tc>
        <w:tc>
          <w:tcPr>
            <w:tcW w:w="2382" w:type="dxa"/>
            <w:vAlign w:val="center"/>
          </w:tcPr>
          <w:p w14:paraId="1C7912D6">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Times New Roman"/>
                <w:color w:val="auto"/>
                <w:szCs w:val="21"/>
                <w:highlight w:val="none"/>
              </w:rPr>
              <w:t>签订合同携带的材料</w:t>
            </w:r>
          </w:p>
        </w:tc>
        <w:tc>
          <w:tcPr>
            <w:tcW w:w="6586" w:type="dxa"/>
            <w:vAlign w:val="center"/>
          </w:tcPr>
          <w:p w14:paraId="5BE4B7E6">
            <w:pPr>
              <w:keepNext w:val="0"/>
              <w:keepLines w:val="0"/>
              <w:pageBreakBefore w:val="0"/>
              <w:widowControl w:val="0"/>
              <w:kinsoku/>
              <w:wordWrap/>
              <w:overflowPunct/>
              <w:topLinePunct w:val="0"/>
              <w:autoSpaceDE w:val="0"/>
              <w:autoSpaceDN w:val="0"/>
              <w:bidi w:val="0"/>
              <w:adjustRightInd/>
              <w:snapToGrid w:val="0"/>
              <w:spacing w:line="380" w:lineRule="exact"/>
              <w:textAlignment w:val="bottom"/>
              <w:rPr>
                <w:rFonts w:ascii="宋体" w:hAnsi="宋体" w:eastAsia="宋体" w:cs="宋体"/>
                <w:color w:val="auto"/>
                <w:szCs w:val="21"/>
                <w:highlight w:val="none"/>
              </w:rPr>
            </w:pPr>
            <w:r>
              <w:rPr>
                <w:rFonts w:hint="eastAsia" w:ascii="宋体" w:hAnsi="宋体" w:eastAsia="宋体" w:cs="宋体"/>
                <w:color w:val="auto"/>
                <w:szCs w:val="21"/>
                <w:highlight w:val="none"/>
              </w:rPr>
              <w:t>委托代理人负责签订合同的，须携带有效的法定代表人授权委托书及其委托代理人身份证原件等其他资格证件。</w:t>
            </w:r>
          </w:p>
          <w:p w14:paraId="4C5BFE8A">
            <w:pPr>
              <w:pStyle w:val="13"/>
              <w:keepNext w:val="0"/>
              <w:keepLines w:val="0"/>
              <w:pageBreakBefore w:val="0"/>
              <w:widowControl w:val="0"/>
              <w:kinsoku/>
              <w:wordWrap/>
              <w:overflowPunct/>
              <w:topLinePunct w:val="0"/>
              <w:bidi w:val="0"/>
              <w:adjustRightInd/>
              <w:spacing w:line="380" w:lineRule="exact"/>
              <w:rPr>
                <w:color w:val="auto"/>
                <w:highlight w:val="none"/>
              </w:rPr>
            </w:pPr>
            <w:r>
              <w:rPr>
                <w:rFonts w:hint="eastAsia" w:ascii="宋体" w:hAnsi="宋体" w:cs="宋体"/>
                <w:color w:val="auto"/>
                <w:szCs w:val="21"/>
                <w:highlight w:val="none"/>
              </w:rPr>
              <w:t>法定代表人负责签订合同的，须携带法定代表人身份证明原件及身份证原件等其他证明材料。</w:t>
            </w:r>
          </w:p>
        </w:tc>
      </w:tr>
      <w:tr w14:paraId="73B13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restart"/>
            <w:vAlign w:val="center"/>
          </w:tcPr>
          <w:p w14:paraId="093335D6">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30</w:t>
            </w:r>
            <w:r>
              <w:rPr>
                <w:rFonts w:ascii="宋体" w:hAnsi="宋体" w:eastAsia="宋体" w:cs="宋体"/>
                <w:color w:val="auto"/>
                <w:szCs w:val="21"/>
                <w:highlight w:val="none"/>
              </w:rPr>
              <w:t>.2</w:t>
            </w:r>
          </w:p>
        </w:tc>
        <w:tc>
          <w:tcPr>
            <w:tcW w:w="2382" w:type="dxa"/>
            <w:vAlign w:val="center"/>
          </w:tcPr>
          <w:p w14:paraId="3365BC20">
            <w:pPr>
              <w:keepNext w:val="0"/>
              <w:keepLines w:val="0"/>
              <w:pageBreakBefore w:val="0"/>
              <w:widowControl w:val="0"/>
              <w:kinsoku/>
              <w:wordWrap/>
              <w:overflowPunct/>
              <w:topLinePunct w:val="0"/>
              <w:bidi w:val="0"/>
              <w:adjustRightInd/>
              <w:spacing w:line="3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接收质疑函方式</w:t>
            </w:r>
          </w:p>
        </w:tc>
        <w:tc>
          <w:tcPr>
            <w:tcW w:w="6586" w:type="dxa"/>
            <w:vAlign w:val="center"/>
          </w:tcPr>
          <w:p w14:paraId="755E8CBC">
            <w:pPr>
              <w:keepNext w:val="0"/>
              <w:keepLines w:val="0"/>
              <w:pageBreakBefore w:val="0"/>
              <w:widowControl w:val="0"/>
              <w:kinsoku/>
              <w:wordWrap/>
              <w:overflowPunct/>
              <w:topLinePunct w:val="0"/>
              <w:bidi w:val="0"/>
              <w:adjustRightInd/>
              <w:snapToGrid w:val="0"/>
              <w:spacing w:line="3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以书面形式</w:t>
            </w:r>
          </w:p>
        </w:tc>
      </w:tr>
      <w:tr w14:paraId="3AE3E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15B6F003">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2382" w:type="dxa"/>
            <w:vAlign w:val="center"/>
          </w:tcPr>
          <w:p w14:paraId="3CDC1C22">
            <w:pPr>
              <w:keepNext w:val="0"/>
              <w:keepLines w:val="0"/>
              <w:pageBreakBefore w:val="0"/>
              <w:widowControl w:val="0"/>
              <w:kinsoku/>
              <w:wordWrap/>
              <w:overflowPunct/>
              <w:topLinePunct w:val="0"/>
              <w:bidi w:val="0"/>
              <w:adjustRightInd/>
              <w:spacing w:line="3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质疑联系部门及联系方式</w:t>
            </w:r>
          </w:p>
        </w:tc>
        <w:tc>
          <w:tcPr>
            <w:tcW w:w="6586" w:type="dxa"/>
            <w:vAlign w:val="center"/>
          </w:tcPr>
          <w:p w14:paraId="1DC58DC9">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名称：</w:t>
            </w:r>
            <w:bookmarkStart w:id="72" w:name="PO_3000001867_PM031_3"/>
            <w:r>
              <w:rPr>
                <w:rFonts w:hint="eastAsia" w:ascii="宋体" w:hAnsi="宋体" w:eastAsia="宋体" w:cs="宋体"/>
                <w:color w:val="auto"/>
                <w:szCs w:val="21"/>
                <w:highlight w:val="none"/>
              </w:rPr>
              <w:t>广西科联招标中心有限公司</w:t>
            </w:r>
            <w:bookmarkEnd w:id="72"/>
          </w:p>
          <w:p w14:paraId="7070DE95">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联系电话：0771-3486228</w:t>
            </w:r>
          </w:p>
          <w:p w14:paraId="5665B7BE">
            <w:pPr>
              <w:keepNext w:val="0"/>
              <w:keepLines w:val="0"/>
              <w:pageBreakBefore w:val="0"/>
              <w:widowControl w:val="0"/>
              <w:kinsoku/>
              <w:wordWrap/>
              <w:overflowPunct/>
              <w:topLinePunct w:val="0"/>
              <w:bidi w:val="0"/>
              <w:adjustRightInd/>
              <w:snapToGrid w:val="0"/>
              <w:spacing w:line="380" w:lineRule="exact"/>
              <w:rPr>
                <w:rFonts w:ascii="宋体" w:hAnsi="宋体" w:eastAsia="宋体" w:cs="Times New Roman"/>
                <w:color w:val="auto"/>
                <w:szCs w:val="21"/>
                <w:highlight w:val="none"/>
              </w:rPr>
            </w:pPr>
            <w:r>
              <w:rPr>
                <w:rFonts w:hint="eastAsia" w:ascii="宋体" w:hAnsi="宋体" w:eastAsia="宋体" w:cs="宋体"/>
                <w:color w:val="auto"/>
                <w:szCs w:val="21"/>
                <w:highlight w:val="none"/>
              </w:rPr>
              <w:t>通讯地址：广西科联招标中心有限公司103室（广西南宁市大学东路170号广西农机研究院内）</w:t>
            </w:r>
          </w:p>
        </w:tc>
      </w:tr>
      <w:tr w14:paraId="0375C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3DC445C5">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2382" w:type="dxa"/>
            <w:vAlign w:val="center"/>
          </w:tcPr>
          <w:p w14:paraId="48BD6BEB">
            <w:pPr>
              <w:keepNext w:val="0"/>
              <w:keepLines w:val="0"/>
              <w:pageBreakBefore w:val="0"/>
              <w:widowControl w:val="0"/>
              <w:kinsoku/>
              <w:wordWrap/>
              <w:overflowPunct/>
              <w:topLinePunct w:val="0"/>
              <w:bidi w:val="0"/>
              <w:adjustRightInd/>
              <w:spacing w:line="380" w:lineRule="exact"/>
              <w:jc w:val="center"/>
              <w:rPr>
                <w:rFonts w:ascii="宋体" w:hAnsi="宋体" w:eastAsia="宋体" w:cs="Times New Roman"/>
                <w:color w:val="auto"/>
                <w:szCs w:val="21"/>
                <w:highlight w:val="none"/>
              </w:rPr>
            </w:pPr>
            <w:r>
              <w:rPr>
                <w:rFonts w:hint="eastAsia" w:ascii="Times New Roman" w:hAnsi="宋体" w:eastAsia="宋体" w:cs="Times New Roman"/>
                <w:color w:val="auto"/>
                <w:szCs w:val="24"/>
                <w:highlight w:val="none"/>
              </w:rPr>
              <w:t>现场提交质疑办理业务时间</w:t>
            </w:r>
          </w:p>
        </w:tc>
        <w:tc>
          <w:tcPr>
            <w:tcW w:w="6586" w:type="dxa"/>
            <w:vAlign w:val="center"/>
          </w:tcPr>
          <w:p w14:paraId="38A61B2A">
            <w:pPr>
              <w:keepNext w:val="0"/>
              <w:keepLines w:val="0"/>
              <w:pageBreakBefore w:val="0"/>
              <w:widowControl w:val="0"/>
              <w:kinsoku/>
              <w:wordWrap/>
              <w:overflowPunct/>
              <w:topLinePunct w:val="0"/>
              <w:bidi w:val="0"/>
              <w:adjustRightInd/>
              <w:snapToGrid w:val="0"/>
              <w:spacing w:line="380" w:lineRule="exact"/>
              <w:rPr>
                <w:rFonts w:ascii="宋体" w:hAnsi="宋体" w:eastAsia="宋体" w:cs="Times New Roman"/>
                <w:color w:val="auto"/>
                <w:szCs w:val="21"/>
                <w:highlight w:val="none"/>
              </w:rPr>
            </w:pPr>
            <w:r>
              <w:rPr>
                <w:rFonts w:hint="eastAsia" w:ascii="Times New Roman" w:hAnsi="宋体" w:eastAsia="宋体" w:cs="Times New Roman"/>
                <w:color w:val="auto"/>
                <w:szCs w:val="24"/>
                <w:highlight w:val="none"/>
              </w:rPr>
              <w:t>质疑期内每个工作日</w:t>
            </w:r>
            <w:r>
              <w:rPr>
                <w:rFonts w:hint="eastAsia" w:ascii="宋体" w:hAnsi="宋体" w:eastAsia="宋体" w:cs="宋体"/>
                <w:color w:val="auto"/>
                <w:highlight w:val="none"/>
              </w:rPr>
              <w:t>（北京时间）上午</w:t>
            </w:r>
            <w:r>
              <w:rPr>
                <w:rFonts w:hint="eastAsia" w:ascii="宋体" w:hAnsi="宋体" w:eastAsia="宋体" w:cs="宋体"/>
                <w:color w:val="auto"/>
                <w:highlight w:val="none"/>
                <w:u w:val="single"/>
              </w:rPr>
              <w:t>8</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12</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分，下午</w:t>
            </w:r>
            <w:r>
              <w:rPr>
                <w:rFonts w:hint="eastAsia" w:ascii="宋体" w:hAnsi="宋体" w:eastAsia="宋体" w:cs="宋体"/>
                <w:color w:val="auto"/>
                <w:highlight w:val="none"/>
                <w:u w:val="single"/>
              </w:rPr>
              <w:t>15</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18</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w:t>
            </w:r>
            <w:r>
              <w:rPr>
                <w:rFonts w:hint="eastAsia" w:ascii="Calibri"/>
                <w:color w:val="auto"/>
                <w:highlight w:val="none"/>
              </w:rPr>
              <w:t>。</w:t>
            </w:r>
          </w:p>
        </w:tc>
      </w:tr>
      <w:tr w14:paraId="7275C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B858AC5">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30.6</w:t>
            </w:r>
          </w:p>
        </w:tc>
        <w:tc>
          <w:tcPr>
            <w:tcW w:w="2382" w:type="dxa"/>
            <w:vAlign w:val="center"/>
          </w:tcPr>
          <w:p w14:paraId="3B84A0B3">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受理投诉方式</w:t>
            </w:r>
          </w:p>
        </w:tc>
        <w:tc>
          <w:tcPr>
            <w:tcW w:w="6586" w:type="dxa"/>
            <w:vAlign w:val="center"/>
          </w:tcPr>
          <w:p w14:paraId="025E1906">
            <w:pPr>
              <w:keepNext w:val="0"/>
              <w:keepLines w:val="0"/>
              <w:pageBreakBefore w:val="0"/>
              <w:widowControl w:val="0"/>
              <w:kinsoku/>
              <w:wordWrap/>
              <w:overflowPunct/>
              <w:topLinePunct w:val="0"/>
              <w:bidi w:val="0"/>
              <w:adjustRightInd/>
              <w:snapToGrid w:val="0"/>
              <w:spacing w:line="3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1.受理方式：纸质方式受理，投诉书正、副本（经过质疑的事项才可投诉）。</w:t>
            </w:r>
          </w:p>
          <w:p w14:paraId="04A86713">
            <w:pPr>
              <w:keepNext w:val="0"/>
              <w:keepLines w:val="0"/>
              <w:pageBreakBefore w:val="0"/>
              <w:widowControl w:val="0"/>
              <w:kinsoku/>
              <w:wordWrap/>
              <w:overflowPunct/>
              <w:topLinePunct w:val="0"/>
              <w:bidi w:val="0"/>
              <w:adjustRightInd/>
              <w:snapToGrid w:val="0"/>
              <w:spacing w:line="3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2.通讯方式</w:t>
            </w:r>
          </w:p>
          <w:p w14:paraId="1E339583">
            <w:pPr>
              <w:keepNext w:val="0"/>
              <w:keepLines w:val="0"/>
              <w:pageBreakBefore w:val="0"/>
              <w:widowControl w:val="0"/>
              <w:kinsoku/>
              <w:wordWrap/>
              <w:overflowPunct/>
              <w:topLinePunct w:val="0"/>
              <w:bidi w:val="0"/>
              <w:adjustRightInd/>
              <w:snapToGrid w:val="0"/>
              <w:spacing w:line="3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名称：</w:t>
            </w:r>
            <w:bookmarkStart w:id="73" w:name="PO_3000001867_PM036"/>
            <w:r>
              <w:rPr>
                <w:rFonts w:hint="eastAsia" w:ascii="宋体" w:hAnsi="宋体" w:eastAsia="宋体" w:cs="Times New Roman"/>
                <w:color w:val="auto"/>
                <w:szCs w:val="21"/>
                <w:highlight w:val="none"/>
              </w:rPr>
              <w:t>广西壮族自治区财政厅政府采购监督管理</w:t>
            </w:r>
            <w:bookmarkEnd w:id="73"/>
            <w:r>
              <w:rPr>
                <w:rFonts w:hint="eastAsia" w:ascii="宋体" w:hAnsi="宋体" w:eastAsia="宋体" w:cs="Times New Roman"/>
                <w:color w:val="auto"/>
                <w:szCs w:val="21"/>
                <w:highlight w:val="none"/>
              </w:rPr>
              <w:t>处</w:t>
            </w:r>
          </w:p>
          <w:p w14:paraId="0B80166E">
            <w:pPr>
              <w:keepNext w:val="0"/>
              <w:keepLines w:val="0"/>
              <w:pageBreakBefore w:val="0"/>
              <w:widowControl w:val="0"/>
              <w:kinsoku/>
              <w:wordWrap/>
              <w:overflowPunct/>
              <w:topLinePunct w:val="0"/>
              <w:bidi w:val="0"/>
              <w:adjustRightInd/>
              <w:snapToGrid w:val="0"/>
              <w:spacing w:line="3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地址：南宁市桃源路69号广西财政大厦7楼</w:t>
            </w:r>
          </w:p>
          <w:p w14:paraId="72B0B1C4">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Times New Roman"/>
                <w:color w:val="auto"/>
                <w:szCs w:val="21"/>
                <w:highlight w:val="none"/>
              </w:rPr>
              <w:t>联系电话：</w:t>
            </w:r>
            <w:bookmarkStart w:id="74" w:name="PO_3000001867_PM038"/>
            <w:r>
              <w:rPr>
                <w:rFonts w:hint="eastAsia" w:ascii="宋体" w:hAnsi="宋体" w:eastAsia="宋体" w:cs="Times New Roman"/>
                <w:color w:val="auto"/>
                <w:szCs w:val="21"/>
                <w:highlight w:val="none"/>
              </w:rPr>
              <w:t>0771-</w:t>
            </w:r>
            <w:bookmarkEnd w:id="74"/>
            <w:r>
              <w:rPr>
                <w:rFonts w:hint="eastAsia" w:ascii="宋体" w:hAnsi="宋体" w:eastAsia="宋体" w:cs="Times New Roman"/>
                <w:color w:val="auto"/>
                <w:szCs w:val="21"/>
                <w:highlight w:val="none"/>
              </w:rPr>
              <w:t>5331544</w:t>
            </w:r>
          </w:p>
        </w:tc>
      </w:tr>
      <w:tr w14:paraId="773E1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266CFAA">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ascii="宋体" w:hAnsi="宋体" w:eastAsia="宋体" w:cs="宋体"/>
                <w:color w:val="auto"/>
                <w:szCs w:val="21"/>
                <w:highlight w:val="none"/>
              </w:rPr>
              <w:t>3</w:t>
            </w:r>
            <w:r>
              <w:rPr>
                <w:rFonts w:hint="eastAsia" w:ascii="宋体" w:hAnsi="宋体" w:eastAsia="宋体" w:cs="宋体"/>
                <w:color w:val="auto"/>
                <w:szCs w:val="21"/>
                <w:highlight w:val="none"/>
              </w:rPr>
              <w:t>2</w:t>
            </w:r>
          </w:p>
        </w:tc>
        <w:tc>
          <w:tcPr>
            <w:tcW w:w="2382" w:type="dxa"/>
            <w:vAlign w:val="center"/>
          </w:tcPr>
          <w:p w14:paraId="71EB8F9B">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采购代理服务费</w:t>
            </w:r>
          </w:p>
        </w:tc>
        <w:tc>
          <w:tcPr>
            <w:tcW w:w="6586" w:type="dxa"/>
            <w:vAlign w:val="center"/>
          </w:tcPr>
          <w:p w14:paraId="6734AE5D">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 是否收取采购代理服务费：</w:t>
            </w:r>
          </w:p>
          <w:p w14:paraId="76591057">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☑是    □ 否</w:t>
            </w:r>
          </w:p>
          <w:p w14:paraId="0A9045C1">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2.采购代理服务费支付方式：</w:t>
            </w:r>
          </w:p>
          <w:p w14:paraId="7B5FCC21">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☑本项目采购代理服务费由</w:t>
            </w:r>
            <w:r>
              <w:rPr>
                <w:rFonts w:hint="eastAsia" w:ascii="宋体" w:hAnsi="宋体" w:eastAsia="宋体" w:cs="宋体"/>
                <w:color w:val="auto"/>
                <w:kern w:val="0"/>
                <w:szCs w:val="21"/>
                <w:highlight w:val="none"/>
                <w:u w:val="single"/>
              </w:rPr>
              <w:t>成交供应商</w:t>
            </w:r>
            <w:r>
              <w:rPr>
                <w:rFonts w:hint="eastAsia" w:ascii="宋体" w:hAnsi="宋体" w:eastAsia="宋体" w:cs="宋体"/>
                <w:color w:val="auto"/>
                <w:kern w:val="0"/>
                <w:szCs w:val="21"/>
                <w:highlight w:val="none"/>
              </w:rPr>
              <w:t>在签订合同前，</w:t>
            </w:r>
            <w:r>
              <w:rPr>
                <w:rFonts w:hint="eastAsia" w:ascii="宋体" w:hAnsi="宋体" w:eastAsia="宋体" w:cs="宋体"/>
                <w:color w:val="auto"/>
                <w:highlight w:val="none"/>
              </w:rPr>
              <w:t>以银行转账、电汇等方式</w:t>
            </w:r>
            <w:r>
              <w:rPr>
                <w:rFonts w:hint="eastAsia" w:ascii="宋体" w:hAnsi="宋体" w:eastAsia="宋体" w:cs="宋体"/>
                <w:color w:val="auto"/>
                <w:kern w:val="0"/>
                <w:szCs w:val="21"/>
                <w:highlight w:val="none"/>
              </w:rPr>
              <w:t>一次性向采购代理机构支付。</w:t>
            </w:r>
          </w:p>
          <w:p w14:paraId="285F8D12">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3.采购代理费收取标准：</w:t>
            </w:r>
          </w:p>
          <w:p w14:paraId="4D4323A7">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bookmarkStart w:id="75" w:name="PO_3000001871_PM025"/>
            <w:r>
              <w:rPr>
                <w:rFonts w:hint="eastAsia" w:ascii="宋体" w:hAnsi="宋体" w:eastAsia="宋体" w:cs="宋体"/>
                <w:color w:val="auto"/>
                <w:kern w:val="0"/>
                <w:szCs w:val="21"/>
                <w:highlight w:val="none"/>
              </w:rPr>
              <w:t>☑以项目（☑成交总金额/□采购预算/□暂定成交金额/□其他</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）为计费额，按</w:t>
            </w:r>
            <w:r>
              <w:rPr>
                <w:rFonts w:hint="eastAsia" w:ascii="宋体" w:hAnsi="宋体" w:eastAsia="宋体" w:cs="宋体"/>
                <w:color w:val="auto"/>
                <w:highlight w:val="none"/>
              </w:rPr>
              <w:t>本须知正文第32.2条规定的收费计算标准</w:t>
            </w:r>
            <w:r>
              <w:rPr>
                <w:rFonts w:hint="eastAsia" w:ascii="宋体" w:hAnsi="宋体" w:eastAsia="宋体" w:cs="宋体"/>
                <w:color w:val="auto"/>
                <w:kern w:val="0"/>
                <w:szCs w:val="21"/>
                <w:highlight w:val="none"/>
              </w:rPr>
              <w:t>采用差额定率累进法计算出收费基准价格，采购代理机构收费以（</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收费基准价格/</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收费基准价格下浮</w:t>
            </w:r>
            <w:r>
              <w:rPr>
                <w:rFonts w:hint="eastAsia" w:ascii="宋体" w:hAnsi="宋体" w:eastAsia="宋体" w:cs="宋体"/>
                <w:color w:val="auto"/>
                <w:kern w:val="0"/>
                <w:szCs w:val="21"/>
                <w:highlight w:val="none"/>
                <w:u w:val="single"/>
                <w:lang w:val="en-US" w:eastAsia="zh-CN"/>
              </w:rPr>
              <w:t xml:space="preserve"> </w:t>
            </w:r>
            <w:r>
              <w:rPr>
                <w:rFonts w:hint="eastAsia" w:ascii="宋体" w:hAnsi="宋体" w:eastAsia="宋体" w:cs="宋体"/>
                <w:color w:val="auto"/>
                <w:kern w:val="0"/>
                <w:szCs w:val="21"/>
                <w:highlight w:val="none"/>
                <w:u w:val="single"/>
                <w:lang w:val="en-US" w:eastAsia="zh-CN"/>
              </w:rPr>
              <w:t>10</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/□收费基准价格上浮</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）收取。</w:t>
            </w:r>
            <w:bookmarkEnd w:id="75"/>
          </w:p>
          <w:p w14:paraId="56C36486">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highlight w:val="none"/>
              </w:rPr>
            </w:pPr>
            <w:r>
              <w:rPr>
                <w:rFonts w:hint="eastAsia" w:ascii="宋体" w:hAnsi="宋体" w:eastAsia="宋体" w:cs="宋体"/>
                <w:color w:val="auto"/>
                <w:kern w:val="0"/>
                <w:szCs w:val="21"/>
                <w:highlight w:val="none"/>
              </w:rPr>
              <w:t>□固定采购代理收费：</w:t>
            </w:r>
            <w:r>
              <w:rPr>
                <w:rFonts w:hint="eastAsia" w:ascii="宋体" w:hAnsi="宋体" w:eastAsia="宋体" w:cs="宋体"/>
                <w:color w:val="auto"/>
                <w:kern w:val="0"/>
                <w:szCs w:val="21"/>
                <w:highlight w:val="none"/>
                <w:u w:val="single"/>
              </w:rPr>
              <w:t xml:space="preserve">           。</w:t>
            </w:r>
          </w:p>
          <w:p w14:paraId="5378F5C4">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4. 采购代理服务费收取银行账户的信息</w:t>
            </w:r>
          </w:p>
          <w:p w14:paraId="25C74F1A">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开户名称：广西科联招标中心有限公司</w:t>
            </w:r>
          </w:p>
          <w:p w14:paraId="7EC168BF">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开户银行：中国工商银行南宁市高新科技支行</w:t>
            </w:r>
          </w:p>
          <w:p w14:paraId="26263E8A">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银行账号：2102111229300032105</w:t>
            </w:r>
          </w:p>
        </w:tc>
      </w:tr>
      <w:tr w14:paraId="150FF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4DFD1E3">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33</w:t>
            </w:r>
            <w:r>
              <w:rPr>
                <w:rFonts w:ascii="宋体" w:hAnsi="宋体" w:eastAsia="宋体" w:cs="宋体"/>
                <w:color w:val="auto"/>
                <w:szCs w:val="21"/>
                <w:highlight w:val="none"/>
              </w:rPr>
              <w:t>.1</w:t>
            </w:r>
          </w:p>
        </w:tc>
        <w:tc>
          <w:tcPr>
            <w:tcW w:w="2382" w:type="dxa"/>
            <w:vAlign w:val="center"/>
          </w:tcPr>
          <w:p w14:paraId="4178BEE6">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Times New Roman" w:hAnsi="宋体" w:eastAsia="宋体" w:cs="Times New Roman"/>
                <w:color w:val="auto"/>
                <w:szCs w:val="24"/>
                <w:highlight w:val="none"/>
              </w:rPr>
              <w:t>解释</w:t>
            </w:r>
          </w:p>
        </w:tc>
        <w:tc>
          <w:tcPr>
            <w:tcW w:w="6586" w:type="dxa"/>
            <w:vAlign w:val="center"/>
          </w:tcPr>
          <w:p w14:paraId="16E58699">
            <w:pPr>
              <w:keepNext w:val="0"/>
              <w:keepLines w:val="0"/>
              <w:pageBreakBefore w:val="0"/>
              <w:widowControl w:val="0"/>
              <w:tabs>
                <w:tab w:val="left" w:pos="1080"/>
              </w:tabs>
              <w:kinsoku/>
              <w:wordWrap/>
              <w:overflowPunct/>
              <w:topLinePunct w:val="0"/>
              <w:bidi w:val="0"/>
              <w:adjustRightInd/>
              <w:spacing w:line="380" w:lineRule="exact"/>
              <w:rPr>
                <w:rFonts w:ascii="宋体" w:hAnsi="宋体" w:eastAsia="宋体" w:cs="Times New Roman"/>
                <w:b/>
                <w:color w:val="auto"/>
                <w:kern w:val="0"/>
                <w:szCs w:val="21"/>
                <w:highlight w:val="none"/>
              </w:rPr>
            </w:pPr>
            <w:r>
              <w:rPr>
                <w:rFonts w:hint="eastAsia" w:ascii="宋体" w:hAnsi="宋体" w:eastAsia="宋体" w:cs="Times New Roman"/>
                <w:b/>
                <w:color w:val="auto"/>
                <w:kern w:val="0"/>
                <w:szCs w:val="21"/>
                <w:highlight w:val="none"/>
              </w:rPr>
              <w:t>解释：</w:t>
            </w:r>
            <w:r>
              <w:rPr>
                <w:rFonts w:ascii="宋体" w:hAnsi="宋体" w:eastAsia="宋体" w:cs="Times New Roman"/>
                <w:color w:val="auto"/>
                <w:kern w:val="0"/>
                <w:szCs w:val="21"/>
                <w:highlight w:val="none"/>
              </w:rPr>
              <w:t>构成本</w:t>
            </w:r>
            <w:r>
              <w:rPr>
                <w:rFonts w:hint="eastAsia" w:ascii="宋体" w:hAnsi="宋体" w:eastAsia="宋体" w:cs="Times New Roman"/>
                <w:color w:val="auto"/>
                <w:kern w:val="0"/>
                <w:szCs w:val="21"/>
                <w:highlight w:val="none"/>
              </w:rPr>
              <w:t>谈判文件</w:t>
            </w:r>
            <w:r>
              <w:rPr>
                <w:rFonts w:ascii="宋体" w:hAnsi="宋体" w:eastAsia="宋体" w:cs="Times New Roman"/>
                <w:color w:val="auto"/>
                <w:kern w:val="0"/>
                <w:szCs w:val="21"/>
                <w:highlight w:val="none"/>
              </w:rPr>
              <w:t>的各个组成文件应互为解释，互为说明；除</w:t>
            </w:r>
            <w:r>
              <w:rPr>
                <w:rFonts w:hint="eastAsia" w:ascii="宋体" w:hAnsi="宋体" w:eastAsia="宋体" w:cs="Times New Roman"/>
                <w:color w:val="auto"/>
                <w:kern w:val="0"/>
                <w:szCs w:val="21"/>
                <w:highlight w:val="none"/>
              </w:rPr>
              <w:t>谈判文件</w:t>
            </w:r>
            <w:r>
              <w:rPr>
                <w:rFonts w:ascii="宋体" w:hAnsi="宋体" w:eastAsia="宋体" w:cs="Times New Roman"/>
                <w:color w:val="auto"/>
                <w:kern w:val="0"/>
                <w:szCs w:val="21"/>
                <w:highlight w:val="none"/>
              </w:rPr>
              <w:t>中有特别规定外，仅适用于</w:t>
            </w:r>
            <w:r>
              <w:rPr>
                <w:rFonts w:hint="eastAsia" w:ascii="宋体" w:hAnsi="宋体" w:eastAsia="宋体" w:cs="Times New Roman"/>
                <w:color w:val="auto"/>
                <w:kern w:val="0"/>
                <w:szCs w:val="21"/>
                <w:highlight w:val="none"/>
              </w:rPr>
              <w:t>竞标</w:t>
            </w:r>
            <w:r>
              <w:rPr>
                <w:rFonts w:ascii="宋体" w:hAnsi="宋体" w:eastAsia="宋体" w:cs="Times New Roman"/>
                <w:color w:val="auto"/>
                <w:kern w:val="0"/>
                <w:szCs w:val="21"/>
                <w:highlight w:val="none"/>
              </w:rPr>
              <w:t>阶段的规定，按</w:t>
            </w:r>
            <w:r>
              <w:rPr>
                <w:rFonts w:hint="eastAsia" w:ascii="宋体" w:hAnsi="宋体" w:eastAsia="宋体" w:cs="Times New Roman"/>
                <w:color w:val="auto"/>
                <w:kern w:val="0"/>
                <w:szCs w:val="21"/>
                <w:highlight w:val="none"/>
              </w:rPr>
              <w:t>更正公告（澄清公告）</w:t>
            </w:r>
            <w:r>
              <w:rPr>
                <w:rFonts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rPr>
              <w:t>竞争性谈判</w:t>
            </w:r>
            <w:r>
              <w:rPr>
                <w:rFonts w:ascii="宋体" w:hAnsi="宋体" w:eastAsia="宋体" w:cs="Times New Roman"/>
                <w:color w:val="auto"/>
                <w:kern w:val="0"/>
                <w:szCs w:val="21"/>
                <w:highlight w:val="none"/>
              </w:rPr>
              <w:t>公告、</w:t>
            </w:r>
            <w:r>
              <w:rPr>
                <w:rFonts w:hint="eastAsia" w:ascii="宋体" w:hAnsi="宋体" w:eastAsia="宋体" w:cs="Times New Roman"/>
                <w:color w:val="auto"/>
                <w:kern w:val="0"/>
                <w:szCs w:val="21"/>
                <w:highlight w:val="none"/>
              </w:rPr>
              <w:t>采购需求</w:t>
            </w:r>
            <w:r>
              <w:rPr>
                <w:rFonts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rPr>
              <w:t>供应商</w:t>
            </w:r>
            <w:r>
              <w:rPr>
                <w:rFonts w:ascii="宋体" w:hAnsi="宋体" w:eastAsia="宋体" w:cs="Times New Roman"/>
                <w:color w:val="auto"/>
                <w:kern w:val="0"/>
                <w:szCs w:val="21"/>
                <w:highlight w:val="none"/>
              </w:rPr>
              <w:t>须知</w:t>
            </w:r>
            <w:r>
              <w:rPr>
                <w:rFonts w:hint="eastAsia" w:ascii="宋体" w:hAnsi="宋体" w:eastAsia="宋体" w:cs="Times New Roman"/>
                <w:color w:val="auto"/>
                <w:kern w:val="0"/>
                <w:szCs w:val="21"/>
                <w:highlight w:val="none"/>
              </w:rPr>
              <w:t>、</w:t>
            </w:r>
            <w:r>
              <w:rPr>
                <w:rFonts w:hint="eastAsia" w:ascii="Times New Roman" w:hAnsi="Times New Roman" w:eastAsia="宋体" w:cs="Times New Roman"/>
                <w:bCs/>
                <w:color w:val="auto"/>
                <w:kern w:val="44"/>
                <w:szCs w:val="44"/>
                <w:highlight w:val="none"/>
                <w:lang w:val="zh-CN"/>
              </w:rPr>
              <w:t>评审程序、评审方法和成交标准</w:t>
            </w:r>
            <w:r>
              <w:rPr>
                <w:rFonts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rPr>
              <w:t>响应</w:t>
            </w:r>
            <w:r>
              <w:rPr>
                <w:rFonts w:ascii="宋体" w:hAnsi="宋体" w:eastAsia="宋体" w:cs="Times New Roman"/>
                <w:color w:val="auto"/>
                <w:kern w:val="0"/>
                <w:szCs w:val="21"/>
                <w:highlight w:val="none"/>
              </w:rPr>
              <w:t>文件格式</w:t>
            </w:r>
            <w:r>
              <w:rPr>
                <w:rFonts w:hint="eastAsia" w:ascii="宋体" w:hAnsi="宋体" w:eastAsia="宋体" w:cs="Times New Roman"/>
                <w:color w:val="auto"/>
                <w:kern w:val="0"/>
                <w:szCs w:val="21"/>
                <w:highlight w:val="none"/>
              </w:rPr>
              <w:t>、合同文本</w:t>
            </w:r>
            <w:r>
              <w:rPr>
                <w:rFonts w:ascii="宋体" w:hAnsi="宋体" w:eastAsia="宋体" w:cs="Times New Roman"/>
                <w:color w:val="auto"/>
                <w:kern w:val="0"/>
                <w:szCs w:val="21"/>
                <w:highlight w:val="none"/>
              </w:rPr>
              <w:t>的先后顺序解释；同一组成文件中就同一事项的规定或者约定不一致的，以编排顺序在后者为准；同一组成文件不同版本之间有不一致的，以形成时间在后者为准；</w:t>
            </w:r>
            <w:r>
              <w:rPr>
                <w:rFonts w:hint="eastAsia" w:ascii="宋体" w:hAnsi="宋体" w:eastAsia="宋体" w:cs="Times New Roman"/>
                <w:color w:val="auto"/>
                <w:kern w:val="0"/>
                <w:szCs w:val="21"/>
                <w:highlight w:val="none"/>
              </w:rPr>
              <w:t>更正公告（澄清公告）</w:t>
            </w:r>
            <w:r>
              <w:rPr>
                <w:rFonts w:ascii="宋体" w:hAnsi="宋体" w:eastAsia="宋体" w:cs="Times New Roman"/>
                <w:color w:val="auto"/>
                <w:kern w:val="0"/>
                <w:szCs w:val="21"/>
                <w:highlight w:val="none"/>
              </w:rPr>
              <w:t>与同步更新的</w:t>
            </w:r>
            <w:r>
              <w:rPr>
                <w:rFonts w:hint="eastAsia" w:ascii="宋体" w:hAnsi="宋体" w:eastAsia="宋体" w:cs="Times New Roman"/>
                <w:color w:val="auto"/>
                <w:kern w:val="0"/>
                <w:szCs w:val="21"/>
                <w:highlight w:val="none"/>
              </w:rPr>
              <w:t>谈判文件</w:t>
            </w:r>
            <w:r>
              <w:rPr>
                <w:rFonts w:ascii="宋体" w:hAnsi="宋体" w:eastAsia="宋体" w:cs="Times New Roman"/>
                <w:color w:val="auto"/>
                <w:kern w:val="0"/>
                <w:szCs w:val="21"/>
                <w:highlight w:val="none"/>
              </w:rPr>
              <w:t>不一致时以</w:t>
            </w:r>
            <w:r>
              <w:rPr>
                <w:rFonts w:hint="eastAsia" w:ascii="宋体" w:hAnsi="宋体" w:eastAsia="宋体" w:cs="Times New Roman"/>
                <w:color w:val="auto"/>
                <w:kern w:val="0"/>
                <w:szCs w:val="21"/>
                <w:highlight w:val="none"/>
              </w:rPr>
              <w:t>更正公告（澄清公告）</w:t>
            </w:r>
            <w:r>
              <w:rPr>
                <w:rFonts w:ascii="宋体" w:hAnsi="宋体" w:eastAsia="宋体" w:cs="Times New Roman"/>
                <w:color w:val="auto"/>
                <w:kern w:val="0"/>
                <w:szCs w:val="21"/>
                <w:highlight w:val="none"/>
              </w:rPr>
              <w:t>为准。按本款前述规定仍不能形成结论的，</w:t>
            </w:r>
            <w:r>
              <w:rPr>
                <w:rFonts w:ascii="宋体" w:hAnsi="宋体" w:eastAsia="宋体" w:cs="Times New Roman"/>
                <w:b/>
                <w:color w:val="auto"/>
                <w:kern w:val="0"/>
                <w:szCs w:val="21"/>
                <w:highlight w:val="none"/>
              </w:rPr>
              <w:t>由</w:t>
            </w:r>
            <w:r>
              <w:rPr>
                <w:rFonts w:hint="eastAsia" w:ascii="宋体" w:hAnsi="宋体" w:eastAsia="宋体" w:cs="Times New Roman"/>
                <w:b/>
                <w:color w:val="auto"/>
                <w:kern w:val="0"/>
                <w:szCs w:val="21"/>
                <w:highlight w:val="none"/>
              </w:rPr>
              <w:t>采购</w:t>
            </w:r>
            <w:r>
              <w:rPr>
                <w:rFonts w:ascii="宋体" w:hAnsi="宋体" w:eastAsia="宋体" w:cs="Times New Roman"/>
                <w:b/>
                <w:color w:val="auto"/>
                <w:kern w:val="0"/>
                <w:szCs w:val="21"/>
                <w:highlight w:val="none"/>
              </w:rPr>
              <w:t>人</w:t>
            </w:r>
            <w:r>
              <w:rPr>
                <w:rFonts w:hint="eastAsia" w:ascii="宋体" w:hAnsi="宋体" w:eastAsia="宋体" w:cs="Times New Roman"/>
                <w:b/>
                <w:color w:val="auto"/>
                <w:kern w:val="0"/>
                <w:szCs w:val="21"/>
                <w:highlight w:val="none"/>
              </w:rPr>
              <w:t>或者采购代理机构</w:t>
            </w:r>
            <w:r>
              <w:rPr>
                <w:rFonts w:ascii="宋体" w:hAnsi="宋体" w:eastAsia="宋体" w:cs="Times New Roman"/>
                <w:b/>
                <w:color w:val="auto"/>
                <w:kern w:val="0"/>
                <w:szCs w:val="21"/>
                <w:highlight w:val="none"/>
              </w:rPr>
              <w:t>负责解释。</w:t>
            </w:r>
          </w:p>
          <w:p w14:paraId="3EFA01BD">
            <w:pPr>
              <w:keepNext w:val="0"/>
              <w:keepLines w:val="0"/>
              <w:pageBreakBefore w:val="0"/>
              <w:widowControl w:val="0"/>
              <w:tabs>
                <w:tab w:val="left" w:pos="1080"/>
              </w:tabs>
              <w:kinsoku/>
              <w:wordWrap/>
              <w:overflowPunct/>
              <w:topLinePunct w:val="0"/>
              <w:bidi w:val="0"/>
              <w:adjustRightInd/>
              <w:spacing w:line="380" w:lineRule="exact"/>
              <w:rPr>
                <w:rFonts w:ascii="宋体" w:hAnsi="宋体" w:eastAsia="宋体" w:cs="Times New Roman"/>
                <w:color w:val="auto"/>
                <w:kern w:val="0"/>
                <w:szCs w:val="21"/>
                <w:highlight w:val="none"/>
              </w:rPr>
            </w:pPr>
            <w:r>
              <w:rPr>
                <w:rFonts w:hint="eastAsia" w:ascii="宋体" w:hAnsi="宋体" w:eastAsia="宋体" w:cs="Times New Roman"/>
                <w:b/>
                <w:color w:val="auto"/>
                <w:kern w:val="0"/>
                <w:szCs w:val="21"/>
                <w:highlight w:val="none"/>
              </w:rPr>
              <w:t>法律责任：</w:t>
            </w:r>
          </w:p>
          <w:p w14:paraId="39349DDA">
            <w:pPr>
              <w:keepNext w:val="0"/>
              <w:keepLines w:val="0"/>
              <w:pageBreakBefore w:val="0"/>
              <w:widowControl w:val="0"/>
              <w:tabs>
                <w:tab w:val="left" w:pos="1080"/>
              </w:tabs>
              <w:kinsoku/>
              <w:wordWrap/>
              <w:overflowPunct/>
              <w:topLinePunct w:val="0"/>
              <w:bidi w:val="0"/>
              <w:adjustRightInd/>
              <w:spacing w:line="380" w:lineRule="exact"/>
              <w:rPr>
                <w:rFonts w:ascii="宋体" w:hAnsi="宋体" w:eastAsia="宋体" w:cs="宋体"/>
                <w:color w:val="auto"/>
                <w:szCs w:val="24"/>
                <w:highlight w:val="none"/>
              </w:rPr>
            </w:pPr>
            <w:r>
              <w:rPr>
                <w:rFonts w:hint="eastAsia" w:ascii="宋体" w:hAnsi="宋体" w:eastAsia="宋体" w:cs="Times New Roman"/>
                <w:color w:val="auto"/>
                <w:kern w:val="0"/>
                <w:szCs w:val="21"/>
                <w:highlight w:val="none"/>
              </w:rPr>
              <w:t>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tc>
      </w:tr>
      <w:tr w14:paraId="337A9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6486866">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33</w:t>
            </w:r>
            <w:r>
              <w:rPr>
                <w:rFonts w:ascii="宋体" w:hAnsi="宋体" w:eastAsia="宋体" w:cs="宋体"/>
                <w:color w:val="auto"/>
                <w:szCs w:val="21"/>
                <w:highlight w:val="none"/>
              </w:rPr>
              <w:t>.2</w:t>
            </w:r>
          </w:p>
        </w:tc>
        <w:tc>
          <w:tcPr>
            <w:tcW w:w="2382" w:type="dxa"/>
            <w:vAlign w:val="center"/>
          </w:tcPr>
          <w:p w14:paraId="2AFE6211">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其他</w:t>
            </w:r>
          </w:p>
        </w:tc>
        <w:tc>
          <w:tcPr>
            <w:tcW w:w="6586" w:type="dxa"/>
            <w:vAlign w:val="center"/>
          </w:tcPr>
          <w:p w14:paraId="7174A7F3">
            <w:pPr>
              <w:pStyle w:val="11"/>
              <w:keepNext w:val="0"/>
              <w:keepLines w:val="0"/>
              <w:pageBreakBefore w:val="0"/>
              <w:widowControl w:val="0"/>
              <w:kinsoku/>
              <w:wordWrap/>
              <w:overflowPunct/>
              <w:topLinePunct w:val="0"/>
              <w:bidi w:val="0"/>
              <w:adjustRightInd/>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本竞争性谈判文件中描述供应商的“公章”是指根据我国对公章的管理规定，用供应商法定主体行为名称制作的实物印章或供应商通过指定电子化政府采购平台办理数字证书（CA认证）获得的以法定主体行为名称制作的电子印章。除本竞争性谈判文件有特殊规定外，供应商的财务章、部门章、分公司章、工会章、合同章、投标专用章、业务专用章及银行的转账章、现金收讫章、现金付讫章等其他形式印章均不能代替公章。</w:t>
            </w:r>
          </w:p>
          <w:p w14:paraId="49FBCDDB">
            <w:pPr>
              <w:pStyle w:val="11"/>
              <w:keepNext w:val="0"/>
              <w:keepLines w:val="0"/>
              <w:pageBreakBefore w:val="0"/>
              <w:widowControl w:val="0"/>
              <w:kinsoku/>
              <w:wordWrap/>
              <w:overflowPunct/>
              <w:topLinePunct w:val="0"/>
              <w:bidi w:val="0"/>
              <w:adjustRightInd/>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2.本竞争性谈判文件中描述供应商的“签字”是指供应商通过指定电子化政府采购平台办理数字证书（CA认证）获得的以供应商法定代表人或者委托代理人姓名制作的电子印章或手写签字。</w:t>
            </w:r>
          </w:p>
          <w:p w14:paraId="06FE359A">
            <w:pPr>
              <w:pStyle w:val="11"/>
              <w:keepNext w:val="0"/>
              <w:keepLines w:val="0"/>
              <w:pageBreakBefore w:val="0"/>
              <w:widowControl w:val="0"/>
              <w:tabs>
                <w:tab w:val="center" w:pos="4153"/>
                <w:tab w:val="right" w:pos="8306"/>
              </w:tabs>
              <w:kinsoku/>
              <w:wordWrap/>
              <w:overflowPunct/>
              <w:topLinePunct w:val="0"/>
              <w:bidi w:val="0"/>
              <w:adjustRightInd/>
              <w:spacing w:line="380" w:lineRule="exact"/>
              <w:ind w:firstLine="420" w:firstLineChars="200"/>
              <w:rPr>
                <w:rFonts w:ascii="宋体" w:hAnsi="宋体" w:cs="宋体"/>
                <w:color w:val="auto"/>
                <w:szCs w:val="21"/>
                <w:highlight w:val="none"/>
                <w:lang w:val="en-US"/>
              </w:rPr>
            </w:pPr>
            <w:r>
              <w:rPr>
                <w:rFonts w:hint="eastAsia" w:ascii="宋体" w:hAnsi="宋体" w:cs="宋体"/>
                <w:color w:val="auto"/>
                <w:szCs w:val="21"/>
                <w:highlight w:val="none"/>
                <w:lang w:val="en-US"/>
              </w:rPr>
              <w:t>3.本竞争性谈判文件所称的“电子签章”“电子签名”，是指经广西政府采购云平台认可的CA认证的电子签名数据为表现形式的印章，可用于签署电子响应文件，电子印章与实物印章具有同等法律效力，不因其采用电子化表现形式而否定其法律效力。</w:t>
            </w:r>
          </w:p>
          <w:p w14:paraId="45BEC3DB">
            <w:pPr>
              <w:pStyle w:val="11"/>
              <w:keepNext w:val="0"/>
              <w:keepLines w:val="0"/>
              <w:pageBreakBefore w:val="0"/>
              <w:widowControl w:val="0"/>
              <w:kinsoku/>
              <w:wordWrap/>
              <w:overflowPunct/>
              <w:topLinePunct w:val="0"/>
              <w:bidi w:val="0"/>
              <w:adjustRightInd/>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rPr>
              <w:t>4</w:t>
            </w:r>
            <w:r>
              <w:rPr>
                <w:rFonts w:hint="eastAsia" w:ascii="宋体" w:hAnsi="宋体" w:cs="宋体"/>
                <w:color w:val="auto"/>
                <w:szCs w:val="21"/>
                <w:highlight w:val="none"/>
              </w:rPr>
              <w:t>.供应商为其他组织或者自然人时，本竞争性谈判文件规定的法定代表人指负责人或者自然人。本竞争性谈判文件所称负责人是指参加竞标的其他组织营业执照上的负责人，本竞争性谈判文件所称自然人指参与竞标的自然人本人。</w:t>
            </w:r>
          </w:p>
          <w:p w14:paraId="21B629B9">
            <w:pPr>
              <w:pStyle w:val="11"/>
              <w:keepNext w:val="0"/>
              <w:keepLines w:val="0"/>
              <w:pageBreakBefore w:val="0"/>
              <w:widowControl w:val="0"/>
              <w:kinsoku/>
              <w:wordWrap/>
              <w:overflowPunct/>
              <w:topLinePunct w:val="0"/>
              <w:bidi w:val="0"/>
              <w:adjustRightInd/>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rPr>
              <w:t>5</w:t>
            </w:r>
            <w:r>
              <w:rPr>
                <w:rFonts w:hint="eastAsia" w:ascii="宋体" w:hAnsi="宋体" w:cs="宋体"/>
                <w:color w:val="auto"/>
                <w:szCs w:val="21"/>
                <w:highlight w:val="none"/>
              </w:rPr>
              <w:t>.自然人竞标的，竞争性谈判文件规定盖公章处由自然人摁手指指印。</w:t>
            </w:r>
          </w:p>
          <w:p w14:paraId="0F2123C7">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szCs w:val="21"/>
                <w:highlight w:val="none"/>
              </w:rPr>
              <w:t xml:space="preserve">    6.本竞争性谈判文件所称的“以上”“以下”“以内”“届满”，包括本数；所称的“不满”“超过”“以外”，不包括本数。</w:t>
            </w:r>
          </w:p>
        </w:tc>
      </w:tr>
    </w:tbl>
    <w:p w14:paraId="2925A743">
      <w:pPr>
        <w:keepNext/>
        <w:keepLines/>
        <w:spacing w:before="260" w:after="260" w:line="420" w:lineRule="exact"/>
        <w:jc w:val="center"/>
        <w:outlineLvl w:val="1"/>
        <w:rPr>
          <w:rFonts w:ascii="宋体" w:hAnsi="宋体" w:eastAsia="宋体" w:cs="Times New Roman"/>
          <w:bCs/>
          <w:color w:val="auto"/>
          <w:sz w:val="32"/>
          <w:szCs w:val="32"/>
          <w:highlight w:val="none"/>
          <w:lang w:val="zh-CN"/>
        </w:rPr>
      </w:pPr>
      <w:r>
        <w:rPr>
          <w:rFonts w:ascii="宋体" w:hAnsi="宋体" w:eastAsia="宋体" w:cs="Times New Roman"/>
          <w:bCs/>
          <w:color w:val="auto"/>
          <w:sz w:val="32"/>
          <w:szCs w:val="32"/>
          <w:highlight w:val="none"/>
          <w:lang w:val="zh-CN"/>
        </w:rPr>
        <w:br w:type="page"/>
      </w:r>
      <w:bookmarkStart w:id="76" w:name="_Toc29286"/>
      <w:bookmarkStart w:id="77" w:name="_Toc80205924"/>
      <w:bookmarkStart w:id="78" w:name="_Toc20165"/>
      <w:r>
        <w:rPr>
          <w:rFonts w:hint="eastAsia" w:ascii="宋体" w:hAnsi="宋体" w:eastAsia="宋体" w:cs="Times New Roman"/>
          <w:bCs/>
          <w:color w:val="auto"/>
          <w:sz w:val="32"/>
          <w:szCs w:val="32"/>
          <w:highlight w:val="none"/>
          <w:lang w:val="zh-CN"/>
        </w:rPr>
        <w:t>第二节 供应商须知正文</w:t>
      </w:r>
      <w:bookmarkEnd w:id="76"/>
      <w:bookmarkEnd w:id="77"/>
      <w:bookmarkEnd w:id="78"/>
    </w:p>
    <w:p w14:paraId="1E5AC05C">
      <w:pPr>
        <w:keepNext/>
        <w:keepLines/>
        <w:spacing w:line="360" w:lineRule="auto"/>
        <w:ind w:firstLine="640" w:firstLineChars="200"/>
        <w:outlineLvl w:val="2"/>
        <w:rPr>
          <w:rFonts w:ascii="宋体" w:hAnsi="宋体" w:eastAsia="宋体" w:cs="Times New Roman"/>
          <w:bCs/>
          <w:color w:val="auto"/>
          <w:sz w:val="32"/>
          <w:szCs w:val="32"/>
          <w:highlight w:val="none"/>
          <w:lang w:val="zh-CN"/>
        </w:rPr>
      </w:pPr>
      <w:bookmarkStart w:id="79" w:name="_Toc80205925"/>
      <w:bookmarkStart w:id="80" w:name="_Toc18711"/>
      <w:bookmarkStart w:id="81" w:name="_Toc27704"/>
      <w:r>
        <w:rPr>
          <w:rFonts w:hint="eastAsia" w:ascii="宋体" w:hAnsi="宋体" w:eastAsia="宋体" w:cs="Times New Roman"/>
          <w:bCs/>
          <w:color w:val="auto"/>
          <w:sz w:val="32"/>
          <w:szCs w:val="32"/>
          <w:highlight w:val="none"/>
          <w:lang w:val="zh-CN"/>
        </w:rPr>
        <w:t>一、总则</w:t>
      </w:r>
      <w:bookmarkEnd w:id="79"/>
      <w:bookmarkEnd w:id="80"/>
      <w:bookmarkEnd w:id="81"/>
    </w:p>
    <w:p w14:paraId="0848BA91">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1.适用范围</w:t>
      </w:r>
    </w:p>
    <w:p w14:paraId="5273C75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1.1适用法律：本项目采购人、采购代理机构、供应商、谈判小组的相关行为均受《中华人民共和国政府采购法》 《中华人民共和国政府采购法实施条例》 《政府采购非招标采购方式管理办法》及本项目本级和上级财政部门政府采购有关规定的约束和保护。</w:t>
      </w:r>
    </w:p>
    <w:p w14:paraId="7FFD8C5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pacing w:val="-6"/>
          <w:szCs w:val="21"/>
          <w:highlight w:val="none"/>
        </w:rPr>
        <w:t>本竞争性谈判文件（以下简称谈判文件）适用于本项目的所有采购程序和环节（法律、法规另有规定的，从其规定）。</w:t>
      </w:r>
    </w:p>
    <w:p w14:paraId="4022F617">
      <w:pPr>
        <w:spacing w:line="360" w:lineRule="auto"/>
        <w:ind w:firstLine="482" w:firstLineChars="200"/>
        <w:rPr>
          <w:rFonts w:ascii="宋体" w:hAnsi="宋体" w:eastAsia="宋体" w:cs="宋体"/>
          <w:color w:val="auto"/>
          <w:szCs w:val="21"/>
          <w:highlight w:val="none"/>
        </w:rPr>
      </w:pPr>
      <w:r>
        <w:rPr>
          <w:rFonts w:hint="eastAsia" w:ascii="黑体" w:hAnsi="黑体" w:eastAsia="黑体" w:cs="宋体"/>
          <w:b/>
          <w:bCs/>
          <w:color w:val="auto"/>
          <w:sz w:val="24"/>
          <w:szCs w:val="24"/>
          <w:highlight w:val="none"/>
        </w:rPr>
        <w:t>2.定义</w:t>
      </w:r>
    </w:p>
    <w:p w14:paraId="39F4945B">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2.1“采购人”是指依法进行采购的国家机关、事业单位、团体组织。</w:t>
      </w:r>
    </w:p>
    <w:p w14:paraId="57ECE4DB">
      <w:pPr>
        <w:spacing w:line="360" w:lineRule="auto"/>
        <w:ind w:firstLine="420" w:firstLineChars="200"/>
        <w:rPr>
          <w:rFonts w:ascii="宋体" w:hAnsi="宋体" w:eastAsia="宋体" w:cs="宋体"/>
          <w:b/>
          <w:color w:val="auto"/>
          <w:szCs w:val="21"/>
          <w:highlight w:val="none"/>
        </w:rPr>
      </w:pPr>
      <w:r>
        <w:rPr>
          <w:rFonts w:hint="eastAsia" w:ascii="宋体" w:hAnsi="宋体" w:eastAsia="宋体" w:cs="宋体"/>
          <w:color w:val="auto"/>
          <w:szCs w:val="21"/>
          <w:highlight w:val="none"/>
        </w:rPr>
        <w:t>2.2“采购代理机构”是指政府采购集中采购机构和集中采购机构以外的采购代理机构。</w:t>
      </w:r>
    </w:p>
    <w:p w14:paraId="6999A27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2.3“供应商”是指向采购人提供货物、工程或者服务的法人、其他组织或者自然人。</w:t>
      </w:r>
    </w:p>
    <w:p w14:paraId="143A76A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2.4“货物”是指各种形态和种类的物品，包括原材料、燃料、设备、产品等。</w:t>
      </w:r>
    </w:p>
    <w:p w14:paraId="22C2299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2.5“竞标”是指按照本项目竞争性谈判公告规定的方式供应商获取谈判文件、提交响应文件并希望获得标的的行为。</w:t>
      </w:r>
    </w:p>
    <w:p w14:paraId="571544B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2.6“售后服务” 是指包含但不限于供应商须承担的备品备件、包装、运输、装卸、保险、货到就位以及安装、调试、培训、保修和其他类似的义务。</w:t>
      </w:r>
    </w:p>
    <w:p w14:paraId="62400A6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2.7“书面形式”是指合同书、信件和数据电文（包括电报、电传、传真、电子数据交换和电子邮件）等可以有形地表现所载内容的形式。</w:t>
      </w:r>
    </w:p>
    <w:p w14:paraId="4D1B16E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2.8“响应文件”</w:t>
      </w:r>
      <w:r>
        <w:rPr>
          <w:rFonts w:hint="eastAsia" w:ascii="宋体" w:hAnsi="宋体" w:eastAsia="宋体" w:cs="宋体"/>
          <w:color w:val="auto"/>
          <w:spacing w:val="-6"/>
          <w:szCs w:val="21"/>
          <w:highlight w:val="none"/>
        </w:rPr>
        <w:t>是指：供应商根据本文件要求，编制包含报价、技术和货物等所有内容的文件。</w:t>
      </w:r>
    </w:p>
    <w:p w14:paraId="0DBC0FD2">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2.9 “实质性要求”是指竞争性谈判文件中已经指明不满足则响应文件作无效响应处理的条款，或者不能负偏离的条款，或者采购需求中带“▲”的条款。</w:t>
      </w:r>
    </w:p>
    <w:p w14:paraId="035FCC1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2.10“正偏离”，是指响应文件对谈判文件“采购需求”中有关条款作出优于条款要求并有利于采购人的响应情形；</w:t>
      </w:r>
    </w:p>
    <w:p w14:paraId="7804BDFA">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2.11“负偏离”，是指响应文件对谈判文件“采购需求”中有关条款作出的响应不满足条款要求，导致采购人要求不能得到满足的情形。</w:t>
      </w:r>
    </w:p>
    <w:p w14:paraId="595C3C57">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2.12“允许负偏离的条款”是指采购需求中的不属于“实质性要求”的条款。</w:t>
      </w:r>
    </w:p>
    <w:p w14:paraId="1E4AFDCA">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2.13“首次报价”是指供应商提交的首次响应文件中的竞标报价。</w:t>
      </w:r>
    </w:p>
    <w:p w14:paraId="085BB59D">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szCs w:val="21"/>
          <w:highlight w:val="none"/>
        </w:rPr>
        <w:t>2.14“评审价”是指供应商提交的最后报价并经修正和政策功能价格扣除后的价格。</w:t>
      </w:r>
    </w:p>
    <w:p w14:paraId="24D15B84">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3.供应商的资格条件</w:t>
      </w:r>
    </w:p>
    <w:p w14:paraId="2735EBE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供应商的资格条件详见“供应商须知前附表”。</w:t>
      </w:r>
    </w:p>
    <w:p w14:paraId="7E9A7A56">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4.谈判费用</w:t>
      </w:r>
    </w:p>
    <w:p w14:paraId="6645D418">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供应商应承担参与本次采购活动有关的所有费用，包括但不限于勘查现场、编制和提交响应文件、参加谈判与应答、签订合同等，不论竞标结果如何，均应自行承担。</w:t>
      </w:r>
    </w:p>
    <w:p w14:paraId="6B33B0F3">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5.联合体竞标</w:t>
      </w:r>
    </w:p>
    <w:p w14:paraId="3B02C18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5.1本项目是否接受联合体竞标，详见“供应商须知前附表”。</w:t>
      </w:r>
    </w:p>
    <w:p w14:paraId="7072DF2F">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Times New Roman"/>
          <w:color w:val="auto"/>
          <w:szCs w:val="24"/>
          <w:highlight w:val="none"/>
        </w:rPr>
        <w:t>如接受联合体竞标，</w:t>
      </w:r>
      <w:r>
        <w:rPr>
          <w:rFonts w:hint="eastAsia" w:ascii="宋体" w:hAnsi="宋体" w:eastAsia="宋体" w:cs="宋体"/>
          <w:color w:val="auto"/>
          <w:szCs w:val="21"/>
          <w:highlight w:val="none"/>
        </w:rPr>
        <w:t>联合体竞标要求详见“供应商须知前附表”。</w:t>
      </w:r>
    </w:p>
    <w:p w14:paraId="55D64CB4">
      <w:pPr>
        <w:spacing w:line="360" w:lineRule="auto"/>
        <w:ind w:firstLine="420" w:firstLineChars="200"/>
        <w:rPr>
          <w:rFonts w:ascii="宋体" w:hAnsi="宋体" w:eastAsia="宋体" w:cs="Times New Roman"/>
          <w:bCs/>
          <w:color w:val="auto"/>
          <w:szCs w:val="21"/>
          <w:highlight w:val="none"/>
        </w:rPr>
      </w:pPr>
      <w:r>
        <w:rPr>
          <w:rFonts w:hint="eastAsia" w:ascii="宋体" w:hAnsi="宋体" w:eastAsia="宋体" w:cs="宋体"/>
          <w:color w:val="auto"/>
          <w:szCs w:val="21"/>
          <w:highlight w:val="none"/>
        </w:rPr>
        <w:t>5.3根据《政府采购促进中小企业发展管理办法》（财库[2020]46号）第九条及 《广西壮族自治区财政厅关于贯彻落实政府采购支持中小企业发展政策的通知》（桂财采〔2022〕31号）规定，接受大中型企业与小微企业组成联合体的采购项目，对于联合协议约定小微企业的合同份额占到合同总金额 30%以上的，采购人、采购代理机构应当对联合体的报价给予 4%-6%的扣除，用扣除后的价格参加评审。组成联合体的小微企业与联合体内其他企业、分包企业之间存在直接控股、管理关系的，不享受价格扣除优惠政策</w:t>
      </w:r>
      <w:r>
        <w:rPr>
          <w:rFonts w:ascii="宋体" w:hAnsi="宋体" w:eastAsia="宋体" w:cs="Times New Roman"/>
          <w:bCs/>
          <w:color w:val="auto"/>
          <w:szCs w:val="21"/>
          <w:highlight w:val="none"/>
        </w:rPr>
        <w:t>。</w:t>
      </w:r>
    </w:p>
    <w:p w14:paraId="76653124">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 xml:space="preserve">6.转包与分包             </w:t>
      </w:r>
    </w:p>
    <w:p w14:paraId="2CE79235">
      <w:pPr>
        <w:spacing w:line="360" w:lineRule="auto"/>
        <w:ind w:firstLine="420" w:firstLineChars="200"/>
        <w:rPr>
          <w:rFonts w:ascii="宋体" w:hAnsi="宋体" w:eastAsia="宋体" w:cs="宋体"/>
          <w:color w:val="auto"/>
          <w:szCs w:val="21"/>
          <w:highlight w:val="none"/>
        </w:rPr>
      </w:pPr>
      <w:r>
        <w:rPr>
          <w:rFonts w:hint="eastAsia" w:ascii="宋体" w:hAnsi="宋体" w:cs="宋体"/>
          <w:color w:val="auto"/>
          <w:szCs w:val="21"/>
          <w:highlight w:val="none"/>
        </w:rPr>
        <w:t>6.1本项目不允许转包。</w:t>
      </w:r>
    </w:p>
    <w:p w14:paraId="2DD2C8BB">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6.2本项目是否允许分包详见“供应商须知前附表”，本项目不允许违法分包。</w:t>
      </w:r>
    </w:p>
    <w:p w14:paraId="5C1F8E1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6.3根据《政府采购促进中小企业发展管理办法》（财库[2020]46号）第九条及 《广西壮族自治区财政厅关于贯彻落实政府采购支持中小企业发展政策的通知》（桂财采〔2022〕31号）规定，允许大中型企业向一家或者多家小微企业分包的采购项目，对于分包意向协议约定小微企业的合同份额占到合同总金额 30%以上的，采购人、采购代理机构应当对大中型企业的报价给予4%-6%的扣除，用扣除后的价格参加评审。接受分包的小微企业与分包企业之间存在直接控股、管理关系的，不享受价格扣除优惠政策</w:t>
      </w:r>
      <w:r>
        <w:rPr>
          <w:rFonts w:ascii="宋体" w:hAnsi="宋体" w:eastAsia="宋体" w:cs="Times New Roman"/>
          <w:bCs/>
          <w:color w:val="auto"/>
          <w:szCs w:val="21"/>
          <w:highlight w:val="none"/>
        </w:rPr>
        <w:t>。</w:t>
      </w:r>
    </w:p>
    <w:p w14:paraId="0DA4042A">
      <w:pPr>
        <w:spacing w:line="360" w:lineRule="auto"/>
        <w:ind w:firstLine="482" w:firstLineChars="200"/>
        <w:rPr>
          <w:rFonts w:ascii="黑体" w:hAnsi="黑体" w:eastAsia="黑体" w:cs="宋体"/>
          <w:b/>
          <w:bCs/>
          <w:color w:val="auto"/>
          <w:sz w:val="24"/>
          <w:szCs w:val="24"/>
          <w:highlight w:val="none"/>
        </w:rPr>
      </w:pPr>
      <w:bookmarkStart w:id="82" w:name="_Toc254970532"/>
      <w:bookmarkStart w:id="83" w:name="_Toc254970673"/>
      <w:r>
        <w:rPr>
          <w:rFonts w:hint="eastAsia" w:ascii="黑体" w:hAnsi="黑体" w:eastAsia="黑体" w:cs="宋体"/>
          <w:b/>
          <w:bCs/>
          <w:color w:val="auto"/>
          <w:sz w:val="24"/>
          <w:szCs w:val="24"/>
          <w:highlight w:val="none"/>
        </w:rPr>
        <w:t>7.特别说明</w:t>
      </w:r>
      <w:bookmarkEnd w:id="82"/>
      <w:bookmarkEnd w:id="83"/>
    </w:p>
    <w:p w14:paraId="7036B981">
      <w:pPr>
        <w:spacing w:line="360" w:lineRule="auto"/>
        <w:ind w:firstLine="420" w:firstLineChars="200"/>
        <w:rPr>
          <w:rFonts w:ascii="宋体" w:hAnsi="宋体" w:eastAsia="宋体" w:cs="宋体"/>
          <w:color w:val="auto"/>
          <w:szCs w:val="21"/>
          <w:highlight w:val="none"/>
        </w:rPr>
      </w:pPr>
      <w:bookmarkStart w:id="84" w:name="_8.1提供相同品牌产品且通过资格审查、符合性审查的不同投标人参加同一合"/>
      <w:bookmarkEnd w:id="84"/>
      <w:r>
        <w:rPr>
          <w:rFonts w:hint="eastAsia" w:ascii="宋体" w:hAnsi="宋体" w:eastAsia="宋体" w:cs="宋体"/>
          <w:color w:val="auto"/>
          <w:szCs w:val="21"/>
          <w:highlight w:val="none"/>
        </w:rPr>
        <w:t>7.1如果本谈判文件要求提供供应商或制造商的资格、信誉、荣誉、业绩与企业认证等材料的，资格、信誉、荣誉、业绩与企业认证等必须为供应商或者制造商所拥有或自身获得 。</w:t>
      </w:r>
    </w:p>
    <w:p w14:paraId="4149D06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7.2供应商应仔细阅读谈判文件的所有内容，按照谈判文件的要求提交响应文件，并对所提供的全部资料的真实性承担法律责任。</w:t>
      </w:r>
    </w:p>
    <w:p w14:paraId="0D21E5D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7.3供应商在竞标活动中提供任何虚假材料,其响应文件作无效处理，并报监管部门查处；签订合同后发现的,成交供应商须依照《中华人民共和国消费者权益保护法》规定赔偿采购人，且民事赔偿并不免除违法供应商的行政与刑事责任。</w:t>
      </w:r>
    </w:p>
    <w:p w14:paraId="24273FA9">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7.4在政府采购活动中，采购人员及相关人员与供应商有下列利害关系之一的，应当回避：</w:t>
      </w:r>
    </w:p>
    <w:p w14:paraId="28DE4C0F">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（1）参加采购活动前3年内与供应商存在劳动关系；</w:t>
      </w:r>
    </w:p>
    <w:p w14:paraId="1D5D8B26">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（2）参加采购活动前3年内担任供应商的董事、监事；</w:t>
      </w:r>
    </w:p>
    <w:p w14:paraId="5E85EB58">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（3）参加采购活动前3年内是供应商的控股股东或者实际控制人；</w:t>
      </w:r>
    </w:p>
    <w:p w14:paraId="186057E4">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（4）与供应商的法定代表人或者负责人有夫妻、直系血亲、三代以内旁系血亲或者近姻亲关系；</w:t>
      </w:r>
    </w:p>
    <w:p w14:paraId="2402E1BC">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（5）与供应商有其他可能影响政府采购活动公平、公正进行的关系。</w:t>
      </w:r>
    </w:p>
    <w:p w14:paraId="156C1A18">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142A4A4D">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7.5有下列情形之一的视为供应商相互串通竞标，响应文件将被视为无效：</w:t>
      </w:r>
    </w:p>
    <w:p w14:paraId="6E20AA8F">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（1）不同供应商的响应文件由同一单位或者个人编制；或不同供应商报名的IP地址一致的；</w:t>
      </w:r>
    </w:p>
    <w:p w14:paraId="6D761C41">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（2）不同供应商委托同一单位或者个人办理竞标事宜；</w:t>
      </w:r>
    </w:p>
    <w:p w14:paraId="72E3E308">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（3）不同的供应商的响应文件载明的项目管理员为同一个人；</w:t>
      </w:r>
    </w:p>
    <w:p w14:paraId="52A8F730">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（4）不同供应商的响应文件异常一致或者报价呈规律性差异；</w:t>
      </w:r>
    </w:p>
    <w:p w14:paraId="7318C596">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（5）不同供应商的响应文件相互混装；</w:t>
      </w:r>
    </w:p>
    <w:p w14:paraId="1B49D8E5">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（6）不同供应商的谈判保证金从同一单位或者个人账户转出。</w:t>
      </w:r>
    </w:p>
    <w:p w14:paraId="6C74849E">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7.6供应商有下列情形之一的，属于恶意串通行为</w:t>
      </w:r>
      <w:bookmarkStart w:id="85" w:name="_Hlk54682620"/>
      <w:r>
        <w:rPr>
          <w:rFonts w:hint="eastAsia" w:ascii="宋体" w:hAnsi="宋体" w:eastAsia="宋体" w:cs="宋体"/>
          <w:b/>
          <w:bCs/>
          <w:color w:val="auto"/>
          <w:szCs w:val="21"/>
          <w:highlight w:val="none"/>
        </w:rPr>
        <w:t>，将报同级监督管理部门</w:t>
      </w:r>
      <w:bookmarkEnd w:id="85"/>
      <w:r>
        <w:rPr>
          <w:rFonts w:hint="eastAsia" w:ascii="宋体" w:hAnsi="宋体" w:eastAsia="宋体" w:cs="宋体"/>
          <w:b/>
          <w:bCs/>
          <w:color w:val="auto"/>
          <w:szCs w:val="21"/>
          <w:highlight w:val="none"/>
        </w:rPr>
        <w:t>：</w:t>
      </w:r>
    </w:p>
    <w:p w14:paraId="2689730E">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（1）供应商直接或者间接从采购人或者采购代理机构处获得其他供应商的相关信息并修改其响应文件；</w:t>
      </w:r>
    </w:p>
    <w:p w14:paraId="69D4F594">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（2）供应商按照采购人或者采购代理机构的授意撤换、修改响应文件；</w:t>
      </w:r>
    </w:p>
    <w:p w14:paraId="274C718C">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（3）供应商之间协商报价、技术方案等响应文件的实质性内容；</w:t>
      </w:r>
    </w:p>
    <w:p w14:paraId="4E0EADFF">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（4）属于同一集团、协会、商会等组织成员的供应商按照该组织要求协同参加政府采购活动；</w:t>
      </w:r>
    </w:p>
    <w:p w14:paraId="6C78D506">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0BA26513">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（6）供应商之间商定部分供应商放弃参加政府采购活动或者放弃成交；</w:t>
      </w:r>
    </w:p>
    <w:p w14:paraId="13417BAE">
      <w:pPr>
        <w:spacing w:line="360" w:lineRule="auto"/>
        <w:ind w:firstLine="422" w:firstLineChars="200"/>
        <w:rPr>
          <w:rFonts w:ascii="宋体" w:hAnsi="宋体" w:eastAsia="宋体" w:cs="宋体"/>
          <w:b/>
          <w:bCs/>
          <w:color w:val="auto"/>
          <w:szCs w:val="24"/>
          <w:highlight w:val="none"/>
        </w:rPr>
      </w:pPr>
      <w:r>
        <w:rPr>
          <w:rFonts w:hint="eastAsia" w:ascii="宋体" w:hAnsi="宋体" w:eastAsia="宋体" w:cs="宋体"/>
          <w:b/>
          <w:bCs/>
          <w:color w:val="auto"/>
          <w:szCs w:val="24"/>
          <w:highlight w:val="none"/>
        </w:rPr>
        <w:t>（7）供应商与采购人或者采购代理机构之间、供应商相互之间，为谋求特定供应商成交或者排斥其他供应商的其他串通行为。</w:t>
      </w:r>
      <w:bookmarkStart w:id="86" w:name="_Toc254970675"/>
      <w:bookmarkStart w:id="87" w:name="_Toc254970534"/>
    </w:p>
    <w:p w14:paraId="6EA06449">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4"/>
          <w:highlight w:val="none"/>
        </w:rPr>
        <w:t>7.7</w:t>
      </w:r>
      <w:r>
        <w:rPr>
          <w:rFonts w:hint="eastAsia" w:ascii="宋体" w:hAnsi="宋体" w:eastAsia="宋体" w:cs="宋体"/>
          <w:b/>
          <w:bCs/>
          <w:color w:val="auto"/>
          <w:szCs w:val="21"/>
          <w:highlight w:val="none"/>
        </w:rPr>
        <w:t>单一产品采购项目，提供相同品牌产品的不同供应商参加同一合同项下竞标的，以其中通过资格审查、符合性审查、谈判且最后报价最低的参加评审；最后报价相同的，由采购人或者采购人委托谈判小组按照竞争性谈判文件规定的方式确定一个参加评审的供应商，竞争性谈判文件未规定的采取随机抽取方式确定，</w:t>
      </w:r>
      <w:r>
        <w:rPr>
          <w:rFonts w:hint="eastAsia" w:ascii="宋体" w:hAnsi="宋体" w:eastAsia="宋体" w:cs="宋体"/>
          <w:b/>
          <w:bCs/>
          <w:color w:val="auto"/>
          <w:kern w:val="0"/>
          <w:szCs w:val="21"/>
          <w:highlight w:val="none"/>
        </w:rPr>
        <w:t>其他竞标无效</w:t>
      </w:r>
      <w:r>
        <w:rPr>
          <w:rFonts w:hint="eastAsia" w:ascii="宋体" w:hAnsi="宋体" w:eastAsia="宋体" w:cs="宋体"/>
          <w:b/>
          <w:bCs/>
          <w:color w:val="auto"/>
          <w:szCs w:val="21"/>
          <w:highlight w:val="none"/>
        </w:rPr>
        <w:t>。</w:t>
      </w:r>
    </w:p>
    <w:p w14:paraId="1E1D25BF">
      <w:pPr>
        <w:spacing w:line="360" w:lineRule="auto"/>
        <w:ind w:firstLine="422" w:firstLineChars="200"/>
        <w:rPr>
          <w:rFonts w:ascii="宋体" w:hAnsi="宋体" w:eastAsia="宋体" w:cs="宋体"/>
          <w:b/>
          <w:bCs/>
          <w:color w:val="auto"/>
          <w:highlight w:val="none"/>
        </w:rPr>
      </w:pPr>
      <w:r>
        <w:rPr>
          <w:rFonts w:hint="eastAsia" w:ascii="宋体" w:hAnsi="宋体" w:eastAsia="宋体" w:cs="宋体"/>
          <w:b/>
          <w:bCs/>
          <w:color w:val="auto"/>
          <w:szCs w:val="21"/>
          <w:highlight w:val="none"/>
        </w:rPr>
        <w:t>非单一产品采购项目，多家供应商提供的核心产品品牌相同的，按前款规定处理。</w:t>
      </w:r>
    </w:p>
    <w:p w14:paraId="2CD9084D">
      <w:pPr>
        <w:keepNext/>
        <w:keepLines/>
        <w:spacing w:line="360" w:lineRule="auto"/>
        <w:ind w:firstLine="640" w:firstLineChars="200"/>
        <w:outlineLvl w:val="2"/>
        <w:rPr>
          <w:rFonts w:ascii="宋体" w:hAnsi="宋体" w:eastAsia="宋体" w:cs="Times New Roman"/>
          <w:color w:val="auto"/>
          <w:sz w:val="32"/>
          <w:szCs w:val="32"/>
          <w:highlight w:val="none"/>
          <w:lang w:val="zh-CN"/>
        </w:rPr>
      </w:pPr>
      <w:bookmarkStart w:id="88" w:name="_Toc30516"/>
      <w:bookmarkStart w:id="89" w:name="_Toc10931"/>
      <w:bookmarkStart w:id="90" w:name="_Toc80205926"/>
      <w:r>
        <w:rPr>
          <w:rFonts w:hint="eastAsia" w:ascii="宋体" w:hAnsi="宋体" w:eastAsia="宋体" w:cs="Times New Roman"/>
          <w:color w:val="auto"/>
          <w:sz w:val="32"/>
          <w:szCs w:val="32"/>
          <w:highlight w:val="none"/>
          <w:lang w:val="zh-CN"/>
        </w:rPr>
        <w:t>二、谈判文件</w:t>
      </w:r>
      <w:bookmarkEnd w:id="86"/>
      <w:bookmarkEnd w:id="87"/>
      <w:bookmarkEnd w:id="88"/>
      <w:bookmarkEnd w:id="89"/>
      <w:bookmarkEnd w:id="90"/>
    </w:p>
    <w:p w14:paraId="36834401">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8.谈判文件的构成</w:t>
      </w:r>
    </w:p>
    <w:p w14:paraId="61F1B8E5">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第一章 竞争性谈判公告；</w:t>
      </w:r>
    </w:p>
    <w:p w14:paraId="502D7648">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第二章 采购需求；</w:t>
      </w:r>
    </w:p>
    <w:p w14:paraId="1C7B4DBE">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第三章 供应商须知； </w:t>
      </w:r>
    </w:p>
    <w:p w14:paraId="674933C9">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第四章 评审程序、评审方法和成交标准；</w:t>
      </w:r>
    </w:p>
    <w:p w14:paraId="10BEA3E7">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第五章 响应文件格式；</w:t>
      </w:r>
    </w:p>
    <w:p w14:paraId="18F12CE7">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第六章 合同文本；</w:t>
      </w:r>
    </w:p>
    <w:p w14:paraId="5BF4CA77">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第七章 质疑、投诉材料格式。</w:t>
      </w:r>
    </w:p>
    <w:p w14:paraId="49BA18AB">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9.供应商的询问</w:t>
      </w:r>
    </w:p>
    <w:p w14:paraId="5B8C6BA6">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供应商应认真阅读谈判文件的采购需求，如供应商对谈判文件有疑问的，如要求采购人作出澄清或者修改的，供应商尽应在</w:t>
      </w:r>
      <w:r>
        <w:rPr>
          <w:rFonts w:ascii="宋体" w:hAnsi="宋体" w:eastAsia="宋体" w:cs="Times New Roman"/>
          <w:color w:val="auto"/>
          <w:szCs w:val="21"/>
          <w:highlight w:val="none"/>
        </w:rPr>
        <w:t>提交首次响应文件截止之日前</w:t>
      </w:r>
      <w:r>
        <w:rPr>
          <w:rFonts w:hint="eastAsia" w:ascii="宋体" w:hAnsi="宋体" w:eastAsia="宋体" w:cs="Times New Roman"/>
          <w:color w:val="auto"/>
          <w:szCs w:val="21"/>
          <w:highlight w:val="none"/>
        </w:rPr>
        <w:t>，以书面形式向</w:t>
      </w:r>
      <w:r>
        <w:rPr>
          <w:rFonts w:ascii="宋体" w:hAnsi="宋体" w:eastAsia="宋体" w:cs="Times New Roman"/>
          <w:color w:val="auto"/>
          <w:szCs w:val="21"/>
          <w:highlight w:val="none"/>
        </w:rPr>
        <w:t>采购人、采购代理机构</w:t>
      </w:r>
      <w:r>
        <w:rPr>
          <w:rFonts w:hint="eastAsia" w:ascii="宋体" w:hAnsi="宋体" w:eastAsia="宋体" w:cs="Times New Roman"/>
          <w:color w:val="auto"/>
          <w:szCs w:val="21"/>
          <w:highlight w:val="none"/>
        </w:rPr>
        <w:t>提出。</w:t>
      </w:r>
    </w:p>
    <w:p w14:paraId="55A5C4AD">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10.谈判文件的澄清和修改</w:t>
      </w:r>
    </w:p>
    <w:p w14:paraId="3706882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10.1已获取谈判文件的潜在供应商，若有问题需要澄清，应于应标截止时间前，以书面形式向采购代理机构提出，采购代理机构与采购人研究后，对认为有必要回答的问题，按照本章10.3的内容处理。</w:t>
      </w:r>
    </w:p>
    <w:p w14:paraId="5EF3D319">
      <w:pPr>
        <w:spacing w:line="360" w:lineRule="auto"/>
        <w:ind w:firstLine="422" w:firstLineChars="200"/>
        <w:rPr>
          <w:rFonts w:ascii="宋体" w:hAnsi="宋体" w:eastAsia="宋体" w:cs="宋体"/>
          <w:b/>
          <w:color w:val="auto"/>
          <w:szCs w:val="21"/>
          <w:highlight w:val="none"/>
        </w:rPr>
      </w:pPr>
      <w:r>
        <w:rPr>
          <w:rFonts w:hint="eastAsia" w:ascii="宋体" w:hAnsi="宋体" w:eastAsia="宋体" w:cs="宋体"/>
          <w:b/>
          <w:color w:val="auto"/>
          <w:szCs w:val="21"/>
          <w:highlight w:val="none"/>
        </w:rPr>
        <w:t>10.2采购人或者采购代理机构可以对已发出的谈判文件进行必要的澄清或者修改，但不得改变采购标的和资格条件。澄清或者修改应当在原公告发布媒体上发布澄清公告。澄清或者修改的内容为谈判文件的组成部分。</w:t>
      </w:r>
    </w:p>
    <w:p w14:paraId="639489B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10.3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在提交首次响应文件截止之日3个工作日前，以书面形式（目前为网上公告和系统短信等形式）通知所有接收谈判文件的供应商，不足3个工作日的，应当顺延提交首次响应文件截止之日。澄清或者更正公告在竞争性谈判公告发布媒体上发布，一经发布，视作已以书面形式通知所有接收谈判文件的潜在供应商，不再另行通知，所有潜在供应商应密切关注竞争性谈判公告发布媒体，因未能及时获知，由此产生的后果均应自行承担。</w:t>
      </w:r>
    </w:p>
    <w:p w14:paraId="6A0A540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10.4</w:t>
      </w:r>
      <w:r>
        <w:rPr>
          <w:rFonts w:hint="eastAsia" w:ascii="宋体" w:hAnsi="宋体" w:eastAsia="宋体" w:cs="宋体"/>
          <w:color w:val="auto"/>
          <w:szCs w:val="24"/>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185BCBB4">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10.5  采购人和采购代理机构可以视采购具体情况，变更提交首次响应文件截止时间和竞谈时间，将变更时间将在“竞争性谈判公告”中“七、其他补充事宜</w:t>
      </w:r>
      <w:r>
        <w:rPr>
          <w:rFonts w:hint="eastAsia" w:ascii="宋体" w:hAnsi="宋体" w:eastAsia="宋体" w:cs="宋体"/>
          <w:color w:val="auto"/>
          <w:kern w:val="0"/>
          <w:szCs w:val="21"/>
          <w:highlight w:val="none"/>
        </w:rPr>
        <w:t>（二）</w:t>
      </w:r>
      <w:r>
        <w:rPr>
          <w:rFonts w:hint="eastAsia" w:ascii="宋体" w:hAnsi="宋体" w:eastAsia="宋体" w:cs="宋体"/>
          <w:color w:val="auto"/>
          <w:szCs w:val="24"/>
          <w:highlight w:val="none"/>
        </w:rPr>
        <w:t>网上查询地址”规定的政府采购信息发布媒体上发布更正公告。</w:t>
      </w:r>
    </w:p>
    <w:p w14:paraId="725E0147">
      <w:pPr>
        <w:spacing w:line="360" w:lineRule="auto"/>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b/>
          <w:color w:val="auto"/>
          <w:kern w:val="0"/>
          <w:szCs w:val="21"/>
          <w:highlight w:val="none"/>
        </w:rPr>
        <w:t>响应文件未按谈判文件的澄清、修改的内容编制，又不符合实质性要求的，其响应文件作无效处理。</w:t>
      </w:r>
    </w:p>
    <w:p w14:paraId="570B3AEB">
      <w:pPr>
        <w:keepNext/>
        <w:keepLines/>
        <w:spacing w:line="360" w:lineRule="auto"/>
        <w:ind w:firstLine="640" w:firstLineChars="200"/>
        <w:outlineLvl w:val="2"/>
        <w:rPr>
          <w:rFonts w:ascii="宋体" w:hAnsi="宋体" w:eastAsia="宋体" w:cs="Times New Roman"/>
          <w:color w:val="auto"/>
          <w:sz w:val="32"/>
          <w:szCs w:val="32"/>
          <w:highlight w:val="none"/>
          <w:lang w:val="zh-CN"/>
        </w:rPr>
      </w:pPr>
      <w:bookmarkStart w:id="91" w:name="_Toc11107"/>
      <w:bookmarkStart w:id="92" w:name="_Toc12627"/>
      <w:bookmarkStart w:id="93" w:name="_Toc80205927"/>
      <w:r>
        <w:rPr>
          <w:rFonts w:hint="eastAsia" w:ascii="宋体" w:hAnsi="宋体" w:eastAsia="宋体" w:cs="Times New Roman"/>
          <w:color w:val="auto"/>
          <w:sz w:val="32"/>
          <w:szCs w:val="32"/>
          <w:highlight w:val="none"/>
          <w:lang w:val="zh-CN"/>
        </w:rPr>
        <w:t>三、响应文件的编制</w:t>
      </w:r>
      <w:bookmarkEnd w:id="91"/>
      <w:bookmarkEnd w:id="92"/>
      <w:bookmarkEnd w:id="93"/>
    </w:p>
    <w:p w14:paraId="7F2DB34B">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11.响应文件的编制原则</w:t>
      </w:r>
    </w:p>
    <w:p w14:paraId="0889B482">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供应商必须按照谈判文件的要求编制响应文件，并对其提交的响应文件的真实性、合法性承担法律责任。响应文件必须对谈判文件作出实质性响应。</w:t>
      </w:r>
    </w:p>
    <w:p w14:paraId="5D04F1AC">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12.响应文件的组成</w:t>
      </w:r>
    </w:p>
    <w:p w14:paraId="6B1E089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12.1响应文件由资格证明文件、报价文件、商务和技术文件三部分组成。</w:t>
      </w:r>
    </w:p>
    <w:p w14:paraId="3858FD4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w:t>
      </w:r>
      <w:r>
        <w:rPr>
          <w:rFonts w:ascii="宋体" w:hAnsi="宋体" w:eastAsia="宋体" w:cs="宋体"/>
          <w:color w:val="auto"/>
          <w:szCs w:val="21"/>
          <w:highlight w:val="none"/>
        </w:rPr>
        <w:t>2.1.1</w:t>
      </w:r>
      <w:r>
        <w:rPr>
          <w:rFonts w:hint="eastAsia" w:ascii="宋体" w:hAnsi="宋体" w:eastAsia="宋体" w:cs="宋体"/>
          <w:color w:val="auto"/>
          <w:szCs w:val="21"/>
          <w:highlight w:val="none"/>
        </w:rPr>
        <w:t>资格证明文件：详见供应商须知前附表</w:t>
      </w:r>
    </w:p>
    <w:p w14:paraId="5288259F">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12.1.2商务技术文件：详见供应商须知前附表</w:t>
      </w:r>
    </w:p>
    <w:p w14:paraId="1E6A7E8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w:t>
      </w:r>
      <w:r>
        <w:rPr>
          <w:rFonts w:ascii="宋体" w:hAnsi="宋体" w:eastAsia="宋体" w:cs="宋体"/>
          <w:color w:val="auto"/>
          <w:szCs w:val="21"/>
          <w:highlight w:val="none"/>
        </w:rPr>
        <w:t>2.1.</w:t>
      </w:r>
      <w:r>
        <w:rPr>
          <w:rFonts w:hint="eastAsia" w:ascii="宋体" w:hAnsi="宋体" w:eastAsia="宋体" w:cs="宋体"/>
          <w:color w:val="auto"/>
          <w:szCs w:val="21"/>
          <w:highlight w:val="none"/>
        </w:rPr>
        <w:t>3报价文件：详见供应商须知前附表</w:t>
      </w:r>
    </w:p>
    <w:p w14:paraId="250EE296">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12.</w:t>
      </w:r>
      <w:r>
        <w:rPr>
          <w:rFonts w:ascii="宋体" w:hAnsi="宋体" w:eastAsia="宋体" w:cs="宋体"/>
          <w:color w:val="auto"/>
          <w:szCs w:val="21"/>
          <w:highlight w:val="none"/>
        </w:rPr>
        <w:t>2</w:t>
      </w:r>
      <w:r>
        <w:rPr>
          <w:rFonts w:hint="eastAsia" w:ascii="宋体" w:hAnsi="宋体" w:eastAsia="宋体" w:cs="宋体"/>
          <w:color w:val="auto"/>
          <w:szCs w:val="21"/>
          <w:highlight w:val="none"/>
        </w:rPr>
        <w:t>响应文件电子版：详见供应商须知前附表</w:t>
      </w:r>
    </w:p>
    <w:p w14:paraId="1BA064DE">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13.计量单位</w:t>
      </w:r>
    </w:p>
    <w:p w14:paraId="41C8B7E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谈判文件已有明确规定的，使用谈判文件规定的计量单位；谈判文件没有规定的，应采用中华人民共和国法定计量单位，货币种类为人民币，否则视同未响应。</w:t>
      </w:r>
    </w:p>
    <w:p w14:paraId="6EDC224A">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14.竞标的风险</w:t>
      </w:r>
    </w:p>
    <w:p w14:paraId="45ADE82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供应商没有按照谈判文件要求提供全部资料，或者供应商没有对谈判文件在各方面作出实质性响应可能导致其响应无效，是供应商应当考虑的风险。</w:t>
      </w:r>
    </w:p>
    <w:p w14:paraId="1AAEB123">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15.响应报价要求和构成</w:t>
      </w:r>
    </w:p>
    <w:p w14:paraId="3D4B7FA6">
      <w:pPr>
        <w:tabs>
          <w:tab w:val="left" w:pos="2492"/>
        </w:tabs>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15.1响应报价应按“第五章 响应文件格式”中“响应报价表”格式填写。</w:t>
      </w:r>
    </w:p>
    <w:p w14:paraId="54B88534">
      <w:pPr>
        <w:tabs>
          <w:tab w:val="left" w:pos="2492"/>
        </w:tabs>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15.2响应报价的价格构成见“供应商须知前附表”。</w:t>
      </w:r>
    </w:p>
    <w:p w14:paraId="5F5DA09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15.3响应报价要求</w:t>
      </w:r>
    </w:p>
    <w:p w14:paraId="40D95FB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15.3.1供应商的响应报价应符合以下要求，否则响应文件作无效响应处理：</w:t>
      </w:r>
    </w:p>
    <w:p w14:paraId="6532BB7F">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（1）供应商必须就“采购需求”中所竞标的项目/每个分标的全部内容分别作完整唯一总价报价，不得存在漏项报价；</w:t>
      </w:r>
    </w:p>
    <w:p w14:paraId="501C26E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（2）供应商必须就所竞标的项目/分标的单项内容作唯一报价。</w:t>
      </w:r>
    </w:p>
    <w:p w14:paraId="2B0A96C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15.3.2响应报价（包含首次报价、最后报价）超过所竞标项目/分标规定的采购预算金额或者最高限价的（如本项目公布了最高限价），其响应文件将作无效处理。</w:t>
      </w:r>
    </w:p>
    <w:p w14:paraId="182C520B">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15.3.3</w:t>
      </w:r>
      <w:bookmarkStart w:id="94" w:name="_Hlk42592874"/>
      <w:r>
        <w:rPr>
          <w:rFonts w:hint="eastAsia" w:ascii="宋体" w:hAnsi="宋体" w:eastAsia="宋体" w:cs="宋体"/>
          <w:color w:val="auto"/>
          <w:szCs w:val="21"/>
          <w:highlight w:val="none"/>
        </w:rPr>
        <w:t>响应报价（包含首次报价、最后报价）超过分项采购预算金额或者最高限价的（如本项目公布了最高限价），其响应文件将作无效处理。</w:t>
      </w:r>
    </w:p>
    <w:bookmarkEnd w:id="94"/>
    <w:p w14:paraId="058C5EF2">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16.竞标有效期</w:t>
      </w:r>
    </w:p>
    <w:p w14:paraId="2ED733EF">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5A06271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16.2 竞标有效期应由供应商按“供应商须知前附表”规定的期限作出响应。</w:t>
      </w:r>
    </w:p>
    <w:p w14:paraId="4610EAE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16.3供应商的响应文件在竞标有效期内均保持有效。</w:t>
      </w:r>
    </w:p>
    <w:p w14:paraId="2C248FD4">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17.谈判保证金</w:t>
      </w:r>
    </w:p>
    <w:p w14:paraId="7717B25E">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17.1供应商须按“供应商须知前附表”的规定提交谈判保证金。</w:t>
      </w:r>
    </w:p>
    <w:p w14:paraId="47EE9612">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17.2谈判保证金的退还</w:t>
      </w:r>
    </w:p>
    <w:p w14:paraId="1E10439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17.2.1未</w:t>
      </w:r>
      <w:r>
        <w:rPr>
          <w:rFonts w:hint="eastAsia" w:ascii="宋体" w:hAnsi="宋体" w:eastAsia="宋体" w:cs="宋体"/>
          <w:color w:val="auto"/>
          <w:spacing w:val="-6"/>
          <w:szCs w:val="21"/>
          <w:highlight w:val="none"/>
        </w:rPr>
        <w:t>成交供应商的谈判保证金自成交通知书发出之日起5个工作日内退还，退还方式如下：</w:t>
      </w:r>
    </w:p>
    <w:p w14:paraId="0E42DA82">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（1）采用银行转账方式的，以转账方式退回到供应商银行账户。</w:t>
      </w:r>
    </w:p>
    <w:p w14:paraId="182AF6C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（2）采用支票、汇票、本票或者金融机构、担保机构出具的保函等方式的，由供应商代表持相关授权证明材料至采购代理机构办理支票、汇票、本票或者金融机构、担保机构出具的保函等原件退还手续。</w:t>
      </w:r>
    </w:p>
    <w:p w14:paraId="42A23F6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17.2.2成交供应商的谈判保证金自签订合同之日起5个工作日内退还，退还方式同未成交供应商的谈判保证金的退还方式；或者转为成交供应商的履约保证金。 </w:t>
      </w:r>
    </w:p>
    <w:p w14:paraId="5C9BBA38">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17.3谈判保证金不计息。</w:t>
      </w:r>
    </w:p>
    <w:p w14:paraId="235C28FB">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17.4供应商有下列情形之一的，谈判保证金将不予退还： </w:t>
      </w:r>
    </w:p>
    <w:p w14:paraId="23333B1B">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（1）供应商在提交响应文件截止时间后撤回响应文件的；</w:t>
      </w:r>
    </w:p>
    <w:p w14:paraId="49B477AE">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（2）供应商在响应文件中提供虚假材料的；</w:t>
      </w:r>
    </w:p>
    <w:p w14:paraId="7D86A6D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（3）除因不可抗力或者竞争性谈判文件认可的情形以外，成交供应商不与采购人签订合同的；</w:t>
      </w:r>
    </w:p>
    <w:p w14:paraId="1EAA3714">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（4）供应商与采购人、其他供应商或者采购代理机构恶意串通的；</w:t>
      </w:r>
    </w:p>
    <w:p w14:paraId="3128B6BF">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（5）竞争性谈判文件规定的其他情形。</w:t>
      </w:r>
    </w:p>
    <w:p w14:paraId="2DDA6AC1">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18.响应文件编制的要求</w:t>
      </w:r>
    </w:p>
    <w:p w14:paraId="134A009B">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18.1各供应商在编制响应文件时请按照谈判文件“第五章 响应文件格式”规定的格式进行，混乱的编排导致响应文件被误读或谈判小组查找不到有效文件是供应商的风险。不完整、编排混乱导致响应文件被误读、漏读或者查找不到相关内容的，</w:t>
      </w:r>
      <w:r>
        <w:rPr>
          <w:rFonts w:hint="eastAsia" w:ascii="宋体" w:hAnsi="宋体" w:eastAsia="宋体" w:cs="宋体"/>
          <w:color w:val="auto"/>
          <w:szCs w:val="24"/>
          <w:highlight w:val="none"/>
        </w:rPr>
        <w:t>由此引发的</w:t>
      </w:r>
      <w:r>
        <w:rPr>
          <w:rFonts w:hint="eastAsia" w:ascii="宋体" w:hAnsi="宋体" w:eastAsia="宋体" w:cs="宋体"/>
          <w:color w:val="auto"/>
          <w:szCs w:val="21"/>
          <w:highlight w:val="none"/>
        </w:rPr>
        <w:t>后果由供应商承担。</w:t>
      </w:r>
    </w:p>
    <w:p w14:paraId="2408112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18.2响应文件应按资格证明、报价分别编制，商务技术文件合并编制，本谈判只接收电子版响应文件，要求见本章“12.2响应文件电子版要求”。</w:t>
      </w:r>
    </w:p>
    <w:p w14:paraId="030CE76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18.</w:t>
      </w:r>
      <w:bookmarkStart w:id="95" w:name="_Hlk65832699"/>
      <w:r>
        <w:rPr>
          <w:rFonts w:hint="eastAsia" w:ascii="宋体" w:hAnsi="宋体" w:eastAsia="宋体" w:cs="宋体"/>
          <w:color w:val="auto"/>
          <w:szCs w:val="21"/>
          <w:highlight w:val="none"/>
        </w:rPr>
        <w:t>3</w:t>
      </w:r>
      <w:r>
        <w:rPr>
          <w:rFonts w:hint="eastAsia" w:ascii="宋体" w:hAnsi="宋体" w:eastAsia="宋体" w:cs="Times New Roman"/>
          <w:color w:val="auto"/>
          <w:szCs w:val="21"/>
          <w:highlight w:val="none"/>
        </w:rPr>
        <w:t>响应文件须由供应商按</w:t>
      </w:r>
      <w:r>
        <w:rPr>
          <w:rFonts w:hint="eastAsia" w:ascii="宋体" w:hAnsi="宋体" w:eastAsia="宋体" w:cs="仿宋_GB2312"/>
          <w:color w:val="auto"/>
          <w:kern w:val="0"/>
          <w:szCs w:val="21"/>
          <w:highlight w:val="none"/>
          <w:lang w:val="zh-CN"/>
        </w:rPr>
        <w:t>“</w:t>
      </w:r>
      <w:r>
        <w:rPr>
          <w:rFonts w:hint="eastAsia" w:ascii="宋体" w:hAnsi="宋体" w:eastAsia="宋体" w:cs="Times New Roman"/>
          <w:color w:val="auto"/>
          <w:szCs w:val="21"/>
          <w:highlight w:val="none"/>
        </w:rPr>
        <w:t>第五章 响应文件格式</w:t>
      </w:r>
      <w:r>
        <w:rPr>
          <w:rFonts w:hint="eastAsia" w:ascii="宋体" w:hAnsi="宋体" w:eastAsia="宋体" w:cs="仿宋_GB2312"/>
          <w:color w:val="auto"/>
          <w:kern w:val="0"/>
          <w:szCs w:val="21"/>
          <w:highlight w:val="none"/>
          <w:lang w:val="zh-CN"/>
        </w:rPr>
        <w:t>”</w:t>
      </w:r>
      <w:r>
        <w:rPr>
          <w:rFonts w:hint="eastAsia" w:ascii="宋体" w:hAnsi="宋体" w:eastAsia="宋体" w:cs="Times New Roman"/>
          <w:color w:val="auto"/>
          <w:szCs w:val="21"/>
          <w:highlight w:val="none"/>
        </w:rPr>
        <w:t>要求</w:t>
      </w:r>
      <w:r>
        <w:rPr>
          <w:rFonts w:hint="eastAsia" w:ascii="宋体" w:hAnsi="宋体" w:eastAsia="宋体" w:cs="仿宋_GB2312"/>
          <w:color w:val="auto"/>
          <w:szCs w:val="21"/>
          <w:highlight w:val="none"/>
        </w:rPr>
        <w:t>进行签署、盖章</w:t>
      </w:r>
      <w:bookmarkEnd w:id="95"/>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否则其响应文件作无效响应处理。</w:t>
      </w:r>
    </w:p>
    <w:p w14:paraId="0F242EFA">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18.4响应文件中标注的供应商名称应与营业执照（事业单位法人证书、执业许可证、自然人身份证）及公章一致，</w:t>
      </w:r>
      <w:r>
        <w:rPr>
          <w:rFonts w:hint="eastAsia" w:ascii="宋体" w:hAnsi="宋体" w:eastAsia="宋体" w:cs="宋体"/>
          <w:b/>
          <w:bCs/>
          <w:color w:val="auto"/>
          <w:szCs w:val="21"/>
          <w:highlight w:val="none"/>
        </w:rPr>
        <w:t>否则其响应文件作无效响应处理</w:t>
      </w:r>
      <w:r>
        <w:rPr>
          <w:rFonts w:hint="eastAsia" w:ascii="宋体" w:hAnsi="宋体" w:eastAsia="宋体" w:cs="宋体"/>
          <w:color w:val="auto"/>
          <w:szCs w:val="21"/>
          <w:highlight w:val="none"/>
        </w:rPr>
        <w:t>。</w:t>
      </w:r>
    </w:p>
    <w:p w14:paraId="44F669BB">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18.5响应文件应避免涂改、行间插字或者删除。</w:t>
      </w:r>
    </w:p>
    <w:p w14:paraId="691F7326">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19.响应文件的密封和标记</w:t>
      </w:r>
    </w:p>
    <w:p w14:paraId="2B06ABA0">
      <w:pPr>
        <w:spacing w:line="360" w:lineRule="auto"/>
        <w:ind w:firstLine="420" w:firstLineChars="200"/>
        <w:rPr>
          <w:rFonts w:ascii="宋体" w:hAnsi="宋体" w:eastAsia="宋体" w:cs="仿宋_GB2312"/>
          <w:color w:val="auto"/>
          <w:kern w:val="0"/>
          <w:szCs w:val="21"/>
          <w:highlight w:val="none"/>
          <w:lang w:val="zh-CN"/>
        </w:rPr>
      </w:pPr>
      <w:r>
        <w:rPr>
          <w:rFonts w:hint="eastAsia" w:ascii="宋体" w:hAnsi="宋体" w:eastAsia="宋体" w:cs="仿宋_GB2312"/>
          <w:color w:val="auto"/>
          <w:kern w:val="0"/>
          <w:szCs w:val="21"/>
          <w:highlight w:val="none"/>
          <w:lang w:val="zh-CN"/>
        </w:rPr>
        <w:t>19.1供应商进行电子交易应安装客户端软件—“</w:t>
      </w:r>
      <w:r>
        <w:rPr>
          <w:rFonts w:hint="eastAsia" w:ascii="宋体" w:hAnsi="宋体" w:cs="宋体"/>
          <w:color w:val="auto"/>
          <w:szCs w:val="21"/>
          <w:highlight w:val="none"/>
        </w:rPr>
        <w:t>广西政府采购云平台新版客户端</w:t>
      </w:r>
      <w:r>
        <w:rPr>
          <w:rFonts w:hint="eastAsia" w:ascii="宋体" w:hAnsi="宋体" w:eastAsia="宋体" w:cs="仿宋_GB2312"/>
          <w:color w:val="auto"/>
          <w:kern w:val="0"/>
          <w:szCs w:val="21"/>
          <w:highlight w:val="none"/>
          <w:lang w:val="zh-CN"/>
        </w:rPr>
        <w:t>”，并按照谈判文件和电子交易平台的要求编制并加密响应文件。供应商未按规定加密的响应文件，电子交易平台将拒收并提示。</w:t>
      </w:r>
    </w:p>
    <w:p w14:paraId="5011854C">
      <w:pPr>
        <w:spacing w:line="360" w:lineRule="auto"/>
        <w:ind w:firstLine="420" w:firstLineChars="200"/>
        <w:rPr>
          <w:rFonts w:ascii="宋体" w:hAnsi="宋体" w:eastAsia="宋体" w:cs="仿宋_GB2312"/>
          <w:color w:val="auto"/>
          <w:kern w:val="0"/>
          <w:szCs w:val="21"/>
          <w:highlight w:val="none"/>
          <w:lang w:val="zh-CN"/>
        </w:rPr>
      </w:pPr>
      <w:r>
        <w:rPr>
          <w:rFonts w:hint="eastAsia" w:ascii="宋体" w:hAnsi="宋体" w:eastAsia="宋体" w:cs="仿宋_GB2312"/>
          <w:color w:val="auto"/>
          <w:kern w:val="0"/>
          <w:szCs w:val="21"/>
          <w:highlight w:val="none"/>
          <w:lang w:val="zh-CN"/>
        </w:rPr>
        <w:t>19.2使用“</w:t>
      </w:r>
      <w:r>
        <w:rPr>
          <w:rFonts w:hint="eastAsia" w:ascii="宋体" w:hAnsi="宋体" w:cs="宋体"/>
          <w:color w:val="auto"/>
          <w:szCs w:val="21"/>
          <w:highlight w:val="none"/>
        </w:rPr>
        <w:t>广西政府采购云平台</w:t>
      </w:r>
      <w:r>
        <w:rPr>
          <w:rFonts w:hint="eastAsia" w:ascii="宋体" w:hAnsi="宋体" w:eastAsia="宋体" w:cs="仿宋_GB2312"/>
          <w:color w:val="auto"/>
          <w:kern w:val="0"/>
          <w:szCs w:val="21"/>
          <w:highlight w:val="none"/>
          <w:lang w:val="zh-CN"/>
        </w:rPr>
        <w:t>电子交易客户端”需要提前申领CA数字证书。</w:t>
      </w:r>
    </w:p>
    <w:p w14:paraId="6B0DDE4D">
      <w:pPr>
        <w:spacing w:line="360" w:lineRule="auto"/>
        <w:ind w:firstLine="420" w:firstLineChars="200"/>
        <w:rPr>
          <w:rFonts w:ascii="宋体" w:hAnsi="宋体" w:eastAsia="宋体" w:cs="仿宋_GB2312"/>
          <w:color w:val="auto"/>
          <w:kern w:val="0"/>
          <w:szCs w:val="21"/>
          <w:highlight w:val="none"/>
          <w:lang w:val="zh-CN"/>
        </w:rPr>
      </w:pPr>
      <w:r>
        <w:rPr>
          <w:rFonts w:hint="eastAsia" w:ascii="宋体" w:hAnsi="宋体" w:eastAsia="宋体" w:cs="仿宋_GB2312"/>
          <w:color w:val="auto"/>
          <w:kern w:val="0"/>
          <w:szCs w:val="21"/>
          <w:highlight w:val="none"/>
          <w:lang w:val="zh-CN"/>
        </w:rPr>
        <w:t>19.3为确保网上操作合法、有效和安全，供应商应当在响应文件提交截止时间前完成在“</w:t>
      </w:r>
      <w:r>
        <w:rPr>
          <w:rFonts w:hint="eastAsia" w:ascii="宋体" w:hAnsi="宋体" w:cs="宋体"/>
          <w:color w:val="auto"/>
          <w:szCs w:val="21"/>
          <w:highlight w:val="none"/>
        </w:rPr>
        <w:t>广西政府采购云平台</w:t>
      </w:r>
      <w:r>
        <w:rPr>
          <w:rFonts w:hint="eastAsia" w:ascii="宋体" w:hAnsi="宋体" w:eastAsia="宋体" w:cs="仿宋_GB2312"/>
          <w:color w:val="auto"/>
          <w:kern w:val="0"/>
          <w:szCs w:val="21"/>
          <w:highlight w:val="none"/>
          <w:lang w:val="zh-CN"/>
        </w:rPr>
        <w:t>”的身份认证，确保在电子交易过程中能够对相关数据电文进行加密和使用电子签名。</w:t>
      </w:r>
    </w:p>
    <w:p w14:paraId="7F032DDD">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20.响应文件的提交</w:t>
      </w:r>
    </w:p>
    <w:p w14:paraId="3ABD411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20.1供应商必须在“供应商须知前附表”规定的时间和地点提交响应文件。</w:t>
      </w:r>
    </w:p>
    <w:p w14:paraId="1D49A242">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20</w:t>
      </w:r>
      <w:r>
        <w:rPr>
          <w:rFonts w:hint="eastAsia" w:ascii="宋体" w:hAnsi="宋体" w:eastAsia="宋体" w:cs="Times New Roman"/>
          <w:color w:val="auto"/>
          <w:szCs w:val="21"/>
          <w:highlight w:val="none"/>
        </w:rPr>
        <w:t>.2 在响应文件提交截止时间以后，不能补充、修改响应文件。</w:t>
      </w:r>
    </w:p>
    <w:p w14:paraId="63AEAA35">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20.3 在提交“最后报价”后，供应商不能退出谈判。</w:t>
      </w:r>
    </w:p>
    <w:p w14:paraId="6B5E8E65">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136454E5">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20.5 采购机构不可视情况延长提交响应文件的截止时间。</w:t>
      </w:r>
    </w:p>
    <w:p w14:paraId="6660BC5A">
      <w:pPr>
        <w:spacing w:line="360" w:lineRule="auto"/>
        <w:ind w:firstLine="420" w:firstLineChars="200"/>
        <w:rPr>
          <w:rFonts w:ascii="黑体" w:hAnsi="黑体" w:eastAsia="黑体" w:cs="Times New Roman"/>
          <w:color w:val="auto"/>
          <w:sz w:val="24"/>
          <w:szCs w:val="24"/>
          <w:highlight w:val="none"/>
        </w:rPr>
      </w:pPr>
      <w:r>
        <w:rPr>
          <w:rFonts w:hint="eastAsia" w:ascii="宋体" w:hAnsi="宋体" w:eastAsia="宋体" w:cs="Times New Roman"/>
          <w:color w:val="auto"/>
          <w:szCs w:val="21"/>
          <w:highlight w:val="none"/>
        </w:rPr>
        <w:t>20.6备份响应文件。</w:t>
      </w:r>
      <w:r>
        <w:rPr>
          <w:rFonts w:hint="eastAsia" w:ascii="Times New Roman" w:hAnsi="宋体" w:eastAsia="宋体" w:cs="Times New Roman"/>
          <w:bCs/>
          <w:color w:val="auto"/>
          <w:szCs w:val="21"/>
          <w:highlight w:val="none"/>
        </w:rPr>
        <w:t>详见“供应商须知前附表”。</w:t>
      </w:r>
    </w:p>
    <w:p w14:paraId="0B2D1B99">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21.首次响应文件的补充、修改与撤回</w:t>
      </w:r>
    </w:p>
    <w:p w14:paraId="358D9278">
      <w:pPr>
        <w:adjustRightInd w:val="0"/>
        <w:spacing w:line="360" w:lineRule="auto"/>
        <w:ind w:firstLine="420" w:firstLineChars="200"/>
        <w:rPr>
          <w:rFonts w:ascii="宋体" w:hAnsi="宋体" w:eastAsia="宋体" w:cs="仿宋_GB2312"/>
          <w:color w:val="auto"/>
          <w:kern w:val="0"/>
          <w:szCs w:val="21"/>
          <w:highlight w:val="none"/>
        </w:rPr>
      </w:pPr>
      <w:r>
        <w:rPr>
          <w:rFonts w:hint="eastAsia" w:ascii="宋体" w:hAnsi="宋体" w:eastAsia="宋体" w:cs="仿宋_GB2312"/>
          <w:color w:val="auto"/>
          <w:kern w:val="0"/>
          <w:szCs w:val="21"/>
          <w:highlight w:val="none"/>
        </w:rPr>
        <w:t>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文件提交截止时间后提交的响应文件，电子交易平台将拒收。</w:t>
      </w:r>
    </w:p>
    <w:p w14:paraId="5AAF2BDB">
      <w:pPr>
        <w:spacing w:line="360" w:lineRule="auto"/>
        <w:ind w:firstLine="482" w:firstLineChars="200"/>
        <w:rPr>
          <w:rFonts w:ascii="黑体" w:hAnsi="黑体" w:eastAsia="黑体" w:cs="宋体"/>
          <w:b/>
          <w:bCs/>
          <w:color w:val="auto"/>
          <w:sz w:val="24"/>
          <w:szCs w:val="24"/>
          <w:highlight w:val="none"/>
        </w:rPr>
      </w:pPr>
      <w:bookmarkStart w:id="96" w:name="_Hlk45702405"/>
      <w:r>
        <w:rPr>
          <w:rFonts w:hint="eastAsia" w:ascii="黑体" w:hAnsi="黑体" w:eastAsia="黑体" w:cs="宋体"/>
          <w:b/>
          <w:bCs/>
          <w:color w:val="auto"/>
          <w:sz w:val="24"/>
          <w:szCs w:val="24"/>
          <w:highlight w:val="none"/>
        </w:rPr>
        <w:t>22.截止时间后的撤回</w:t>
      </w:r>
    </w:p>
    <w:bookmarkEnd w:id="96"/>
    <w:p w14:paraId="59CD6C30">
      <w:pPr>
        <w:pStyle w:val="13"/>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供应商在首次响应文件提交截止时间后向采购人、采购代理机构书面申请撤回响应文件的，将根据本须知正文第17.4条的规定不予退还其谈判保证金（</w:t>
      </w:r>
      <w:r>
        <w:rPr>
          <w:rFonts w:hint="eastAsia" w:ascii="宋体" w:hAnsi="宋体" w:cs="宋体"/>
          <w:color w:val="auto"/>
          <w:szCs w:val="21"/>
          <w:highlight w:val="none"/>
          <w:lang w:val="en-US"/>
        </w:rPr>
        <w:t>如有</w:t>
      </w:r>
      <w:r>
        <w:rPr>
          <w:rFonts w:hint="eastAsia" w:ascii="宋体" w:hAnsi="宋体" w:cs="宋体"/>
          <w:color w:val="auto"/>
          <w:szCs w:val="21"/>
          <w:highlight w:val="none"/>
        </w:rPr>
        <w:t>）。</w:t>
      </w:r>
    </w:p>
    <w:p w14:paraId="2F6D83C8">
      <w:pPr>
        <w:keepNext/>
        <w:keepLines/>
        <w:spacing w:line="360" w:lineRule="auto"/>
        <w:ind w:firstLine="640" w:firstLineChars="200"/>
        <w:outlineLvl w:val="2"/>
        <w:rPr>
          <w:rFonts w:ascii="宋体" w:hAnsi="宋体" w:eastAsia="宋体" w:cs="Times New Roman"/>
          <w:color w:val="auto"/>
          <w:sz w:val="32"/>
          <w:szCs w:val="32"/>
          <w:highlight w:val="none"/>
          <w:lang w:val="zh-CN"/>
        </w:rPr>
      </w:pPr>
      <w:r>
        <w:rPr>
          <w:rFonts w:hint="eastAsia" w:ascii="宋体" w:hAnsi="宋体" w:eastAsia="宋体" w:cs="Times New Roman"/>
          <w:color w:val="auto"/>
          <w:sz w:val="32"/>
          <w:szCs w:val="32"/>
          <w:highlight w:val="none"/>
          <w:lang w:val="zh-CN"/>
        </w:rPr>
        <w:t xml:space="preserve">  </w:t>
      </w:r>
      <w:bookmarkStart w:id="97" w:name="_Toc80205928"/>
      <w:bookmarkStart w:id="98" w:name="_Toc29978"/>
      <w:bookmarkStart w:id="99" w:name="_Toc8836"/>
      <w:r>
        <w:rPr>
          <w:rFonts w:hint="eastAsia" w:ascii="宋体" w:hAnsi="宋体" w:eastAsia="宋体" w:cs="Times New Roman"/>
          <w:color w:val="auto"/>
          <w:sz w:val="32"/>
          <w:szCs w:val="32"/>
          <w:highlight w:val="none"/>
          <w:lang w:val="zh-CN"/>
        </w:rPr>
        <w:t>四、评审及谈判</w:t>
      </w:r>
      <w:bookmarkEnd w:id="97"/>
      <w:bookmarkEnd w:id="98"/>
      <w:bookmarkEnd w:id="99"/>
    </w:p>
    <w:p w14:paraId="0D773973">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23.谈判小组成立</w:t>
      </w:r>
    </w:p>
    <w:p w14:paraId="5554D58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23.1谈判小组由采购人代表和评审专家共3人以上单数组成，其中评审专家人数不得少于谈判小组成员总数的2/3。采购人代表不得以评审专家身份参加本部门或者本单位采购项目的评审。采购代理机构人员不得参加本机构代理的采购项目的评审。达到公开招标数额标准的货物或者货物采购项目，或者达到公开招标规模标准的政府采购工程，经批准采用竞争性谈判方式采购的，谈判小组由5人以上单数组成。</w:t>
      </w:r>
    </w:p>
    <w:p w14:paraId="3D779B6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23.2评审专家应当从政府采购评审专家库内相关专业的专家名单中随机抽取。</w:t>
      </w:r>
    </w:p>
    <w:p w14:paraId="016D2FE0">
      <w:pPr>
        <w:spacing w:line="360" w:lineRule="auto"/>
        <w:ind w:firstLine="482" w:firstLineChars="200"/>
        <w:rPr>
          <w:rFonts w:ascii="黑体" w:hAnsi="黑体" w:eastAsia="黑体" w:cs="宋体"/>
          <w:b/>
          <w:bCs/>
          <w:color w:val="auto"/>
          <w:sz w:val="24"/>
          <w:szCs w:val="24"/>
          <w:highlight w:val="none"/>
        </w:rPr>
      </w:pPr>
      <w:r>
        <w:rPr>
          <w:rFonts w:ascii="黑体" w:hAnsi="黑体" w:eastAsia="黑体" w:cs="宋体"/>
          <w:b/>
          <w:bCs/>
          <w:color w:val="auto"/>
          <w:sz w:val="24"/>
          <w:szCs w:val="24"/>
          <w:highlight w:val="none"/>
        </w:rPr>
        <w:t>2</w:t>
      </w:r>
      <w:r>
        <w:rPr>
          <w:rFonts w:hint="eastAsia" w:ascii="黑体" w:hAnsi="黑体" w:eastAsia="黑体" w:cs="宋体"/>
          <w:b/>
          <w:bCs/>
          <w:color w:val="auto"/>
          <w:sz w:val="24"/>
          <w:szCs w:val="24"/>
          <w:highlight w:val="none"/>
        </w:rPr>
        <w:t>4</w:t>
      </w:r>
      <w:r>
        <w:rPr>
          <w:rFonts w:ascii="黑体" w:hAnsi="黑体" w:eastAsia="黑体" w:cs="宋体"/>
          <w:b/>
          <w:bCs/>
          <w:color w:val="auto"/>
          <w:sz w:val="24"/>
          <w:szCs w:val="24"/>
          <w:highlight w:val="none"/>
        </w:rPr>
        <w:t>.</w:t>
      </w:r>
      <w:r>
        <w:rPr>
          <w:rFonts w:hint="eastAsia" w:ascii="黑体" w:hAnsi="黑体" w:eastAsia="黑体" w:cs="宋体"/>
          <w:b/>
          <w:bCs/>
          <w:color w:val="auto"/>
          <w:sz w:val="24"/>
          <w:szCs w:val="24"/>
          <w:highlight w:val="none"/>
        </w:rPr>
        <w:t>首次响应文件的开启</w:t>
      </w:r>
    </w:p>
    <w:p w14:paraId="16AD0586">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24.1首次响应文件由谈判小组或者采购代理机构在“供应商须知前附表”规定的时间开启。</w:t>
      </w:r>
    </w:p>
    <w:p w14:paraId="5C7D5492">
      <w:pPr>
        <w:spacing w:line="360" w:lineRule="auto"/>
        <w:ind w:firstLine="400" w:firstLineChars="200"/>
        <w:rPr>
          <w:rFonts w:ascii="宋体" w:hAnsi="宋体" w:eastAsia="宋体" w:cs="宋体"/>
          <w:bCs/>
          <w:color w:val="auto"/>
          <w:kern w:val="0"/>
          <w:sz w:val="20"/>
          <w:szCs w:val="21"/>
          <w:highlight w:val="none"/>
          <w:lang w:val="zh-CN"/>
        </w:rPr>
      </w:pPr>
      <w:r>
        <w:rPr>
          <w:rFonts w:hint="eastAsia" w:ascii="宋体" w:hAnsi="宋体" w:eastAsia="宋体" w:cs="宋体"/>
          <w:color w:val="auto"/>
          <w:kern w:val="0"/>
          <w:sz w:val="20"/>
          <w:szCs w:val="21"/>
          <w:highlight w:val="none"/>
          <w:lang w:val="zh-CN"/>
        </w:rPr>
        <w:t>2</w:t>
      </w:r>
      <w:r>
        <w:rPr>
          <w:rFonts w:hint="eastAsia" w:ascii="宋体" w:hAnsi="宋体" w:eastAsia="宋体" w:cs="宋体"/>
          <w:color w:val="auto"/>
          <w:kern w:val="0"/>
          <w:sz w:val="20"/>
          <w:szCs w:val="21"/>
          <w:highlight w:val="none"/>
        </w:rPr>
        <w:t>4</w:t>
      </w:r>
      <w:r>
        <w:rPr>
          <w:rFonts w:hint="eastAsia" w:ascii="宋体" w:hAnsi="宋体" w:eastAsia="宋体" w:cs="宋体"/>
          <w:color w:val="auto"/>
          <w:kern w:val="0"/>
          <w:sz w:val="20"/>
          <w:szCs w:val="21"/>
          <w:highlight w:val="none"/>
          <w:lang w:val="zh-CN"/>
        </w:rPr>
        <w:t xml:space="preserve">.2 </w:t>
      </w:r>
      <w:r>
        <w:rPr>
          <w:rFonts w:hint="eastAsia" w:ascii="宋体" w:hAnsi="宋体" w:eastAsia="宋体" w:cs="宋体"/>
          <w:bCs/>
          <w:color w:val="auto"/>
          <w:kern w:val="0"/>
          <w:sz w:val="20"/>
          <w:szCs w:val="21"/>
          <w:highlight w:val="none"/>
          <w:lang w:val="zh-CN"/>
        </w:rPr>
        <w:t>响应文件解密</w:t>
      </w:r>
    </w:p>
    <w:p w14:paraId="1FBAAC81">
      <w:pPr>
        <w:snapToGrid w:val="0"/>
        <w:spacing w:line="360" w:lineRule="auto"/>
        <w:ind w:firstLine="420" w:firstLineChars="200"/>
        <w:rPr>
          <w:rFonts w:ascii="宋体" w:hAnsi="宋体" w:eastAsia="宋体" w:cs="宋体"/>
          <w:color w:val="auto"/>
          <w:kern w:val="0"/>
          <w:szCs w:val="21"/>
          <w:highlight w:val="none"/>
          <w:lang w:val="zh-CN"/>
        </w:rPr>
      </w:pPr>
      <w:r>
        <w:rPr>
          <w:rFonts w:hint="eastAsia" w:ascii="宋体" w:hAnsi="宋体" w:eastAsia="宋体" w:cs="宋体"/>
          <w:bCs/>
          <w:color w:val="auto"/>
          <w:kern w:val="0"/>
          <w:szCs w:val="21"/>
          <w:highlight w:val="none"/>
          <w:lang w:val="zh-CN"/>
        </w:rPr>
        <w:t>采购代理机构将在“供应商须知前附表”规定的时</w:t>
      </w:r>
      <w:r>
        <w:rPr>
          <w:rFonts w:hint="eastAsia" w:ascii="宋体" w:hAnsi="宋体" w:eastAsia="宋体" w:cs="宋体"/>
          <w:color w:val="auto"/>
          <w:kern w:val="0"/>
          <w:szCs w:val="21"/>
          <w:highlight w:val="none"/>
          <w:lang w:val="zh-CN"/>
        </w:rPr>
        <w:t>间通过电子交易平台组织响应文件开启，采购机构依托电子交易平台发起开始解密指令，供应商的法定代表人或其委托代理人</w:t>
      </w:r>
      <w:r>
        <w:rPr>
          <w:rFonts w:hint="eastAsia" w:ascii="宋体" w:hAnsi="宋体" w:eastAsia="宋体" w:cs="宋体"/>
          <w:b/>
          <w:color w:val="auto"/>
          <w:kern w:val="0"/>
          <w:szCs w:val="21"/>
          <w:highlight w:val="none"/>
          <w:lang w:val="zh-CN"/>
        </w:rPr>
        <w:t>须携带加密时所用的CA锁按平台提示和采购文件的规定登录到广西政府采购云平台电子开标大厅签到并在发起解密指令之时起在</w:t>
      </w:r>
      <w:r>
        <w:rPr>
          <w:rFonts w:hint="eastAsia" w:ascii="宋体" w:hAnsi="宋体" w:eastAsia="宋体" w:cs="宋体"/>
          <w:b/>
          <w:color w:val="auto"/>
          <w:kern w:val="0"/>
          <w:szCs w:val="21"/>
          <w:highlight w:val="none"/>
        </w:rPr>
        <w:t>规定的时间内</w:t>
      </w:r>
      <w:r>
        <w:rPr>
          <w:rFonts w:hint="eastAsia" w:ascii="宋体" w:hAnsi="宋体" w:eastAsia="宋体" w:cs="宋体"/>
          <w:b/>
          <w:color w:val="auto"/>
          <w:kern w:val="0"/>
          <w:szCs w:val="21"/>
          <w:highlight w:val="none"/>
          <w:lang w:val="zh-CN"/>
        </w:rPr>
        <w:t>完成对电子响应文件在线解密</w:t>
      </w:r>
      <w:r>
        <w:rPr>
          <w:rFonts w:hint="eastAsia" w:ascii="宋体" w:hAnsi="宋体" w:eastAsia="宋体" w:cs="宋体"/>
          <w:color w:val="auto"/>
          <w:kern w:val="0"/>
          <w:szCs w:val="21"/>
          <w:highlight w:val="none"/>
          <w:lang w:val="zh-CN"/>
        </w:rPr>
        <w:t>。</w:t>
      </w:r>
      <w:r>
        <w:rPr>
          <w:rFonts w:hint="eastAsia" w:ascii="宋体" w:hAnsi="宋体" w:eastAsia="宋体" w:cs="宋体"/>
          <w:color w:val="auto"/>
          <w:kern w:val="1"/>
          <w:szCs w:val="21"/>
          <w:highlight w:val="none"/>
        </w:rPr>
        <w:t>响应文件未按时</w:t>
      </w:r>
      <w:r>
        <w:rPr>
          <w:rFonts w:hint="eastAsia" w:ascii="宋体" w:hAnsi="宋体" w:eastAsia="宋体" w:cs="宋体"/>
          <w:color w:val="auto"/>
          <w:kern w:val="0"/>
          <w:szCs w:val="21"/>
          <w:highlight w:val="none"/>
          <w:lang w:val="zh-CN"/>
        </w:rPr>
        <w:t>解密的，</w:t>
      </w:r>
      <w:r>
        <w:rPr>
          <w:rFonts w:hint="eastAsia" w:ascii="宋体" w:hAnsi="宋体" w:eastAsia="宋体" w:cs="宋体"/>
          <w:b/>
          <w:color w:val="auto"/>
          <w:kern w:val="0"/>
          <w:szCs w:val="21"/>
          <w:highlight w:val="none"/>
          <w:lang w:val="zh-CN"/>
        </w:rPr>
        <w:t>视为响应文件无效。</w:t>
      </w:r>
      <w:r>
        <w:rPr>
          <w:rFonts w:hint="eastAsia" w:ascii="宋体" w:hAnsi="宋体" w:eastAsia="宋体" w:cs="宋体"/>
          <w:color w:val="auto"/>
          <w:kern w:val="0"/>
          <w:szCs w:val="21"/>
          <w:highlight w:val="none"/>
          <w:lang w:val="zh-CN"/>
        </w:rPr>
        <w:t>（解密</w:t>
      </w:r>
      <w:r>
        <w:rPr>
          <w:rFonts w:hint="eastAsia" w:ascii="宋体" w:hAnsi="宋体" w:eastAsia="宋体" w:cs="宋体"/>
          <w:bCs/>
          <w:color w:val="auto"/>
          <w:kern w:val="0"/>
          <w:szCs w:val="21"/>
          <w:highlight w:val="none"/>
          <w:lang w:val="zh-CN"/>
        </w:rPr>
        <w:t>异常情况处理：详见本章</w:t>
      </w:r>
      <w:r>
        <w:rPr>
          <w:rFonts w:hint="eastAsia" w:ascii="宋体" w:hAnsi="宋体" w:eastAsia="宋体" w:cs="宋体"/>
          <w:color w:val="auto"/>
          <w:kern w:val="0"/>
          <w:szCs w:val="21"/>
          <w:highlight w:val="none"/>
          <w:lang w:val="zh-CN"/>
        </w:rPr>
        <w:t>2</w:t>
      </w:r>
      <w:r>
        <w:rPr>
          <w:rFonts w:hint="eastAsia" w:ascii="宋体" w:hAnsi="宋体" w:eastAsia="宋体" w:cs="宋体"/>
          <w:color w:val="auto"/>
          <w:kern w:val="0"/>
          <w:szCs w:val="21"/>
          <w:highlight w:val="none"/>
        </w:rPr>
        <w:t>5</w:t>
      </w:r>
      <w:r>
        <w:rPr>
          <w:rFonts w:hint="eastAsia" w:ascii="宋体" w:hAnsi="宋体" w:eastAsia="宋体" w:cs="宋体"/>
          <w:color w:val="auto"/>
          <w:kern w:val="0"/>
          <w:szCs w:val="21"/>
          <w:highlight w:val="none"/>
          <w:lang w:val="zh-CN"/>
        </w:rPr>
        <w:t>.3 电子交易活动的中止。）</w:t>
      </w:r>
    </w:p>
    <w:p w14:paraId="2AA749DE">
      <w:pPr>
        <w:spacing w:line="360" w:lineRule="auto"/>
        <w:ind w:firstLine="420" w:firstLineChars="20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如</w:t>
      </w:r>
      <w:r>
        <w:rPr>
          <w:rFonts w:hint="eastAsia" w:ascii="宋体" w:hAnsi="宋体" w:eastAsia="宋体" w:cs="宋体"/>
          <w:bCs/>
          <w:color w:val="auto"/>
          <w:kern w:val="0"/>
          <w:szCs w:val="21"/>
          <w:highlight w:val="none"/>
          <w:lang w:val="zh-CN"/>
        </w:rPr>
        <w:t>供应商成功解密响应文件，但未在“</w:t>
      </w:r>
      <w:r>
        <w:rPr>
          <w:rFonts w:hint="eastAsia" w:ascii="宋体" w:hAnsi="宋体" w:cs="宋体"/>
          <w:color w:val="auto"/>
          <w:szCs w:val="21"/>
          <w:highlight w:val="none"/>
        </w:rPr>
        <w:t>广西政府采购云平台</w:t>
      </w:r>
      <w:r>
        <w:rPr>
          <w:rFonts w:hint="eastAsia" w:ascii="宋体" w:hAnsi="宋体" w:eastAsia="宋体" w:cs="宋体"/>
          <w:bCs/>
          <w:color w:val="auto"/>
          <w:kern w:val="0"/>
          <w:szCs w:val="21"/>
          <w:highlight w:val="none"/>
          <w:lang w:val="zh-CN"/>
        </w:rPr>
        <w:t>”电子开标大厅参加谈判的，视同认可谈判过程和结果，</w:t>
      </w:r>
      <w:r>
        <w:rPr>
          <w:rFonts w:hint="eastAsia" w:ascii="宋体" w:hAnsi="宋体" w:eastAsia="宋体" w:cs="宋体"/>
          <w:color w:val="auto"/>
          <w:kern w:val="0"/>
          <w:szCs w:val="21"/>
          <w:highlight w:val="none"/>
          <w:lang w:val="zh-CN"/>
        </w:rPr>
        <w:t>由此产生的后果由供应商自行负责。 参与谈判的供应商不足3家的，不得谈判。</w:t>
      </w:r>
    </w:p>
    <w:p w14:paraId="6FF0FD37">
      <w:pPr>
        <w:spacing w:line="360" w:lineRule="auto"/>
        <w:ind w:firstLine="482" w:firstLineChars="200"/>
        <w:rPr>
          <w:rFonts w:hint="eastAsia" w:ascii="黑体" w:hAnsi="黑体" w:eastAsia="黑体" w:cs="黑体"/>
          <w:b/>
          <w:bCs/>
          <w:color w:val="auto"/>
          <w:sz w:val="24"/>
          <w:szCs w:val="24"/>
          <w:highlight w:val="none"/>
        </w:rPr>
      </w:pPr>
      <w:r>
        <w:rPr>
          <w:rFonts w:hint="eastAsia" w:ascii="黑体" w:hAnsi="黑体" w:eastAsia="黑体" w:cs="黑体"/>
          <w:b/>
          <w:bCs/>
          <w:color w:val="auto"/>
          <w:sz w:val="24"/>
          <w:szCs w:val="24"/>
          <w:highlight w:val="none"/>
        </w:rPr>
        <w:t>25.评审程序、评审方法和成交标准</w:t>
      </w:r>
    </w:p>
    <w:p w14:paraId="7F4F5DE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25.1</w:t>
      </w:r>
      <w:r>
        <w:rPr>
          <w:rFonts w:hint="eastAsia" w:ascii="宋体" w:hAnsi="宋体" w:eastAsia="宋体" w:cs="宋体"/>
          <w:color w:val="auto"/>
          <w:highlight w:val="none"/>
        </w:rPr>
        <w:t>本项目的评审方法详见“供应商须知前附表”。</w:t>
      </w:r>
      <w:r>
        <w:rPr>
          <w:rFonts w:hint="eastAsia" w:ascii="宋体" w:hAnsi="宋体" w:eastAsia="宋体" w:cs="宋体"/>
          <w:color w:val="auto"/>
          <w:szCs w:val="21"/>
          <w:highlight w:val="none"/>
        </w:rPr>
        <w:t>谈判小组按照“第四章 评审程序、评审方法和成交标准”规定的方法、评审因素、标准和程序对响应文件进行评审。</w:t>
      </w:r>
    </w:p>
    <w:p w14:paraId="3C821EE8">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25.2 采购需求负偏离要求及谈判顺序详见 “供应商须知前附表”。</w:t>
      </w:r>
    </w:p>
    <w:p w14:paraId="74EEA6BC">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25.3电子交易活动的中止。采购过程中出现以下情形，导致电子交易平台无法正常运行，或者无法保证电子交易的公平、公正和安全时，采购机构可中止电子交易活动：</w:t>
      </w:r>
    </w:p>
    <w:p w14:paraId="40B5EDF2">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 xml:space="preserve">（1）电子交易平台发生故障而无法登录访问的； </w:t>
      </w:r>
    </w:p>
    <w:p w14:paraId="536D01F4">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（2）电子交易平台应用或数据库出现错误，不能进行正常操作的；</w:t>
      </w:r>
    </w:p>
    <w:p w14:paraId="58C70590">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（3）电子交易平台发现严重安全漏洞，有潜在泄密危险的；</w:t>
      </w:r>
    </w:p>
    <w:p w14:paraId="58D4827B">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 xml:space="preserve">（4）病毒发作导致不能进行正常操作的； </w:t>
      </w:r>
    </w:p>
    <w:p w14:paraId="6785CFAA">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（5）其他无法保证电子交易的公平、公正和安全的情况。</w:t>
      </w:r>
    </w:p>
    <w:p w14:paraId="57B909B9">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25.4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75280A69">
      <w:pPr>
        <w:keepNext/>
        <w:keepLines/>
        <w:spacing w:line="360" w:lineRule="auto"/>
        <w:ind w:firstLine="640" w:firstLineChars="200"/>
        <w:outlineLvl w:val="2"/>
        <w:rPr>
          <w:rFonts w:ascii="宋体" w:hAnsi="宋体" w:eastAsia="宋体" w:cs="Times New Roman"/>
          <w:color w:val="auto"/>
          <w:sz w:val="32"/>
          <w:szCs w:val="32"/>
          <w:highlight w:val="none"/>
          <w:lang w:val="zh-CN"/>
        </w:rPr>
      </w:pPr>
      <w:r>
        <w:rPr>
          <w:rFonts w:hint="eastAsia" w:ascii="宋体" w:hAnsi="宋体" w:eastAsia="宋体" w:cs="Times New Roman"/>
          <w:color w:val="auto"/>
          <w:sz w:val="32"/>
          <w:szCs w:val="32"/>
          <w:highlight w:val="none"/>
          <w:lang w:val="zh-CN"/>
        </w:rPr>
        <w:t xml:space="preserve">  </w:t>
      </w:r>
      <w:bookmarkStart w:id="100" w:name="_Toc80205929"/>
      <w:bookmarkStart w:id="101" w:name="_Toc27003"/>
      <w:bookmarkStart w:id="102" w:name="_Toc29707"/>
      <w:r>
        <w:rPr>
          <w:rFonts w:hint="eastAsia" w:ascii="宋体" w:hAnsi="宋体" w:eastAsia="宋体" w:cs="Times New Roman"/>
          <w:color w:val="auto"/>
          <w:sz w:val="32"/>
          <w:szCs w:val="32"/>
          <w:highlight w:val="none"/>
          <w:lang w:val="zh-CN"/>
        </w:rPr>
        <w:t>五、成交及合同</w:t>
      </w:r>
      <w:bookmarkEnd w:id="100"/>
      <w:bookmarkEnd w:id="101"/>
      <w:bookmarkEnd w:id="102"/>
    </w:p>
    <w:p w14:paraId="1DFEB941">
      <w:pPr>
        <w:spacing w:line="360" w:lineRule="auto"/>
        <w:ind w:firstLine="482" w:firstLineChars="200"/>
        <w:rPr>
          <w:rFonts w:ascii="黑体" w:hAnsi="黑体" w:eastAsia="黑体" w:cs="宋体"/>
          <w:b/>
          <w:bCs/>
          <w:color w:val="auto"/>
          <w:sz w:val="24"/>
          <w:szCs w:val="24"/>
          <w:highlight w:val="none"/>
        </w:rPr>
      </w:pPr>
      <w:r>
        <w:rPr>
          <w:rFonts w:ascii="黑体" w:hAnsi="黑体" w:eastAsia="黑体" w:cs="宋体"/>
          <w:b/>
          <w:bCs/>
          <w:color w:val="auto"/>
          <w:sz w:val="24"/>
          <w:szCs w:val="24"/>
          <w:highlight w:val="none"/>
        </w:rPr>
        <w:t>2</w:t>
      </w:r>
      <w:r>
        <w:rPr>
          <w:rFonts w:hint="eastAsia" w:ascii="黑体" w:hAnsi="黑体" w:eastAsia="黑体" w:cs="宋体"/>
          <w:b/>
          <w:bCs/>
          <w:color w:val="auto"/>
          <w:sz w:val="24"/>
          <w:szCs w:val="24"/>
          <w:highlight w:val="none"/>
        </w:rPr>
        <w:t>6.确定成交供应商及结果公告</w:t>
      </w:r>
    </w:p>
    <w:p w14:paraId="2234E82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u w:val="single"/>
        </w:rPr>
        <w:t>26.1确定成交供应商。</w:t>
      </w:r>
      <w:r>
        <w:rPr>
          <w:rFonts w:hint="eastAsia" w:ascii="宋体" w:hAnsi="宋体" w:eastAsia="宋体" w:cs="宋体"/>
          <w:color w:val="auto"/>
          <w:szCs w:val="21"/>
          <w:highlight w:val="none"/>
        </w:rPr>
        <w:t>采购代理机构应当在评审结束后2个工作日内将评审报告送采购人确认。采购人应当在收到评审报告后5个工作日内，将评审报告提出的排名第一的成交候选人确定为成交供应商，也可以书面授权谈判小组直接确定成交供应商。采购人逾期未确定成交供应商且不提出异议的，视为确定评审报告提出的排名第一的成交候选人为成交供应商。</w:t>
      </w:r>
    </w:p>
    <w:p w14:paraId="7943065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26.2成交通知及成交结果公告。采购代理机构应当在</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供应商确定后2个工作日内，在省级以上财政部门指定的媒体上公告成交结果，同时向成交供应商发出成交通知书。</w:t>
      </w:r>
    </w:p>
    <w:p w14:paraId="605F9D6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26.3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依法确定排名第二的成交候选人为成交供应商。排名第二的成交候选人因上述规定的同样原因被取消成交资格的，采购人可以依法确定排名第三的成交候选人为成交供应商，以此类推。以上信息查询记录及相关证据与谈判文件一并保存。</w:t>
      </w:r>
      <w:bookmarkStart w:id="103" w:name="_Hlk66782294"/>
      <w:r>
        <w:rPr>
          <w:rFonts w:hint="eastAsia" w:ascii="宋体" w:hAnsi="宋体" w:eastAsia="宋体" w:cs="宋体"/>
          <w:color w:val="auto"/>
          <w:szCs w:val="21"/>
          <w:highlight w:val="none"/>
        </w:rPr>
        <w:t>成交供应商享受《政府采购促进中小企业发展管理办法》（财库〔2020〕46号）规定的中小企业扶持政策的，采购人、采购代理机构应当随成交结果公开成交供应商的《中小企业声明函》。</w:t>
      </w:r>
      <w:bookmarkEnd w:id="103"/>
    </w:p>
    <w:p w14:paraId="413AECC2">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26.4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6F3A84E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bCs/>
          <w:color w:val="auto"/>
          <w:szCs w:val="21"/>
          <w:highlight w:val="none"/>
        </w:rPr>
        <w:t>26.5排名第一的成交候选人放弃成交，采购人可以按照评审报告推荐的成交候选人名单排序，依法确定下一候选人为成交</w:t>
      </w:r>
      <w:r>
        <w:rPr>
          <w:rFonts w:hint="eastAsia" w:ascii="宋体" w:hAnsi="宋体" w:eastAsia="宋体" w:cs="宋体"/>
          <w:color w:val="auto"/>
          <w:szCs w:val="21"/>
          <w:highlight w:val="none"/>
        </w:rPr>
        <w:t>供应商</w:t>
      </w:r>
      <w:r>
        <w:rPr>
          <w:rFonts w:hint="eastAsia" w:ascii="宋体" w:hAnsi="宋体" w:eastAsia="宋体" w:cs="宋体"/>
          <w:bCs/>
          <w:color w:val="auto"/>
          <w:szCs w:val="21"/>
          <w:highlight w:val="none"/>
        </w:rPr>
        <w:t>，也可以重新开展政府采购活动。</w:t>
      </w:r>
    </w:p>
    <w:p w14:paraId="7C0C9438">
      <w:pPr>
        <w:spacing w:line="360" w:lineRule="auto"/>
        <w:ind w:firstLine="482" w:firstLineChars="200"/>
        <w:rPr>
          <w:rFonts w:ascii="黑体" w:hAnsi="黑体" w:eastAsia="黑体" w:cs="宋体"/>
          <w:b/>
          <w:bCs/>
          <w:color w:val="auto"/>
          <w:sz w:val="24"/>
          <w:szCs w:val="24"/>
          <w:highlight w:val="none"/>
        </w:rPr>
      </w:pPr>
      <w:r>
        <w:rPr>
          <w:rFonts w:ascii="黑体" w:hAnsi="黑体" w:eastAsia="黑体" w:cs="宋体"/>
          <w:b/>
          <w:bCs/>
          <w:color w:val="auto"/>
          <w:sz w:val="24"/>
          <w:szCs w:val="24"/>
          <w:highlight w:val="none"/>
        </w:rPr>
        <w:t>2</w:t>
      </w:r>
      <w:r>
        <w:rPr>
          <w:rFonts w:hint="eastAsia" w:ascii="黑体" w:hAnsi="黑体" w:eastAsia="黑体" w:cs="宋体"/>
          <w:b/>
          <w:bCs/>
          <w:color w:val="auto"/>
          <w:sz w:val="24"/>
          <w:szCs w:val="24"/>
          <w:highlight w:val="none"/>
        </w:rPr>
        <w:t>7.履约保证金</w:t>
      </w:r>
    </w:p>
    <w:p w14:paraId="33DD5D12">
      <w:pPr>
        <w:pStyle w:val="11"/>
        <w:spacing w:line="360" w:lineRule="auto"/>
        <w:ind w:firstLine="420" w:firstLineChars="200"/>
        <w:rPr>
          <w:rFonts w:ascii="宋体" w:hAnsi="宋体" w:cs="宋体"/>
          <w:color w:val="auto"/>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rPr>
        <w:t>7</w:t>
      </w:r>
      <w:r>
        <w:rPr>
          <w:rFonts w:hint="eastAsia" w:ascii="宋体" w:hAnsi="宋体" w:cs="宋体"/>
          <w:color w:val="auto"/>
          <w:szCs w:val="21"/>
          <w:highlight w:val="none"/>
        </w:rPr>
        <w:t>.1履约保证金的金额、提交方式、退付的时间和条件详见 “供应商须知前附表”。成交供应商未按规定提交履约保证金的，视为拒绝</w:t>
      </w:r>
      <w:r>
        <w:rPr>
          <w:rFonts w:hint="eastAsia" w:ascii="宋体" w:hAnsi="宋体" w:cs="宋体"/>
          <w:color w:val="auto"/>
          <w:highlight w:val="none"/>
        </w:rPr>
        <w:t>与采购人</w:t>
      </w:r>
      <w:r>
        <w:rPr>
          <w:rFonts w:hint="eastAsia" w:ascii="宋体" w:hAnsi="宋体" w:cs="宋体"/>
          <w:color w:val="auto"/>
          <w:szCs w:val="21"/>
          <w:highlight w:val="none"/>
        </w:rPr>
        <w:t>签订合同，采购人可以按照评审报告推荐的成交候选人名单排序，</w:t>
      </w:r>
      <w:r>
        <w:rPr>
          <w:rFonts w:hint="eastAsia" w:ascii="宋体" w:hAnsi="宋体" w:cs="宋体"/>
          <w:color w:val="auto"/>
          <w:szCs w:val="21"/>
          <w:highlight w:val="none"/>
          <w:lang w:val="en-US"/>
        </w:rPr>
        <w:t>依法</w:t>
      </w:r>
      <w:r>
        <w:rPr>
          <w:rFonts w:hint="eastAsia" w:ascii="宋体" w:hAnsi="宋体" w:cs="宋体"/>
          <w:color w:val="auto"/>
          <w:szCs w:val="21"/>
          <w:highlight w:val="none"/>
        </w:rPr>
        <w:t>确定下一候选人为成交供应商，也可以重新开展政府采购活动。</w:t>
      </w:r>
    </w:p>
    <w:p w14:paraId="15BE4103">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27.2签订合同后，如成交供应商不按双方签订的合同规定履约，则没收其全部履约保证金，履约保证金不足以赔偿损失的，按实际损失赔偿。</w:t>
      </w:r>
    </w:p>
    <w:p w14:paraId="4B7FA452">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27.3在履约保证金退还日期前，若成交供应商的开户名称、开户银行、账号有变动的，请以书面形式通知履约保证金收取单位，否则由此产生的后果由成交供应商自负。</w:t>
      </w:r>
    </w:p>
    <w:p w14:paraId="51566146">
      <w:pPr>
        <w:spacing w:line="360" w:lineRule="auto"/>
        <w:ind w:firstLine="482" w:firstLineChars="200"/>
        <w:rPr>
          <w:rFonts w:ascii="黑体" w:hAnsi="黑体" w:eastAsia="黑体" w:cs="宋体"/>
          <w:b/>
          <w:bCs/>
          <w:color w:val="auto"/>
          <w:sz w:val="24"/>
          <w:szCs w:val="24"/>
          <w:highlight w:val="none"/>
        </w:rPr>
      </w:pPr>
      <w:r>
        <w:rPr>
          <w:rFonts w:ascii="黑体" w:hAnsi="黑体" w:eastAsia="黑体" w:cs="宋体"/>
          <w:b/>
          <w:bCs/>
          <w:color w:val="auto"/>
          <w:sz w:val="24"/>
          <w:szCs w:val="24"/>
          <w:highlight w:val="none"/>
        </w:rPr>
        <w:t>2</w:t>
      </w:r>
      <w:r>
        <w:rPr>
          <w:rFonts w:hint="eastAsia" w:ascii="黑体" w:hAnsi="黑体" w:eastAsia="黑体" w:cs="宋体"/>
          <w:b/>
          <w:bCs/>
          <w:color w:val="auto"/>
          <w:sz w:val="24"/>
          <w:szCs w:val="24"/>
          <w:highlight w:val="none"/>
        </w:rPr>
        <w:t>8.签订合同</w:t>
      </w:r>
    </w:p>
    <w:p w14:paraId="7B0D91B0">
      <w:pPr>
        <w:adjustRightInd w:val="0"/>
        <w:snapToGrid w:val="0"/>
        <w:spacing w:line="360" w:lineRule="auto"/>
        <w:ind w:firstLine="420" w:firstLineChars="20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rPr>
        <w:t>28.1采购人与成交供应商应当在成交通知书规定的时间内，按照谈判文件确定的合同文本以及采购标的、货物技术、采购金额、采购数量、技术和货物要求等事项签订政府采购合同。</w:t>
      </w:r>
      <w:r>
        <w:rPr>
          <w:rFonts w:hint="eastAsia" w:ascii="宋体" w:hAnsi="宋体" w:eastAsia="宋体" w:cs="宋体"/>
          <w:color w:val="auto"/>
          <w:kern w:val="0"/>
          <w:szCs w:val="21"/>
          <w:highlight w:val="none"/>
          <w:lang w:val="zh-CN"/>
        </w:rPr>
        <w:t>如成交供应商为联合体的，由联合体成员各方法定代表人或其授权代表与采购人代表签订合同。</w:t>
      </w:r>
    </w:p>
    <w:p w14:paraId="2B8BA12F">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28.2采购人不得向成交供应商提出超出谈判文件以外的任何要求作为签订合同的条件，不得与成交供应商订立背离谈判文件确定的合同文本以及采购标的、货物技术、采购金额、采购数量、技术和货物要求等实质性内容的协议。</w:t>
      </w:r>
    </w:p>
    <w:p w14:paraId="701C6896">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28.3成交供应商拒绝签订政府采购合同的，采购人可以按照评审报告推荐的成交候选人名单排序，依法确定下一候选人为成交供应商，也可以重新开展采购活动。拒绝签订政府采购合同的成交供应商不得参加对该项目重新开展的采购活动。</w:t>
      </w:r>
    </w:p>
    <w:p w14:paraId="22E9892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28.4如签订合同并生效后，供应商无故拒绝或延期，除按照合同条款处理外，列入不良行为记录，并给予通报。</w:t>
      </w:r>
    </w:p>
    <w:p w14:paraId="5400CD60">
      <w:pPr>
        <w:spacing w:line="360" w:lineRule="auto"/>
        <w:ind w:firstLine="42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Cs w:val="21"/>
          <w:highlight w:val="none"/>
        </w:rPr>
        <w:t>28.5采购合同由采购人与成交供应商根据谈判文件、响应文件等内容签订，</w:t>
      </w:r>
      <w:r>
        <w:rPr>
          <w:rFonts w:hint="eastAsia" w:ascii="宋体" w:hAnsi="宋体" w:eastAsia="宋体" w:cs="宋体"/>
          <w:color w:val="auto"/>
          <w:szCs w:val="21"/>
          <w:highlight w:val="none"/>
        </w:rPr>
        <w:t>成交供应商应当在签订合同时按供应商须知前附表规定向采购人出示相关证明材料，经采购人核验合格后方可签订合同。</w:t>
      </w:r>
    </w:p>
    <w:p w14:paraId="483DBA7E">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29.政府采购合同公告</w:t>
      </w:r>
    </w:p>
    <w:p w14:paraId="2C87491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62B46A38">
      <w:pPr>
        <w:spacing w:line="360" w:lineRule="auto"/>
        <w:ind w:firstLine="482" w:firstLineChars="200"/>
        <w:rPr>
          <w:rFonts w:ascii="黑体" w:hAnsi="黑体" w:eastAsia="黑体" w:cs="宋体"/>
          <w:b/>
          <w:bCs/>
          <w:color w:val="auto"/>
          <w:sz w:val="24"/>
          <w:szCs w:val="24"/>
          <w:highlight w:val="none"/>
        </w:rPr>
      </w:pPr>
      <w:r>
        <w:rPr>
          <w:rFonts w:ascii="黑体" w:hAnsi="黑体" w:eastAsia="黑体" w:cs="宋体"/>
          <w:b/>
          <w:bCs/>
          <w:color w:val="auto"/>
          <w:sz w:val="24"/>
          <w:szCs w:val="24"/>
          <w:highlight w:val="none"/>
        </w:rPr>
        <w:t>3</w:t>
      </w:r>
      <w:r>
        <w:rPr>
          <w:rFonts w:hint="eastAsia" w:ascii="黑体" w:hAnsi="黑体" w:eastAsia="黑体" w:cs="宋体"/>
          <w:b/>
          <w:bCs/>
          <w:color w:val="auto"/>
          <w:sz w:val="24"/>
          <w:szCs w:val="24"/>
          <w:highlight w:val="none"/>
        </w:rPr>
        <w:t>0.询问、质疑和投诉</w:t>
      </w:r>
    </w:p>
    <w:p w14:paraId="36DFD035">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30.1供应商对政府采购活动事项有疑问的，可以向采购人或者采购代理机构提出询问，采购人或者采购代理机构应当在3个工作日内对供应商依法提出的询问作出答复。</w:t>
      </w:r>
    </w:p>
    <w:p w14:paraId="56915B89">
      <w:pPr>
        <w:spacing w:line="360" w:lineRule="auto"/>
        <w:ind w:firstLine="420" w:firstLineChars="200"/>
        <w:rPr>
          <w:rFonts w:ascii="宋体" w:hAnsi="宋体" w:eastAsia="宋体" w:cs="宋体"/>
          <w:b/>
          <w:color w:val="auto"/>
          <w:szCs w:val="21"/>
          <w:highlight w:val="none"/>
        </w:rPr>
      </w:pPr>
      <w:r>
        <w:rPr>
          <w:rFonts w:hint="eastAsia" w:ascii="宋体" w:hAnsi="宋体" w:eastAsia="宋体" w:cs="宋体"/>
          <w:color w:val="auto"/>
          <w:szCs w:val="24"/>
          <w:highlight w:val="none"/>
        </w:rPr>
        <w:t>30.2供应商认为谈判文件、采购过程或者成交结果使自己的合法权益受到损害的，应当在知道或者应知其权益受到损害之日起7个工作日内，以书面形式向采购人或者采购代理机构提出质疑，</w:t>
      </w:r>
      <w:r>
        <w:rPr>
          <w:rFonts w:hint="eastAsia" w:ascii="宋体" w:hAnsi="宋体" w:eastAsia="宋体" w:cs="宋体"/>
          <w:color w:val="auto"/>
          <w:szCs w:val="24"/>
          <w:highlight w:val="none"/>
          <w:shd w:val="clear" w:color="auto" w:fill="FFFFFF"/>
        </w:rPr>
        <w:t>接收质疑函的方式、联系部门、联系电话和通讯地址等信息详见</w:t>
      </w:r>
      <w:r>
        <w:rPr>
          <w:rFonts w:hint="eastAsia" w:ascii="宋体" w:hAnsi="宋体" w:eastAsia="宋体" w:cs="宋体"/>
          <w:color w:val="auto"/>
          <w:szCs w:val="21"/>
          <w:highlight w:val="none"/>
        </w:rPr>
        <w:t>“供应商须知前附表”</w:t>
      </w:r>
      <w:r>
        <w:rPr>
          <w:rFonts w:hint="eastAsia" w:ascii="宋体" w:hAnsi="宋体" w:eastAsia="宋体" w:cs="宋体"/>
          <w:color w:val="auto"/>
          <w:szCs w:val="24"/>
          <w:highlight w:val="none"/>
        </w:rPr>
        <w:t>。</w:t>
      </w:r>
      <w:r>
        <w:rPr>
          <w:rFonts w:hint="eastAsia" w:ascii="宋体" w:hAnsi="宋体" w:eastAsia="宋体" w:cs="宋体"/>
          <w:b/>
          <w:color w:val="auto"/>
          <w:szCs w:val="21"/>
          <w:highlight w:val="none"/>
        </w:rPr>
        <w:t xml:space="preserve">具体质疑起算时间及处理方式如下： </w:t>
      </w:r>
    </w:p>
    <w:p w14:paraId="29CDAC82">
      <w:pPr>
        <w:spacing w:line="360" w:lineRule="auto"/>
        <w:ind w:firstLine="420" w:firstLineChars="200"/>
        <w:rPr>
          <w:rFonts w:ascii="宋体" w:hAnsi="宋体" w:eastAsia="宋体" w:cs="宋体"/>
          <w:bCs/>
          <w:color w:val="auto"/>
          <w:szCs w:val="24"/>
          <w:highlight w:val="none"/>
        </w:rPr>
      </w:pPr>
      <w:r>
        <w:rPr>
          <w:rFonts w:hint="eastAsia" w:ascii="宋体" w:hAnsi="宋体" w:eastAsia="宋体" w:cs="宋体"/>
          <w:bCs/>
          <w:color w:val="auto"/>
          <w:szCs w:val="24"/>
          <w:highlight w:val="none"/>
        </w:rPr>
        <w:t>（1）潜在供应商依法获取采购文件后，认为采购文件使自己的权益受到损害的，应当在竞争性谈判文件公告期限届满之日起7个工作日内提出质疑。</w:t>
      </w:r>
      <w:r>
        <w:rPr>
          <w:rFonts w:hint="eastAsia" w:ascii="宋体" w:hAnsi="宋体" w:eastAsia="宋体" w:cs="宋体"/>
          <w:color w:val="auto"/>
          <w:szCs w:val="24"/>
          <w:highlight w:val="none"/>
        </w:rPr>
        <w:t>委托代理协议无特殊约定的，</w:t>
      </w:r>
      <w:r>
        <w:rPr>
          <w:rFonts w:hint="eastAsia" w:ascii="宋体" w:hAnsi="宋体" w:eastAsia="宋体" w:cs="宋体"/>
          <w:bCs/>
          <w:color w:val="auto"/>
          <w:szCs w:val="24"/>
          <w:highlight w:val="none"/>
        </w:rPr>
        <w:t>对竞争性谈判文件中采购需求（含资格要求、采购预算、</w:t>
      </w:r>
      <w:r>
        <w:rPr>
          <w:rFonts w:hint="eastAsia"/>
          <w:color w:val="auto"/>
          <w:highlight w:val="none"/>
          <w:lang w:val="zh-CN"/>
        </w:rPr>
        <w:t>评审方法和成交标准</w:t>
      </w:r>
      <w:r>
        <w:rPr>
          <w:rFonts w:hint="eastAsia" w:ascii="宋体" w:hAnsi="宋体" w:eastAsia="宋体" w:cs="宋体"/>
          <w:bCs/>
          <w:color w:val="auto"/>
          <w:szCs w:val="24"/>
          <w:highlight w:val="none"/>
        </w:rPr>
        <w:t>）的质疑由采购人受理并负责答复；对竞争性谈判文件中的采购执行程序的质疑由采购代理机构受理并负责答复。</w:t>
      </w:r>
    </w:p>
    <w:p w14:paraId="35403453">
      <w:pPr>
        <w:spacing w:line="360" w:lineRule="auto"/>
        <w:ind w:firstLine="420" w:firstLineChars="200"/>
        <w:rPr>
          <w:rFonts w:ascii="宋体" w:hAnsi="宋体" w:eastAsia="宋体" w:cs="宋体"/>
          <w:bCs/>
          <w:color w:val="auto"/>
          <w:szCs w:val="24"/>
          <w:highlight w:val="none"/>
        </w:rPr>
      </w:pPr>
      <w:r>
        <w:rPr>
          <w:rFonts w:hint="eastAsia" w:ascii="宋体" w:hAnsi="宋体" w:eastAsia="宋体" w:cs="宋体"/>
          <w:bCs/>
          <w:color w:val="auto"/>
          <w:szCs w:val="24"/>
          <w:highlight w:val="none"/>
        </w:rPr>
        <w:t>（2）供应商认为采购过程使自己的权益受到损害的，应当在各采购程序环节结束之日起7个工作日内提出质疑。对采购过程中资格审查、符合性审查等具体评审情况的质疑应向采购人或者采购代理机构提出，由采购人或者采购代理机构受理并负责答复；对采购过程中采购执行程序的质疑由采购代理机构受理并负责答复。</w:t>
      </w:r>
    </w:p>
    <w:p w14:paraId="3B060FE8">
      <w:pPr>
        <w:spacing w:line="360" w:lineRule="auto"/>
        <w:ind w:firstLine="420" w:firstLineChars="200"/>
        <w:rPr>
          <w:rFonts w:ascii="宋体" w:hAnsi="宋体" w:eastAsia="宋体" w:cs="宋体"/>
          <w:bCs/>
          <w:color w:val="auto"/>
          <w:szCs w:val="24"/>
          <w:highlight w:val="none"/>
        </w:rPr>
      </w:pPr>
      <w:r>
        <w:rPr>
          <w:rFonts w:hint="eastAsia" w:ascii="宋体" w:hAnsi="宋体" w:eastAsia="宋体" w:cs="宋体"/>
          <w:bCs/>
          <w:color w:val="auto"/>
          <w:szCs w:val="24"/>
          <w:highlight w:val="none"/>
        </w:rPr>
        <w:t>（3）供应商认为成交结果使自己的权益受到损害的，应当在成交结果公告期限届满之日起7个工作日内提出质疑，由采购人受理并负责答复。</w:t>
      </w:r>
    </w:p>
    <w:p w14:paraId="6B5FBA1C">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30.3供应商提出的询问或者质疑超出采购人对采购代理机构委托授权范围的，采购代理机构应当告知供应商向采购人提出。政府采购评审专家应当配合采购人或者采购代理机构答复供应商的询问和质疑。</w:t>
      </w:r>
    </w:p>
    <w:p w14:paraId="2E8B45E0">
      <w:pPr>
        <w:spacing w:line="360" w:lineRule="auto"/>
        <w:ind w:firstLine="422" w:firstLineChars="200"/>
        <w:rPr>
          <w:rFonts w:ascii="宋体" w:hAnsi="宋体" w:eastAsia="宋体" w:cs="宋体"/>
          <w:color w:val="auto"/>
          <w:szCs w:val="24"/>
          <w:highlight w:val="none"/>
        </w:rPr>
      </w:pPr>
      <w:r>
        <w:rPr>
          <w:rFonts w:hint="eastAsia" w:ascii="宋体" w:hAnsi="宋体" w:eastAsia="宋体" w:cs="宋体"/>
          <w:b/>
          <w:bCs/>
          <w:color w:val="auto"/>
          <w:szCs w:val="24"/>
          <w:highlight w:val="none"/>
        </w:rPr>
        <w:t>30.4 供应商提出质疑应当提交质疑函和必要的证明材料，针对同一采购程序环节的质疑必须在法定质疑期内一次性提出。质疑函应当包括下列内容（质疑函格式后附）：</w:t>
      </w:r>
    </w:p>
    <w:p w14:paraId="0F039CEF">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（1）供应商的姓名或者名称、地址、邮编、联系人及联系电话；</w:t>
      </w:r>
    </w:p>
    <w:p w14:paraId="77F0BBC2">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（2）质疑项目的名称、编号；</w:t>
      </w:r>
    </w:p>
    <w:p w14:paraId="19B93140">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（3）具体、明确的质疑事项和与质疑事项相关的请求；</w:t>
      </w:r>
    </w:p>
    <w:p w14:paraId="37CC5F63">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（4）事实依据；</w:t>
      </w:r>
    </w:p>
    <w:p w14:paraId="44F055E6">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（5）必要的法律依据；</w:t>
      </w:r>
    </w:p>
    <w:p w14:paraId="0B014B21">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（6）提出质疑的日期。</w:t>
      </w:r>
    </w:p>
    <w:p w14:paraId="7A545CEB">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供应商为自然人的，应当由本人签字；供应商为法人或者其他组织的，应当由法定代表人、主要负责人，或者其委托代理人签字或者盖章，并加盖公章。</w:t>
      </w:r>
    </w:p>
    <w:p w14:paraId="1162C6D6">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30.5采购人、采购代理机构认为供应商质疑不成立，或者成立但未对成交结果构成影响的，继续开展采购活动；认为供应商质疑成立且影响或者可能影响成交结果的，按照下列情况处理：</w:t>
      </w:r>
    </w:p>
    <w:p w14:paraId="04090AE3">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（一）对采购文件提出的质疑，依法通过澄清或者修改可以继续开展采购活动的，澄清或者修改采购文件后继续开展采购活动；否则应当修改采购文件后重新开展采购活动。</w:t>
      </w:r>
    </w:p>
    <w:p w14:paraId="58029AC8">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（二）对采购过程或者成交结果提出的质疑，合格供应商符合法定数量时，可以从合格的成交候选人中另行确定成交供应商的，应当依法另行确定成交供应商；否则应当重新开展采购活动。</w:t>
      </w:r>
    </w:p>
    <w:p w14:paraId="033FBB85">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质疑答复导致成交结果改变的，采购人或者采购代理机构应当将有关情况书面报告本级财政部门。</w:t>
      </w:r>
    </w:p>
    <w:p w14:paraId="7182FA3D">
      <w:pPr>
        <w:spacing w:line="360" w:lineRule="auto"/>
        <w:ind w:firstLine="422" w:firstLineChars="200"/>
        <w:rPr>
          <w:rFonts w:ascii="宋体" w:hAnsi="宋体" w:eastAsia="宋体" w:cs="宋体"/>
          <w:b/>
          <w:bCs/>
          <w:color w:val="auto"/>
          <w:szCs w:val="24"/>
          <w:highlight w:val="none"/>
        </w:rPr>
      </w:pPr>
      <w:r>
        <w:rPr>
          <w:rFonts w:hint="eastAsia" w:ascii="宋体" w:hAnsi="宋体" w:eastAsia="宋体" w:cs="宋体"/>
          <w:b/>
          <w:bCs/>
          <w:color w:val="auto"/>
          <w:szCs w:val="24"/>
          <w:highlight w:val="none"/>
        </w:rPr>
        <w:t>30.6投诉的权利。质疑供应商对采购人或采购代理机构的答复不满意，或者采购人或采购代理机构未在规定时间内作出答复的，可以在答复期满后15个工作日内向《政府采购质疑和投诉办法》（财政部令第94号）第六条规定的财政部门提起投诉（投诉书格式后附），受理投诉方式见“供应商须知前附表”。</w:t>
      </w:r>
    </w:p>
    <w:p w14:paraId="5A43464A">
      <w:pPr>
        <w:keepNext/>
        <w:keepLines/>
        <w:spacing w:line="360" w:lineRule="auto"/>
        <w:ind w:firstLine="640" w:firstLineChars="200"/>
        <w:outlineLvl w:val="2"/>
        <w:rPr>
          <w:rFonts w:ascii="宋体" w:hAnsi="宋体" w:eastAsia="宋体" w:cs="Times New Roman"/>
          <w:bCs/>
          <w:color w:val="auto"/>
          <w:sz w:val="32"/>
          <w:szCs w:val="32"/>
          <w:highlight w:val="none"/>
          <w:lang w:val="zh-CN"/>
        </w:rPr>
      </w:pPr>
      <w:bookmarkStart w:id="104" w:name="_Toc6502"/>
      <w:bookmarkStart w:id="105" w:name="_Toc25772"/>
      <w:bookmarkStart w:id="106" w:name="_Toc80205930"/>
      <w:r>
        <w:rPr>
          <w:rFonts w:hint="eastAsia" w:ascii="宋体" w:hAnsi="宋体" w:eastAsia="宋体" w:cs="Times New Roman"/>
          <w:b w:val="0"/>
          <w:bCs w:val="0"/>
          <w:color w:val="auto"/>
          <w:sz w:val="32"/>
          <w:szCs w:val="32"/>
          <w:highlight w:val="none"/>
          <w:lang w:val="zh-CN"/>
        </w:rPr>
        <w:t>六</w:t>
      </w:r>
      <w:r>
        <w:rPr>
          <w:rFonts w:hint="eastAsia" w:ascii="宋体" w:hAnsi="宋体" w:eastAsia="宋体" w:cs="Times New Roman"/>
          <w:bCs/>
          <w:color w:val="auto"/>
          <w:sz w:val="32"/>
          <w:szCs w:val="32"/>
          <w:highlight w:val="none"/>
          <w:lang w:val="zh-CN"/>
        </w:rPr>
        <w:t>、验收</w:t>
      </w:r>
      <w:bookmarkEnd w:id="104"/>
      <w:bookmarkEnd w:id="105"/>
      <w:bookmarkEnd w:id="106"/>
    </w:p>
    <w:p w14:paraId="7A6F5954">
      <w:pPr>
        <w:tabs>
          <w:tab w:val="left" w:pos="0"/>
        </w:tabs>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31.验收</w:t>
      </w:r>
    </w:p>
    <w:p w14:paraId="3B9A12AF">
      <w:pPr>
        <w:tabs>
          <w:tab w:val="left" w:pos="0"/>
        </w:tabs>
        <w:spacing w:line="360" w:lineRule="auto"/>
        <w:ind w:firstLine="420" w:firstLineChars="200"/>
        <w:rPr>
          <w:rFonts w:ascii="宋体" w:hAnsi="宋体" w:eastAsia="宋体" w:cs="Helvetica"/>
          <w:color w:val="auto"/>
          <w:kern w:val="0"/>
          <w:szCs w:val="21"/>
          <w:highlight w:val="none"/>
        </w:rPr>
      </w:pPr>
      <w:r>
        <w:rPr>
          <w:rFonts w:hint="eastAsia" w:ascii="宋体" w:hAnsi="宋体" w:eastAsia="宋体" w:cs="Helvetica"/>
          <w:color w:val="auto"/>
          <w:kern w:val="0"/>
          <w:szCs w:val="21"/>
          <w:highlight w:val="none"/>
        </w:rPr>
        <w:t>31.1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939375A">
      <w:pPr>
        <w:tabs>
          <w:tab w:val="left" w:pos="0"/>
        </w:tabs>
        <w:spacing w:line="360" w:lineRule="auto"/>
        <w:ind w:firstLine="420" w:firstLineChars="200"/>
        <w:rPr>
          <w:rFonts w:ascii="宋体" w:hAnsi="宋体" w:eastAsia="宋体" w:cs="Helvetica"/>
          <w:color w:val="auto"/>
          <w:kern w:val="0"/>
          <w:szCs w:val="21"/>
          <w:highlight w:val="none"/>
        </w:rPr>
      </w:pPr>
      <w:r>
        <w:rPr>
          <w:rFonts w:hint="eastAsia" w:ascii="宋体" w:hAnsi="宋体" w:eastAsia="宋体" w:cs="Helvetica"/>
          <w:color w:val="auto"/>
          <w:kern w:val="0"/>
          <w:szCs w:val="21"/>
          <w:highlight w:val="none"/>
        </w:rPr>
        <w:t>31.2采购人可以邀请参加本项目的其他供应商或者第三方机构参与验收。参与验收的供应商或者第三方机构的意见作为验收书的参考资料一并存档。</w:t>
      </w:r>
    </w:p>
    <w:p w14:paraId="4F10831D">
      <w:pPr>
        <w:tabs>
          <w:tab w:val="left" w:pos="0"/>
        </w:tabs>
        <w:spacing w:line="360" w:lineRule="auto"/>
        <w:ind w:firstLine="420" w:firstLineChars="200"/>
        <w:rPr>
          <w:rFonts w:ascii="宋体" w:hAnsi="宋体" w:eastAsia="宋体" w:cs="Helvetica"/>
          <w:color w:val="auto"/>
          <w:kern w:val="0"/>
          <w:szCs w:val="21"/>
          <w:highlight w:val="none"/>
        </w:rPr>
      </w:pPr>
      <w:r>
        <w:rPr>
          <w:rFonts w:hint="eastAsia" w:ascii="宋体" w:hAnsi="宋体" w:eastAsia="宋体" w:cs="Helvetica"/>
          <w:color w:val="auto"/>
          <w:kern w:val="0"/>
          <w:szCs w:val="21"/>
          <w:highlight w:val="none"/>
        </w:rPr>
        <w:t>31.3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w:t>
      </w:r>
      <w:r>
        <w:rPr>
          <w:rFonts w:hint="eastAsia" w:ascii="宋体" w:hAnsi="宋体" w:eastAsia="宋体" w:cs="宋体"/>
          <w:color w:val="auto"/>
          <w:kern w:val="0"/>
          <w:szCs w:val="21"/>
          <w:highlight w:val="none"/>
        </w:rPr>
        <w:t>（如有）</w:t>
      </w:r>
      <w:r>
        <w:rPr>
          <w:rFonts w:hint="eastAsia" w:ascii="宋体" w:hAnsi="宋体" w:eastAsia="宋体" w:cs="Helvetica"/>
          <w:color w:val="auto"/>
          <w:kern w:val="0"/>
          <w:szCs w:val="21"/>
          <w:highlight w:val="none"/>
        </w:rPr>
        <w:t>返还条件挂钩。履约验收的各项资料应当存档备查。</w:t>
      </w:r>
    </w:p>
    <w:p w14:paraId="362A0DB4">
      <w:pPr>
        <w:tabs>
          <w:tab w:val="left" w:pos="0"/>
        </w:tabs>
        <w:spacing w:line="360" w:lineRule="auto"/>
        <w:ind w:firstLine="420" w:firstLineChars="200"/>
        <w:rPr>
          <w:rFonts w:ascii="宋体" w:hAnsi="宋体" w:eastAsia="宋体" w:cs="宋体"/>
          <w:color w:val="auto"/>
          <w:szCs w:val="21"/>
          <w:highlight w:val="none"/>
        </w:rPr>
      </w:pPr>
      <w:r>
        <w:rPr>
          <w:rFonts w:hint="eastAsia" w:ascii="宋体" w:hAnsi="宋体" w:eastAsia="宋体" w:cs="Helvetica"/>
          <w:color w:val="auto"/>
          <w:kern w:val="0"/>
          <w:szCs w:val="21"/>
          <w:highlight w:val="none"/>
        </w:rPr>
        <w:t>31.4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AFF1218">
      <w:pPr>
        <w:keepNext/>
        <w:keepLines/>
        <w:spacing w:line="360" w:lineRule="auto"/>
        <w:ind w:firstLine="640" w:firstLineChars="200"/>
        <w:outlineLvl w:val="2"/>
        <w:rPr>
          <w:rFonts w:ascii="宋体" w:hAnsi="宋体" w:eastAsia="宋体" w:cs="Times New Roman"/>
          <w:color w:val="auto"/>
          <w:sz w:val="32"/>
          <w:szCs w:val="32"/>
          <w:highlight w:val="none"/>
          <w:lang w:val="zh-CN"/>
        </w:rPr>
      </w:pPr>
      <w:bookmarkStart w:id="107" w:name="_Toc1379"/>
      <w:bookmarkStart w:id="108" w:name="_Toc15842"/>
      <w:bookmarkStart w:id="109" w:name="_Toc80205931"/>
      <w:r>
        <w:rPr>
          <w:rFonts w:hint="eastAsia" w:ascii="宋体" w:hAnsi="宋体" w:eastAsia="宋体" w:cs="Times New Roman"/>
          <w:color w:val="auto"/>
          <w:sz w:val="32"/>
          <w:szCs w:val="32"/>
          <w:highlight w:val="none"/>
          <w:lang w:val="zh-CN"/>
        </w:rPr>
        <w:t>七、其他事项</w:t>
      </w:r>
      <w:bookmarkEnd w:id="107"/>
      <w:bookmarkEnd w:id="108"/>
      <w:bookmarkEnd w:id="109"/>
    </w:p>
    <w:p w14:paraId="2D5C772E">
      <w:pPr>
        <w:spacing w:line="360" w:lineRule="auto"/>
        <w:ind w:firstLine="482" w:firstLineChars="200"/>
        <w:rPr>
          <w:rFonts w:ascii="黑体" w:hAnsi="黑体" w:eastAsia="黑体" w:cs="宋体"/>
          <w:b/>
          <w:bCs/>
          <w:color w:val="auto"/>
          <w:sz w:val="24"/>
          <w:szCs w:val="24"/>
          <w:highlight w:val="none"/>
        </w:rPr>
      </w:pPr>
      <w:r>
        <w:rPr>
          <w:rFonts w:ascii="黑体" w:hAnsi="黑体" w:eastAsia="黑体" w:cs="宋体"/>
          <w:b/>
          <w:bCs/>
          <w:color w:val="auto"/>
          <w:sz w:val="24"/>
          <w:szCs w:val="24"/>
          <w:highlight w:val="none"/>
        </w:rPr>
        <w:t>3</w:t>
      </w:r>
      <w:r>
        <w:rPr>
          <w:rFonts w:hint="eastAsia" w:ascii="黑体" w:hAnsi="黑体" w:eastAsia="黑体" w:cs="宋体"/>
          <w:b/>
          <w:bCs/>
          <w:color w:val="auto"/>
          <w:sz w:val="24"/>
          <w:szCs w:val="24"/>
          <w:highlight w:val="none"/>
        </w:rPr>
        <w:t>2.采购代理服务费</w:t>
      </w:r>
    </w:p>
    <w:p w14:paraId="024A7A79">
      <w:pPr>
        <w:tabs>
          <w:tab w:val="left" w:pos="2835"/>
        </w:tabs>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32.1采购代理服务费收费标准及缴费账户详见“供应商须知前附表”，供应商为联合体的，可以由联合体中的一方或者多方共同缴纳采购代理服务费。</w:t>
      </w:r>
    </w:p>
    <w:p w14:paraId="202239BD">
      <w:pPr>
        <w:pStyle w:val="13"/>
        <w:ind w:firstLine="420" w:firstLineChars="200"/>
        <w:rPr>
          <w:rFonts w:ascii="宋体" w:hAnsi="宋体" w:cs="宋体"/>
          <w:color w:val="auto"/>
          <w:highlight w:val="none"/>
          <w:lang w:val="en-US"/>
        </w:rPr>
      </w:pPr>
      <w:r>
        <w:rPr>
          <w:rFonts w:hint="eastAsia" w:ascii="宋体" w:hAnsi="宋体" w:cs="宋体"/>
          <w:color w:val="auto"/>
          <w:highlight w:val="none"/>
          <w:lang w:val="en-US"/>
        </w:rPr>
        <w:t>32.2采购代理服务费收费计算标准：</w:t>
      </w:r>
    </w:p>
    <w:tbl>
      <w:tblPr>
        <w:tblStyle w:val="29"/>
        <w:tblW w:w="51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tblGrid>
      <w:tr w14:paraId="52250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2" w:type="dxa"/>
          </w:tcPr>
          <w:p w14:paraId="1B2B2B2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金额</w:t>
            </w:r>
          </w:p>
        </w:tc>
        <w:tc>
          <w:tcPr>
            <w:tcW w:w="1659" w:type="dxa"/>
          </w:tcPr>
          <w:p w14:paraId="571DF3B2">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费率</w:t>
            </w:r>
          </w:p>
        </w:tc>
      </w:tr>
      <w:tr w14:paraId="486D0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CC5F192">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100万元以下</w:t>
            </w:r>
          </w:p>
        </w:tc>
        <w:tc>
          <w:tcPr>
            <w:tcW w:w="1659" w:type="dxa"/>
          </w:tcPr>
          <w:p w14:paraId="79EC0CED">
            <w:pPr>
              <w:spacing w:line="360" w:lineRule="auto"/>
              <w:rPr>
                <w:rFonts w:ascii="宋体" w:hAnsi="宋体" w:eastAsia="宋体" w:cs="宋体"/>
                <w:color w:val="auto"/>
                <w:szCs w:val="21"/>
                <w:highlight w:val="none"/>
              </w:rPr>
            </w:pPr>
            <w:r>
              <w:rPr>
                <w:rFonts w:hint="eastAsia" w:ascii="宋体" w:hAnsi="宋体" w:eastAsia="宋体" w:cs="宋体"/>
                <w:color w:val="auto"/>
                <w:kern w:val="0"/>
                <w:szCs w:val="21"/>
                <w:highlight w:val="none"/>
              </w:rPr>
              <w:t xml:space="preserve">  1.5%                </w:t>
            </w:r>
          </w:p>
        </w:tc>
      </w:tr>
      <w:tr w14:paraId="1BFB4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05D56F48">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100～500万元</w:t>
            </w:r>
          </w:p>
        </w:tc>
        <w:tc>
          <w:tcPr>
            <w:tcW w:w="1659" w:type="dxa"/>
          </w:tcPr>
          <w:p w14:paraId="6EFEBD2D">
            <w:pPr>
              <w:spacing w:line="360" w:lineRule="auto"/>
              <w:ind w:firstLine="210" w:firstLineChars="100"/>
              <w:rPr>
                <w:rFonts w:ascii="宋体" w:hAnsi="宋体" w:eastAsia="宋体" w:cs="宋体"/>
                <w:color w:val="auto"/>
                <w:szCs w:val="21"/>
                <w:highlight w:val="none"/>
              </w:rPr>
            </w:pPr>
            <w:r>
              <w:rPr>
                <w:rFonts w:hint="eastAsia" w:ascii="宋体" w:hAnsi="宋体" w:eastAsia="宋体" w:cs="宋体"/>
                <w:color w:val="auto"/>
                <w:kern w:val="0"/>
                <w:szCs w:val="21"/>
                <w:highlight w:val="none"/>
              </w:rPr>
              <w:t xml:space="preserve">1.1%                 </w:t>
            </w:r>
          </w:p>
        </w:tc>
      </w:tr>
      <w:tr w14:paraId="093F1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3AA43645">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500～1000万元</w:t>
            </w:r>
          </w:p>
        </w:tc>
        <w:tc>
          <w:tcPr>
            <w:tcW w:w="1659" w:type="dxa"/>
          </w:tcPr>
          <w:p w14:paraId="216CAC27">
            <w:pPr>
              <w:spacing w:line="360" w:lineRule="auto"/>
              <w:rPr>
                <w:rFonts w:ascii="宋体" w:hAnsi="宋体" w:eastAsia="宋体" w:cs="宋体"/>
                <w:color w:val="auto"/>
                <w:szCs w:val="21"/>
                <w:highlight w:val="none"/>
              </w:rPr>
            </w:pPr>
            <w:r>
              <w:rPr>
                <w:rFonts w:hint="eastAsia" w:ascii="宋体" w:hAnsi="宋体" w:eastAsia="宋体" w:cs="宋体"/>
                <w:color w:val="auto"/>
                <w:kern w:val="0"/>
                <w:szCs w:val="21"/>
                <w:highlight w:val="none"/>
              </w:rPr>
              <w:t xml:space="preserve">  0.8%                </w:t>
            </w:r>
          </w:p>
        </w:tc>
      </w:tr>
      <w:tr w14:paraId="29619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A463402">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1000～5000万元</w:t>
            </w:r>
          </w:p>
        </w:tc>
        <w:tc>
          <w:tcPr>
            <w:tcW w:w="1659" w:type="dxa"/>
          </w:tcPr>
          <w:p w14:paraId="1BD66C35">
            <w:pPr>
              <w:spacing w:line="360" w:lineRule="auto"/>
              <w:ind w:firstLine="210" w:firstLineChars="100"/>
              <w:rPr>
                <w:rFonts w:ascii="宋体" w:hAnsi="宋体" w:eastAsia="宋体" w:cs="宋体"/>
                <w:color w:val="auto"/>
                <w:szCs w:val="21"/>
                <w:highlight w:val="none"/>
              </w:rPr>
            </w:pPr>
            <w:r>
              <w:rPr>
                <w:rFonts w:hint="eastAsia" w:ascii="宋体" w:hAnsi="宋体" w:eastAsia="宋体" w:cs="宋体"/>
                <w:color w:val="auto"/>
                <w:kern w:val="0"/>
                <w:szCs w:val="21"/>
                <w:highlight w:val="none"/>
              </w:rPr>
              <w:t xml:space="preserve">0.5%                </w:t>
            </w:r>
          </w:p>
        </w:tc>
      </w:tr>
      <w:tr w14:paraId="1C955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63C34870">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5000万元～1亿元</w:t>
            </w:r>
          </w:p>
        </w:tc>
        <w:tc>
          <w:tcPr>
            <w:tcW w:w="1659" w:type="dxa"/>
          </w:tcPr>
          <w:p w14:paraId="6A4B50F6">
            <w:pPr>
              <w:spacing w:line="360" w:lineRule="auto"/>
              <w:ind w:firstLine="210" w:firstLineChars="100"/>
              <w:rPr>
                <w:rFonts w:ascii="宋体" w:hAnsi="宋体" w:eastAsia="宋体" w:cs="宋体"/>
                <w:color w:val="auto"/>
                <w:szCs w:val="21"/>
                <w:highlight w:val="none"/>
              </w:rPr>
            </w:pPr>
            <w:r>
              <w:rPr>
                <w:rFonts w:hint="eastAsia" w:ascii="宋体" w:hAnsi="宋体" w:eastAsia="宋体" w:cs="宋体"/>
                <w:color w:val="auto"/>
                <w:kern w:val="0"/>
                <w:szCs w:val="21"/>
                <w:highlight w:val="none"/>
              </w:rPr>
              <w:t xml:space="preserve">0.25%                 </w:t>
            </w:r>
          </w:p>
        </w:tc>
      </w:tr>
      <w:tr w14:paraId="59C26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DA7449F">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1～5亿元</w:t>
            </w:r>
          </w:p>
        </w:tc>
        <w:tc>
          <w:tcPr>
            <w:tcW w:w="1659" w:type="dxa"/>
          </w:tcPr>
          <w:p w14:paraId="699B57E6">
            <w:pPr>
              <w:spacing w:line="360" w:lineRule="auto"/>
              <w:ind w:firstLine="210" w:firstLineChars="100"/>
              <w:rPr>
                <w:rFonts w:ascii="宋体" w:hAnsi="宋体" w:eastAsia="宋体" w:cs="宋体"/>
                <w:color w:val="auto"/>
                <w:szCs w:val="21"/>
                <w:highlight w:val="none"/>
              </w:rPr>
            </w:pPr>
            <w:r>
              <w:rPr>
                <w:rFonts w:hint="eastAsia" w:ascii="宋体" w:hAnsi="宋体" w:eastAsia="宋体" w:cs="宋体"/>
                <w:color w:val="auto"/>
                <w:szCs w:val="21"/>
                <w:highlight w:val="none"/>
              </w:rPr>
              <w:t>0.05%</w:t>
            </w:r>
          </w:p>
        </w:tc>
      </w:tr>
      <w:tr w14:paraId="25857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BC1F0C4">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5～10亿元</w:t>
            </w:r>
          </w:p>
        </w:tc>
        <w:tc>
          <w:tcPr>
            <w:tcW w:w="1659" w:type="dxa"/>
          </w:tcPr>
          <w:p w14:paraId="155FDA44">
            <w:pPr>
              <w:spacing w:line="360" w:lineRule="auto"/>
              <w:ind w:firstLine="105" w:firstLineChars="50"/>
              <w:rPr>
                <w:rFonts w:ascii="宋体" w:hAnsi="宋体" w:eastAsia="宋体" w:cs="宋体"/>
                <w:color w:val="auto"/>
                <w:szCs w:val="21"/>
                <w:highlight w:val="none"/>
              </w:rPr>
            </w:pPr>
            <w:r>
              <w:rPr>
                <w:rFonts w:hint="eastAsia" w:ascii="宋体" w:hAnsi="宋体" w:eastAsia="宋体" w:cs="宋体"/>
                <w:color w:val="auto"/>
                <w:szCs w:val="21"/>
                <w:highlight w:val="none"/>
              </w:rPr>
              <w:t>0.035%</w:t>
            </w:r>
          </w:p>
        </w:tc>
      </w:tr>
      <w:tr w14:paraId="44766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35F0AC1C">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10～50亿元</w:t>
            </w:r>
          </w:p>
        </w:tc>
        <w:tc>
          <w:tcPr>
            <w:tcW w:w="1659" w:type="dxa"/>
          </w:tcPr>
          <w:p w14:paraId="37A800FD">
            <w:pPr>
              <w:spacing w:line="360" w:lineRule="auto"/>
              <w:ind w:firstLine="105" w:firstLineChars="50"/>
              <w:rPr>
                <w:rFonts w:ascii="宋体" w:hAnsi="宋体" w:eastAsia="宋体" w:cs="宋体"/>
                <w:color w:val="auto"/>
                <w:szCs w:val="21"/>
                <w:highlight w:val="none"/>
              </w:rPr>
            </w:pPr>
            <w:r>
              <w:rPr>
                <w:rFonts w:hint="eastAsia" w:ascii="宋体" w:hAnsi="宋体" w:eastAsia="宋体" w:cs="宋体"/>
                <w:color w:val="auto"/>
                <w:szCs w:val="21"/>
                <w:highlight w:val="none"/>
              </w:rPr>
              <w:t>0.008%</w:t>
            </w:r>
          </w:p>
        </w:tc>
      </w:tr>
      <w:tr w14:paraId="631E5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3C8579D">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50～100亿元</w:t>
            </w:r>
          </w:p>
        </w:tc>
        <w:tc>
          <w:tcPr>
            <w:tcW w:w="1659" w:type="dxa"/>
          </w:tcPr>
          <w:p w14:paraId="39A86810">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0.006%</w:t>
            </w:r>
          </w:p>
        </w:tc>
      </w:tr>
      <w:tr w14:paraId="137B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3DBD88CF">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100亿元以上</w:t>
            </w:r>
          </w:p>
        </w:tc>
        <w:tc>
          <w:tcPr>
            <w:tcW w:w="1659" w:type="dxa"/>
          </w:tcPr>
          <w:p w14:paraId="61E5281B">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0.004%</w:t>
            </w:r>
          </w:p>
        </w:tc>
      </w:tr>
    </w:tbl>
    <w:p w14:paraId="77DF9FD2">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 xml:space="preserve">注： </w:t>
      </w:r>
    </w:p>
    <w:p w14:paraId="7BD7B202">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（1）按本表费率计算的收费为采购代理的收费基准价格；</w:t>
      </w:r>
    </w:p>
    <w:p w14:paraId="75F87C35">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（2）采购代理收费按差额定率累进法计算。</w:t>
      </w:r>
    </w:p>
    <w:p w14:paraId="371AF6AA">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例如：某货物采购代理业务成交金额或者暂定价为150万元，计算采购代理收费额如下：</w:t>
      </w:r>
    </w:p>
    <w:p w14:paraId="48BFD07C">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100 万元 ×l.5 ％＝ 1.5 万元</w:t>
      </w:r>
    </w:p>
    <w:p w14:paraId="0C1A221D">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 150 － 100 ）万元 ×1.1％＝ 0.55 万元</w:t>
      </w:r>
    </w:p>
    <w:p w14:paraId="2DA2E7C8">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合计收费＝ 1.5 ＋ 0.55＝ 2.05 （万元）</w:t>
      </w:r>
    </w:p>
    <w:p w14:paraId="459210DF">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33</w:t>
      </w:r>
      <w:r>
        <w:rPr>
          <w:rFonts w:ascii="黑体" w:hAnsi="黑体" w:eastAsia="黑体" w:cs="宋体"/>
          <w:b/>
          <w:bCs/>
          <w:color w:val="auto"/>
          <w:sz w:val="24"/>
          <w:szCs w:val="24"/>
          <w:highlight w:val="none"/>
        </w:rPr>
        <w:t>.需要补充的其他内容</w:t>
      </w:r>
    </w:p>
    <w:p w14:paraId="2F4305F2">
      <w:pPr>
        <w:spacing w:line="360" w:lineRule="auto"/>
        <w:ind w:firstLine="420" w:firstLineChars="200"/>
        <w:contextualSpacing/>
        <w:rPr>
          <w:rFonts w:ascii="宋体" w:hAnsi="宋体" w:eastAsia="宋体" w:cs="Times New Roman"/>
          <w:color w:val="auto"/>
          <w:kern w:val="0"/>
          <w:szCs w:val="21"/>
          <w:highlight w:val="none"/>
          <w:lang w:val="zh-CN"/>
        </w:rPr>
      </w:pPr>
      <w:r>
        <w:rPr>
          <w:rFonts w:ascii="宋体" w:hAnsi="宋体" w:eastAsia="宋体" w:cs="Times New Roman"/>
          <w:color w:val="auto"/>
          <w:kern w:val="0"/>
          <w:szCs w:val="21"/>
          <w:highlight w:val="none"/>
          <w:lang w:val="zh-CN"/>
        </w:rPr>
        <w:t>3</w:t>
      </w:r>
      <w:r>
        <w:rPr>
          <w:rFonts w:hint="eastAsia" w:ascii="宋体" w:hAnsi="宋体" w:eastAsia="宋体" w:cs="Times New Roman"/>
          <w:color w:val="auto"/>
          <w:kern w:val="0"/>
          <w:szCs w:val="21"/>
          <w:highlight w:val="none"/>
        </w:rPr>
        <w:t>3</w:t>
      </w:r>
      <w:r>
        <w:rPr>
          <w:rFonts w:ascii="宋体" w:hAnsi="宋体" w:eastAsia="宋体" w:cs="Times New Roman"/>
          <w:color w:val="auto"/>
          <w:kern w:val="0"/>
          <w:szCs w:val="21"/>
          <w:highlight w:val="none"/>
          <w:lang w:val="zh-CN"/>
        </w:rPr>
        <w:t>.1</w:t>
      </w:r>
      <w:r>
        <w:rPr>
          <w:rFonts w:hint="eastAsia" w:ascii="宋体" w:hAnsi="宋体" w:eastAsia="宋体" w:cs="宋体"/>
          <w:color w:val="auto"/>
          <w:kern w:val="0"/>
          <w:szCs w:val="21"/>
          <w:highlight w:val="none"/>
          <w:lang w:val="zh-CN"/>
        </w:rPr>
        <w:t>本谈判文件解释规则详见</w:t>
      </w:r>
      <w:r>
        <w:rPr>
          <w:rFonts w:hint="eastAsia" w:ascii="宋体" w:hAnsi="宋体" w:eastAsia="宋体" w:cs="Times New Roman"/>
          <w:color w:val="auto"/>
          <w:kern w:val="0"/>
          <w:szCs w:val="21"/>
          <w:highlight w:val="none"/>
          <w:lang w:val="zh-CN"/>
        </w:rPr>
        <w:t>“供应商须知前附表”。</w:t>
      </w:r>
    </w:p>
    <w:p w14:paraId="752E616B">
      <w:pPr>
        <w:spacing w:line="360" w:lineRule="auto"/>
        <w:ind w:firstLine="420" w:firstLineChars="200"/>
        <w:contextualSpacing/>
        <w:rPr>
          <w:rFonts w:ascii="Times New Roman" w:hAnsi="宋体" w:eastAsia="宋体" w:cs="Times New Roman"/>
          <w:color w:val="auto"/>
          <w:szCs w:val="24"/>
          <w:highlight w:val="none"/>
        </w:rPr>
      </w:pPr>
      <w:r>
        <w:rPr>
          <w:rFonts w:ascii="宋体" w:hAnsi="宋体" w:eastAsia="宋体" w:cs="宋体"/>
          <w:color w:val="auto"/>
          <w:kern w:val="0"/>
          <w:szCs w:val="21"/>
          <w:highlight w:val="none"/>
        </w:rPr>
        <w:t>3</w:t>
      </w:r>
      <w:r>
        <w:rPr>
          <w:rFonts w:hint="eastAsia" w:ascii="宋体" w:hAnsi="宋体" w:eastAsia="宋体" w:cs="宋体"/>
          <w:color w:val="auto"/>
          <w:kern w:val="0"/>
          <w:szCs w:val="21"/>
          <w:highlight w:val="none"/>
        </w:rPr>
        <w:t>3</w:t>
      </w:r>
      <w:r>
        <w:rPr>
          <w:rFonts w:ascii="宋体" w:hAnsi="宋体" w:eastAsia="宋体" w:cs="宋体"/>
          <w:color w:val="auto"/>
          <w:kern w:val="0"/>
          <w:szCs w:val="21"/>
          <w:highlight w:val="none"/>
        </w:rPr>
        <w:t>.2</w:t>
      </w:r>
      <w:r>
        <w:rPr>
          <w:rFonts w:hint="eastAsia" w:ascii="宋体" w:hAnsi="宋体" w:eastAsia="宋体" w:cs="宋体"/>
          <w:color w:val="auto"/>
          <w:kern w:val="0"/>
          <w:szCs w:val="21"/>
          <w:highlight w:val="none"/>
        </w:rPr>
        <w:t xml:space="preserve"> 其他事</w:t>
      </w:r>
      <w:r>
        <w:rPr>
          <w:rFonts w:hint="eastAsia" w:ascii="Times New Roman" w:hAnsi="宋体" w:eastAsia="宋体" w:cs="Times New Roman"/>
          <w:color w:val="auto"/>
          <w:szCs w:val="24"/>
          <w:highlight w:val="none"/>
        </w:rPr>
        <w:t>项详见“供应商须知前附表”。</w:t>
      </w:r>
    </w:p>
    <w:p w14:paraId="56BAEA35">
      <w:pPr>
        <w:spacing w:line="360" w:lineRule="auto"/>
        <w:ind w:firstLine="420" w:firstLineChars="200"/>
        <w:contextualSpacing/>
        <w:rPr>
          <w:rFonts w:hAnsi="宋体" w:cs="宋体"/>
          <w:color w:val="auto"/>
          <w:highlight w:val="none"/>
        </w:rPr>
      </w:pPr>
      <w:r>
        <w:rPr>
          <w:rFonts w:hint="eastAsia" w:ascii="宋体" w:hAnsi="宋体" w:eastAsia="宋体" w:cs="Times New Roman"/>
          <w:color w:val="auto"/>
          <w:kern w:val="0"/>
          <w:szCs w:val="21"/>
          <w:highlight w:val="none"/>
          <w:lang w:val="zh-CN"/>
        </w:rPr>
        <w:t>3</w:t>
      </w:r>
      <w:r>
        <w:rPr>
          <w:rFonts w:hint="eastAsia" w:ascii="宋体" w:hAnsi="宋体" w:eastAsia="宋体" w:cs="Times New Roman"/>
          <w:color w:val="auto"/>
          <w:kern w:val="0"/>
          <w:szCs w:val="21"/>
          <w:highlight w:val="none"/>
        </w:rPr>
        <w:t>3</w:t>
      </w:r>
      <w:r>
        <w:rPr>
          <w:rFonts w:ascii="宋体" w:hAnsi="宋体" w:eastAsia="宋体" w:cs="Times New Roman"/>
          <w:color w:val="auto"/>
          <w:kern w:val="0"/>
          <w:szCs w:val="21"/>
          <w:highlight w:val="none"/>
          <w:lang w:val="zh-CN"/>
        </w:rPr>
        <w:t>.3</w:t>
      </w:r>
      <w:bookmarkStart w:id="110" w:name="_Hlk65857140"/>
      <w:r>
        <w:rPr>
          <w:rFonts w:hint="eastAsia" w:ascii="宋体" w:hAnsi="宋体" w:eastAsia="宋体" w:cs="Times New Roman"/>
          <w:color w:val="auto"/>
          <w:kern w:val="0"/>
          <w:szCs w:val="21"/>
          <w:highlight w:val="none"/>
          <w:lang w:val="zh-CN"/>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r>
        <w:rPr>
          <w:rFonts w:hint="eastAsia" w:hAnsi="宋体" w:cs="宋体"/>
          <w:color w:val="auto"/>
          <w:highlight w:val="none"/>
        </w:rPr>
        <w:t>在政府采购活动中，供应商提供的货物由中小企业制造，即货物由中小企业生产且使用该中小企业商号或者注册商标，不对其中涉及的工程承建商和服务的承接商作出要求的，享受本文件规定的中小企业扶持政策。</w:t>
      </w:r>
    </w:p>
    <w:p w14:paraId="417E1685">
      <w:pPr>
        <w:pStyle w:val="18"/>
        <w:spacing w:line="360" w:lineRule="auto"/>
        <w:ind w:firstLine="420" w:firstLineChars="200"/>
        <w:rPr>
          <w:rFonts w:hAnsi="宋体"/>
          <w:color w:val="auto"/>
          <w:sz w:val="21"/>
          <w:highlight w:val="none"/>
        </w:rPr>
      </w:pPr>
      <w:r>
        <w:rPr>
          <w:rFonts w:hint="eastAsia" w:hAnsi="宋体" w:cs="宋体"/>
          <w:color w:val="auto"/>
          <w:sz w:val="21"/>
          <w:highlight w:val="none"/>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5AEEE355">
      <w:pPr>
        <w:spacing w:line="360" w:lineRule="auto"/>
        <w:ind w:firstLine="420" w:firstLineChars="200"/>
        <w:textAlignment w:val="center"/>
        <w:rPr>
          <w:rFonts w:ascii="宋体" w:hAnsi="宋体" w:eastAsia="宋体" w:cs="Times New Roman"/>
          <w:color w:val="auto"/>
          <w:kern w:val="0"/>
          <w:szCs w:val="21"/>
          <w:highlight w:val="none"/>
          <w:lang w:val="zh-CN"/>
        </w:rPr>
      </w:pPr>
      <w:r>
        <w:rPr>
          <w:rFonts w:hint="eastAsia" w:ascii="宋体" w:hAnsi="宋体" w:eastAsia="宋体" w:cs="Times New Roman"/>
          <w:color w:val="auto"/>
          <w:kern w:val="0"/>
          <w:szCs w:val="21"/>
          <w:highlight w:val="none"/>
          <w:lang w:val="zh-CN"/>
        </w:rPr>
        <w:t>依据本文件规定享受扶持政策获得政府采购合同的，小微企业不得将合同分包给大中型企业，中型企业不得将合同分包给大型企业。</w:t>
      </w:r>
      <w:bookmarkEnd w:id="110"/>
    </w:p>
    <w:p w14:paraId="35C5FE0D">
      <w:pPr>
        <w:spacing w:line="360" w:lineRule="auto"/>
        <w:ind w:firstLine="482" w:firstLineChars="200"/>
        <w:rPr>
          <w:rFonts w:hint="eastAsia" w:ascii="黑体" w:hAnsi="黑体" w:eastAsia="黑体" w:cs="黑体"/>
          <w:b/>
          <w:bCs/>
          <w:color w:val="auto"/>
          <w:sz w:val="24"/>
          <w:szCs w:val="24"/>
          <w:highlight w:val="none"/>
        </w:rPr>
      </w:pPr>
      <w:r>
        <w:rPr>
          <w:rFonts w:hint="eastAsia" w:ascii="黑体" w:hAnsi="黑体" w:eastAsia="黑体" w:cs="黑体"/>
          <w:b/>
          <w:bCs/>
          <w:color w:val="auto"/>
          <w:sz w:val="24"/>
          <w:szCs w:val="24"/>
          <w:highlight w:val="none"/>
        </w:rPr>
        <w:t>34.</w:t>
      </w:r>
      <w:r>
        <w:rPr>
          <w:rFonts w:hint="eastAsia" w:ascii="黑体" w:hAnsi="黑体" w:eastAsia="黑体" w:cs="黑体"/>
          <w:b/>
          <w:bCs/>
          <w:color w:val="auto"/>
          <w:sz w:val="24"/>
          <w:highlight w:val="none"/>
        </w:rPr>
        <w:t>广西线上“政采贷”</w:t>
      </w:r>
      <w:r>
        <w:rPr>
          <w:rFonts w:hint="eastAsia" w:ascii="黑体" w:hAnsi="黑体" w:eastAsia="黑体" w:cs="黑体"/>
          <w:b/>
          <w:bCs/>
          <w:color w:val="auto"/>
          <w:sz w:val="24"/>
          <w:szCs w:val="24"/>
          <w:highlight w:val="none"/>
        </w:rPr>
        <w:t>政策告知函</w:t>
      </w:r>
    </w:p>
    <w:p w14:paraId="19A57D84">
      <w:pPr>
        <w:spacing w:line="580" w:lineRule="exact"/>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广西线上“政采贷”政策告知函</w:t>
      </w:r>
    </w:p>
    <w:p w14:paraId="75B8A267">
      <w:pPr>
        <w:spacing w:line="580" w:lineRule="exact"/>
        <w:rPr>
          <w:rFonts w:ascii="宋体" w:hAnsi="宋体" w:cs="宋体"/>
          <w:color w:val="auto"/>
          <w:szCs w:val="21"/>
          <w:highlight w:val="none"/>
        </w:rPr>
      </w:pPr>
      <w:r>
        <w:rPr>
          <w:rFonts w:hint="eastAsia" w:ascii="宋体" w:hAnsi="宋体" w:cs="宋体"/>
          <w:color w:val="auto"/>
          <w:szCs w:val="21"/>
          <w:highlight w:val="none"/>
        </w:rPr>
        <w:t>各供应商：</w:t>
      </w:r>
    </w:p>
    <w:p w14:paraId="014FE44C">
      <w:pPr>
        <w:spacing w:line="5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欢迎贵公司参与广西政府采购活动！</w:t>
      </w:r>
    </w:p>
    <w:p w14:paraId="562A607F">
      <w:pPr>
        <w:spacing w:line="5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w:t>
      </w:r>
      <w:r>
        <w:rPr>
          <w:rFonts w:hint="eastAsia" w:ascii="宋体" w:hAnsi="宋体" w:eastAsia="宋体" w:cs="宋体"/>
          <w:color w:val="auto"/>
          <w:szCs w:val="21"/>
          <w:highlight w:val="none"/>
        </w:rPr>
        <w:t>银行业金融机构</w:t>
      </w:r>
      <w:r>
        <w:rPr>
          <w:rFonts w:hint="eastAsia" w:ascii="宋体" w:hAnsi="宋体" w:cs="宋体"/>
          <w:color w:val="auto"/>
          <w:szCs w:val="21"/>
          <w:highlight w:val="none"/>
        </w:rPr>
        <w:t>申请贷款，融资机构将根据《中国人民银行南宁中心支行 广西壮族自治区财政厅关于推广线上“政采贷”融资模式的通知》（南宁银发〔2021〕258号），按照双方自愿的原则提供便捷、优惠的贷款服务。</w:t>
      </w:r>
    </w:p>
    <w:p w14:paraId="11B08E45">
      <w:pPr>
        <w:spacing w:line="5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相关金融产品和</w:t>
      </w:r>
      <w:r>
        <w:rPr>
          <w:rFonts w:hint="eastAsia" w:ascii="宋体" w:hAnsi="宋体" w:eastAsia="宋体" w:cs="宋体"/>
          <w:color w:val="auto"/>
          <w:szCs w:val="21"/>
          <w:highlight w:val="none"/>
        </w:rPr>
        <w:t>银行业金融机构</w:t>
      </w:r>
      <w:r>
        <w:rPr>
          <w:rFonts w:hint="eastAsia" w:ascii="宋体" w:hAnsi="宋体" w:cs="宋体"/>
          <w:color w:val="auto"/>
          <w:szCs w:val="21"/>
          <w:highlight w:val="none"/>
        </w:rPr>
        <w:t>联系方式，可在中征应收账款融资服务平台查询（网址：</w:t>
      </w:r>
      <w:r>
        <w:rPr>
          <w:color w:val="auto"/>
          <w:highlight w:val="none"/>
        </w:rPr>
        <w:fldChar w:fldCharType="begin"/>
      </w:r>
      <w:r>
        <w:rPr>
          <w:color w:val="auto"/>
          <w:highlight w:val="none"/>
        </w:rPr>
        <w:instrText xml:space="preserve"> HYPERLINK "https://www.crcrfsp.com/" </w:instrText>
      </w:r>
      <w:r>
        <w:rPr>
          <w:color w:val="auto"/>
          <w:highlight w:val="none"/>
        </w:rPr>
        <w:fldChar w:fldCharType="separate"/>
      </w:r>
      <w:r>
        <w:rPr>
          <w:rStyle w:val="35"/>
          <w:rFonts w:hint="eastAsia" w:ascii="宋体" w:hAnsi="宋体" w:eastAsia="宋体" w:cs="宋体"/>
          <w:color w:val="auto"/>
          <w:szCs w:val="21"/>
          <w:highlight w:val="none"/>
        </w:rPr>
        <w:t>https://www.crcrfsp.com/</w:t>
      </w:r>
      <w:r>
        <w:rPr>
          <w:rStyle w:val="35"/>
          <w:rFonts w:hint="eastAsia" w:ascii="宋体" w:hAnsi="宋体" w:eastAsia="宋体" w:cs="宋体"/>
          <w:color w:val="auto"/>
          <w:szCs w:val="21"/>
          <w:highlight w:val="none"/>
        </w:rPr>
        <w:fldChar w:fldCharType="end"/>
      </w:r>
      <w:r>
        <w:rPr>
          <w:rFonts w:hint="eastAsia" w:ascii="宋体" w:hAnsi="宋体" w:cs="宋体"/>
          <w:color w:val="auto"/>
          <w:szCs w:val="21"/>
          <w:highlight w:val="none"/>
        </w:rPr>
        <w:t>，客服电话：400-009-0001）。</w:t>
      </w:r>
    </w:p>
    <w:p w14:paraId="2CE137F1">
      <w:pPr>
        <w:spacing w:line="360" w:lineRule="auto"/>
        <w:ind w:firstLine="402" w:firstLineChars="200"/>
        <w:contextualSpacing/>
        <w:rPr>
          <w:rFonts w:ascii="宋体" w:hAnsi="宋体" w:eastAsia="宋体" w:cs="Times New Roman"/>
          <w:b/>
          <w:color w:val="auto"/>
          <w:kern w:val="0"/>
          <w:sz w:val="20"/>
          <w:szCs w:val="21"/>
          <w:highlight w:val="none"/>
        </w:rPr>
      </w:pPr>
    </w:p>
    <w:p w14:paraId="0C7C30F4">
      <w:pPr>
        <w:rPr>
          <w:rFonts w:ascii="宋体" w:hAnsi="宋体" w:eastAsia="宋体" w:cs="Times New Roman"/>
          <w:b/>
          <w:color w:val="auto"/>
          <w:kern w:val="0"/>
          <w:sz w:val="20"/>
          <w:szCs w:val="21"/>
          <w:highlight w:val="none"/>
        </w:rPr>
      </w:pPr>
      <w:r>
        <w:rPr>
          <w:rFonts w:ascii="宋体" w:hAnsi="宋体" w:eastAsia="宋体" w:cs="Times New Roman"/>
          <w:b/>
          <w:color w:val="auto"/>
          <w:kern w:val="0"/>
          <w:sz w:val="20"/>
          <w:szCs w:val="21"/>
          <w:highlight w:val="none"/>
        </w:rPr>
        <w:br w:type="page"/>
      </w:r>
    </w:p>
    <w:p w14:paraId="62B03B37">
      <w:pPr>
        <w:pStyle w:val="2"/>
        <w:spacing w:line="360" w:lineRule="auto"/>
        <w:ind w:firstLine="1325" w:firstLineChars="300"/>
        <w:rPr>
          <w:color w:val="auto"/>
          <w:highlight w:val="none"/>
        </w:rPr>
      </w:pPr>
      <w:bookmarkStart w:id="111" w:name="_Toc23199"/>
      <w:bookmarkStart w:id="112" w:name="_Toc17139"/>
      <w:bookmarkStart w:id="113" w:name="_Toc11174"/>
      <w:bookmarkStart w:id="114" w:name="_Toc80205932"/>
      <w:r>
        <w:rPr>
          <w:rFonts w:hint="eastAsia"/>
          <w:color w:val="auto"/>
          <w:highlight w:val="none"/>
        </w:rPr>
        <w:t>第四章 评审程序、评审方法和成交标准</w:t>
      </w:r>
      <w:bookmarkEnd w:id="111"/>
      <w:bookmarkEnd w:id="112"/>
      <w:bookmarkEnd w:id="113"/>
      <w:bookmarkEnd w:id="114"/>
    </w:p>
    <w:p w14:paraId="0608B507">
      <w:pPr>
        <w:keepNext/>
        <w:keepLines/>
        <w:spacing w:line="360" w:lineRule="auto"/>
        <w:ind w:firstLine="640" w:firstLineChars="200"/>
        <w:jc w:val="center"/>
        <w:outlineLvl w:val="1"/>
        <w:rPr>
          <w:rFonts w:ascii="宋体" w:hAnsi="宋体" w:eastAsia="宋体" w:cs="Times New Roman"/>
          <w:bCs/>
          <w:color w:val="auto"/>
          <w:sz w:val="32"/>
          <w:szCs w:val="32"/>
          <w:highlight w:val="none"/>
          <w:lang w:val="zh-CN"/>
        </w:rPr>
      </w:pPr>
      <w:bookmarkStart w:id="115" w:name="_Toc10464"/>
      <w:bookmarkStart w:id="116" w:name="_Toc18230"/>
      <w:bookmarkStart w:id="117" w:name="_Toc80205933"/>
      <w:r>
        <w:rPr>
          <w:rFonts w:hint="eastAsia" w:ascii="宋体" w:hAnsi="宋体" w:eastAsia="宋体" w:cs="Times New Roman"/>
          <w:bCs/>
          <w:color w:val="auto"/>
          <w:sz w:val="32"/>
          <w:szCs w:val="32"/>
          <w:highlight w:val="none"/>
          <w:lang w:val="zh-CN"/>
        </w:rPr>
        <w:t>第一节 评审程序和评审方法</w:t>
      </w:r>
      <w:bookmarkEnd w:id="115"/>
      <w:bookmarkEnd w:id="116"/>
      <w:bookmarkEnd w:id="117"/>
    </w:p>
    <w:p w14:paraId="0C1B1E72">
      <w:pPr>
        <w:spacing w:line="360" w:lineRule="auto"/>
        <w:ind w:firstLine="482" w:firstLineChars="200"/>
        <w:rPr>
          <w:rFonts w:ascii="黑体" w:hAnsi="黑体" w:eastAsia="黑体" w:cs="宋体"/>
          <w:b/>
          <w:bCs/>
          <w:color w:val="auto"/>
          <w:sz w:val="24"/>
          <w:szCs w:val="24"/>
          <w:highlight w:val="none"/>
        </w:rPr>
      </w:pPr>
      <w:r>
        <w:rPr>
          <w:rFonts w:ascii="黑体" w:hAnsi="黑体" w:eastAsia="黑体" w:cs="宋体"/>
          <w:b/>
          <w:bCs/>
          <w:color w:val="auto"/>
          <w:sz w:val="24"/>
          <w:szCs w:val="24"/>
          <w:highlight w:val="none"/>
        </w:rPr>
        <w:t>1</w:t>
      </w:r>
      <w:r>
        <w:rPr>
          <w:rFonts w:hint="eastAsia" w:ascii="黑体" w:hAnsi="黑体" w:eastAsia="黑体" w:cs="宋体"/>
          <w:b/>
          <w:bCs/>
          <w:color w:val="auto"/>
          <w:sz w:val="24"/>
          <w:szCs w:val="24"/>
          <w:highlight w:val="none"/>
        </w:rPr>
        <w:t>.确认谈判文件</w:t>
      </w:r>
    </w:p>
    <w:p w14:paraId="5AEB254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由谈判小组确认谈判文件。</w:t>
      </w:r>
    </w:p>
    <w:p w14:paraId="3F5A47DE">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2.资格审查</w:t>
      </w:r>
    </w:p>
    <w:p w14:paraId="500EBC4F">
      <w:pPr>
        <w:snapToGrid w:val="0"/>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2.1响应文件开启后，谈判小组依法对供应商的资格证明文件进行审查。</w:t>
      </w:r>
    </w:p>
    <w:p w14:paraId="0F7D8344">
      <w:pPr>
        <w:snapToGrid w:val="0"/>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注：采购人代表或者采购代理机构在资格审查结束前，对供应商进行信用查询。</w:t>
      </w:r>
    </w:p>
    <w:p w14:paraId="3BEEC0F9">
      <w:pPr>
        <w:snapToGri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（1）查询渠道：</w:t>
      </w:r>
      <w:r>
        <w:rPr>
          <w:rFonts w:hint="eastAsia" w:ascii="宋体" w:hAnsi="宋体" w:cs="宋体"/>
          <w:color w:val="auto"/>
          <w:szCs w:val="21"/>
          <w:highlight w:val="none"/>
        </w:rPr>
        <w:t>广西政府采购云平台</w:t>
      </w:r>
      <w:r>
        <w:rPr>
          <w:rFonts w:hint="eastAsia" w:ascii="宋体" w:hAnsi="宋体" w:eastAsia="宋体" w:cs="宋体"/>
          <w:color w:val="auto"/>
          <w:szCs w:val="21"/>
          <w:highlight w:val="none"/>
        </w:rPr>
        <w:t>“信用中国”网站(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hint="eastAsia" w:ascii="宋体" w:hAnsi="宋体" w:eastAsia="宋体" w:cs="宋体"/>
          <w:color w:val="auto"/>
          <w:szCs w:val="21"/>
          <w:highlight w:val="none"/>
          <w:u w:val="single"/>
        </w:rPr>
        <w:t>www.creditchina.gov.cn</w:t>
      </w:r>
      <w:r>
        <w:rPr>
          <w:rFonts w:hint="eastAsia" w:ascii="宋体" w:hAnsi="宋体" w:eastAsia="宋体" w:cs="宋体"/>
          <w:color w:val="auto"/>
          <w:szCs w:val="21"/>
          <w:highlight w:val="none"/>
          <w:u w:val="single"/>
        </w:rPr>
        <w:fldChar w:fldCharType="end"/>
      </w:r>
      <w:r>
        <w:rPr>
          <w:rFonts w:hint="eastAsia" w:ascii="宋体" w:hAnsi="宋体" w:eastAsia="宋体" w:cs="宋体"/>
          <w:color w:val="auto"/>
          <w:szCs w:val="21"/>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Fonts w:hint="eastAsia" w:ascii="宋体" w:hAnsi="宋体" w:eastAsia="宋体" w:cs="宋体"/>
          <w:color w:val="auto"/>
          <w:szCs w:val="21"/>
          <w:highlight w:val="none"/>
          <w:u w:val="single"/>
        </w:rPr>
        <w:t>www.ccgp.gov.cn</w:t>
      </w:r>
      <w:r>
        <w:rPr>
          <w:rFonts w:hint="eastAsia" w:ascii="宋体" w:hAnsi="宋体" w:eastAsia="宋体" w:cs="宋体"/>
          <w:color w:val="auto"/>
          <w:szCs w:val="21"/>
          <w:highlight w:val="none"/>
          <w:u w:val="single"/>
        </w:rPr>
        <w:fldChar w:fldCharType="end"/>
      </w:r>
      <w:r>
        <w:rPr>
          <w:rFonts w:hint="eastAsia" w:ascii="宋体" w:hAnsi="宋体" w:eastAsia="宋体" w:cs="宋体"/>
          <w:color w:val="auto"/>
          <w:szCs w:val="21"/>
          <w:highlight w:val="none"/>
        </w:rPr>
        <w:t>)链接入口。</w:t>
      </w:r>
    </w:p>
    <w:p w14:paraId="0145B6F5">
      <w:pPr>
        <w:snapToGrid w:val="0"/>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（2）信用查询截止时点：资格审查结束前。</w:t>
      </w:r>
    </w:p>
    <w:p w14:paraId="3DABE768">
      <w:pPr>
        <w:snapToGrid w:val="0"/>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查询记录和证据留存方式：在查询网站中直接查询记录，截图另存为电子文档作为评审资料保存。</w:t>
      </w:r>
    </w:p>
    <w:p w14:paraId="66CE1BD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E8B078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2.2资格审查标准为本谈判文件中载明对供应商资格要求的条件。资格审查采用合格制，凡符合谈判文件规定的供应商资格要求的响应文件均通过资格审查。</w:t>
      </w:r>
    </w:p>
    <w:p w14:paraId="7EF36663">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2.3供应商有下列情形之一的，资格审查不通过，其响应文件作无效响应处理：</w:t>
      </w:r>
    </w:p>
    <w:p w14:paraId="31EA888C">
      <w:pPr>
        <w:snapToGrid w:val="0"/>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（1）不具备谈判文件中规定的资格要求的；</w:t>
      </w:r>
    </w:p>
    <w:p w14:paraId="54066B0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（2）响应文件未提供任一项“供应商须知前附表”资格证明文件规定的“必须提供”的文件资料的；</w:t>
      </w:r>
    </w:p>
    <w:p w14:paraId="094B4FE2">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（3）响应文件提供的资格证明文件出现任一项不符合“供应商须知前附表”资格证明文件规定的“必须提供”的文件资料要求或者无效的。</w:t>
      </w:r>
    </w:p>
    <w:p w14:paraId="6419498E">
      <w:pPr>
        <w:spacing w:line="360" w:lineRule="auto"/>
        <w:ind w:firstLine="420" w:firstLineChars="200"/>
        <w:rPr>
          <w:rFonts w:ascii="宋体" w:hAnsi="宋体" w:eastAsia="宋体" w:cs="宋体"/>
          <w:color w:val="auto"/>
          <w:szCs w:val="21"/>
          <w:highlight w:val="none"/>
        </w:rPr>
      </w:pPr>
      <w:bookmarkStart w:id="118" w:name="_Hlk68601553"/>
      <w:r>
        <w:rPr>
          <w:rFonts w:hint="eastAsia" w:ascii="宋体" w:hAnsi="宋体" w:eastAsia="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118"/>
    </w:p>
    <w:p w14:paraId="24DC559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2.4通过资格审查的合格供应商不足3家的，不得进入符合性审查环节，采购人或者采购代理机构应当重新开展采购活动。</w:t>
      </w:r>
    </w:p>
    <w:p w14:paraId="587D2E77">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3.符合性审查</w:t>
      </w:r>
    </w:p>
    <w:p w14:paraId="448989F4">
      <w:pPr>
        <w:spacing w:line="360" w:lineRule="auto"/>
        <w:ind w:firstLine="420" w:firstLineChars="200"/>
        <w:rPr>
          <w:rFonts w:ascii="宋体" w:hAnsi="宋体" w:eastAsia="宋体" w:cs="宋体"/>
          <w:color w:val="auto"/>
          <w:szCs w:val="21"/>
          <w:highlight w:val="none"/>
        </w:rPr>
      </w:pPr>
      <w:bookmarkStart w:id="119" w:name="_Hlk42528882"/>
      <w:r>
        <w:rPr>
          <w:rFonts w:hint="eastAsia" w:ascii="宋体" w:hAnsi="宋体" w:eastAsia="宋体" w:cs="宋体"/>
          <w:color w:val="auto"/>
          <w:szCs w:val="21"/>
          <w:highlight w:val="none"/>
        </w:rPr>
        <w:t>3.1由谈判小组对通过资格审查的合格供应商的响应文件的响应报价、商务、技术等实质性要求进行符合性审查，以确定其是否满足谈判文件的实质性要求。</w:t>
      </w:r>
    </w:p>
    <w:bookmarkEnd w:id="119"/>
    <w:p w14:paraId="7439E2CA">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3.2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4B5F69B">
      <w:pPr>
        <w:spacing w:line="360" w:lineRule="auto"/>
        <w:ind w:firstLine="420" w:firstLineChars="200"/>
        <w:rPr>
          <w:rFonts w:ascii="宋体" w:hAnsi="宋体" w:eastAsia="宋体" w:cs="宋体"/>
          <w:color w:val="auto"/>
          <w:spacing w:val="-6"/>
          <w:szCs w:val="21"/>
          <w:highlight w:val="none"/>
        </w:rPr>
      </w:pPr>
      <w:r>
        <w:rPr>
          <w:rFonts w:hint="eastAsia" w:ascii="宋体" w:hAnsi="宋体" w:eastAsia="宋体" w:cs="宋体"/>
          <w:color w:val="auto"/>
          <w:szCs w:val="21"/>
          <w:highlight w:val="none"/>
        </w:rPr>
        <w:t>3.3谈判小组要求供应商澄清、说明或者更正响应文件应当以电子澄清函形式作出。供应商的澄清、说明或者更正应当以电子回函形式按照谈判小组的要求作出明确的澄清、说明或者更正，未按谈判小组的要求作出明确澄清、说明或者更正的供应商的响应文件将按照有利于采购人的原则由谈判小组进行判定。供应商的澄清、说明或者更正必须加盖公章</w:t>
      </w:r>
      <w:r>
        <w:rPr>
          <w:rFonts w:hint="eastAsia" w:ascii="宋体" w:hAnsi="宋体" w:eastAsia="宋体" w:cs="宋体"/>
          <w:color w:val="auto"/>
          <w:spacing w:val="-6"/>
          <w:szCs w:val="21"/>
          <w:highlight w:val="none"/>
        </w:rPr>
        <w:t>。供应商为自然人的，必须由本人签字并附身份证明。</w:t>
      </w:r>
    </w:p>
    <w:p w14:paraId="62EB2AF8">
      <w:pPr>
        <w:spacing w:line="360" w:lineRule="auto"/>
        <w:ind w:firstLine="396" w:firstLineChars="200"/>
        <w:rPr>
          <w:rFonts w:ascii="宋体" w:hAnsi="宋体" w:eastAsia="宋体" w:cs="宋体"/>
          <w:color w:val="auto"/>
          <w:szCs w:val="21"/>
          <w:highlight w:val="none"/>
        </w:rPr>
      </w:pPr>
      <w:r>
        <w:rPr>
          <w:rFonts w:hint="eastAsia" w:ascii="宋体" w:hAnsi="宋体" w:eastAsia="宋体" w:cs="宋体"/>
          <w:color w:val="auto"/>
          <w:spacing w:val="-6"/>
          <w:szCs w:val="21"/>
          <w:highlight w:val="none"/>
        </w:rPr>
        <w:t>3.4</w:t>
      </w:r>
      <w:r>
        <w:rPr>
          <w:rFonts w:hint="eastAsia" w:ascii="宋体" w:hAnsi="宋体" w:eastAsia="宋体" w:cs="宋体"/>
          <w:color w:val="auto"/>
          <w:szCs w:val="21"/>
          <w:highlight w:val="none"/>
        </w:rPr>
        <w:t xml:space="preserve">首次响应文件报价出现前后不一致的，按照下列规定修正： </w:t>
      </w:r>
    </w:p>
    <w:p w14:paraId="4D684D5A">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（1）响应文件中响应报价表内容与响应文件中相应内容不一致的，以响应报价表为准；</w:t>
      </w:r>
    </w:p>
    <w:p w14:paraId="69E569B6">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（2）大写金额和小写金额不一致的，以大写金额为准；</w:t>
      </w:r>
    </w:p>
    <w:p w14:paraId="7AC143F8">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（3）单价金额小数点或者百分比有明显错位的，以响应报价表的总价为准，并修改单价；</w:t>
      </w:r>
    </w:p>
    <w:p w14:paraId="48224CD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（4）总价金额与按单价汇总金额不一致的，以单价金额计算结果为准。</w:t>
      </w:r>
    </w:p>
    <w:p w14:paraId="2B7BFBC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同时出现两种以上不一致的，按照以上（1）-（4）规定的顺序逐条进行修正。修正后的报价经供应商确认后产生约束力，供应商不确认的，其响应文件作无效响应处理。</w:t>
      </w:r>
    </w:p>
    <w:p w14:paraId="125428E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3.5商务技术、报价评审</w:t>
      </w:r>
    </w:p>
    <w:p w14:paraId="516F7E4E">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在评审时，如发现下列情形之一的，将被视为响应文件无效处理：</w:t>
      </w:r>
    </w:p>
    <w:p w14:paraId="5F1B0A48">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（1）商务技术评审</w:t>
      </w:r>
    </w:p>
    <w:p w14:paraId="7330BCE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1）响应文件未按谈判文件要求签署、盖章；</w:t>
      </w:r>
    </w:p>
    <w:p w14:paraId="7AC32267">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2）委托代理人未能出具有效身份证明或者出具的身份证明与授权委托书中的信息不符； </w:t>
      </w:r>
    </w:p>
    <w:p w14:paraId="1D66927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3ADF4FD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4）商务条款中标“▲”的条款发生负偏离的或者允许负偏离的条款数超过“供应商须知前附表”规定项数的或者标明实质性的要求发生负偏离；</w:t>
      </w:r>
    </w:p>
    <w:p w14:paraId="0501779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5）未对竞标有效期作出响应或者响应文件承诺的竞标有效期不满足谈判文件要求；</w:t>
      </w:r>
    </w:p>
    <w:p w14:paraId="66A2E0E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6）响应文件的实质性内容未使用中文表述、使用计量单位不符合谈判文件要求；</w:t>
      </w:r>
    </w:p>
    <w:p w14:paraId="593C6058">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7）响应文件中的文件资料因填写不齐全或者内容虚假或者出现其他情形而导致被谈判小组认定无效；</w:t>
      </w:r>
    </w:p>
    <w:p w14:paraId="590D1C16">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8）响应文件含有采购人不能接受的附加条件；</w:t>
      </w:r>
    </w:p>
    <w:p w14:paraId="569462E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9）属于“供应商须知正文”第7.5条情形；</w:t>
      </w:r>
    </w:p>
    <w:p w14:paraId="79296F77">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10）技术需求允许负偏离的条款数超过“供应商须知前附表”规定项数；</w:t>
      </w:r>
    </w:p>
    <w:p w14:paraId="0DC4BB7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11）虚假竞标，或者出现其他情形而导致被谈判小组认定无效；</w:t>
      </w:r>
    </w:p>
    <w:p w14:paraId="73133688">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12）竞标技术方案不明确，谈判文件未允许但响应文件中存在一个或者一个以上备选（替代）竞标方案；</w:t>
      </w:r>
    </w:p>
    <w:p w14:paraId="210C58C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13）响应文件标注的项目名称或者项目编号与竞争性谈判文件标注的项目名称或者项目编号不一致的；</w:t>
      </w:r>
    </w:p>
    <w:p w14:paraId="32C2886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14）未响应谈判文件实质性要求；</w:t>
      </w:r>
    </w:p>
    <w:p w14:paraId="07D719A1">
      <w:pPr>
        <w:pStyle w:val="13"/>
        <w:ind w:firstLine="420" w:firstLineChars="200"/>
        <w:rPr>
          <w:rFonts w:ascii="宋体" w:hAnsi="宋体" w:cs="宋体"/>
          <w:color w:val="auto"/>
          <w:highlight w:val="none"/>
        </w:rPr>
      </w:pPr>
      <w:r>
        <w:rPr>
          <w:rFonts w:hint="eastAsia" w:ascii="宋体" w:hAnsi="宋体" w:cs="宋体"/>
          <w:color w:val="auto"/>
          <w:szCs w:val="21"/>
          <w:highlight w:val="none"/>
        </w:rPr>
        <w:t>15）提交的谈判保证金无效的或者未按照竞争性谈判文件的规定提交谈判保证金；</w:t>
      </w:r>
    </w:p>
    <w:p w14:paraId="6806442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16）法律、法规和谈判文件规定的其他无效情形。</w:t>
      </w:r>
    </w:p>
    <w:p w14:paraId="374284C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（2）报价评审</w:t>
      </w:r>
    </w:p>
    <w:p w14:paraId="5F2817A2">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 响应文件未提供“供应商须知前附表” 报价文件中规定的“响应报价表”；</w:t>
      </w:r>
    </w:p>
    <w:p w14:paraId="070FF296">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2）未采用人民币报价或者未按照谈判文件标明的币种报价；</w:t>
      </w:r>
    </w:p>
    <w:p w14:paraId="3208B297">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供应商未就所竞标项目/分标进行报价或者存在漏项报价；供应商未就所竞标项目/分标的单项内容作唯一报价；供应商未就所竞标项目/分标的全部内容作唯一总价报价；供应商响应文件中存在有选择、有条件报价的（谈判文件允许有备选方案或者其他约定的除外）；</w:t>
      </w:r>
    </w:p>
    <w:p w14:paraId="06EB2E5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4）响应报价（包含首次报价、最后报价）超过所竞标项目/分标规定的采购预算金额或者最高限价的（如本项目公布了最高限价）；</w:t>
      </w:r>
      <w:bookmarkStart w:id="120" w:name="_Hlk42596405"/>
      <w:r>
        <w:rPr>
          <w:rFonts w:hint="eastAsia" w:ascii="宋体" w:hAnsi="宋体" w:eastAsia="宋体" w:cs="宋体"/>
          <w:color w:val="auto"/>
          <w:szCs w:val="21"/>
          <w:highlight w:val="none"/>
        </w:rPr>
        <w:t>响应报价（包含首次报价、最后报价）</w:t>
      </w:r>
      <w:bookmarkEnd w:id="120"/>
      <w:bookmarkStart w:id="121" w:name="_Hlk42596276"/>
      <w:r>
        <w:rPr>
          <w:rFonts w:hint="eastAsia" w:ascii="宋体" w:hAnsi="宋体" w:eastAsia="宋体" w:cs="宋体"/>
          <w:color w:val="auto"/>
          <w:szCs w:val="21"/>
          <w:highlight w:val="none"/>
        </w:rPr>
        <w:t>超过谈判文件分项采购预算金额或者最高限价的</w:t>
      </w:r>
      <w:bookmarkEnd w:id="121"/>
      <w:r>
        <w:rPr>
          <w:rFonts w:hint="eastAsia" w:ascii="宋体" w:hAnsi="宋体" w:eastAsia="宋体" w:cs="宋体"/>
          <w:color w:val="auto"/>
          <w:szCs w:val="21"/>
          <w:highlight w:val="none"/>
        </w:rPr>
        <w:t>（如本项目公布了最高限价）；</w:t>
      </w:r>
    </w:p>
    <w:p w14:paraId="7AA8218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修正后的报价，供应商不确认的；或者经供应商确认修正后的响应报价（包含首次报价、最后报价）超过所竞标项目/分标规定的采购预算金额或者最高限价（如本项目公布了最高限价）；或者经供应商确认修正后响应报价（包含首次报价、最后报价）超过谈判文件分项采购预算金额或者最高限价的（如本项目公布了最高限价）。</w:t>
      </w:r>
    </w:p>
    <w:p w14:paraId="1F3F0BB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6）响应文件响应的标的数量及单位与竞争性谈判文件要求实质性不一致的。</w:t>
      </w:r>
    </w:p>
    <w:p w14:paraId="373FE52A">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3.6谈判小组对响应文件进行评审，未实质性响应谈判文件的响应文件作无效处理。谈判小组应当将资格和符合性不通过的情况告知有关供应商。谈判小组从符合谈判文件规定的相应资格条件的供应商名单中确定不少于3家的供应商参加谈判。</w:t>
      </w:r>
    </w:p>
    <w:p w14:paraId="6E82377F">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3.7通过符合性审查的合格供应商不足3家的，不得进入谈判环节，应当重新开展采购活动。</w:t>
      </w:r>
    </w:p>
    <w:p w14:paraId="5432F634">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4.谈判程序</w:t>
      </w:r>
    </w:p>
    <w:p w14:paraId="2E8D69FF">
      <w:pPr>
        <w:spacing w:line="360" w:lineRule="auto"/>
        <w:ind w:firstLine="420" w:firstLineChars="200"/>
        <w:rPr>
          <w:rFonts w:ascii="宋体" w:hAnsi="宋体" w:eastAsia="宋体" w:cs="宋体"/>
          <w:b/>
          <w:color w:val="auto"/>
          <w:kern w:val="0"/>
          <w:szCs w:val="21"/>
          <w:highlight w:val="none"/>
        </w:rPr>
      </w:pPr>
      <w:r>
        <w:rPr>
          <w:rFonts w:hint="eastAsia" w:ascii="宋体" w:hAnsi="宋体" w:eastAsia="宋体" w:cs="宋体"/>
          <w:color w:val="auto"/>
          <w:kern w:val="0"/>
          <w:szCs w:val="21"/>
          <w:highlight w:val="none"/>
        </w:rPr>
        <w:t>4.1谈判小组按照“供应商须知前附表”</w:t>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t>确定的</w:t>
      </w:r>
      <w:r>
        <w:rPr>
          <w:rFonts w:hint="eastAsia" w:ascii="宋体" w:hAnsi="宋体" w:eastAsia="宋体" w:cs="宋体"/>
          <w:color w:val="auto"/>
          <w:szCs w:val="21"/>
          <w:highlight w:val="none"/>
        </w:rPr>
        <w:t>顺序，集中与单一供应商分别进行谈判，并给予所有参加谈判的供应商平等的谈判机会。符合谈判资格的供应商必须在接到谈判通知后规定时间内参加谈判，未在规定时间内参加谈判的视同放弃参加谈判权利，</w:t>
      </w:r>
      <w:r>
        <w:rPr>
          <w:rFonts w:hint="eastAsia" w:ascii="宋体" w:hAnsi="宋体" w:eastAsia="宋体" w:cs="宋体"/>
          <w:b/>
          <w:color w:val="auto"/>
          <w:szCs w:val="21"/>
          <w:highlight w:val="none"/>
        </w:rPr>
        <w:t>其响应文件作无效响应处理。</w:t>
      </w:r>
    </w:p>
    <w:p w14:paraId="3AEC5E6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4.2在谈判过程中，谈判小组可以根据谈判文件和谈判情况实质性变动采购需求中的技术、货物要求以及合同草案条款，但不得变动谈判文件中的其他内容。实质性变动的内容，须经采购人代表确认。可能实质性变动的内容为采购需求中的技术、货物要求以及合同草案条款。</w:t>
      </w:r>
    </w:p>
    <w:p w14:paraId="6B1E9B7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4.3对谈判文件作出的实质性变动是谈判文件的有效组成部分，由谈判小组及时以电子澄清函形式同时通知所有参加谈判的供应商。</w:t>
      </w:r>
    </w:p>
    <w:p w14:paraId="72E99A3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4.4供应商必须按照谈判文件的变动情况和谈判小组的要求以回函的形式重新提交响应文件，并加盖供应商公章。供应商为自然人的，必须由本人签字并附身份证明。参加谈判的供应商未在规定时间内重新提交响应文件的，视同退出谈判。</w:t>
      </w:r>
    </w:p>
    <w:p w14:paraId="7ACA32E6">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4.5谈判中，</w:t>
      </w:r>
      <w:r>
        <w:rPr>
          <w:rFonts w:hint="eastAsia" w:ascii="宋体" w:hAnsi="宋体" w:eastAsia="宋体" w:cs="宋体"/>
          <w:color w:val="auto"/>
          <w:spacing w:val="-6"/>
          <w:szCs w:val="21"/>
          <w:highlight w:val="none"/>
        </w:rPr>
        <w:t>谈判的任何一方不得透露与谈判有关的其他供应商的技术资料、价格和其他信息。</w:t>
      </w:r>
    </w:p>
    <w:p w14:paraId="4D77B3D7">
      <w:pPr>
        <w:widowControl/>
        <w:tabs>
          <w:tab w:val="left" w:pos="540"/>
        </w:tabs>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4.6谈判小组应对谈判过程和重要谈判内容进行记录，作为评审报告一部分，谈判小组在记录上签字确认。</w:t>
      </w:r>
      <w:r>
        <w:rPr>
          <w:rFonts w:hint="eastAsia" w:ascii="宋体" w:hAnsi="宋体" w:eastAsia="宋体" w:cs="宋体"/>
          <w:b/>
          <w:color w:val="auto"/>
          <w:szCs w:val="24"/>
          <w:highlight w:val="none"/>
        </w:rPr>
        <w:t>主要内容包括：</w:t>
      </w:r>
    </w:p>
    <w:p w14:paraId="3BFF98C9">
      <w:pPr>
        <w:adjustRightInd w:val="0"/>
        <w:spacing w:line="360" w:lineRule="auto"/>
        <w:ind w:firstLine="396" w:firstLineChars="2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（1）按照相关规定进行公示的，公示情况说明；</w:t>
      </w:r>
    </w:p>
    <w:p w14:paraId="6941FB6F">
      <w:pPr>
        <w:adjustRightInd w:val="0"/>
        <w:spacing w:line="360" w:lineRule="auto"/>
        <w:ind w:firstLine="396" w:firstLineChars="2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（2）谈判日期和地点，谈判人员名单；</w:t>
      </w:r>
    </w:p>
    <w:p w14:paraId="29EBC365">
      <w:pPr>
        <w:adjustRightInd w:val="0"/>
        <w:spacing w:line="360" w:lineRule="auto"/>
        <w:ind w:firstLine="396" w:firstLineChars="2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（3）合同主要条款及价格商定情况。</w:t>
      </w:r>
    </w:p>
    <w:p w14:paraId="5CF1ECF8">
      <w:pPr>
        <w:widowControl/>
        <w:tabs>
          <w:tab w:val="left" w:pos="540"/>
        </w:tabs>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4.7谈判过程中重新提交的响应文件，供应商可以在开启前补充、修改。</w:t>
      </w:r>
    </w:p>
    <w:p w14:paraId="07065A2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4.8对谈判过程提交的响应文件进行有效性、完整性和响应程度审查，通过审查的合格供应商不足3家的，采购人或者采购代理机构应当重新开展采购活动。</w:t>
      </w:r>
    </w:p>
    <w:p w14:paraId="396C5916">
      <w:pPr>
        <w:spacing w:line="360" w:lineRule="auto"/>
        <w:ind w:firstLine="482" w:firstLineChars="200"/>
        <w:rPr>
          <w:rFonts w:ascii="宋体" w:hAnsi="宋体" w:eastAsia="宋体" w:cs="宋体"/>
          <w:color w:val="auto"/>
          <w:szCs w:val="21"/>
          <w:highlight w:val="none"/>
        </w:rPr>
      </w:pPr>
      <w:r>
        <w:rPr>
          <w:rFonts w:hint="eastAsia" w:ascii="黑体" w:hAnsi="黑体" w:eastAsia="黑体" w:cs="宋体"/>
          <w:b/>
          <w:bCs/>
          <w:color w:val="auto"/>
          <w:sz w:val="24"/>
          <w:szCs w:val="24"/>
          <w:highlight w:val="none"/>
        </w:rPr>
        <w:t>5</w:t>
      </w:r>
      <w:r>
        <w:rPr>
          <w:rFonts w:ascii="黑体" w:hAnsi="黑体" w:eastAsia="黑体" w:cs="宋体"/>
          <w:b/>
          <w:bCs/>
          <w:color w:val="auto"/>
          <w:sz w:val="24"/>
          <w:szCs w:val="24"/>
          <w:highlight w:val="none"/>
        </w:rPr>
        <w:t>.</w:t>
      </w:r>
      <w:r>
        <w:rPr>
          <w:rFonts w:hint="eastAsia" w:ascii="黑体" w:hAnsi="黑体" w:eastAsia="黑体" w:cs="宋体"/>
          <w:b/>
          <w:bCs/>
          <w:color w:val="auto"/>
          <w:sz w:val="24"/>
          <w:szCs w:val="24"/>
          <w:highlight w:val="none"/>
        </w:rPr>
        <w:t>最后报价</w:t>
      </w:r>
    </w:p>
    <w:p w14:paraId="17CE84E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5.1谈判文件能够详细列明采购标的的技术、货物要求的，谈判结束后，由谈判小组要求所有继续参加谈判的供应商在规定时间内密封提交最后报价，提交最后报价的供应商不得少于3家，否则必须重新采购。</w:t>
      </w:r>
    </w:p>
    <w:p w14:paraId="42CD329F">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5.2谈判文件不能详细列明采购标的的技术、货物要求，需经谈判由供应商提供最后设计方案或者解决方案的，谈判结束后，由谈判小组按照少数服从多数的原则投票推荐3家以上供应商的设计方案或者解决方案，并要求其在规定时间内在</w:t>
      </w:r>
      <w:r>
        <w:rPr>
          <w:rFonts w:hint="eastAsia" w:ascii="宋体" w:hAnsi="宋体" w:cs="宋体"/>
          <w:color w:val="auto"/>
          <w:szCs w:val="21"/>
          <w:highlight w:val="none"/>
        </w:rPr>
        <w:t>广西政府采购云平台</w:t>
      </w:r>
      <w:r>
        <w:rPr>
          <w:rFonts w:hint="eastAsia" w:ascii="宋体" w:hAnsi="宋体" w:eastAsia="宋体" w:cs="宋体"/>
          <w:color w:val="auto"/>
          <w:szCs w:val="21"/>
          <w:highlight w:val="none"/>
        </w:rPr>
        <w:t>远程不见面开标大厅响应最后报价。</w:t>
      </w:r>
    </w:p>
    <w:p w14:paraId="64B5626F">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5.3 最后报价是供应商响应文件的有效组成部分。</w:t>
      </w:r>
    </w:p>
    <w:p w14:paraId="7672857B">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5.4已经提交响应文件的供应商，在提交最后报价之前，可以根据谈判情况退出谈判，退出谈判的供应商的响应文件作无效响应处理。</w:t>
      </w:r>
    </w:p>
    <w:p w14:paraId="4F6A5DC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5.5供应商未在规定时间内提交最后报价的</w:t>
      </w:r>
      <w:r>
        <w:rPr>
          <w:rFonts w:hint="eastAsia" w:ascii="宋体" w:hAnsi="宋体" w:eastAsia="宋体" w:cs="宋体"/>
          <w:b/>
          <w:color w:val="auto"/>
          <w:szCs w:val="21"/>
          <w:highlight w:val="none"/>
        </w:rPr>
        <w:t>，视同放弃报价权利退出谈判。</w:t>
      </w:r>
    </w:p>
    <w:p w14:paraId="6D5214F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5.6最终响应文件的报价出现前后不一致的，按照本章第3.4条的规定修正。 </w:t>
      </w:r>
    </w:p>
    <w:p w14:paraId="5576A6F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5.7修正后的最后报价出现下列情形的，作无效响应处理：</w:t>
      </w:r>
    </w:p>
    <w:p w14:paraId="5F65D12A">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（1）供应商不确认的（全流程电子化评标采取在线确认）；</w:t>
      </w:r>
    </w:p>
    <w:p w14:paraId="1C8ADFD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经供应商确认修正后的响应报价（包含首次报价、最后报价）超过所竞标项目/分标规定的采购预算金额或者最高限价的（如本项目公布了最高限价）（全流程电子化评标多轮报价设置了上限控制价，即预算价）；</w:t>
      </w:r>
    </w:p>
    <w:p w14:paraId="198AB25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（3）经供应商确认修正后的响应报价（包含首次报价、最后报价）超过分项采购预算金额或者最高限价的（如本项目公布了最高限价）。</w:t>
      </w:r>
    </w:p>
    <w:p w14:paraId="4DA346B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5.8经供应商确认修正后的最后报价作为评审及签订合同的依据。</w:t>
      </w:r>
    </w:p>
    <w:p w14:paraId="3660AA1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5.9供应商出现最后报价作无效响应处理或者响应文件作无效处理时</w:t>
      </w:r>
      <w:r>
        <w:rPr>
          <w:rFonts w:hint="eastAsia" w:ascii="宋体" w:hAnsi="宋体" w:eastAsia="宋体" w:cs="宋体"/>
          <w:color w:val="auto"/>
          <w:sz w:val="22"/>
          <w:highlight w:val="none"/>
        </w:rPr>
        <w:t>，</w:t>
      </w:r>
      <w:r>
        <w:rPr>
          <w:rFonts w:hint="eastAsia" w:ascii="宋体" w:hAnsi="宋体" w:eastAsia="宋体" w:cs="宋体"/>
          <w:b/>
          <w:bCs/>
          <w:color w:val="auto"/>
          <w:sz w:val="22"/>
          <w:highlight w:val="none"/>
        </w:rPr>
        <w:t>谈判小组应当告知有关供应商</w:t>
      </w:r>
      <w:r>
        <w:rPr>
          <w:rFonts w:hint="eastAsia" w:ascii="宋体" w:hAnsi="宋体" w:eastAsia="宋体" w:cs="宋体"/>
          <w:color w:val="auto"/>
          <w:szCs w:val="21"/>
          <w:highlight w:val="none"/>
        </w:rPr>
        <w:t>。</w:t>
      </w:r>
    </w:p>
    <w:p w14:paraId="2DEA56B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5.10最后报价结束后，谈判小组不得再与供应商进行任何形式的商谈。</w:t>
      </w:r>
    </w:p>
    <w:p w14:paraId="1E31F8B9">
      <w:pPr>
        <w:spacing w:line="360" w:lineRule="auto"/>
        <w:ind w:firstLine="422" w:firstLineChars="200"/>
        <w:rPr>
          <w:rFonts w:hint="eastAsia" w:ascii="宋体" w:hAnsi="宋体" w:eastAsia="宋体" w:cs="宋体"/>
          <w:b/>
          <w:bCs/>
          <w:color w:val="auto"/>
          <w:szCs w:val="21"/>
          <w:highlight w:val="none"/>
          <w:lang w:val="zh-CN"/>
        </w:rPr>
      </w:pPr>
      <w:r>
        <w:rPr>
          <w:rFonts w:hint="eastAsia" w:ascii="宋体" w:hAnsi="宋体" w:eastAsia="宋体" w:cs="宋体"/>
          <w:b/>
          <w:bCs/>
          <w:color w:val="auto"/>
          <w:szCs w:val="21"/>
          <w:highlight w:val="none"/>
        </w:rPr>
        <w:t>注：</w:t>
      </w:r>
      <w:r>
        <w:rPr>
          <w:rFonts w:hint="eastAsia" w:ascii="宋体" w:hAnsi="宋体" w:eastAsia="宋体" w:cs="宋体"/>
          <w:b/>
          <w:bCs/>
          <w:color w:val="auto"/>
          <w:highlight w:val="none"/>
        </w:rPr>
        <w:t>如谈判小组要求提供最后报价附件的，需按规定的时间提供。最后报价有时间限制，供应商可参照竞争性谈判文件“第五章 响应文件格式”的最后报价表提前准备，以免耽误最后报价</w:t>
      </w:r>
      <w:r>
        <w:rPr>
          <w:rFonts w:hint="eastAsia" w:ascii="宋体" w:hAnsi="宋体" w:eastAsia="宋体" w:cs="宋体"/>
          <w:b/>
          <w:bCs/>
          <w:color w:val="auto"/>
          <w:szCs w:val="21"/>
          <w:highlight w:val="none"/>
          <w:lang w:val="zh-CN"/>
        </w:rPr>
        <w:t>。</w:t>
      </w:r>
    </w:p>
    <w:p w14:paraId="3004CB14">
      <w:pPr>
        <w:numPr>
          <w:ilvl w:val="0"/>
          <w:numId w:val="0"/>
        </w:num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kern w:val="2"/>
          <w:sz w:val="24"/>
          <w:szCs w:val="24"/>
          <w:lang w:val="en-US" w:eastAsia="zh-CN" w:bidi="ar-SA"/>
        </w:rPr>
        <w:t>6.</w:t>
      </w:r>
      <w:r>
        <w:rPr>
          <w:rFonts w:hint="eastAsia" w:ascii="黑体" w:hAnsi="黑体" w:eastAsia="黑体" w:cs="宋体"/>
          <w:b/>
          <w:bCs/>
          <w:color w:val="auto"/>
          <w:sz w:val="24"/>
          <w:szCs w:val="24"/>
          <w:highlight w:val="none"/>
        </w:rPr>
        <w:t>最后报价政府采购政策性扣除</w:t>
      </w:r>
    </w:p>
    <w:p w14:paraId="160AC879">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6.1评审价为供应商的最后报价进行政策性扣除后的价格，评审价只是作为评审时使用。最终成交供应商的成交金额等于最后报价（如有修正，以确认修正后的最后报价为准）。</w:t>
      </w:r>
    </w:p>
    <w:p w14:paraId="501A8392">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6.2按照</w:t>
      </w:r>
      <w:r>
        <w:rPr>
          <w:rFonts w:hint="eastAsia" w:ascii="宋体" w:hAnsi="宋体" w:eastAsia="宋体" w:cs="宋体"/>
          <w:color w:val="auto"/>
          <w:szCs w:val="21"/>
        </w:rPr>
        <w:t>《政府采购促进中小企业发展管理办法》（财库〔2020〕46号）及《广西壮族自治区财政厅关于贯彻落实政府采购支持中小企业发展政策的通知》（桂财采〔2022〕31号）</w:t>
      </w:r>
      <w:r>
        <w:rPr>
          <w:rFonts w:hint="eastAsia" w:ascii="宋体" w:hAnsi="宋体" w:eastAsia="宋体" w:cs="宋体"/>
          <w:color w:val="auto"/>
          <w:szCs w:val="21"/>
        </w:rPr>
        <w:t>的规定，</w:t>
      </w:r>
      <w:r>
        <w:rPr>
          <w:rFonts w:hint="eastAsia" w:ascii="宋体" w:hAnsi="宋体" w:eastAsia="宋体" w:cs="宋体"/>
          <w:color w:val="auto"/>
          <w:lang w:eastAsia="zh-CN"/>
        </w:rPr>
        <w:t>供应商在其</w:t>
      </w:r>
      <w:r>
        <w:rPr>
          <w:rFonts w:hint="eastAsia" w:ascii="宋体" w:hAnsi="宋体" w:eastAsia="宋体" w:cs="宋体"/>
          <w:color w:val="auto"/>
          <w:szCs w:val="21"/>
        </w:rPr>
        <w:t>响应文件中提供《中小企业声明函》，且</w:t>
      </w:r>
      <w:r>
        <w:rPr>
          <w:rFonts w:hint="eastAsia" w:ascii="宋体" w:hAnsi="宋体" w:eastAsia="宋体" w:cs="宋体"/>
          <w:color w:val="auto"/>
          <w:szCs w:val="21"/>
          <w:lang w:eastAsia="zh-CN"/>
        </w:rPr>
        <w:t>其</w:t>
      </w:r>
      <w:r>
        <w:rPr>
          <w:rFonts w:hint="eastAsia" w:ascii="宋体" w:hAnsi="宋体" w:eastAsia="宋体" w:cs="宋体"/>
          <w:color w:val="auto"/>
          <w:szCs w:val="21"/>
          <w:highlight w:val="none"/>
        </w:rPr>
        <w:t>提供的货物全部由符合政策要求的小</w:t>
      </w:r>
      <w:r>
        <w:rPr>
          <w:rFonts w:hint="eastAsia" w:ascii="宋体" w:hAnsi="宋体" w:eastAsia="宋体" w:cs="宋体"/>
          <w:color w:val="auto"/>
          <w:szCs w:val="21"/>
          <w:highlight w:val="none"/>
          <w:lang w:eastAsia="zh-CN"/>
        </w:rPr>
        <w:t>型、微型</w:t>
      </w:r>
      <w:r>
        <w:rPr>
          <w:rFonts w:hint="eastAsia" w:ascii="宋体" w:hAnsi="宋体" w:eastAsia="宋体" w:cs="宋体"/>
          <w:color w:val="auto"/>
          <w:szCs w:val="21"/>
          <w:highlight w:val="none"/>
        </w:rPr>
        <w:t>企业制造</w:t>
      </w:r>
      <w:r>
        <w:rPr>
          <w:rFonts w:hint="eastAsia" w:ascii="宋体" w:hAnsi="宋体" w:eastAsia="宋体" w:cs="宋体"/>
          <w:color w:val="auto"/>
          <w:szCs w:val="21"/>
          <w:highlight w:val="none"/>
          <w:lang w:eastAsia="zh-CN"/>
        </w:rPr>
        <w:t>，即货物由小型、微型企业生产且使用该</w:t>
      </w:r>
      <w:r>
        <w:rPr>
          <w:rFonts w:hint="eastAsia" w:ascii="宋体" w:hAnsi="宋体" w:eastAsia="宋体" w:cs="宋体"/>
          <w:color w:val="auto"/>
          <w:szCs w:val="21"/>
          <w:highlight w:val="none"/>
        </w:rPr>
        <w:t>小</w:t>
      </w:r>
      <w:r>
        <w:rPr>
          <w:rFonts w:hint="eastAsia" w:ascii="宋体" w:hAnsi="宋体" w:eastAsia="宋体" w:cs="宋体"/>
          <w:color w:val="auto"/>
          <w:szCs w:val="21"/>
          <w:highlight w:val="none"/>
          <w:lang w:eastAsia="zh-CN"/>
        </w:rPr>
        <w:t>型、微型企业商号或者注册商标</w:t>
      </w:r>
      <w:r>
        <w:rPr>
          <w:rFonts w:hint="eastAsia" w:ascii="宋体" w:hAnsi="宋体" w:eastAsia="宋体" w:cs="宋体"/>
          <w:color w:val="auto"/>
          <w:szCs w:val="21"/>
        </w:rPr>
        <w:t>，对其最后报价给予</w:t>
      </w:r>
      <w:r>
        <w:rPr>
          <w:rFonts w:hint="eastAsia" w:ascii="宋体" w:hAnsi="宋体" w:eastAsia="宋体" w:cs="宋体"/>
          <w:color w:val="auto"/>
          <w:szCs w:val="21"/>
          <w:lang w:val="en-US" w:eastAsia="zh-CN"/>
        </w:rPr>
        <w:t>2</w:t>
      </w:r>
      <w:r>
        <w:rPr>
          <w:rFonts w:hint="eastAsia" w:ascii="宋体" w:hAnsi="宋体" w:eastAsia="宋体" w:cs="宋体"/>
          <w:color w:val="auto"/>
          <w:szCs w:val="21"/>
        </w:rPr>
        <w:t>0%的扣除。</w:t>
      </w:r>
    </w:p>
    <w:p w14:paraId="4E79C347">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6.3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59C2C04D">
      <w:pPr>
        <w:spacing w:line="360" w:lineRule="auto"/>
        <w:ind w:firstLine="420" w:firstLineChars="200"/>
        <w:rPr>
          <w:rFonts w:hint="eastAsia" w:ascii="宋体" w:hAnsi="宋体" w:eastAsia="宋体" w:cs="宋体"/>
          <w:color w:val="auto"/>
        </w:rPr>
      </w:pPr>
      <w:r>
        <w:rPr>
          <w:rFonts w:hint="eastAsia" w:ascii="宋体" w:hAnsi="宋体" w:eastAsia="宋体" w:cs="宋体"/>
          <w:color w:val="auto"/>
          <w:szCs w:val="21"/>
        </w:rPr>
        <w:t>6.4按照《关于促进残疾人就业政府采购政策的通知》（财库〔2017〕141号）的规定，残疾人福利性单位视同小型、微型企业，享受预留份额、评审中价格扣除等</w:t>
      </w:r>
      <w:r>
        <w:rPr>
          <w:rFonts w:hint="eastAsia" w:ascii="宋体" w:hAnsi="宋体" w:eastAsia="宋体" w:cs="宋体"/>
          <w:color w:val="auto"/>
        </w:rPr>
        <w:t>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21AB26E2">
      <w:pPr>
        <w:spacing w:line="360" w:lineRule="auto"/>
        <w:ind w:firstLine="420" w:firstLineChars="200"/>
        <w:rPr>
          <w:rFonts w:hint="eastAsia" w:ascii="宋体" w:hAnsi="宋体" w:eastAsia="宋体" w:cs="宋体"/>
          <w:color w:val="auto"/>
        </w:rPr>
      </w:pPr>
      <w:r>
        <w:rPr>
          <w:rFonts w:hint="eastAsia" w:ascii="宋体" w:hAnsi="宋体" w:eastAsia="宋体" w:cs="宋体"/>
          <w:color w:val="auto"/>
        </w:rPr>
        <w:t>6.5政策性扣除计算方法。</w:t>
      </w:r>
    </w:p>
    <w:p w14:paraId="497FE8CB">
      <w:pPr>
        <w:spacing w:line="360" w:lineRule="auto"/>
        <w:ind w:firstLine="420" w:firstLineChars="200"/>
        <w:rPr>
          <w:rFonts w:hint="eastAsia" w:ascii="宋体" w:hAnsi="宋体" w:eastAsia="宋体" w:cs="宋体"/>
          <w:color w:val="auto"/>
        </w:rPr>
      </w:pPr>
      <w:r>
        <w:rPr>
          <w:rFonts w:hint="eastAsia" w:ascii="宋体" w:hAnsi="宋体" w:eastAsia="宋体" w:cs="宋体"/>
          <w:color w:val="auto"/>
        </w:rPr>
        <w:t>供应商被评定为监狱企业或者残疾人福利性单位或者</w:t>
      </w:r>
      <w:r>
        <w:rPr>
          <w:rFonts w:hint="eastAsia" w:ascii="宋体" w:hAnsi="宋体" w:eastAsia="宋体" w:cs="宋体"/>
          <w:color w:val="auto"/>
          <w:lang w:eastAsia="zh-CN"/>
        </w:rPr>
        <w:t>其</w:t>
      </w:r>
      <w:r>
        <w:rPr>
          <w:rFonts w:hint="eastAsia" w:ascii="宋体" w:hAnsi="宋体" w:eastAsia="宋体" w:cs="宋体"/>
          <w:color w:val="auto"/>
          <w:szCs w:val="21"/>
          <w:highlight w:val="none"/>
        </w:rPr>
        <w:t>提供的货物全部由符合政策要求的小</w:t>
      </w:r>
      <w:r>
        <w:rPr>
          <w:rFonts w:hint="eastAsia" w:ascii="宋体" w:hAnsi="宋体" w:eastAsia="宋体" w:cs="宋体"/>
          <w:color w:val="auto"/>
          <w:szCs w:val="21"/>
          <w:highlight w:val="none"/>
          <w:lang w:eastAsia="zh-CN"/>
        </w:rPr>
        <w:t>型、微型</w:t>
      </w:r>
      <w:r>
        <w:rPr>
          <w:rFonts w:hint="eastAsia" w:ascii="宋体" w:hAnsi="宋体" w:eastAsia="宋体" w:cs="宋体"/>
          <w:color w:val="auto"/>
          <w:szCs w:val="21"/>
          <w:highlight w:val="none"/>
        </w:rPr>
        <w:t>企业制造</w:t>
      </w:r>
      <w:r>
        <w:rPr>
          <w:rFonts w:hint="eastAsia" w:ascii="宋体" w:hAnsi="宋体" w:eastAsia="宋体" w:cs="宋体"/>
          <w:color w:val="auto"/>
          <w:szCs w:val="21"/>
          <w:highlight w:val="none"/>
          <w:lang w:eastAsia="zh-CN"/>
        </w:rPr>
        <w:t>，即货物由小型、微型企业生产且使用该</w:t>
      </w:r>
      <w:r>
        <w:rPr>
          <w:rFonts w:hint="eastAsia" w:ascii="宋体" w:hAnsi="宋体" w:eastAsia="宋体" w:cs="宋体"/>
          <w:color w:val="auto"/>
          <w:szCs w:val="21"/>
          <w:highlight w:val="none"/>
        </w:rPr>
        <w:t>小</w:t>
      </w:r>
      <w:r>
        <w:rPr>
          <w:rFonts w:hint="eastAsia" w:ascii="宋体" w:hAnsi="宋体" w:eastAsia="宋体" w:cs="宋体"/>
          <w:color w:val="auto"/>
          <w:szCs w:val="21"/>
          <w:highlight w:val="none"/>
          <w:lang w:eastAsia="zh-CN"/>
        </w:rPr>
        <w:t>型、微型企业商号或者注册商标的</w:t>
      </w:r>
      <w:r>
        <w:rPr>
          <w:rFonts w:hint="eastAsia" w:ascii="宋体" w:hAnsi="宋体" w:eastAsia="宋体" w:cs="宋体"/>
          <w:color w:val="auto"/>
        </w:rPr>
        <w:t>，该供应商的最后报价给予</w:t>
      </w:r>
      <w:r>
        <w:rPr>
          <w:rFonts w:hint="eastAsia" w:ascii="宋体" w:hAnsi="宋体" w:eastAsia="宋体" w:cs="宋体"/>
          <w:color w:val="auto"/>
          <w:lang w:val="en-US" w:eastAsia="zh-CN"/>
        </w:rPr>
        <w:t>2</w:t>
      </w:r>
      <w:r>
        <w:rPr>
          <w:rFonts w:hint="eastAsia" w:ascii="宋体" w:hAnsi="宋体" w:eastAsia="宋体" w:cs="宋体"/>
          <w:color w:val="auto"/>
        </w:rPr>
        <w:t>0%的扣除，扣除后的价格为评审价，即评审价=最后报价×（1-</w:t>
      </w:r>
      <w:r>
        <w:rPr>
          <w:rFonts w:hint="eastAsia" w:ascii="宋体" w:hAnsi="宋体" w:eastAsia="宋体" w:cs="宋体"/>
          <w:color w:val="auto"/>
          <w:lang w:val="en-US" w:eastAsia="zh-CN"/>
        </w:rPr>
        <w:t>2</w:t>
      </w:r>
      <w:r>
        <w:rPr>
          <w:rFonts w:hint="eastAsia" w:ascii="宋体" w:hAnsi="宋体" w:eastAsia="宋体" w:cs="宋体"/>
          <w:color w:val="auto"/>
        </w:rPr>
        <w:t>0%）；</w:t>
      </w:r>
      <w:r>
        <w:rPr>
          <w:rFonts w:hint="eastAsia" w:ascii="宋体" w:hAnsi="宋体" w:eastAsia="宋体" w:cs="宋体"/>
          <w:color w:val="auto"/>
          <w:sz w:val="21"/>
          <w:szCs w:val="21"/>
        </w:rPr>
        <w:t>接受大中型企业与小微企业组成联合体或者允许大中型企业向一家或者多家小微企业分包的采购项目</w:t>
      </w:r>
      <w:r>
        <w:rPr>
          <w:rFonts w:hint="eastAsia" w:ascii="宋体" w:hAnsi="宋体" w:eastAsia="宋体" w:cs="宋体"/>
          <w:color w:val="auto"/>
          <w:szCs w:val="21"/>
          <w:highlight w:val="none"/>
        </w:rPr>
        <w:t>，</w:t>
      </w:r>
      <w:r>
        <w:rPr>
          <w:rFonts w:hint="eastAsia" w:ascii="宋体" w:hAnsi="宋体" w:eastAsia="宋体" w:cs="宋体"/>
          <w:color w:val="auto"/>
          <w:sz w:val="21"/>
          <w:szCs w:val="21"/>
        </w:rPr>
        <w:t>对于联合协议或者分包意向协议约定小微企业的合同份额占到合同总金额 30%以上的，对联合体或者大中型企业的报价给予</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%的扣除，用扣除后的价格参加评审</w:t>
      </w:r>
      <w:r>
        <w:rPr>
          <w:rFonts w:hint="eastAsia" w:ascii="宋体" w:hAnsi="宋体" w:eastAsia="宋体" w:cs="宋体"/>
          <w:color w:val="auto"/>
          <w:szCs w:val="21"/>
          <w:highlight w:val="none"/>
        </w:rPr>
        <w:t>，</w:t>
      </w:r>
      <w:r>
        <w:rPr>
          <w:rFonts w:hint="eastAsia" w:ascii="宋体" w:hAnsi="宋体" w:eastAsia="宋体" w:cs="宋体"/>
          <w:color w:val="auto"/>
        </w:rPr>
        <w:t>扣除后的价格为评审价，即评审价=最后报价×（1-</w:t>
      </w:r>
      <w:r>
        <w:rPr>
          <w:rFonts w:hint="eastAsia" w:ascii="宋体" w:hAnsi="宋体" w:eastAsia="宋体" w:cs="宋体"/>
          <w:color w:val="auto"/>
          <w:szCs w:val="21"/>
          <w:u w:val="none"/>
          <w:lang w:val="en-US" w:eastAsia="zh-CN"/>
        </w:rPr>
        <w:t>6</w:t>
      </w:r>
      <w:r>
        <w:rPr>
          <w:rFonts w:hint="eastAsia" w:ascii="宋体" w:hAnsi="宋体" w:eastAsia="宋体" w:cs="宋体"/>
          <w:color w:val="auto"/>
          <w:szCs w:val="21"/>
        </w:rPr>
        <w:t>%</w:t>
      </w:r>
      <w:r>
        <w:rPr>
          <w:rFonts w:hint="eastAsia" w:ascii="宋体" w:hAnsi="宋体" w:eastAsia="宋体" w:cs="宋体"/>
          <w:color w:val="auto"/>
        </w:rPr>
        <w:t>）。</w:t>
      </w:r>
    </w:p>
    <w:p w14:paraId="5CBAAB2A">
      <w:pPr>
        <w:numPr>
          <w:ilvl w:val="0"/>
          <w:numId w:val="0"/>
        </w:num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rPr>
        <w:t>6.</w:t>
      </w:r>
      <w:r>
        <w:rPr>
          <w:rFonts w:hint="eastAsia" w:ascii="宋体" w:hAnsi="宋体" w:eastAsia="宋体" w:cs="宋体"/>
          <w:color w:val="auto"/>
          <w:lang w:val="en-US" w:eastAsia="zh-CN"/>
        </w:rPr>
        <w:t>6</w:t>
      </w:r>
      <w:r>
        <w:rPr>
          <w:rFonts w:hint="eastAsia" w:ascii="宋体" w:hAnsi="宋体" w:eastAsia="宋体" w:cs="宋体"/>
          <w:color w:val="auto"/>
        </w:rPr>
        <w:t>除上述情况外，评审价＝最后报价。</w:t>
      </w:r>
    </w:p>
    <w:p w14:paraId="62B16BF7">
      <w:pPr>
        <w:pStyle w:val="13"/>
        <w:rPr>
          <w:rFonts w:ascii="宋体" w:hAnsi="宋体" w:cs="宋体"/>
          <w:color w:val="auto"/>
          <w:highlight w:val="none"/>
        </w:rPr>
      </w:pPr>
    </w:p>
    <w:p w14:paraId="4874EFA3">
      <w:pPr>
        <w:keepNext/>
        <w:keepLines/>
        <w:spacing w:line="360" w:lineRule="auto"/>
        <w:ind w:firstLine="640" w:firstLineChars="200"/>
        <w:jc w:val="center"/>
        <w:outlineLvl w:val="1"/>
        <w:rPr>
          <w:rFonts w:ascii="宋体" w:hAnsi="宋体" w:eastAsia="宋体" w:cs="Times New Roman"/>
          <w:bCs/>
          <w:color w:val="auto"/>
          <w:sz w:val="32"/>
          <w:szCs w:val="32"/>
          <w:highlight w:val="none"/>
          <w:lang w:val="zh-CN"/>
        </w:rPr>
      </w:pPr>
      <w:bookmarkStart w:id="122" w:name="_Toc17730"/>
      <w:bookmarkStart w:id="123" w:name="_Toc80205934"/>
      <w:bookmarkStart w:id="124" w:name="_Toc5389"/>
      <w:r>
        <w:rPr>
          <w:rFonts w:hint="eastAsia" w:ascii="宋体" w:hAnsi="宋体" w:eastAsia="宋体" w:cs="Times New Roman"/>
          <w:bCs/>
          <w:color w:val="auto"/>
          <w:sz w:val="32"/>
          <w:szCs w:val="32"/>
          <w:highlight w:val="none"/>
          <w:lang w:val="zh-CN"/>
        </w:rPr>
        <w:t>第二节 评审原则</w:t>
      </w:r>
      <w:bookmarkEnd w:id="122"/>
      <w:bookmarkEnd w:id="123"/>
      <w:bookmarkEnd w:id="124"/>
    </w:p>
    <w:p w14:paraId="507650D7">
      <w:pPr>
        <w:spacing w:line="360" w:lineRule="auto"/>
        <w:ind w:firstLine="482" w:firstLineChars="200"/>
        <w:jc w:val="left"/>
        <w:rPr>
          <w:rFonts w:ascii="黑体" w:hAnsi="黑体" w:eastAsia="黑体" w:cs="宋体"/>
          <w:b/>
          <w:bCs/>
          <w:color w:val="auto"/>
          <w:sz w:val="24"/>
          <w:szCs w:val="32"/>
          <w:highlight w:val="none"/>
        </w:rPr>
      </w:pPr>
      <w:r>
        <w:rPr>
          <w:rFonts w:hint="eastAsia" w:ascii="黑体" w:hAnsi="黑体" w:eastAsia="黑体" w:cs="宋体"/>
          <w:b/>
          <w:bCs/>
          <w:color w:val="auto"/>
          <w:sz w:val="24"/>
          <w:szCs w:val="32"/>
          <w:highlight w:val="none"/>
        </w:rPr>
        <w:t>1.评审原则</w:t>
      </w:r>
    </w:p>
    <w:p w14:paraId="302C0F56">
      <w:pPr>
        <w:spacing w:line="360" w:lineRule="auto"/>
        <w:ind w:firstLine="420" w:firstLineChars="200"/>
        <w:jc w:val="left"/>
        <w:rPr>
          <w:rFonts w:ascii="宋体" w:hAnsi="宋体" w:eastAsia="宋体" w:cs="宋体"/>
          <w:color w:val="auto"/>
          <w:szCs w:val="24"/>
          <w:highlight w:val="none"/>
        </w:rPr>
      </w:pPr>
      <w:r>
        <w:rPr>
          <w:rFonts w:hint="eastAsia" w:ascii="宋体" w:hAnsi="宋体" w:eastAsia="宋体" w:cs="宋体"/>
          <w:color w:val="auto"/>
          <w:szCs w:val="24"/>
          <w:highlight w:val="none"/>
        </w:rPr>
        <w:t>1.1谈判小组成员要依法独立评审，并对评审意见承担个人责任。谈判小组成员对需要共同认定的事项存在争议的，按照少数服从多数的原则做出结论。持不同意见的谈判小组成员应当在评审报告上签署不同意见并说明理由，否则视为同意。</w:t>
      </w:r>
    </w:p>
    <w:p w14:paraId="73E3CB33">
      <w:pPr>
        <w:spacing w:line="360" w:lineRule="auto"/>
        <w:ind w:firstLine="420" w:firstLineChars="200"/>
        <w:jc w:val="left"/>
        <w:rPr>
          <w:rFonts w:ascii="宋体" w:hAnsi="宋体" w:eastAsia="宋体" w:cs="宋体"/>
          <w:color w:val="auto"/>
          <w:szCs w:val="24"/>
          <w:highlight w:val="none"/>
        </w:rPr>
      </w:pPr>
      <w:r>
        <w:rPr>
          <w:rFonts w:hint="eastAsia" w:ascii="宋体" w:hAnsi="宋体" w:eastAsia="宋体" w:cs="宋体"/>
          <w:color w:val="auto"/>
          <w:szCs w:val="24"/>
          <w:highlight w:val="none"/>
        </w:rPr>
        <w:t>1.2根据《政府采购非招标采购方式管理办法》（财政部令第74号）第二十一条规定，</w:t>
      </w:r>
      <w:r>
        <w:rPr>
          <w:rFonts w:hint="eastAsia" w:ascii="宋体" w:hAnsi="宋体" w:eastAsia="宋体" w:cs="宋体"/>
          <w:color w:val="auto"/>
          <w:kern w:val="0"/>
          <w:szCs w:val="21"/>
          <w:highlight w:val="none"/>
        </w:rPr>
        <w:t>除资格性审查认定错误和价格计算错误外，采购人或者采购代理机构不得以任何理由组织重新评审。采购人、采购代理机构发现谈判小组未按照竞争性谈判文件规定的评定成交的标准进行评审的，应当重新开展采购活动，并同时书面报告本级财政部门</w:t>
      </w:r>
      <w:r>
        <w:rPr>
          <w:rFonts w:hint="eastAsia" w:ascii="宋体" w:hAnsi="宋体" w:eastAsia="宋体" w:cs="宋体"/>
          <w:color w:val="auto"/>
          <w:szCs w:val="24"/>
          <w:highlight w:val="none"/>
        </w:rPr>
        <w:t>。</w:t>
      </w:r>
      <w:bookmarkStart w:id="125" w:name="_Toc321836413"/>
      <w:bookmarkStart w:id="126" w:name="_Toc432194885"/>
      <w:bookmarkStart w:id="127" w:name="_Toc432106535"/>
    </w:p>
    <w:bookmarkEnd w:id="125"/>
    <w:bookmarkEnd w:id="126"/>
    <w:bookmarkEnd w:id="127"/>
    <w:p w14:paraId="415307BA">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1.3谈判小组发现竞争性谈判文件存在歧义、重大缺陷导致评审工作无法进行，或者竞争性谈判文件内容违反国家有关规定的，要停止评审工作并向采购人或采购代理机构书面说明情况，采购人或采购代理机构应当修改竞争性谈判文件后重新组织采购活动；发现供应商提供虚假材料、串通等违法违规行为的，要及时向采购人或采购代理机构报告。</w:t>
      </w:r>
    </w:p>
    <w:p w14:paraId="2A110F4D">
      <w:pPr>
        <w:spacing w:line="360" w:lineRule="auto"/>
        <w:ind w:firstLine="482" w:firstLineChars="200"/>
        <w:rPr>
          <w:rFonts w:ascii="黑体" w:hAnsi="黑体" w:eastAsia="黑体" w:cs="宋体"/>
          <w:b/>
          <w:bCs/>
          <w:color w:val="auto"/>
          <w:sz w:val="24"/>
          <w:szCs w:val="32"/>
          <w:highlight w:val="none"/>
        </w:rPr>
      </w:pPr>
      <w:r>
        <w:rPr>
          <w:rFonts w:hint="eastAsia" w:ascii="黑体" w:hAnsi="黑体" w:eastAsia="黑体" w:cs="宋体"/>
          <w:b/>
          <w:bCs/>
          <w:color w:val="auto"/>
          <w:sz w:val="24"/>
          <w:szCs w:val="32"/>
          <w:highlight w:val="none"/>
        </w:rPr>
        <w:t>2.终止竞争性谈判采购活动</w:t>
      </w:r>
    </w:p>
    <w:p w14:paraId="51A4DD3C">
      <w:pPr>
        <w:spacing w:line="360" w:lineRule="auto"/>
        <w:ind w:firstLine="420" w:firstLineChars="200"/>
        <w:jc w:val="left"/>
        <w:rPr>
          <w:rFonts w:ascii="宋体" w:hAnsi="宋体" w:eastAsia="宋体" w:cs="宋体"/>
          <w:color w:val="auto"/>
          <w:szCs w:val="24"/>
          <w:highlight w:val="none"/>
        </w:rPr>
      </w:pPr>
      <w:r>
        <w:rPr>
          <w:rFonts w:hint="eastAsia" w:ascii="宋体" w:hAnsi="宋体" w:eastAsia="宋体" w:cs="宋体"/>
          <w:color w:val="auto"/>
          <w:szCs w:val="24"/>
          <w:highlight w:val="none"/>
        </w:rPr>
        <w:t>出现下列情形之一的，采购人或者采购代理机构应当终止竞争性谈判采购活动，发布项目终止公告并说明原因，重新开展采购活动：</w:t>
      </w:r>
    </w:p>
    <w:p w14:paraId="363AE9D1">
      <w:pPr>
        <w:spacing w:line="360" w:lineRule="auto"/>
        <w:ind w:firstLine="420" w:firstLineChars="200"/>
        <w:jc w:val="left"/>
        <w:rPr>
          <w:rFonts w:ascii="宋体" w:hAnsi="宋体" w:eastAsia="宋体" w:cs="宋体"/>
          <w:color w:val="auto"/>
          <w:szCs w:val="24"/>
          <w:highlight w:val="none"/>
        </w:rPr>
      </w:pPr>
      <w:r>
        <w:rPr>
          <w:rFonts w:hint="eastAsia" w:ascii="宋体" w:hAnsi="宋体" w:eastAsia="宋体" w:cs="宋体"/>
          <w:color w:val="auto"/>
          <w:szCs w:val="24"/>
          <w:highlight w:val="none"/>
        </w:rPr>
        <w:t xml:space="preserve">（1）因情况变化，不再符合规定的竞争性谈判采购方式适用情形的； </w:t>
      </w:r>
    </w:p>
    <w:p w14:paraId="5B05BDC0">
      <w:pPr>
        <w:spacing w:line="360" w:lineRule="auto"/>
        <w:ind w:firstLine="420" w:firstLineChars="200"/>
        <w:jc w:val="left"/>
        <w:rPr>
          <w:rFonts w:ascii="宋体" w:hAnsi="宋体" w:eastAsia="宋体" w:cs="宋体"/>
          <w:color w:val="auto"/>
          <w:szCs w:val="24"/>
          <w:highlight w:val="none"/>
        </w:rPr>
      </w:pPr>
      <w:r>
        <w:rPr>
          <w:rFonts w:hint="eastAsia" w:ascii="宋体" w:hAnsi="宋体" w:eastAsia="宋体" w:cs="宋体"/>
          <w:color w:val="auto"/>
          <w:szCs w:val="24"/>
          <w:highlight w:val="none"/>
        </w:rPr>
        <w:t>（2）出现影响采购公正的违法、违规行为的；</w:t>
      </w:r>
    </w:p>
    <w:p w14:paraId="5C96A4FE">
      <w:pPr>
        <w:spacing w:line="360" w:lineRule="auto"/>
        <w:ind w:firstLine="420" w:firstLineChars="200"/>
        <w:jc w:val="left"/>
        <w:rPr>
          <w:rFonts w:ascii="宋体" w:hAnsi="宋体" w:eastAsia="宋体" w:cs="宋体"/>
          <w:color w:val="auto"/>
          <w:szCs w:val="24"/>
          <w:highlight w:val="none"/>
        </w:rPr>
      </w:pPr>
      <w:r>
        <w:rPr>
          <w:rFonts w:hint="eastAsia" w:ascii="宋体" w:hAnsi="宋体" w:eastAsia="宋体" w:cs="宋体"/>
          <w:color w:val="auto"/>
          <w:szCs w:val="24"/>
          <w:highlight w:val="none"/>
        </w:rPr>
        <w:t>（3）在采购过程中符合竞争要求的供应商或者报价未超过采购预算的供应商不足3家的，但《政府采购非招标采购方式管理办法》第二十七条第二款规定的情形除外。</w:t>
      </w:r>
    </w:p>
    <w:p w14:paraId="6FB04862">
      <w:pPr>
        <w:keepNext/>
        <w:keepLines/>
        <w:spacing w:line="360" w:lineRule="auto"/>
        <w:ind w:firstLine="640" w:firstLineChars="200"/>
        <w:jc w:val="center"/>
        <w:outlineLvl w:val="1"/>
        <w:rPr>
          <w:rFonts w:hint="eastAsia" w:ascii="宋体" w:hAnsi="宋体" w:eastAsia="宋体" w:cs="Times New Roman"/>
          <w:bCs/>
          <w:color w:val="auto"/>
          <w:sz w:val="32"/>
          <w:szCs w:val="32"/>
          <w:highlight w:val="none"/>
          <w:lang w:val="zh-CN"/>
        </w:rPr>
      </w:pPr>
      <w:bookmarkStart w:id="128" w:name="_Toc16039"/>
      <w:bookmarkStart w:id="129" w:name="_Toc80205935"/>
      <w:bookmarkStart w:id="130" w:name="_Toc9627"/>
    </w:p>
    <w:p w14:paraId="568982C8">
      <w:pPr>
        <w:keepNext/>
        <w:keepLines/>
        <w:spacing w:line="360" w:lineRule="auto"/>
        <w:ind w:firstLine="640" w:firstLineChars="200"/>
        <w:jc w:val="center"/>
        <w:outlineLvl w:val="1"/>
        <w:rPr>
          <w:rFonts w:ascii="宋体" w:hAnsi="宋体" w:eastAsia="宋体" w:cs="Times New Roman"/>
          <w:bCs/>
          <w:color w:val="auto"/>
          <w:sz w:val="32"/>
          <w:szCs w:val="32"/>
          <w:highlight w:val="none"/>
          <w:lang w:val="zh-CN"/>
        </w:rPr>
      </w:pPr>
      <w:r>
        <w:rPr>
          <w:rFonts w:hint="eastAsia" w:ascii="宋体" w:hAnsi="宋体" w:eastAsia="宋体" w:cs="Times New Roman"/>
          <w:bCs/>
          <w:color w:val="auto"/>
          <w:sz w:val="32"/>
          <w:szCs w:val="32"/>
          <w:highlight w:val="none"/>
          <w:lang w:val="zh-CN"/>
        </w:rPr>
        <w:t>第三节 评审报告</w:t>
      </w:r>
      <w:bookmarkEnd w:id="128"/>
      <w:bookmarkEnd w:id="129"/>
      <w:bookmarkEnd w:id="130"/>
    </w:p>
    <w:p w14:paraId="5CF886DB">
      <w:pPr>
        <w:spacing w:line="360" w:lineRule="auto"/>
        <w:ind w:firstLine="482" w:firstLineChars="200"/>
        <w:rPr>
          <w:rFonts w:ascii="黑体" w:hAnsi="黑体" w:eastAsia="黑体" w:cs="宋体"/>
          <w:b/>
          <w:bCs/>
          <w:color w:val="auto"/>
          <w:sz w:val="24"/>
          <w:szCs w:val="32"/>
          <w:highlight w:val="none"/>
        </w:rPr>
      </w:pPr>
      <w:r>
        <w:rPr>
          <w:rFonts w:hint="eastAsia" w:ascii="黑体" w:hAnsi="黑体" w:eastAsia="黑体" w:cs="宋体"/>
          <w:b/>
          <w:bCs/>
          <w:color w:val="auto"/>
          <w:sz w:val="24"/>
          <w:szCs w:val="32"/>
          <w:highlight w:val="none"/>
        </w:rPr>
        <w:t>1.成交标准</w:t>
      </w:r>
    </w:p>
    <w:p w14:paraId="40250A94">
      <w:pPr>
        <w:spacing w:line="360" w:lineRule="auto"/>
        <w:ind w:firstLine="420" w:firstLineChars="200"/>
        <w:rPr>
          <w:rFonts w:ascii="宋体" w:hAnsi="宋体" w:eastAsia="宋体" w:cs="宋体"/>
          <w:color w:val="auto"/>
          <w:sz w:val="24"/>
          <w:szCs w:val="24"/>
          <w:highlight w:val="none"/>
        </w:rPr>
      </w:pPr>
      <w:r>
        <w:rPr>
          <w:rFonts w:hint="eastAsia" w:ascii="宋体" w:hAnsi="宋体" w:eastAsia="宋体" w:cs="宋体"/>
          <w:color w:val="auto"/>
          <w:szCs w:val="24"/>
          <w:highlight w:val="none"/>
        </w:rPr>
        <w:t>谈判小组应当从质量和货物均能满足谈判文件实质性响应要求的供应商中，按照评审价由低到高的顺序提出3名以上成交候选人（评审价相同时，按照最后报价由低到高顺序依次推荐；最后报价相同时，由谈判小组按“供应商须知前附表”第25条规定的顺序推荐）,并在线编写电子评审报告。</w:t>
      </w:r>
    </w:p>
    <w:p w14:paraId="7C8DA757">
      <w:pPr>
        <w:spacing w:line="360" w:lineRule="auto"/>
        <w:ind w:firstLine="482" w:firstLineChars="200"/>
        <w:rPr>
          <w:rFonts w:ascii="黑体" w:hAnsi="黑体" w:eastAsia="黑体" w:cs="宋体"/>
          <w:b/>
          <w:bCs/>
          <w:color w:val="auto"/>
          <w:sz w:val="24"/>
          <w:szCs w:val="32"/>
          <w:highlight w:val="none"/>
        </w:rPr>
      </w:pPr>
      <w:r>
        <w:rPr>
          <w:rFonts w:hint="eastAsia" w:ascii="黑体" w:hAnsi="黑体" w:eastAsia="黑体" w:cs="宋体"/>
          <w:b/>
          <w:bCs/>
          <w:color w:val="auto"/>
          <w:sz w:val="24"/>
          <w:szCs w:val="32"/>
          <w:highlight w:val="none"/>
        </w:rPr>
        <w:t>2.评标争议</w:t>
      </w:r>
      <w:r>
        <w:rPr>
          <w:rFonts w:ascii="黑体" w:hAnsi="黑体" w:eastAsia="黑体" w:cs="宋体"/>
          <w:b/>
          <w:bCs/>
          <w:color w:val="auto"/>
          <w:sz w:val="24"/>
          <w:szCs w:val="32"/>
          <w:highlight w:val="none"/>
        </w:rPr>
        <w:t>事项</w:t>
      </w:r>
      <w:r>
        <w:rPr>
          <w:rFonts w:hint="eastAsia" w:ascii="黑体" w:hAnsi="黑体" w:eastAsia="黑体" w:cs="宋体"/>
          <w:b/>
          <w:bCs/>
          <w:color w:val="auto"/>
          <w:sz w:val="24"/>
          <w:szCs w:val="32"/>
          <w:highlight w:val="none"/>
        </w:rPr>
        <w:t>处理</w:t>
      </w:r>
    </w:p>
    <w:p w14:paraId="273BE179">
      <w:pPr>
        <w:adjustRightInd w:val="0"/>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谈判小组</w:t>
      </w:r>
      <w:r>
        <w:rPr>
          <w:rFonts w:ascii="宋体" w:hAnsi="宋体" w:eastAsia="宋体" w:cs="宋体"/>
          <w:color w:val="auto"/>
          <w:szCs w:val="24"/>
          <w:highlight w:val="none"/>
        </w:rPr>
        <w:t>成员对需要共同认定的事项存在争议的，应当按照少数服从多数的原则作出结论。持不同意见的</w:t>
      </w:r>
      <w:r>
        <w:rPr>
          <w:rFonts w:hint="eastAsia" w:ascii="宋体" w:hAnsi="宋体" w:eastAsia="宋体" w:cs="宋体"/>
          <w:color w:val="auto"/>
          <w:szCs w:val="24"/>
          <w:highlight w:val="none"/>
        </w:rPr>
        <w:t>谈判小组</w:t>
      </w:r>
      <w:r>
        <w:rPr>
          <w:rFonts w:ascii="宋体" w:hAnsi="宋体" w:eastAsia="宋体" w:cs="宋体"/>
          <w:color w:val="auto"/>
          <w:szCs w:val="24"/>
          <w:highlight w:val="none"/>
        </w:rPr>
        <w:t>成员应当在评</w:t>
      </w:r>
      <w:r>
        <w:rPr>
          <w:rFonts w:hint="eastAsia" w:ascii="宋体" w:hAnsi="宋体" w:eastAsia="宋体" w:cs="宋体"/>
          <w:color w:val="auto"/>
          <w:szCs w:val="24"/>
          <w:highlight w:val="none"/>
        </w:rPr>
        <w:t>审</w:t>
      </w:r>
      <w:r>
        <w:rPr>
          <w:rFonts w:ascii="宋体" w:hAnsi="宋体" w:eastAsia="宋体" w:cs="宋体"/>
          <w:color w:val="auto"/>
          <w:szCs w:val="24"/>
          <w:highlight w:val="none"/>
        </w:rPr>
        <w:t>报告上签署不同意见及理由，否则视为同意评</w:t>
      </w:r>
      <w:r>
        <w:rPr>
          <w:rFonts w:hint="eastAsia" w:ascii="宋体" w:hAnsi="宋体" w:eastAsia="宋体" w:cs="宋体"/>
          <w:color w:val="auto"/>
          <w:szCs w:val="24"/>
          <w:highlight w:val="none"/>
        </w:rPr>
        <w:t>审</w:t>
      </w:r>
      <w:r>
        <w:rPr>
          <w:rFonts w:ascii="宋体" w:hAnsi="宋体" w:eastAsia="宋体" w:cs="宋体"/>
          <w:color w:val="auto"/>
          <w:szCs w:val="24"/>
          <w:highlight w:val="none"/>
        </w:rPr>
        <w:t>报告。</w:t>
      </w:r>
    </w:p>
    <w:p w14:paraId="6EE627F1">
      <w:pPr>
        <w:keepNext/>
        <w:keepLines/>
        <w:spacing w:line="360" w:lineRule="auto"/>
        <w:ind w:firstLine="640" w:firstLineChars="200"/>
        <w:jc w:val="center"/>
        <w:outlineLvl w:val="1"/>
        <w:rPr>
          <w:rFonts w:hint="eastAsia" w:ascii="宋体" w:hAnsi="宋体" w:eastAsia="宋体" w:cs="Times New Roman"/>
          <w:bCs/>
          <w:color w:val="auto"/>
          <w:sz w:val="32"/>
          <w:szCs w:val="32"/>
          <w:highlight w:val="none"/>
          <w:lang w:val="zh-CN"/>
        </w:rPr>
      </w:pPr>
      <w:bookmarkStart w:id="131" w:name="_Toc17221"/>
      <w:bookmarkStart w:id="132" w:name="_Toc80205936"/>
      <w:bookmarkStart w:id="133" w:name="_Toc27241"/>
    </w:p>
    <w:p w14:paraId="13FAD8D9">
      <w:pPr>
        <w:keepNext/>
        <w:keepLines/>
        <w:spacing w:line="360" w:lineRule="auto"/>
        <w:ind w:firstLine="640" w:firstLineChars="200"/>
        <w:jc w:val="center"/>
        <w:outlineLvl w:val="1"/>
        <w:rPr>
          <w:rFonts w:ascii="宋体" w:hAnsi="宋体" w:eastAsia="宋体" w:cs="Times New Roman"/>
          <w:bCs/>
          <w:color w:val="auto"/>
          <w:sz w:val="32"/>
          <w:szCs w:val="32"/>
          <w:highlight w:val="none"/>
          <w:lang w:val="zh-CN"/>
        </w:rPr>
      </w:pPr>
      <w:r>
        <w:rPr>
          <w:rFonts w:hint="eastAsia" w:ascii="宋体" w:hAnsi="宋体" w:eastAsia="宋体" w:cs="Times New Roman"/>
          <w:bCs/>
          <w:color w:val="auto"/>
          <w:sz w:val="32"/>
          <w:szCs w:val="32"/>
          <w:highlight w:val="none"/>
          <w:lang w:val="zh-CN"/>
        </w:rPr>
        <w:t>第四节 评审过程的保密与录像</w:t>
      </w:r>
      <w:bookmarkEnd w:id="131"/>
      <w:bookmarkEnd w:id="132"/>
      <w:bookmarkEnd w:id="133"/>
    </w:p>
    <w:p w14:paraId="678E8ED9">
      <w:pPr>
        <w:spacing w:line="360" w:lineRule="auto"/>
        <w:ind w:firstLine="482" w:firstLineChars="200"/>
        <w:rPr>
          <w:rFonts w:ascii="黑体" w:hAnsi="黑体" w:eastAsia="黑体" w:cs="宋体"/>
          <w:b/>
          <w:bCs/>
          <w:color w:val="auto"/>
          <w:sz w:val="24"/>
          <w:szCs w:val="32"/>
          <w:highlight w:val="none"/>
        </w:rPr>
      </w:pPr>
      <w:r>
        <w:rPr>
          <w:rFonts w:hint="eastAsia" w:ascii="黑体" w:hAnsi="黑体" w:eastAsia="黑体" w:cs="宋体"/>
          <w:b/>
          <w:bCs/>
          <w:color w:val="auto"/>
          <w:sz w:val="24"/>
          <w:szCs w:val="32"/>
          <w:highlight w:val="none"/>
        </w:rPr>
        <w:t>1.保密。</w:t>
      </w:r>
    </w:p>
    <w:p w14:paraId="69D8654C">
      <w:pPr>
        <w:widowControl/>
        <w:spacing w:line="360" w:lineRule="auto"/>
        <w:ind w:firstLine="420" w:firstLineChars="200"/>
        <w:rPr>
          <w:rFonts w:ascii="宋体" w:hAnsi="宋体" w:eastAsia="宋体" w:cs="宋体"/>
          <w:color w:val="auto"/>
          <w:szCs w:val="24"/>
          <w:highlight w:val="none"/>
        </w:rPr>
      </w:pPr>
      <w:r>
        <w:rPr>
          <w:rFonts w:ascii="宋体" w:hAnsi="宋体" w:eastAsia="宋体" w:cs="宋体"/>
          <w:color w:val="auto"/>
          <w:szCs w:val="24"/>
          <w:highlight w:val="none"/>
        </w:rPr>
        <w:t>评审活动在严格保密的情况下进行。评审过程中凡是与采购响应文件评审和比较、中标成交供应商推荐等评审有关的情况，以及涉及国家秘密和商业秘密等信息，</w:t>
      </w:r>
      <w:r>
        <w:rPr>
          <w:rFonts w:hint="eastAsia" w:ascii="宋体" w:hAnsi="宋体" w:eastAsia="宋体" w:cs="宋体"/>
          <w:color w:val="auto"/>
          <w:szCs w:val="24"/>
          <w:highlight w:val="none"/>
        </w:rPr>
        <w:t>谈判小组</w:t>
      </w:r>
      <w:r>
        <w:rPr>
          <w:rFonts w:ascii="宋体" w:hAnsi="宋体" w:eastAsia="宋体" w:cs="宋体"/>
          <w:color w:val="auto"/>
          <w:szCs w:val="24"/>
          <w:highlight w:val="none"/>
        </w:rPr>
        <w:t>成员、采购人和采购机构工作人员、相关监督人员等与评审有关的人员应当予以保密。</w:t>
      </w:r>
    </w:p>
    <w:p w14:paraId="2E2B2AAE">
      <w:pPr>
        <w:widowControl/>
        <w:spacing w:line="360" w:lineRule="auto"/>
        <w:ind w:firstLine="482" w:firstLineChars="200"/>
        <w:rPr>
          <w:rFonts w:ascii="黑体" w:hAnsi="黑体" w:eastAsia="黑体" w:cs="宋体"/>
          <w:b/>
          <w:bCs/>
          <w:color w:val="auto"/>
          <w:sz w:val="24"/>
          <w:szCs w:val="32"/>
          <w:highlight w:val="none"/>
        </w:rPr>
      </w:pPr>
      <w:r>
        <w:rPr>
          <w:rFonts w:hint="eastAsia" w:ascii="黑体" w:hAnsi="黑体" w:eastAsia="黑体" w:cs="宋体"/>
          <w:b/>
          <w:bCs/>
          <w:color w:val="auto"/>
          <w:sz w:val="24"/>
          <w:szCs w:val="32"/>
          <w:highlight w:val="none"/>
        </w:rPr>
        <w:t>2.录音录像。</w:t>
      </w:r>
    </w:p>
    <w:p w14:paraId="15514A44">
      <w:pPr>
        <w:spacing w:line="360" w:lineRule="auto"/>
        <w:ind w:firstLine="420" w:firstLineChars="200"/>
        <w:rPr>
          <w:rFonts w:ascii="Times New Roman" w:hAnsi="Times New Roman" w:eastAsia="宋体" w:cs="Times New Roman"/>
          <w:color w:val="auto"/>
          <w:szCs w:val="24"/>
          <w:highlight w:val="none"/>
        </w:rPr>
      </w:pPr>
      <w:r>
        <w:rPr>
          <w:rFonts w:hint="eastAsia" w:ascii="宋体" w:hAnsi="宋体" w:eastAsia="宋体" w:cs="宋体"/>
          <w:color w:val="auto"/>
          <w:szCs w:val="24"/>
          <w:highlight w:val="none"/>
        </w:rPr>
        <w:t>采购代理机构对评审工作现场及操作屏幕进行全过程录音录像，录音录像资料作为采购项目文件随其他文件一并存档。</w:t>
      </w:r>
      <w:r>
        <w:rPr>
          <w:rFonts w:ascii="Times New Roman" w:hAnsi="Times New Roman" w:eastAsia="宋体" w:cs="Times New Roman"/>
          <w:color w:val="auto"/>
          <w:szCs w:val="24"/>
          <w:highlight w:val="none"/>
        </w:rPr>
        <w:br w:type="page"/>
      </w:r>
    </w:p>
    <w:p w14:paraId="57B9DB58">
      <w:pPr>
        <w:keepNext/>
        <w:keepLines/>
        <w:spacing w:before="260" w:after="260" w:line="416" w:lineRule="auto"/>
        <w:jc w:val="center"/>
        <w:outlineLvl w:val="1"/>
        <w:rPr>
          <w:rFonts w:ascii="Cambria" w:hAnsi="Cambria" w:eastAsia="宋体" w:cs="Times New Roman"/>
          <w:b/>
          <w:bCs/>
          <w:color w:val="auto"/>
          <w:sz w:val="32"/>
          <w:szCs w:val="32"/>
          <w:highlight w:val="none"/>
          <w:lang w:val="zh-CN"/>
        </w:rPr>
      </w:pPr>
    </w:p>
    <w:p w14:paraId="622E2566">
      <w:pPr>
        <w:keepNext/>
        <w:keepLines/>
        <w:spacing w:before="260" w:after="260" w:line="416" w:lineRule="auto"/>
        <w:jc w:val="center"/>
        <w:outlineLvl w:val="1"/>
        <w:rPr>
          <w:rFonts w:ascii="Cambria" w:hAnsi="Cambria" w:eastAsia="宋体" w:cs="Times New Roman"/>
          <w:b/>
          <w:bCs/>
          <w:color w:val="auto"/>
          <w:sz w:val="32"/>
          <w:szCs w:val="32"/>
          <w:highlight w:val="none"/>
          <w:lang w:val="zh-CN"/>
        </w:rPr>
      </w:pPr>
    </w:p>
    <w:p w14:paraId="4AD0936D">
      <w:pPr>
        <w:keepNext/>
        <w:keepLines/>
        <w:spacing w:before="260" w:after="260" w:line="416" w:lineRule="auto"/>
        <w:jc w:val="center"/>
        <w:outlineLvl w:val="1"/>
        <w:rPr>
          <w:rFonts w:ascii="Cambria" w:hAnsi="Cambria" w:eastAsia="宋体" w:cs="Times New Roman"/>
          <w:b/>
          <w:bCs/>
          <w:color w:val="auto"/>
          <w:sz w:val="32"/>
          <w:szCs w:val="32"/>
          <w:highlight w:val="none"/>
          <w:lang w:val="zh-CN"/>
        </w:rPr>
      </w:pPr>
    </w:p>
    <w:p w14:paraId="7EA9BF6B">
      <w:pPr>
        <w:keepNext/>
        <w:keepLines/>
        <w:spacing w:before="260" w:after="260" w:line="416" w:lineRule="auto"/>
        <w:jc w:val="center"/>
        <w:outlineLvl w:val="1"/>
        <w:rPr>
          <w:rFonts w:ascii="Cambria" w:hAnsi="Cambria" w:eastAsia="宋体" w:cs="Times New Roman"/>
          <w:b/>
          <w:bCs/>
          <w:color w:val="auto"/>
          <w:sz w:val="32"/>
          <w:szCs w:val="32"/>
          <w:highlight w:val="none"/>
          <w:lang w:val="zh-CN"/>
        </w:rPr>
      </w:pPr>
    </w:p>
    <w:p w14:paraId="3514CB3B">
      <w:pPr>
        <w:keepNext/>
        <w:keepLines/>
        <w:spacing w:before="260" w:after="260" w:line="416" w:lineRule="auto"/>
        <w:jc w:val="center"/>
        <w:outlineLvl w:val="1"/>
        <w:rPr>
          <w:rFonts w:ascii="Cambria" w:hAnsi="Cambria" w:eastAsia="宋体" w:cs="Times New Roman"/>
          <w:b/>
          <w:bCs/>
          <w:color w:val="auto"/>
          <w:sz w:val="32"/>
          <w:szCs w:val="32"/>
          <w:highlight w:val="none"/>
          <w:lang w:val="zh-CN"/>
        </w:rPr>
      </w:pPr>
    </w:p>
    <w:p w14:paraId="1693F112">
      <w:pPr>
        <w:keepNext/>
        <w:keepLines/>
        <w:spacing w:before="340" w:after="330" w:line="578" w:lineRule="auto"/>
        <w:jc w:val="center"/>
        <w:outlineLvl w:val="0"/>
        <w:rPr>
          <w:rFonts w:ascii="Times New Roman" w:hAnsi="Times New Roman" w:eastAsia="宋体" w:cs="Times New Roman"/>
          <w:b/>
          <w:bCs/>
          <w:color w:val="auto"/>
          <w:kern w:val="44"/>
          <w:sz w:val="44"/>
          <w:szCs w:val="44"/>
          <w:highlight w:val="none"/>
          <w:lang w:val="zh-CN"/>
        </w:rPr>
      </w:pPr>
      <w:bookmarkStart w:id="134" w:name="_Toc80205937"/>
      <w:bookmarkStart w:id="135" w:name="_Toc28917"/>
      <w:bookmarkStart w:id="136" w:name="_Toc9300"/>
      <w:bookmarkStart w:id="137" w:name="_Toc71"/>
      <w:bookmarkStart w:id="138" w:name="_Toc21666"/>
      <w:bookmarkStart w:id="139" w:name="_Toc916"/>
      <w:bookmarkStart w:id="140" w:name="_Toc25678"/>
      <w:bookmarkStart w:id="141" w:name="_Toc30615"/>
      <w:bookmarkStart w:id="142" w:name="_Toc4187"/>
      <w:r>
        <w:rPr>
          <w:rFonts w:hint="eastAsia" w:ascii="Times New Roman" w:hAnsi="Times New Roman" w:eastAsia="宋体" w:cs="Times New Roman"/>
          <w:b/>
          <w:bCs/>
          <w:color w:val="auto"/>
          <w:kern w:val="44"/>
          <w:sz w:val="44"/>
          <w:szCs w:val="44"/>
          <w:highlight w:val="none"/>
          <w:lang w:val="zh-CN"/>
        </w:rPr>
        <w:t>第五章 响应文件格式</w:t>
      </w:r>
      <w:bookmarkEnd w:id="134"/>
      <w:r>
        <w:rPr>
          <w:rFonts w:ascii="Times New Roman" w:hAnsi="Times New Roman" w:eastAsia="宋体" w:cs="Times New Roman"/>
          <w:b/>
          <w:bCs/>
          <w:color w:val="auto"/>
          <w:kern w:val="44"/>
          <w:sz w:val="44"/>
          <w:szCs w:val="44"/>
          <w:highlight w:val="none"/>
          <w:lang w:val="zh-CN"/>
        </w:rPr>
        <w:br w:type="page"/>
      </w:r>
      <w:bookmarkEnd w:id="135"/>
      <w:bookmarkEnd w:id="136"/>
      <w:bookmarkEnd w:id="137"/>
      <w:bookmarkEnd w:id="138"/>
      <w:bookmarkEnd w:id="139"/>
      <w:bookmarkEnd w:id="140"/>
      <w:bookmarkEnd w:id="141"/>
      <w:bookmarkEnd w:id="142"/>
    </w:p>
    <w:p w14:paraId="56F72BA8">
      <w:pPr>
        <w:spacing w:line="240" w:lineRule="atLeast"/>
        <w:rPr>
          <w:rFonts w:ascii="宋体" w:hAnsi="宋体" w:eastAsia="宋体" w:cs="Times New Roman"/>
          <w:b/>
          <w:bCs/>
          <w:color w:val="auto"/>
          <w:szCs w:val="24"/>
          <w:highlight w:val="none"/>
        </w:rPr>
      </w:pPr>
    </w:p>
    <w:p w14:paraId="06067CD0">
      <w:pPr>
        <w:snapToGrid w:val="0"/>
        <w:spacing w:before="120" w:beforeLines="50" w:after="50" w:line="360" w:lineRule="auto"/>
        <w:jc w:val="center"/>
        <w:outlineLvl w:val="1"/>
        <w:rPr>
          <w:rFonts w:ascii="宋体" w:hAnsi="宋体" w:eastAsia="宋体" w:cs="Times New Roman"/>
          <w:bCs/>
          <w:color w:val="auto"/>
          <w:sz w:val="32"/>
          <w:szCs w:val="32"/>
          <w:highlight w:val="none"/>
        </w:rPr>
      </w:pPr>
      <w:bookmarkStart w:id="143" w:name="_Toc17254"/>
      <w:bookmarkStart w:id="144" w:name="_Toc10486"/>
      <w:bookmarkStart w:id="145" w:name="_Toc80205939"/>
      <w:r>
        <w:rPr>
          <w:rFonts w:hint="eastAsia" w:ascii="宋体" w:hAnsi="宋体" w:eastAsia="宋体" w:cs="Times New Roman"/>
          <w:bCs/>
          <w:color w:val="auto"/>
          <w:sz w:val="32"/>
          <w:szCs w:val="32"/>
          <w:highlight w:val="none"/>
        </w:rPr>
        <w:t>第一节 资格证明文件格式</w:t>
      </w:r>
      <w:bookmarkEnd w:id="143"/>
      <w:bookmarkEnd w:id="144"/>
      <w:bookmarkEnd w:id="145"/>
    </w:p>
    <w:p w14:paraId="50EA0F13">
      <w:pPr>
        <w:pStyle w:val="21"/>
        <w:rPr>
          <w:rFonts w:ascii="宋体" w:hAnsi="宋体" w:cs="宋体"/>
          <w:b/>
          <w:bCs/>
          <w:color w:val="auto"/>
          <w:sz w:val="28"/>
          <w:szCs w:val="28"/>
          <w:highlight w:val="none"/>
        </w:rPr>
      </w:pPr>
    </w:p>
    <w:p w14:paraId="4C16732D">
      <w:pPr>
        <w:pStyle w:val="21"/>
        <w:rPr>
          <w:rFonts w:ascii="宋体" w:hAnsi="宋体" w:cs="宋体"/>
          <w:b/>
          <w:bCs/>
          <w:color w:val="auto"/>
          <w:sz w:val="28"/>
          <w:szCs w:val="28"/>
          <w:highlight w:val="none"/>
        </w:rPr>
      </w:pPr>
      <w:r>
        <w:rPr>
          <w:rFonts w:hint="eastAsia" w:ascii="宋体" w:hAnsi="宋体" w:cs="宋体"/>
          <w:b/>
          <w:bCs/>
          <w:color w:val="auto"/>
          <w:sz w:val="28"/>
          <w:szCs w:val="28"/>
          <w:highlight w:val="none"/>
        </w:rPr>
        <w:t>1.资格证明文件封面的格式（参照此格式自拟）：</w:t>
      </w:r>
    </w:p>
    <w:p w14:paraId="4CD61012">
      <w:pPr>
        <w:snapToGrid w:val="0"/>
        <w:spacing w:before="120" w:beforeLines="50" w:after="5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w:t>
      </w:r>
    </w:p>
    <w:p w14:paraId="32875871">
      <w:pPr>
        <w:snapToGrid w:val="0"/>
        <w:spacing w:before="120" w:beforeLines="50" w:after="50"/>
        <w:ind w:firstLine="5760" w:firstLineChars="2400"/>
        <w:rPr>
          <w:rFonts w:ascii="宋体" w:hAnsi="宋体" w:eastAsia="宋体" w:cs="Times New Roman"/>
          <w:bCs/>
          <w:color w:val="auto"/>
          <w:sz w:val="32"/>
          <w:szCs w:val="20"/>
          <w:highlight w:val="none"/>
        </w:rPr>
      </w:pPr>
      <w:r>
        <w:rPr>
          <w:rFonts w:hint="eastAsia" w:ascii="宋体" w:hAnsi="宋体" w:eastAsia="宋体" w:cs="Times New Roman"/>
          <w:color w:val="auto"/>
          <w:sz w:val="24"/>
          <w:szCs w:val="24"/>
          <w:highlight w:val="none"/>
        </w:rPr>
        <w:t xml:space="preserve"> </w:t>
      </w:r>
      <w:r>
        <w:rPr>
          <w:rFonts w:hint="eastAsia" w:ascii="宋体" w:hAnsi="宋体" w:eastAsia="宋体" w:cs="Times New Roman"/>
          <w:bCs/>
          <w:color w:val="auto"/>
          <w:szCs w:val="24"/>
          <w:highlight w:val="none"/>
        </w:rPr>
        <w:t>全流程电子文件</w:t>
      </w:r>
    </w:p>
    <w:p w14:paraId="1B1AFC5A">
      <w:pPr>
        <w:snapToGrid w:val="0"/>
        <w:spacing w:before="120" w:beforeLines="50" w:after="50"/>
        <w:rPr>
          <w:rFonts w:ascii="宋体" w:hAnsi="宋体" w:eastAsia="宋体" w:cs="Times New Roman"/>
          <w:color w:val="auto"/>
          <w:sz w:val="24"/>
          <w:szCs w:val="20"/>
          <w:highlight w:val="none"/>
        </w:rPr>
      </w:pPr>
    </w:p>
    <w:p w14:paraId="7C152D24">
      <w:pPr>
        <w:snapToGrid w:val="0"/>
        <w:spacing w:before="120" w:beforeLines="50" w:after="50"/>
        <w:rPr>
          <w:rFonts w:ascii="宋体" w:hAnsi="宋体" w:eastAsia="宋体" w:cs="Times New Roman"/>
          <w:color w:val="auto"/>
          <w:sz w:val="24"/>
          <w:szCs w:val="20"/>
          <w:highlight w:val="none"/>
        </w:rPr>
      </w:pPr>
    </w:p>
    <w:p w14:paraId="698A577D">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w:t>
      </w:r>
    </w:p>
    <w:p w14:paraId="2EED3EF8">
      <w:pPr>
        <w:snapToGrid w:val="0"/>
        <w:spacing w:before="120" w:beforeLines="50" w:after="50"/>
        <w:rPr>
          <w:rFonts w:ascii="宋体" w:hAnsi="宋体" w:eastAsia="宋体" w:cs="Times New Roman"/>
          <w:bCs/>
          <w:color w:val="auto"/>
          <w:sz w:val="24"/>
          <w:szCs w:val="20"/>
          <w:highlight w:val="none"/>
        </w:rPr>
      </w:pPr>
    </w:p>
    <w:p w14:paraId="45A8C39F">
      <w:pPr>
        <w:snapToGrid w:val="0"/>
        <w:spacing w:before="120" w:beforeLines="50" w:after="50"/>
        <w:rPr>
          <w:rFonts w:ascii="宋体" w:hAnsi="宋体" w:eastAsia="宋体" w:cs="Times New Roman"/>
          <w:bCs/>
          <w:color w:val="auto"/>
          <w:sz w:val="24"/>
          <w:szCs w:val="20"/>
          <w:highlight w:val="none"/>
        </w:rPr>
      </w:pPr>
    </w:p>
    <w:p w14:paraId="19C77F68">
      <w:pPr>
        <w:snapToGrid w:val="0"/>
        <w:spacing w:before="120" w:beforeLines="50" w:after="50"/>
        <w:rPr>
          <w:rFonts w:ascii="宋体" w:hAnsi="宋体" w:eastAsia="宋体" w:cs="Times New Roman"/>
          <w:bCs/>
          <w:color w:val="auto"/>
          <w:sz w:val="24"/>
          <w:szCs w:val="20"/>
          <w:highlight w:val="none"/>
        </w:rPr>
      </w:pPr>
    </w:p>
    <w:p w14:paraId="5137B663">
      <w:pPr>
        <w:snapToGrid w:val="0"/>
        <w:spacing w:before="120" w:beforeLines="50" w:after="50"/>
        <w:rPr>
          <w:rFonts w:ascii="宋体" w:hAnsi="宋体" w:eastAsia="宋体" w:cs="Times New Roman"/>
          <w:bCs/>
          <w:color w:val="auto"/>
          <w:sz w:val="24"/>
          <w:szCs w:val="20"/>
          <w:highlight w:val="none"/>
        </w:rPr>
      </w:pPr>
    </w:p>
    <w:p w14:paraId="267275FE">
      <w:pPr>
        <w:snapToGrid w:val="0"/>
        <w:spacing w:before="120" w:beforeLines="50" w:after="50"/>
        <w:rPr>
          <w:rFonts w:ascii="宋体" w:hAnsi="宋体" w:eastAsia="宋体" w:cs="Times New Roman"/>
          <w:bCs/>
          <w:color w:val="auto"/>
          <w:sz w:val="24"/>
          <w:szCs w:val="20"/>
          <w:highlight w:val="none"/>
        </w:rPr>
      </w:pPr>
    </w:p>
    <w:p w14:paraId="7FEA827F">
      <w:pPr>
        <w:snapToGrid w:val="0"/>
        <w:spacing w:before="120"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项目名称： </w:t>
      </w:r>
    </w:p>
    <w:p w14:paraId="01689CCC">
      <w:pPr>
        <w:snapToGrid w:val="0"/>
        <w:spacing w:before="120" w:beforeLines="50" w:after="50"/>
        <w:ind w:firstLine="720" w:firstLineChars="225"/>
        <w:rPr>
          <w:rFonts w:ascii="宋体" w:hAnsi="宋体" w:eastAsia="宋体" w:cs="仿宋_GB2312"/>
          <w:bCs/>
          <w:color w:val="auto"/>
          <w:sz w:val="32"/>
          <w:szCs w:val="32"/>
          <w:highlight w:val="none"/>
        </w:rPr>
      </w:pPr>
    </w:p>
    <w:p w14:paraId="7C72A24E">
      <w:pPr>
        <w:snapToGrid w:val="0"/>
        <w:spacing w:before="120" w:beforeLines="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项目编号： </w:t>
      </w:r>
    </w:p>
    <w:p w14:paraId="4F225FE5">
      <w:pPr>
        <w:snapToGrid w:val="0"/>
        <w:spacing w:before="120" w:beforeLines="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 </w:t>
      </w:r>
    </w:p>
    <w:p w14:paraId="1A7ACC15">
      <w:pPr>
        <w:snapToGrid w:val="0"/>
        <w:spacing w:before="120" w:beforeLines="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所竞分标（如有则填写，无分标时填写“无”或者留空）：</w:t>
      </w:r>
    </w:p>
    <w:p w14:paraId="7136D912">
      <w:pPr>
        <w:snapToGrid w:val="0"/>
        <w:spacing w:before="120" w:beforeLines="50" w:after="50"/>
        <w:ind w:firstLine="720" w:firstLineChars="225"/>
        <w:rPr>
          <w:rFonts w:ascii="宋体" w:hAnsi="宋体" w:eastAsia="宋体" w:cs="仿宋_GB2312"/>
          <w:bCs/>
          <w:color w:val="auto"/>
          <w:sz w:val="32"/>
          <w:szCs w:val="32"/>
          <w:highlight w:val="none"/>
        </w:rPr>
      </w:pPr>
    </w:p>
    <w:p w14:paraId="0707FD33">
      <w:pPr>
        <w:snapToGrid w:val="0"/>
        <w:spacing w:before="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供应商名称：</w:t>
      </w:r>
    </w:p>
    <w:p w14:paraId="19AE0222">
      <w:pPr>
        <w:snapToGrid w:val="0"/>
        <w:spacing w:before="50" w:after="50"/>
        <w:ind w:firstLine="720" w:firstLineChars="225"/>
        <w:rPr>
          <w:rFonts w:ascii="宋体" w:hAnsi="宋体" w:eastAsia="宋体" w:cs="仿宋_GB2312"/>
          <w:bCs/>
          <w:color w:val="auto"/>
          <w:sz w:val="32"/>
          <w:szCs w:val="32"/>
          <w:highlight w:val="none"/>
        </w:rPr>
      </w:pPr>
    </w:p>
    <w:p w14:paraId="56264B50">
      <w:pPr>
        <w:snapToGrid w:val="0"/>
        <w:spacing w:before="50" w:after="50"/>
        <w:ind w:firstLine="720" w:firstLineChars="225"/>
        <w:rPr>
          <w:rFonts w:ascii="宋体" w:hAnsi="宋体" w:eastAsia="宋体" w:cs="仿宋_GB2312"/>
          <w:bCs/>
          <w:color w:val="auto"/>
          <w:sz w:val="32"/>
          <w:szCs w:val="32"/>
          <w:highlight w:val="none"/>
        </w:rPr>
      </w:pPr>
    </w:p>
    <w:p w14:paraId="475E04CF">
      <w:pPr>
        <w:snapToGrid w:val="0"/>
        <w:spacing w:before="50" w:after="50"/>
        <w:ind w:firstLine="720" w:firstLineChars="225"/>
        <w:rPr>
          <w:rFonts w:ascii="宋体" w:hAnsi="宋体" w:eastAsia="宋体" w:cs="仿宋_GB2312"/>
          <w:bCs/>
          <w:color w:val="auto"/>
          <w:sz w:val="32"/>
          <w:szCs w:val="32"/>
          <w:highlight w:val="none"/>
        </w:rPr>
      </w:pPr>
    </w:p>
    <w:p w14:paraId="74BF1F10">
      <w:pPr>
        <w:snapToGrid w:val="0"/>
        <w:spacing w:before="50" w:after="50"/>
        <w:ind w:firstLine="1280" w:firstLineChars="400"/>
        <w:rPr>
          <w:rFonts w:ascii="宋体" w:hAnsi="宋体" w:eastAsia="宋体" w:cs="仿宋_GB2312"/>
          <w:bCs/>
          <w:color w:val="auto"/>
          <w:sz w:val="32"/>
          <w:szCs w:val="32"/>
          <w:highlight w:val="none"/>
        </w:rPr>
      </w:pPr>
    </w:p>
    <w:p w14:paraId="2D1BEEB2">
      <w:pPr>
        <w:snapToGrid w:val="0"/>
        <w:spacing w:before="120" w:beforeLines="50" w:after="50"/>
        <w:jc w:val="center"/>
        <w:rPr>
          <w:rFonts w:ascii="宋体" w:hAnsi="宋体" w:eastAsia="宋体" w:cs="仿宋_GB2312"/>
          <w:color w:val="auto"/>
          <w:sz w:val="32"/>
          <w:szCs w:val="32"/>
          <w:highlight w:val="none"/>
        </w:rPr>
      </w:pPr>
      <w:r>
        <w:rPr>
          <w:rFonts w:hint="eastAsia" w:ascii="宋体" w:hAnsi="宋体" w:eastAsia="宋体" w:cs="仿宋_GB2312"/>
          <w:color w:val="auto"/>
          <w:sz w:val="32"/>
          <w:szCs w:val="32"/>
          <w:highlight w:val="none"/>
        </w:rPr>
        <w:t>年    月    日</w:t>
      </w:r>
    </w:p>
    <w:p w14:paraId="7D6C08A6">
      <w:pPr>
        <w:snapToGrid w:val="0"/>
        <w:spacing w:before="120" w:beforeLines="50" w:after="50" w:line="360" w:lineRule="auto"/>
        <w:ind w:left="142"/>
        <w:jc w:val="left"/>
        <w:rPr>
          <w:rFonts w:ascii="宋体" w:hAnsi="宋体" w:eastAsia="宋体" w:cs="宋体"/>
          <w:b/>
          <w:bCs/>
          <w:color w:val="auto"/>
          <w:sz w:val="28"/>
          <w:szCs w:val="28"/>
          <w:highlight w:val="none"/>
        </w:rPr>
      </w:pPr>
      <w:r>
        <w:rPr>
          <w:rFonts w:ascii="宋体" w:hAnsi="宋体" w:eastAsia="宋体" w:cs="Times New Roman"/>
          <w:color w:val="auto"/>
          <w:sz w:val="24"/>
          <w:szCs w:val="24"/>
          <w:highlight w:val="none"/>
        </w:rPr>
        <w:br w:type="page"/>
      </w:r>
      <w:r>
        <w:rPr>
          <w:rFonts w:hint="eastAsia" w:ascii="宋体" w:hAnsi="宋体" w:eastAsia="宋体" w:cs="宋体"/>
          <w:b/>
          <w:bCs/>
          <w:color w:val="auto"/>
          <w:sz w:val="28"/>
          <w:szCs w:val="28"/>
          <w:highlight w:val="none"/>
        </w:rPr>
        <w:t>2.资格证明文件目录</w:t>
      </w:r>
    </w:p>
    <w:p w14:paraId="5870FD7C">
      <w:pPr>
        <w:spacing w:line="360" w:lineRule="auto"/>
        <w:ind w:firstLine="560" w:firstLineChars="200"/>
        <w:contextualSpacing/>
        <w:jc w:val="left"/>
        <w:rPr>
          <w:rFonts w:ascii="仿宋_GB2312" w:hAnsi="仿宋" w:eastAsia="仿宋_GB2312" w:cs="仿宋_GB2312"/>
          <w:color w:val="auto"/>
          <w:kern w:val="0"/>
          <w:sz w:val="24"/>
          <w:szCs w:val="24"/>
          <w:highlight w:val="none"/>
        </w:rPr>
      </w:pPr>
      <w:r>
        <w:rPr>
          <w:rFonts w:hint="eastAsia" w:ascii="宋体" w:hAnsi="宋体" w:eastAsia="宋体" w:cs="宋体"/>
          <w:color w:val="auto"/>
          <w:sz w:val="28"/>
          <w:szCs w:val="28"/>
          <w:highlight w:val="none"/>
        </w:rPr>
        <w:t>根据竞争性谈判文件规定及供应商提供的材料自行编写目录（部分格式后附）。</w:t>
      </w:r>
      <w:r>
        <w:rPr>
          <w:rFonts w:hint="eastAsia" w:ascii="仿宋_GB2312" w:hAnsi="仿宋" w:eastAsia="仿宋_GB2312" w:cs="仿宋_GB2312"/>
          <w:color w:val="auto"/>
          <w:kern w:val="0"/>
          <w:sz w:val="24"/>
          <w:szCs w:val="24"/>
          <w:highlight w:val="none"/>
        </w:rPr>
        <w:br w:type="page"/>
      </w:r>
    </w:p>
    <w:p w14:paraId="1D70C56A">
      <w:pPr>
        <w:spacing w:line="320" w:lineRule="exact"/>
        <w:jc w:val="left"/>
        <w:rPr>
          <w:rFonts w:ascii="宋体" w:hAnsi="宋体" w:eastAsia="宋体" w:cs="宋体"/>
          <w:color w:val="auto"/>
          <w:sz w:val="28"/>
          <w:szCs w:val="28"/>
          <w:highlight w:val="none"/>
        </w:rPr>
      </w:pPr>
      <w:r>
        <w:rPr>
          <w:rFonts w:hint="eastAsia" w:ascii="宋体" w:hAnsi="宋体" w:eastAsia="宋体" w:cs="宋体"/>
          <w:b/>
          <w:bCs/>
          <w:color w:val="auto"/>
          <w:kern w:val="0"/>
          <w:sz w:val="28"/>
          <w:szCs w:val="28"/>
          <w:highlight w:val="none"/>
        </w:rPr>
        <w:t>3</w:t>
      </w:r>
      <w:r>
        <w:rPr>
          <w:rFonts w:hint="eastAsia" w:ascii="宋体" w:hAnsi="宋体" w:eastAsia="宋体" w:cs="宋体"/>
          <w:b/>
          <w:color w:val="auto"/>
          <w:kern w:val="0"/>
          <w:sz w:val="28"/>
          <w:szCs w:val="28"/>
          <w:highlight w:val="none"/>
        </w:rPr>
        <w:t>.声明函的格式：</w:t>
      </w:r>
    </w:p>
    <w:p w14:paraId="28F3CC59">
      <w:pPr>
        <w:spacing w:line="320" w:lineRule="exact"/>
        <w:jc w:val="center"/>
        <w:rPr>
          <w:rFonts w:ascii="宋体" w:hAnsi="宋体" w:eastAsia="宋体" w:cs="Times New Roman"/>
          <w:b/>
          <w:color w:val="auto"/>
          <w:sz w:val="32"/>
          <w:szCs w:val="32"/>
          <w:highlight w:val="none"/>
        </w:rPr>
      </w:pPr>
    </w:p>
    <w:p w14:paraId="7EED7950">
      <w:pPr>
        <w:spacing w:line="320" w:lineRule="exact"/>
        <w:jc w:val="center"/>
        <w:rPr>
          <w:rFonts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声明函</w:t>
      </w:r>
    </w:p>
    <w:p w14:paraId="3BC4F239">
      <w:pPr>
        <w:spacing w:line="320" w:lineRule="exact"/>
        <w:jc w:val="center"/>
        <w:rPr>
          <w:rFonts w:ascii="宋体" w:hAnsi="宋体" w:eastAsia="宋体" w:cs="Times New Roman"/>
          <w:color w:val="auto"/>
          <w:sz w:val="24"/>
          <w:szCs w:val="20"/>
          <w:highlight w:val="none"/>
        </w:rPr>
      </w:pPr>
    </w:p>
    <w:p w14:paraId="1F67C481">
      <w:pPr>
        <w:spacing w:line="360" w:lineRule="exact"/>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bookmarkStart w:id="146" w:name="PO_3000001871_PM031"/>
      <w:r>
        <w:rPr>
          <w:rFonts w:hint="eastAsia" w:ascii="宋体" w:hAnsi="宋体" w:eastAsia="宋体" w:cs="宋体"/>
          <w:color w:val="auto"/>
          <w:sz w:val="24"/>
          <w:szCs w:val="24"/>
          <w:highlight w:val="none"/>
          <w:u w:val="single"/>
        </w:rPr>
        <w:t>广西科联招标中心有限公司</w:t>
      </w:r>
      <w:bookmarkEnd w:id="146"/>
      <w:r>
        <w:rPr>
          <w:rFonts w:hint="eastAsia" w:ascii="宋体" w:hAnsi="宋体" w:eastAsia="宋体" w:cs="宋体"/>
          <w:color w:val="auto"/>
          <w:sz w:val="24"/>
          <w:szCs w:val="24"/>
          <w:highlight w:val="none"/>
        </w:rPr>
        <w:t>：</w:t>
      </w:r>
    </w:p>
    <w:p w14:paraId="3C4B359B">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i/>
          <w:iCs/>
          <w:color w:val="auto"/>
          <w:sz w:val="24"/>
          <w:szCs w:val="24"/>
          <w:highlight w:val="none"/>
          <w:u w:val="single"/>
        </w:rPr>
        <w:t>（供应商名称）</w:t>
      </w:r>
      <w:r>
        <w:rPr>
          <w:rFonts w:hint="eastAsia" w:ascii="宋体" w:hAnsi="宋体" w:eastAsia="宋体" w:cs="宋体"/>
          <w:color w:val="auto"/>
          <w:sz w:val="24"/>
          <w:szCs w:val="24"/>
          <w:highlight w:val="none"/>
        </w:rPr>
        <w:t>系中华人民共和国合法供应商，经营地址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1A5F5A4D">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我方愿意参加贵方组织的</w:t>
      </w:r>
      <w:bookmarkStart w:id="147" w:name="PO_3000001871_PM002_4"/>
      <w:r>
        <w:rPr>
          <w:rFonts w:hint="eastAsia" w:ascii="宋体" w:hAnsi="宋体" w:eastAsia="宋体" w:cs="宋体"/>
          <w:i/>
          <w:iCs/>
          <w:color w:val="auto"/>
          <w:sz w:val="24"/>
          <w:szCs w:val="24"/>
          <w:highlight w:val="none"/>
        </w:rPr>
        <w:t>（</w:t>
      </w:r>
      <w:bookmarkEnd w:id="147"/>
      <w:r>
        <w:rPr>
          <w:rFonts w:hint="eastAsia" w:ascii="宋体" w:hAnsi="宋体" w:eastAsia="宋体" w:cs="宋体"/>
          <w:i/>
          <w:iCs/>
          <w:color w:val="auto"/>
          <w:sz w:val="24"/>
          <w:szCs w:val="24"/>
          <w:highlight w:val="none"/>
          <w:u w:val="single"/>
        </w:rPr>
        <w:t>项目名称</w:t>
      </w:r>
      <w:r>
        <w:rPr>
          <w:rFonts w:hint="eastAsia" w:ascii="宋体" w:hAnsi="宋体" w:eastAsia="宋体" w:cs="宋体"/>
          <w:i/>
          <w:iCs/>
          <w:color w:val="auto"/>
          <w:sz w:val="24"/>
          <w:szCs w:val="24"/>
          <w:highlight w:val="none"/>
        </w:rPr>
        <w:t>）</w:t>
      </w:r>
      <w:r>
        <w:rPr>
          <w:rFonts w:hint="eastAsia" w:ascii="宋体" w:hAnsi="宋体" w:eastAsia="宋体" w:cs="宋体"/>
          <w:color w:val="auto"/>
          <w:sz w:val="24"/>
          <w:szCs w:val="24"/>
          <w:highlight w:val="none"/>
        </w:rPr>
        <w:t>项目的竞标，为便于贵方公正、择优地确定成交供应商及其竞标产品和服务，我方就本次竞标有关事项郑重声明如下：</w:t>
      </w:r>
    </w:p>
    <w:p w14:paraId="02D3929B">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1.我方向贵方提交的所有响应文件、资料都是准确的和真实的。</w:t>
      </w:r>
    </w:p>
    <w:p w14:paraId="15FA274E">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7967B6A0">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3.在此，我方宣布同意如下：</w:t>
      </w:r>
    </w:p>
    <w:p w14:paraId="62D87720">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（1）将按谈判文件的约定履行合同责任和义务；</w:t>
      </w:r>
    </w:p>
    <w:p w14:paraId="5EC0FC2F">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（2）已详细审查谈判文件的全部内容，包括澄清或者更正公告（如有）；</w:t>
      </w:r>
    </w:p>
    <w:p w14:paraId="322B9C2E">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（3）同意提供按照贵方可能要求的与谈判有关的一切数据或者资料。</w:t>
      </w:r>
    </w:p>
    <w:p w14:paraId="569229FE">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w:t>
      </w:r>
    </w:p>
    <w:p w14:paraId="085699DD">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根据《中华人民共和国政府采购法实施条例》第五十条要求对政府采购合同进行公告，但政府采购合同中涉及国家秘密、商业秘密的内容除外。我方就对本次响应文件进行注明如下：（两项内容中必须选择一项）</w:t>
      </w:r>
    </w:p>
    <w:p w14:paraId="5CB944A5">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□我方本次响应文件</w:t>
      </w:r>
      <w:r>
        <w:rPr>
          <w:rFonts w:hint="eastAsia" w:ascii="宋体" w:hAnsi="宋体" w:eastAsia="宋体" w:cs="宋体"/>
          <w:color w:val="auto"/>
          <w:kern w:val="0"/>
          <w:sz w:val="24"/>
          <w:szCs w:val="24"/>
          <w:highlight w:val="none"/>
        </w:rPr>
        <w:t>内容中</w:t>
      </w:r>
      <w:r>
        <w:rPr>
          <w:rFonts w:hint="eastAsia" w:ascii="宋体" w:hAnsi="宋体" w:eastAsia="宋体" w:cs="宋体"/>
          <w:color w:val="auto"/>
          <w:sz w:val="24"/>
          <w:szCs w:val="24"/>
          <w:highlight w:val="none"/>
        </w:rPr>
        <w:t>未</w:t>
      </w:r>
      <w:r>
        <w:rPr>
          <w:rFonts w:hint="eastAsia" w:ascii="宋体" w:hAnsi="宋体" w:eastAsia="宋体" w:cs="宋体"/>
          <w:color w:val="auto"/>
          <w:kern w:val="0"/>
          <w:sz w:val="24"/>
          <w:szCs w:val="24"/>
          <w:highlight w:val="none"/>
        </w:rPr>
        <w:t>涉及商业秘密；</w:t>
      </w:r>
    </w:p>
    <w:p w14:paraId="118736F0">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□我方本次响应文件</w:t>
      </w:r>
      <w:r>
        <w:rPr>
          <w:rFonts w:hint="eastAsia" w:ascii="宋体" w:hAnsi="宋体" w:eastAsia="宋体" w:cs="宋体"/>
          <w:color w:val="auto"/>
          <w:kern w:val="0"/>
          <w:sz w:val="24"/>
          <w:szCs w:val="24"/>
          <w:highlight w:val="none"/>
        </w:rPr>
        <w:t>涉及商业秘密的内容有：</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14:paraId="55CAA090">
      <w:pPr>
        <w:tabs>
          <w:tab w:val="left" w:pos="939"/>
        </w:tabs>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6.以上事项如有虚假或者隐瞒，我方愿意承担一切后果，并不再寻求任何旨在减轻或者免除法律责任的辩解。</w:t>
      </w:r>
    </w:p>
    <w:p w14:paraId="6152D16A">
      <w:pPr>
        <w:tabs>
          <w:tab w:val="left" w:pos="939"/>
        </w:tabs>
        <w:spacing w:line="360" w:lineRule="exact"/>
        <w:ind w:left="141" w:leftChars="67" w:firstLine="360" w:firstLineChars="15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602B8428">
      <w:pPr>
        <w:tabs>
          <w:tab w:val="left" w:pos="939"/>
        </w:tabs>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注：如为联合体竞标，盖章处须加盖联合体各方公章，否则其响应文件作无效响应处理。</w:t>
      </w:r>
    </w:p>
    <w:p w14:paraId="62049255">
      <w:pPr>
        <w:tabs>
          <w:tab w:val="left" w:pos="939"/>
        </w:tabs>
        <w:spacing w:line="360" w:lineRule="exact"/>
        <w:ind w:firstLine="480" w:firstLineChars="200"/>
        <w:contextualSpacing/>
        <w:rPr>
          <w:rFonts w:ascii="宋体" w:hAnsi="宋体" w:eastAsia="宋体" w:cs="宋体"/>
          <w:color w:val="auto"/>
          <w:sz w:val="24"/>
          <w:szCs w:val="24"/>
          <w:highlight w:val="none"/>
        </w:rPr>
      </w:pPr>
    </w:p>
    <w:p w14:paraId="3C1008C2">
      <w:pPr>
        <w:autoSpaceDE w:val="0"/>
        <w:autoSpaceDN w:val="0"/>
        <w:spacing w:line="360" w:lineRule="exact"/>
        <w:ind w:left="4365" w:leftChars="1850" w:hanging="480" w:hanging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44B506C8">
      <w:pPr>
        <w:autoSpaceDE w:val="0"/>
        <w:autoSpaceDN w:val="0"/>
        <w:spacing w:line="360" w:lineRule="exact"/>
        <w:ind w:firstLine="6120" w:firstLineChars="2550"/>
        <w:rPr>
          <w:rFonts w:ascii="宋体" w:hAnsi="宋体" w:eastAsia="宋体" w:cs="宋体"/>
          <w:color w:val="auto"/>
          <w:kern w:val="0"/>
          <w:sz w:val="24"/>
          <w:szCs w:val="24"/>
          <w:highlight w:val="none"/>
          <w:lang w:val="zh-CN"/>
        </w:rPr>
        <w:sectPr>
          <w:footerReference r:id="rId9" w:type="default"/>
          <w:pgSz w:w="11910" w:h="16840"/>
          <w:pgMar w:top="1134" w:right="1134" w:bottom="1134" w:left="1134" w:header="720" w:footer="720" w:gutter="0"/>
          <w:cols w:space="720" w:num="1"/>
        </w:sectPr>
      </w:pPr>
      <w:r>
        <w:rPr>
          <w:rFonts w:hint="eastAsia" w:ascii="宋体" w:hAnsi="宋体" w:eastAsia="宋体" w:cs="宋体"/>
          <w:color w:val="auto"/>
          <w:kern w:val="0"/>
          <w:sz w:val="24"/>
          <w:szCs w:val="24"/>
          <w:highlight w:val="none"/>
          <w:lang w:val="zh-CN"/>
        </w:rPr>
        <w:t>日期：  年  月   日</w:t>
      </w:r>
    </w:p>
    <w:p w14:paraId="01710485">
      <w:pPr>
        <w:overflowPunct w:val="0"/>
        <w:spacing w:line="520" w:lineRule="exact"/>
        <w:rPr>
          <w:rFonts w:ascii="宋体" w:hAnsi="宋体" w:eastAsia="宋体" w:cs="Times New Roman"/>
          <w:b/>
          <w:bCs/>
          <w:color w:val="auto"/>
          <w:sz w:val="32"/>
          <w:szCs w:val="32"/>
          <w:highlight w:val="none"/>
        </w:rPr>
      </w:pPr>
      <w:r>
        <w:rPr>
          <w:rFonts w:hint="eastAsia" w:ascii="宋体" w:hAnsi="宋体" w:eastAsia="宋体" w:cs="宋体"/>
          <w:b/>
          <w:color w:val="auto"/>
          <w:kern w:val="0"/>
          <w:sz w:val="28"/>
          <w:szCs w:val="28"/>
          <w:highlight w:val="none"/>
        </w:rPr>
        <w:t>4.联合体竞标协议书的格式：</w:t>
      </w:r>
    </w:p>
    <w:p w14:paraId="7394AC71">
      <w:pPr>
        <w:spacing w:line="600" w:lineRule="exact"/>
        <w:jc w:val="center"/>
        <w:rPr>
          <w:rFonts w:ascii="方正小标宋简体" w:hAnsi="方正小标宋简体" w:eastAsia="方正小标宋简体" w:cs="方正小标宋简体"/>
          <w:color w:val="auto"/>
          <w:sz w:val="44"/>
          <w:szCs w:val="44"/>
          <w:highlight w:val="none"/>
          <w:lang w:val="zh-CN"/>
        </w:rPr>
      </w:pPr>
    </w:p>
    <w:p w14:paraId="004405E1">
      <w:pPr>
        <w:spacing w:line="600" w:lineRule="exact"/>
        <w:jc w:val="center"/>
        <w:rPr>
          <w:rFonts w:ascii="宋体" w:hAnsi="宋体" w:eastAsia="宋体" w:cs="宋体"/>
          <w:color w:val="auto"/>
          <w:sz w:val="44"/>
          <w:szCs w:val="44"/>
          <w:highlight w:val="none"/>
          <w:lang w:val="zh-CN"/>
        </w:rPr>
      </w:pPr>
      <w:r>
        <w:rPr>
          <w:rFonts w:hint="eastAsia" w:ascii="宋体" w:hAnsi="宋体" w:eastAsia="宋体" w:cs="宋体"/>
          <w:b/>
          <w:bCs/>
          <w:color w:val="auto"/>
          <w:sz w:val="32"/>
          <w:szCs w:val="32"/>
          <w:highlight w:val="none"/>
          <w:lang w:val="zh-CN"/>
        </w:rPr>
        <w:t>联合体竞标协议书</w:t>
      </w:r>
    </w:p>
    <w:p w14:paraId="4B2F55FF">
      <w:pPr>
        <w:autoSpaceDE w:val="0"/>
        <w:autoSpaceDN w:val="0"/>
        <w:adjustRightInd w:val="0"/>
        <w:spacing w:line="360" w:lineRule="auto"/>
        <w:jc w:val="left"/>
        <w:rPr>
          <w:rFonts w:ascii="宋体" w:hAnsi="宋体" w:eastAsia="宋体" w:cs="宋体"/>
          <w:color w:val="auto"/>
          <w:kern w:val="0"/>
          <w:szCs w:val="21"/>
          <w:highlight w:val="none"/>
          <w:u w:val="single"/>
        </w:rPr>
      </w:pPr>
    </w:p>
    <w:p w14:paraId="10486324">
      <w:pPr>
        <w:autoSpaceDE w:val="0"/>
        <w:autoSpaceDN w:val="0"/>
        <w:adjustRightInd w:val="0"/>
        <w:spacing w:line="36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（所有成员单位名称）自愿组成联合体，共同参加</w:t>
      </w:r>
      <w:r>
        <w:rPr>
          <w:rFonts w:hint="eastAsia" w:ascii="宋体" w:hAnsi="宋体" w:eastAsia="宋体" w:cs="宋体"/>
          <w:color w:val="auto"/>
          <w:kern w:val="0"/>
          <w:sz w:val="24"/>
          <w:szCs w:val="24"/>
          <w:highlight w:val="none"/>
          <w:u w:val="single"/>
        </w:rPr>
        <w:t xml:space="preserve"> </w:t>
      </w:r>
      <w:bookmarkStart w:id="148" w:name="PO_3000001871_PM031_4"/>
      <w:r>
        <w:rPr>
          <w:rFonts w:hint="eastAsia" w:ascii="宋体" w:hAnsi="宋体" w:eastAsia="宋体" w:cs="宋体"/>
          <w:color w:val="auto"/>
          <w:kern w:val="0"/>
          <w:sz w:val="24"/>
          <w:szCs w:val="24"/>
          <w:highlight w:val="none"/>
          <w:u w:val="single"/>
        </w:rPr>
        <w:t>广西科联招标中心有限公司</w:t>
      </w:r>
      <w:bookmarkEnd w:id="148"/>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组织的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i/>
          <w:iCs/>
          <w:color w:val="auto"/>
          <w:kern w:val="0"/>
          <w:sz w:val="24"/>
          <w:szCs w:val="24"/>
          <w:highlight w:val="none"/>
          <w:u w:val="single"/>
        </w:rPr>
        <w:t xml:space="preserve"> （项目名称）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（项目编号：</w:t>
      </w:r>
      <w:bookmarkStart w:id="149" w:name="PO_3000001871_PM001_4"/>
      <w:r>
        <w:rPr>
          <w:rFonts w:hint="eastAsia" w:ascii="宋体" w:hAnsi="宋体" w:eastAsia="宋体" w:cs="宋体"/>
          <w:i/>
          <w:iCs/>
          <w:color w:val="auto"/>
          <w:kern w:val="0"/>
          <w:sz w:val="24"/>
          <w:szCs w:val="24"/>
          <w:highlight w:val="none"/>
        </w:rPr>
        <w:t>（</w:t>
      </w:r>
      <w:bookmarkEnd w:id="149"/>
      <w:r>
        <w:rPr>
          <w:rFonts w:hint="eastAsia" w:ascii="宋体" w:hAnsi="宋体" w:eastAsia="宋体" w:cs="宋体"/>
          <w:i/>
          <w:iCs/>
          <w:color w:val="auto"/>
          <w:kern w:val="0"/>
          <w:sz w:val="24"/>
          <w:szCs w:val="24"/>
          <w:highlight w:val="none"/>
          <w:u w:val="single"/>
        </w:rPr>
        <w:t>项目编号</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）竞争性谈判采购。现就联合体竞标事宜订立如下协议：</w:t>
      </w:r>
    </w:p>
    <w:p w14:paraId="768954C3">
      <w:pPr>
        <w:autoSpaceDE w:val="0"/>
        <w:autoSpaceDN w:val="0"/>
        <w:adjustRightInd w:val="0"/>
        <w:spacing w:line="360" w:lineRule="exact"/>
        <w:ind w:firstLine="42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（某成员单位名称）为联合体名称牵头人。</w:t>
      </w:r>
    </w:p>
    <w:p w14:paraId="39D32AE2">
      <w:pPr>
        <w:autoSpaceDE w:val="0"/>
        <w:autoSpaceDN w:val="0"/>
        <w:adjustRightInd w:val="0"/>
        <w:spacing w:line="360" w:lineRule="exact"/>
        <w:ind w:firstLine="42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联合体牵头人合法代表联合体各成员负责本谈判项目响应文件编制和合同谈判活动，并代表联合体提交和接收相关的资料、信息及指示，并处理与之有关的一切事务，负责合同实施阶段的主办、组织和协调工作。</w:t>
      </w:r>
    </w:p>
    <w:p w14:paraId="2969512E">
      <w:pPr>
        <w:autoSpaceDE w:val="0"/>
        <w:autoSpaceDN w:val="0"/>
        <w:adjustRightInd w:val="0"/>
        <w:spacing w:line="360" w:lineRule="exact"/>
        <w:ind w:firstLine="42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3.联合体牵头人在本项目中签署和盖章的一切文件和处理的一切事宜，联合体各成员均予以承认。 联合体各成员将严格按照谈判文件、响应文件和合同的要求全面履行义务，并向采购人承担连带责任。</w:t>
      </w:r>
    </w:p>
    <w:p w14:paraId="6C7F7092">
      <w:pPr>
        <w:autoSpaceDE w:val="0"/>
        <w:autoSpaceDN w:val="0"/>
        <w:adjustRightInd w:val="0"/>
        <w:spacing w:line="360" w:lineRule="exact"/>
        <w:ind w:firstLine="42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4.联合体各成员单位内部的职责分工如下：</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14:paraId="7A7B031B">
      <w:pPr>
        <w:spacing w:line="360" w:lineRule="exact"/>
        <w:ind w:firstLine="480" w:firstLineChars="20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5</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本联合体中，</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lang w:val="zh-CN"/>
        </w:rPr>
        <w:t>（某成员单位名称）为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lang w:val="zh-CN"/>
        </w:rPr>
        <w:t>（请填写：中型、小型、微型）企业，其协议合同金额占联合体协议合同总金额的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lang w:val="zh-CN"/>
        </w:rPr>
        <w:t>%。【如联合体成员中有小型、微型企业的，请填写此条，否则无需填写；如联合体成员中有多个小型、微型企业的，请逐一列出。】</w:t>
      </w:r>
    </w:p>
    <w:p w14:paraId="579061F0">
      <w:pPr>
        <w:autoSpaceDE w:val="0"/>
        <w:autoSpaceDN w:val="0"/>
        <w:adjustRightInd w:val="0"/>
        <w:spacing w:line="360" w:lineRule="exact"/>
        <w:ind w:firstLine="42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6.本协议书自签署之日起生效，合同履行完毕后自动失效。</w:t>
      </w:r>
    </w:p>
    <w:p w14:paraId="5465CE3F">
      <w:pPr>
        <w:autoSpaceDE w:val="0"/>
        <w:autoSpaceDN w:val="0"/>
        <w:adjustRightInd w:val="0"/>
        <w:spacing w:line="360" w:lineRule="exact"/>
        <w:ind w:firstLine="42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7.本协议书一式</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份，联合体成员和采购代理机构各执一份。</w:t>
      </w:r>
    </w:p>
    <w:p w14:paraId="2ED7B25C">
      <w:pPr>
        <w:autoSpaceDE w:val="0"/>
        <w:autoSpaceDN w:val="0"/>
        <w:adjustRightInd w:val="0"/>
        <w:spacing w:line="360" w:lineRule="exact"/>
        <w:ind w:firstLine="42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注：本协议书由法定代表人签字的，应附法定代表人身份证明；本协议书由委托代理人签字的，应附法定代表人授权委托书。</w:t>
      </w:r>
    </w:p>
    <w:p w14:paraId="255B7258">
      <w:pPr>
        <w:autoSpaceDE w:val="0"/>
        <w:autoSpaceDN w:val="0"/>
        <w:adjustRightInd w:val="0"/>
        <w:spacing w:line="36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牵头人名称：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（盖公章）</w:t>
      </w:r>
    </w:p>
    <w:p w14:paraId="72B00F77">
      <w:pPr>
        <w:autoSpaceDE w:val="0"/>
        <w:autoSpaceDN w:val="0"/>
        <w:adjustRightInd w:val="0"/>
        <w:spacing w:line="36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法定代表人或其委托代理人：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（签字）</w:t>
      </w:r>
    </w:p>
    <w:p w14:paraId="66E6FBD5">
      <w:pPr>
        <w:autoSpaceDE w:val="0"/>
        <w:autoSpaceDN w:val="0"/>
        <w:adjustRightInd w:val="0"/>
        <w:spacing w:line="360" w:lineRule="exact"/>
        <w:jc w:val="left"/>
        <w:rPr>
          <w:rFonts w:ascii="宋体" w:hAnsi="宋体" w:eastAsia="宋体" w:cs="宋体"/>
          <w:color w:val="auto"/>
          <w:kern w:val="0"/>
          <w:sz w:val="24"/>
          <w:szCs w:val="24"/>
          <w:highlight w:val="none"/>
        </w:rPr>
      </w:pPr>
    </w:p>
    <w:p w14:paraId="349C6006">
      <w:pPr>
        <w:autoSpaceDE w:val="0"/>
        <w:autoSpaceDN w:val="0"/>
        <w:adjustRightInd w:val="0"/>
        <w:spacing w:line="36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成员一名称：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（盖公章）</w:t>
      </w:r>
    </w:p>
    <w:p w14:paraId="0665570A">
      <w:pPr>
        <w:autoSpaceDE w:val="0"/>
        <w:autoSpaceDN w:val="0"/>
        <w:adjustRightInd w:val="0"/>
        <w:spacing w:line="36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法定代表人或其委托代理人：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（签字）</w:t>
      </w:r>
    </w:p>
    <w:p w14:paraId="585E8130">
      <w:pPr>
        <w:autoSpaceDE w:val="0"/>
        <w:autoSpaceDN w:val="0"/>
        <w:adjustRightInd w:val="0"/>
        <w:spacing w:line="360" w:lineRule="exact"/>
        <w:jc w:val="left"/>
        <w:rPr>
          <w:rFonts w:ascii="宋体" w:hAnsi="宋体" w:eastAsia="宋体" w:cs="宋体"/>
          <w:color w:val="auto"/>
          <w:kern w:val="0"/>
          <w:szCs w:val="21"/>
          <w:highlight w:val="none"/>
        </w:rPr>
      </w:pPr>
    </w:p>
    <w:p w14:paraId="75A4B6CD">
      <w:pPr>
        <w:autoSpaceDE w:val="0"/>
        <w:autoSpaceDN w:val="0"/>
        <w:adjustRightInd w:val="0"/>
        <w:spacing w:line="36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成员二名称：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（盖公章）</w:t>
      </w:r>
    </w:p>
    <w:p w14:paraId="64061293">
      <w:pPr>
        <w:autoSpaceDE w:val="0"/>
        <w:autoSpaceDN w:val="0"/>
        <w:adjustRightInd w:val="0"/>
        <w:spacing w:line="36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法定代表人或其委托代理人：                         （签字）</w:t>
      </w:r>
    </w:p>
    <w:p w14:paraId="2F55D37B">
      <w:pPr>
        <w:pStyle w:val="6"/>
        <w:overflowPunct w:val="0"/>
        <w:spacing w:line="360" w:lineRule="exact"/>
        <w:ind w:firstLineChars="175"/>
        <w:rPr>
          <w:rFonts w:ascii="宋体" w:hAnsi="宋体" w:cs="宋体"/>
          <w:color w:val="auto"/>
          <w:sz w:val="24"/>
          <w:highlight w:val="none"/>
        </w:rPr>
      </w:pPr>
      <w:r>
        <w:rPr>
          <w:rFonts w:hint="eastAsia" w:ascii="宋体" w:hAnsi="宋体" w:cs="宋体"/>
          <w:color w:val="auto"/>
          <w:sz w:val="24"/>
          <w:highlight w:val="none"/>
        </w:rPr>
        <w:t>……</w:t>
      </w:r>
    </w:p>
    <w:p w14:paraId="1ABBD4DA">
      <w:pPr>
        <w:autoSpaceDE w:val="0"/>
        <w:autoSpaceDN w:val="0"/>
        <w:adjustRightInd w:val="0"/>
        <w:spacing w:line="360" w:lineRule="exact"/>
        <w:jc w:val="left"/>
        <w:rPr>
          <w:rFonts w:ascii="宋体" w:hAnsi="宋体" w:eastAsia="宋体" w:cs="宋体"/>
          <w:color w:val="auto"/>
          <w:kern w:val="0"/>
          <w:sz w:val="24"/>
          <w:szCs w:val="24"/>
          <w:highlight w:val="none"/>
        </w:rPr>
      </w:pPr>
    </w:p>
    <w:p w14:paraId="6FC5566F">
      <w:pPr>
        <w:autoSpaceDE w:val="0"/>
        <w:autoSpaceDN w:val="0"/>
        <w:adjustRightInd w:val="0"/>
        <w:spacing w:line="360" w:lineRule="exact"/>
        <w:jc w:val="left"/>
        <w:rPr>
          <w:rFonts w:ascii="宋体" w:hAnsi="宋体" w:eastAsia="宋体" w:cs="宋体"/>
          <w:color w:val="auto"/>
          <w:kern w:val="0"/>
          <w:sz w:val="24"/>
          <w:szCs w:val="24"/>
          <w:highlight w:val="none"/>
        </w:rPr>
      </w:pPr>
    </w:p>
    <w:p w14:paraId="37FD47EC">
      <w:pPr>
        <w:autoSpaceDE w:val="0"/>
        <w:autoSpaceDN w:val="0"/>
        <w:spacing w:line="360" w:lineRule="exact"/>
        <w:ind w:left="4365" w:leftChars="1850" w:hanging="480" w:hangingChars="200"/>
        <w:rPr>
          <w:rFonts w:ascii="宋体" w:hAnsi="宋体" w:eastAsia="宋体" w:cs="宋体"/>
          <w:color w:val="auto"/>
          <w:kern w:val="0"/>
          <w:sz w:val="24"/>
          <w:szCs w:val="24"/>
          <w:highlight w:val="none"/>
        </w:rPr>
      </w:pPr>
    </w:p>
    <w:p w14:paraId="77ECA1BA">
      <w:pPr>
        <w:autoSpaceDE w:val="0"/>
        <w:autoSpaceDN w:val="0"/>
        <w:spacing w:line="360" w:lineRule="exact"/>
        <w:ind w:firstLine="6120" w:firstLineChars="255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14:paraId="74026CD5">
      <w:pPr>
        <w:autoSpaceDE w:val="0"/>
        <w:autoSpaceDN w:val="0"/>
        <w:spacing w:line="360" w:lineRule="exact"/>
        <w:ind w:firstLine="6120" w:firstLineChars="2550"/>
        <w:rPr>
          <w:rFonts w:ascii="仿宋_GB2312" w:hAnsi="仿宋" w:eastAsia="仿宋_GB2312" w:cs="仿宋_GB2312"/>
          <w:color w:val="auto"/>
          <w:kern w:val="0"/>
          <w:sz w:val="24"/>
          <w:szCs w:val="24"/>
          <w:highlight w:val="none"/>
          <w:lang w:val="zh-CN"/>
        </w:rPr>
      </w:pPr>
    </w:p>
    <w:p w14:paraId="6067127B">
      <w:pPr>
        <w:autoSpaceDE w:val="0"/>
        <w:autoSpaceDN w:val="0"/>
        <w:spacing w:line="360" w:lineRule="auto"/>
        <w:ind w:firstLine="6120" w:firstLineChars="2550"/>
        <w:rPr>
          <w:rFonts w:ascii="仿宋_GB2312" w:hAnsi="仿宋" w:eastAsia="仿宋_GB2312" w:cs="仿宋_GB2312"/>
          <w:color w:val="auto"/>
          <w:kern w:val="0"/>
          <w:sz w:val="24"/>
          <w:szCs w:val="24"/>
          <w:highlight w:val="none"/>
          <w:lang w:val="zh-CN"/>
        </w:rPr>
      </w:pPr>
    </w:p>
    <w:p w14:paraId="7F3F53F3">
      <w:pPr>
        <w:keepNext/>
        <w:keepLines/>
        <w:spacing w:before="260" w:after="260" w:line="416" w:lineRule="auto"/>
        <w:jc w:val="center"/>
        <w:outlineLvl w:val="1"/>
        <w:rPr>
          <w:rFonts w:ascii="宋体" w:hAnsi="宋体" w:eastAsia="宋体" w:cs="Times New Roman"/>
          <w:bCs/>
          <w:color w:val="auto"/>
          <w:sz w:val="32"/>
          <w:szCs w:val="32"/>
          <w:highlight w:val="none"/>
          <w:lang w:val="zh-CN"/>
        </w:rPr>
      </w:pPr>
      <w:bookmarkStart w:id="150" w:name="_Toc80205940"/>
      <w:bookmarkStart w:id="151" w:name="_Toc798"/>
      <w:bookmarkStart w:id="152" w:name="_Toc26899"/>
      <w:r>
        <w:rPr>
          <w:rFonts w:hint="eastAsia" w:ascii="宋体" w:hAnsi="宋体" w:eastAsia="宋体" w:cs="Times New Roman"/>
          <w:color w:val="auto"/>
          <w:sz w:val="32"/>
          <w:szCs w:val="32"/>
          <w:highlight w:val="none"/>
          <w:lang w:val="zh-CN"/>
        </w:rPr>
        <w:t xml:space="preserve">第二节 </w:t>
      </w:r>
      <w:r>
        <w:rPr>
          <w:rFonts w:hint="eastAsia" w:ascii="宋体" w:hAnsi="宋体" w:eastAsia="宋体" w:cs="Times New Roman"/>
          <w:bCs/>
          <w:color w:val="auto"/>
          <w:sz w:val="32"/>
          <w:szCs w:val="32"/>
          <w:highlight w:val="none"/>
          <w:lang w:val="zh-CN"/>
        </w:rPr>
        <w:t>商务技术文件格式</w:t>
      </w:r>
      <w:bookmarkEnd w:id="150"/>
      <w:bookmarkEnd w:id="151"/>
      <w:bookmarkEnd w:id="152"/>
    </w:p>
    <w:p w14:paraId="2045BC61">
      <w:pPr>
        <w:snapToGrid w:val="0"/>
        <w:spacing w:before="120" w:beforeLines="50" w:after="50"/>
        <w:rPr>
          <w:rFonts w:ascii="宋体" w:hAnsi="宋体" w:eastAsia="宋体" w:cs="Times New Roman"/>
          <w:color w:val="auto"/>
          <w:sz w:val="24"/>
          <w:szCs w:val="24"/>
          <w:highlight w:val="none"/>
        </w:rPr>
      </w:pPr>
      <w:r>
        <w:rPr>
          <w:rFonts w:hint="eastAsia" w:ascii="宋体" w:hAnsi="宋体" w:cs="宋体"/>
          <w:b/>
          <w:color w:val="auto"/>
          <w:sz w:val="28"/>
          <w:szCs w:val="28"/>
          <w:highlight w:val="none"/>
        </w:rPr>
        <w:t>1.</w:t>
      </w:r>
      <w:r>
        <w:rPr>
          <w:rFonts w:hint="eastAsia" w:ascii="宋体" w:hAnsi="宋体" w:eastAsia="宋体" w:cs="宋体"/>
          <w:b/>
          <w:color w:val="auto"/>
          <w:sz w:val="28"/>
          <w:szCs w:val="28"/>
          <w:highlight w:val="none"/>
        </w:rPr>
        <w:t>商务技术文件封面</w:t>
      </w:r>
      <w:r>
        <w:rPr>
          <w:rFonts w:hint="eastAsia" w:ascii="宋体" w:hAnsi="宋体" w:cs="宋体"/>
          <w:b/>
          <w:color w:val="auto"/>
          <w:sz w:val="28"/>
          <w:szCs w:val="28"/>
          <w:highlight w:val="none"/>
        </w:rPr>
        <w:t>的</w:t>
      </w:r>
      <w:r>
        <w:rPr>
          <w:rFonts w:hint="eastAsia" w:ascii="宋体" w:hAnsi="宋体" w:eastAsia="宋体" w:cs="宋体"/>
          <w:b/>
          <w:color w:val="auto"/>
          <w:sz w:val="28"/>
          <w:szCs w:val="28"/>
          <w:highlight w:val="none"/>
        </w:rPr>
        <w:t>格式</w:t>
      </w:r>
      <w:r>
        <w:rPr>
          <w:rFonts w:hint="eastAsia" w:ascii="宋体" w:hAnsi="宋体" w:eastAsia="宋体" w:cs="宋体"/>
          <w:b/>
          <w:bCs/>
          <w:color w:val="auto"/>
          <w:sz w:val="28"/>
          <w:szCs w:val="28"/>
          <w:highlight w:val="none"/>
        </w:rPr>
        <w:t>（参照此格式自拟）</w:t>
      </w:r>
      <w:r>
        <w:rPr>
          <w:rFonts w:hint="eastAsia" w:ascii="宋体" w:hAnsi="宋体" w:eastAsia="宋体" w:cs="宋体"/>
          <w:b/>
          <w:color w:val="auto"/>
          <w:sz w:val="28"/>
          <w:szCs w:val="28"/>
          <w:highlight w:val="none"/>
        </w:rPr>
        <w:t>：</w:t>
      </w:r>
      <w:r>
        <w:rPr>
          <w:rFonts w:hint="eastAsia" w:ascii="宋体" w:hAnsi="宋体" w:eastAsia="宋体" w:cs="Times New Roman"/>
          <w:color w:val="auto"/>
          <w:sz w:val="24"/>
          <w:szCs w:val="24"/>
          <w:highlight w:val="none"/>
        </w:rPr>
        <w:t xml:space="preserve">                                                   </w:t>
      </w:r>
    </w:p>
    <w:p w14:paraId="1DE25236">
      <w:pPr>
        <w:snapToGrid w:val="0"/>
        <w:spacing w:before="120" w:beforeLines="50" w:after="50"/>
        <w:ind w:firstLine="6480" w:firstLineChars="2700"/>
        <w:rPr>
          <w:rFonts w:ascii="宋体" w:hAnsi="宋体" w:eastAsia="宋体" w:cs="Times New Roman"/>
          <w:bCs/>
          <w:color w:val="auto"/>
          <w:sz w:val="32"/>
          <w:szCs w:val="20"/>
          <w:highlight w:val="none"/>
        </w:rPr>
      </w:pPr>
      <w:r>
        <w:rPr>
          <w:rFonts w:hint="eastAsia" w:ascii="宋体" w:hAnsi="宋体" w:eastAsia="宋体" w:cs="Times New Roman"/>
          <w:color w:val="auto"/>
          <w:sz w:val="24"/>
          <w:szCs w:val="24"/>
          <w:highlight w:val="none"/>
        </w:rPr>
        <w:t xml:space="preserve"> </w:t>
      </w:r>
      <w:r>
        <w:rPr>
          <w:rFonts w:hint="eastAsia" w:ascii="宋体" w:hAnsi="宋体" w:eastAsia="宋体" w:cs="Times New Roman"/>
          <w:bCs/>
          <w:color w:val="auto"/>
          <w:szCs w:val="24"/>
          <w:highlight w:val="none"/>
        </w:rPr>
        <w:t>全流程电子文件</w:t>
      </w:r>
    </w:p>
    <w:p w14:paraId="0D7C191F">
      <w:pPr>
        <w:snapToGrid w:val="0"/>
        <w:spacing w:before="120" w:beforeLines="50" w:after="50"/>
        <w:rPr>
          <w:rFonts w:ascii="宋体" w:hAnsi="宋体" w:eastAsia="宋体" w:cs="Times New Roman"/>
          <w:color w:val="auto"/>
          <w:sz w:val="24"/>
          <w:szCs w:val="20"/>
          <w:highlight w:val="none"/>
        </w:rPr>
      </w:pPr>
    </w:p>
    <w:p w14:paraId="328831B3">
      <w:pPr>
        <w:snapToGrid w:val="0"/>
        <w:spacing w:before="120" w:beforeLines="50" w:after="50"/>
        <w:rPr>
          <w:rFonts w:ascii="宋体" w:hAnsi="宋体" w:eastAsia="宋体" w:cs="Times New Roman"/>
          <w:color w:val="auto"/>
          <w:sz w:val="24"/>
          <w:szCs w:val="20"/>
          <w:highlight w:val="none"/>
        </w:rPr>
      </w:pPr>
    </w:p>
    <w:p w14:paraId="1390CDF5">
      <w:pPr>
        <w:snapToGrid w:val="0"/>
        <w:spacing w:before="120" w:beforeLines="50" w:after="50"/>
        <w:rPr>
          <w:rFonts w:ascii="宋体" w:hAnsi="宋体" w:eastAsia="宋体" w:cs="Times New Roman"/>
          <w:color w:val="auto"/>
          <w:sz w:val="24"/>
          <w:szCs w:val="20"/>
          <w:highlight w:val="none"/>
        </w:rPr>
      </w:pPr>
    </w:p>
    <w:p w14:paraId="645658FB">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w:t>
      </w:r>
    </w:p>
    <w:p w14:paraId="30302EF4">
      <w:pPr>
        <w:snapToGrid w:val="0"/>
        <w:spacing w:before="120" w:beforeLines="50" w:after="50"/>
        <w:rPr>
          <w:rFonts w:ascii="宋体" w:hAnsi="宋体" w:eastAsia="宋体" w:cs="Times New Roman"/>
          <w:bCs/>
          <w:color w:val="auto"/>
          <w:sz w:val="24"/>
          <w:szCs w:val="20"/>
          <w:highlight w:val="none"/>
        </w:rPr>
      </w:pPr>
    </w:p>
    <w:p w14:paraId="0EFD03AD">
      <w:pPr>
        <w:snapToGrid w:val="0"/>
        <w:spacing w:before="120" w:beforeLines="50" w:after="50"/>
        <w:rPr>
          <w:rFonts w:ascii="宋体" w:hAnsi="宋体" w:eastAsia="宋体" w:cs="Times New Roman"/>
          <w:bCs/>
          <w:color w:val="auto"/>
          <w:sz w:val="24"/>
          <w:szCs w:val="20"/>
          <w:highlight w:val="none"/>
        </w:rPr>
      </w:pPr>
    </w:p>
    <w:p w14:paraId="2F031D35">
      <w:pPr>
        <w:snapToGrid w:val="0"/>
        <w:spacing w:before="120" w:beforeLines="50" w:after="50"/>
        <w:rPr>
          <w:rFonts w:ascii="宋体" w:hAnsi="宋体" w:eastAsia="宋体" w:cs="Times New Roman"/>
          <w:bCs/>
          <w:color w:val="auto"/>
          <w:sz w:val="24"/>
          <w:szCs w:val="20"/>
          <w:highlight w:val="none"/>
        </w:rPr>
      </w:pPr>
    </w:p>
    <w:p w14:paraId="20F1D068">
      <w:pPr>
        <w:snapToGrid w:val="0"/>
        <w:spacing w:before="120" w:beforeLines="50" w:after="50"/>
        <w:rPr>
          <w:rFonts w:ascii="宋体" w:hAnsi="宋体" w:eastAsia="宋体" w:cs="Times New Roman"/>
          <w:bCs/>
          <w:color w:val="auto"/>
          <w:sz w:val="24"/>
          <w:szCs w:val="20"/>
          <w:highlight w:val="none"/>
        </w:rPr>
      </w:pPr>
    </w:p>
    <w:p w14:paraId="2A3818EB">
      <w:pPr>
        <w:snapToGrid w:val="0"/>
        <w:spacing w:before="120" w:beforeLines="50" w:after="50"/>
        <w:rPr>
          <w:rFonts w:ascii="宋体" w:hAnsi="宋体" w:eastAsia="宋体" w:cs="Times New Roman"/>
          <w:bCs/>
          <w:color w:val="auto"/>
          <w:sz w:val="24"/>
          <w:szCs w:val="20"/>
          <w:highlight w:val="none"/>
        </w:rPr>
      </w:pPr>
    </w:p>
    <w:p w14:paraId="68FC2289">
      <w:pPr>
        <w:snapToGrid w:val="0"/>
        <w:spacing w:before="120"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项目名称： </w:t>
      </w:r>
    </w:p>
    <w:p w14:paraId="4BFF80C4">
      <w:pPr>
        <w:snapToGrid w:val="0"/>
        <w:spacing w:before="120" w:beforeLines="50" w:after="50"/>
        <w:ind w:firstLine="720" w:firstLineChars="225"/>
        <w:rPr>
          <w:rFonts w:ascii="宋体" w:hAnsi="宋体" w:eastAsia="宋体" w:cs="仿宋_GB2312"/>
          <w:bCs/>
          <w:color w:val="auto"/>
          <w:sz w:val="32"/>
          <w:szCs w:val="32"/>
          <w:highlight w:val="none"/>
        </w:rPr>
      </w:pPr>
    </w:p>
    <w:p w14:paraId="79D60008">
      <w:pPr>
        <w:snapToGrid w:val="0"/>
        <w:spacing w:before="120"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项目编号： </w:t>
      </w:r>
    </w:p>
    <w:p w14:paraId="5A6DDCCE">
      <w:pPr>
        <w:snapToGrid w:val="0"/>
        <w:spacing w:before="120" w:beforeLines="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 </w:t>
      </w:r>
    </w:p>
    <w:p w14:paraId="42A1E863">
      <w:pPr>
        <w:snapToGrid w:val="0"/>
        <w:spacing w:before="120"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所竞分标（如有则填写，无分标时填写“无”或者留空）：</w:t>
      </w:r>
    </w:p>
    <w:p w14:paraId="0E29FF52">
      <w:pPr>
        <w:snapToGrid w:val="0"/>
        <w:spacing w:before="120" w:beforeLines="50" w:after="50"/>
        <w:ind w:firstLine="720" w:firstLineChars="225"/>
        <w:rPr>
          <w:rFonts w:ascii="宋体" w:hAnsi="宋体" w:eastAsia="宋体" w:cs="仿宋_GB2312"/>
          <w:bCs/>
          <w:color w:val="auto"/>
          <w:sz w:val="32"/>
          <w:szCs w:val="32"/>
          <w:highlight w:val="none"/>
        </w:rPr>
      </w:pPr>
    </w:p>
    <w:p w14:paraId="790AA9FF">
      <w:pPr>
        <w:snapToGrid w:val="0"/>
        <w:spacing w:before="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供应商名称：</w:t>
      </w:r>
    </w:p>
    <w:p w14:paraId="70C0C438">
      <w:pPr>
        <w:snapToGrid w:val="0"/>
        <w:spacing w:before="50" w:after="50"/>
        <w:ind w:firstLine="720" w:firstLineChars="225"/>
        <w:rPr>
          <w:rFonts w:ascii="宋体" w:hAnsi="宋体" w:eastAsia="宋体" w:cs="仿宋_GB2312"/>
          <w:bCs/>
          <w:color w:val="auto"/>
          <w:sz w:val="32"/>
          <w:szCs w:val="32"/>
          <w:highlight w:val="none"/>
        </w:rPr>
      </w:pPr>
    </w:p>
    <w:p w14:paraId="035CB83C">
      <w:pPr>
        <w:snapToGrid w:val="0"/>
        <w:spacing w:before="50" w:after="50"/>
        <w:ind w:firstLine="720" w:firstLineChars="225"/>
        <w:rPr>
          <w:rFonts w:ascii="宋体" w:hAnsi="宋体" w:eastAsia="宋体" w:cs="仿宋_GB2312"/>
          <w:bCs/>
          <w:color w:val="auto"/>
          <w:sz w:val="32"/>
          <w:szCs w:val="32"/>
          <w:highlight w:val="none"/>
        </w:rPr>
      </w:pPr>
    </w:p>
    <w:p w14:paraId="15D9B140">
      <w:pPr>
        <w:snapToGrid w:val="0"/>
        <w:spacing w:before="50" w:after="50"/>
        <w:ind w:firstLine="1280" w:firstLineChars="400"/>
        <w:rPr>
          <w:rFonts w:ascii="宋体" w:hAnsi="宋体" w:eastAsia="宋体" w:cs="仿宋_GB2312"/>
          <w:bCs/>
          <w:color w:val="auto"/>
          <w:sz w:val="32"/>
          <w:szCs w:val="32"/>
          <w:highlight w:val="none"/>
        </w:rPr>
      </w:pPr>
    </w:p>
    <w:p w14:paraId="5062699E">
      <w:pPr>
        <w:snapToGrid w:val="0"/>
        <w:spacing w:before="120" w:beforeLines="50" w:after="50"/>
        <w:jc w:val="center"/>
        <w:rPr>
          <w:rFonts w:ascii="宋体" w:hAnsi="宋体" w:eastAsia="宋体" w:cs="仿宋_GB2312"/>
          <w:color w:val="auto"/>
          <w:sz w:val="32"/>
          <w:szCs w:val="32"/>
          <w:highlight w:val="none"/>
        </w:rPr>
      </w:pPr>
      <w:r>
        <w:rPr>
          <w:rFonts w:hint="eastAsia" w:ascii="宋体" w:hAnsi="宋体" w:eastAsia="宋体" w:cs="仿宋_GB2312"/>
          <w:color w:val="auto"/>
          <w:sz w:val="32"/>
          <w:szCs w:val="32"/>
          <w:highlight w:val="none"/>
        </w:rPr>
        <w:t>年    月    日</w:t>
      </w:r>
    </w:p>
    <w:p w14:paraId="1B459BC0">
      <w:pPr>
        <w:spacing w:line="360" w:lineRule="auto"/>
        <w:ind w:right="420"/>
        <w:rPr>
          <w:rFonts w:ascii="宋体" w:hAnsi="宋体" w:cs="宋体"/>
          <w:color w:val="auto"/>
          <w:sz w:val="24"/>
          <w:szCs w:val="20"/>
          <w:highlight w:val="none"/>
        </w:rPr>
      </w:pPr>
      <w:r>
        <w:rPr>
          <w:rFonts w:ascii="宋体" w:hAnsi="宋体" w:eastAsia="宋体" w:cs="Times New Roman"/>
          <w:color w:val="auto"/>
          <w:sz w:val="24"/>
          <w:szCs w:val="24"/>
          <w:highlight w:val="none"/>
        </w:rPr>
        <w:br w:type="page"/>
      </w:r>
      <w:r>
        <w:rPr>
          <w:rFonts w:hint="eastAsia" w:ascii="宋体" w:hAnsi="宋体" w:eastAsia="宋体" w:cs="宋体"/>
          <w:b/>
          <w:bCs/>
          <w:color w:val="auto"/>
          <w:sz w:val="28"/>
          <w:szCs w:val="28"/>
          <w:highlight w:val="none"/>
        </w:rPr>
        <w:t>2.商务技术文件目录</w:t>
      </w:r>
    </w:p>
    <w:p w14:paraId="1BBFEF94">
      <w:pPr>
        <w:spacing w:line="360" w:lineRule="auto"/>
        <w:rPr>
          <w:rFonts w:ascii="仿宋_GB2312" w:hAnsi="仿宋" w:eastAsia="仿宋_GB2312" w:cs="仿宋_GB2312"/>
          <w:b/>
          <w:bCs/>
          <w:color w:val="auto"/>
          <w:sz w:val="24"/>
          <w:szCs w:val="24"/>
          <w:highlight w:val="none"/>
        </w:rPr>
      </w:pPr>
      <w:r>
        <w:rPr>
          <w:rFonts w:hint="eastAsia" w:ascii="宋体" w:hAnsi="宋体" w:eastAsia="宋体" w:cs="宋体"/>
          <w:color w:val="auto"/>
          <w:kern w:val="0"/>
          <w:sz w:val="24"/>
          <w:szCs w:val="24"/>
          <w:highlight w:val="none"/>
        </w:rPr>
        <w:t>根据竞争性谈判文件规定及供应商提供的材料自行编写目录（部分格式后附）。</w:t>
      </w:r>
    </w:p>
    <w:p w14:paraId="13B47787">
      <w:pPr>
        <w:snapToGrid w:val="0"/>
        <w:spacing w:before="120" w:beforeLines="50" w:after="50" w:line="360" w:lineRule="auto"/>
        <w:ind w:left="142" w:firstLine="640" w:firstLineChars="200"/>
        <w:jc w:val="left"/>
        <w:rPr>
          <w:rFonts w:ascii="仿宋_GB2312" w:hAnsi="仿宋_GB2312" w:eastAsia="仿宋_GB2312" w:cs="仿宋_GB2312"/>
          <w:color w:val="auto"/>
          <w:sz w:val="32"/>
          <w:szCs w:val="32"/>
          <w:highlight w:val="none"/>
        </w:rPr>
      </w:pPr>
    </w:p>
    <w:p w14:paraId="112D97F7">
      <w:pPr>
        <w:spacing w:line="520" w:lineRule="exact"/>
        <w:ind w:firstLine="220" w:firstLineChars="50"/>
        <w:jc w:val="left"/>
        <w:rPr>
          <w:rFonts w:ascii="宋体" w:hAnsi="宋体" w:eastAsia="宋体" w:cs="宋体"/>
          <w:color w:val="auto"/>
          <w:sz w:val="28"/>
          <w:szCs w:val="28"/>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宋体" w:hAnsi="宋体" w:eastAsia="宋体" w:cs="宋体"/>
          <w:b/>
          <w:color w:val="auto"/>
          <w:sz w:val="28"/>
          <w:szCs w:val="28"/>
          <w:highlight w:val="none"/>
        </w:rPr>
        <w:t>3.无串通竞标行为的承诺函的格式：</w:t>
      </w:r>
    </w:p>
    <w:p w14:paraId="2B79D7EE">
      <w:pPr>
        <w:spacing w:line="520" w:lineRule="exact"/>
        <w:jc w:val="center"/>
        <w:rPr>
          <w:rFonts w:ascii="方正小标宋简体" w:hAnsi="方正小标宋简体" w:eastAsia="方正小标宋简体" w:cs="方正小标宋简体"/>
          <w:color w:val="auto"/>
          <w:sz w:val="44"/>
          <w:szCs w:val="44"/>
          <w:highlight w:val="none"/>
        </w:rPr>
      </w:pPr>
    </w:p>
    <w:p w14:paraId="259A5C45">
      <w:pPr>
        <w:spacing w:line="520" w:lineRule="exact"/>
        <w:jc w:val="center"/>
        <w:rPr>
          <w:rFonts w:ascii="宋体" w:hAnsi="宋体" w:eastAsia="宋体" w:cs="宋体"/>
          <w:color w:val="auto"/>
          <w:sz w:val="36"/>
          <w:szCs w:val="36"/>
          <w:highlight w:val="none"/>
        </w:rPr>
      </w:pPr>
      <w:r>
        <w:rPr>
          <w:rFonts w:hint="eastAsia" w:ascii="宋体" w:hAnsi="宋体" w:eastAsia="宋体" w:cs="宋体"/>
          <w:b/>
          <w:bCs/>
          <w:color w:val="auto"/>
          <w:sz w:val="32"/>
          <w:szCs w:val="32"/>
          <w:highlight w:val="none"/>
        </w:rPr>
        <w:t>无串通竞标行为的承诺函</w:t>
      </w:r>
    </w:p>
    <w:p w14:paraId="14076353">
      <w:pPr>
        <w:spacing w:line="400" w:lineRule="exact"/>
        <w:contextualSpacing/>
        <w:rPr>
          <w:rFonts w:ascii="仿宋_GB2312" w:hAnsi="仿宋_GB2312" w:eastAsia="仿宋_GB2312" w:cs="仿宋_GB2312"/>
          <w:color w:val="auto"/>
          <w:sz w:val="32"/>
          <w:szCs w:val="32"/>
          <w:highlight w:val="none"/>
        </w:rPr>
      </w:pPr>
    </w:p>
    <w:p w14:paraId="10446597">
      <w:pPr>
        <w:spacing w:line="400" w:lineRule="exact"/>
        <w:ind w:firstLine="482" w:firstLineChars="200"/>
        <w:contextualSpacing/>
        <w:rPr>
          <w:rFonts w:ascii="宋体" w:hAnsi="宋体" w:eastAsia="宋体" w:cs="仿宋_GB2312"/>
          <w:b/>
          <w:bCs/>
          <w:color w:val="auto"/>
          <w:sz w:val="24"/>
          <w:szCs w:val="24"/>
          <w:highlight w:val="none"/>
        </w:rPr>
      </w:pPr>
      <w:r>
        <w:rPr>
          <w:rFonts w:hint="eastAsia" w:ascii="宋体" w:hAnsi="宋体" w:eastAsia="宋体" w:cs="仿宋_GB2312"/>
          <w:b/>
          <w:bCs/>
          <w:color w:val="auto"/>
          <w:sz w:val="24"/>
          <w:szCs w:val="24"/>
          <w:highlight w:val="none"/>
        </w:rPr>
        <w:t>一、我方承诺无下列相互串通竞标的情形：</w:t>
      </w:r>
    </w:p>
    <w:p w14:paraId="53B9E5D6">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1.不同供应商的响应文件由同一单位或者个人编制；或不同供应商报名的IP地址一致的；</w:t>
      </w:r>
    </w:p>
    <w:p w14:paraId="2A48C953">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2.不同供应商委托同一单位或者个人办理竞标事宜；</w:t>
      </w:r>
    </w:p>
    <w:p w14:paraId="0130BF75">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3.不同的供应商的响应文件载明的项目管理员为同一个人；</w:t>
      </w:r>
    </w:p>
    <w:p w14:paraId="02168619">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4.不</w:t>
      </w:r>
      <w:r>
        <w:rPr>
          <w:rFonts w:hint="eastAsia" w:ascii="宋体" w:hAnsi="宋体" w:eastAsia="宋体" w:cs="仿宋_GB2312"/>
          <w:color w:val="auto"/>
          <w:spacing w:val="-6"/>
          <w:sz w:val="24"/>
          <w:szCs w:val="24"/>
          <w:highlight w:val="none"/>
        </w:rPr>
        <w:t>同供应商的响应文件异常一致或者竞标报价呈规律性差异；</w:t>
      </w:r>
    </w:p>
    <w:p w14:paraId="319121E7">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5.不同供应商的响应文件相互混装；</w:t>
      </w:r>
    </w:p>
    <w:p w14:paraId="1F0CEC4A">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6.不同供应商的谈判保证金从同一单位或者个人账户转出。</w:t>
      </w:r>
    </w:p>
    <w:p w14:paraId="4EB886C5">
      <w:pPr>
        <w:spacing w:line="400" w:lineRule="exact"/>
        <w:ind w:firstLine="482" w:firstLineChars="200"/>
        <w:contextualSpacing/>
        <w:rPr>
          <w:rFonts w:ascii="宋体" w:hAnsi="宋体" w:eastAsia="宋体" w:cs="仿宋_GB2312"/>
          <w:b/>
          <w:bCs/>
          <w:color w:val="auto"/>
          <w:sz w:val="24"/>
          <w:szCs w:val="24"/>
          <w:highlight w:val="none"/>
        </w:rPr>
      </w:pPr>
      <w:r>
        <w:rPr>
          <w:rFonts w:hint="eastAsia" w:ascii="宋体" w:hAnsi="宋体" w:eastAsia="宋体" w:cs="仿宋_GB2312"/>
          <w:b/>
          <w:bCs/>
          <w:color w:val="auto"/>
          <w:sz w:val="24"/>
          <w:szCs w:val="24"/>
          <w:highlight w:val="none"/>
        </w:rPr>
        <w:t>二、我方承诺无下列恶意串通的情形：</w:t>
      </w:r>
    </w:p>
    <w:p w14:paraId="1BA70C1F">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1.供应商直接或者间接从采购人或者采购代理机构处获得其他供应商的相关信息并修改其响应文件；</w:t>
      </w:r>
    </w:p>
    <w:p w14:paraId="3799AC86">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2.供应商按照采购人或者采购代理机构的授意撤换、修改响应文件；</w:t>
      </w:r>
    </w:p>
    <w:p w14:paraId="5416F1E1">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3.供</w:t>
      </w:r>
      <w:r>
        <w:rPr>
          <w:rFonts w:hint="eastAsia" w:ascii="宋体" w:hAnsi="宋体" w:eastAsia="宋体" w:cs="仿宋_GB2312"/>
          <w:color w:val="auto"/>
          <w:spacing w:val="-6"/>
          <w:sz w:val="24"/>
          <w:szCs w:val="24"/>
          <w:highlight w:val="none"/>
        </w:rPr>
        <w:t>应商之间协商报价、技术方案等响应文件的实质性内容；</w:t>
      </w:r>
    </w:p>
    <w:p w14:paraId="74BCD86C">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4.属于同一集团、协会、商会等组织成员的供应商按照该组织要求协同参加政府采购活动；</w:t>
      </w:r>
    </w:p>
    <w:p w14:paraId="5FE02EDF">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5.供应商之间事先约定一致抬高或者压低竞标报价,或者在竞争性谈判项目中事先约定轮流以高价位或者低价位成交,或者事先约定由某一特定供应商成交,然后再参加竞标；</w:t>
      </w:r>
    </w:p>
    <w:p w14:paraId="4EEF4E60">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6.供应商之间商定部分供应商放弃参加政府采购活动或者放弃成交；</w:t>
      </w:r>
    </w:p>
    <w:p w14:paraId="74435518">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7.供应商与采购人或者采购代理机构之间、供应商相互之间，为</w:t>
      </w:r>
      <w:r>
        <w:rPr>
          <w:rFonts w:hint="eastAsia" w:ascii="宋体" w:hAnsi="宋体" w:eastAsia="宋体" w:cs="仿宋_GB2312"/>
          <w:color w:val="auto"/>
          <w:spacing w:val="-6"/>
          <w:sz w:val="24"/>
          <w:szCs w:val="24"/>
          <w:highlight w:val="none"/>
        </w:rPr>
        <w:t>谋求特定供应商成交或者排斥其他供应商的其他串通行为。</w:t>
      </w:r>
    </w:p>
    <w:p w14:paraId="67B51394">
      <w:pPr>
        <w:spacing w:line="400" w:lineRule="exact"/>
        <w:ind w:firstLine="480" w:firstLineChars="200"/>
        <w:contextualSpacing/>
        <w:rPr>
          <w:rFonts w:ascii="宋体" w:hAnsi="宋体" w:eastAsia="宋体" w:cs="仿宋_GB2312"/>
          <w:color w:val="auto"/>
          <w:sz w:val="24"/>
          <w:szCs w:val="24"/>
          <w:highlight w:val="none"/>
        </w:rPr>
      </w:pPr>
    </w:p>
    <w:p w14:paraId="52422654">
      <w:pPr>
        <w:spacing w:line="400" w:lineRule="exact"/>
        <w:ind w:firstLine="482" w:firstLineChars="200"/>
        <w:contextualSpacing/>
        <w:rPr>
          <w:rFonts w:ascii="宋体" w:hAnsi="宋体" w:eastAsia="宋体" w:cs="仿宋_GB2312"/>
          <w:b/>
          <w:bCs/>
          <w:color w:val="auto"/>
          <w:sz w:val="24"/>
          <w:szCs w:val="24"/>
          <w:highlight w:val="none"/>
        </w:rPr>
      </w:pPr>
      <w:r>
        <w:rPr>
          <w:rFonts w:hint="eastAsia" w:ascii="宋体" w:hAnsi="宋体" w:eastAsia="宋体"/>
          <w:b/>
          <w:bCs/>
          <w:color w:val="auto"/>
          <w:sz w:val="24"/>
          <w:szCs w:val="24"/>
          <w:highlight w:val="none"/>
        </w:rPr>
        <w:t>以上情形一经核查属实，接受政府采购监管部门对我方认定存在围标串标行为，我方愿意承担一切后果，并不再寻求任何旨在减轻或者免除法律责任的辩解</w:t>
      </w:r>
      <w:r>
        <w:rPr>
          <w:rFonts w:hint="eastAsia" w:ascii="宋体" w:hAnsi="宋体" w:eastAsia="宋体" w:cs="仿宋_GB2312"/>
          <w:b/>
          <w:bCs/>
          <w:color w:val="auto"/>
          <w:sz w:val="24"/>
          <w:szCs w:val="24"/>
          <w:highlight w:val="none"/>
        </w:rPr>
        <w:t>。</w:t>
      </w:r>
    </w:p>
    <w:p w14:paraId="6E547CA8">
      <w:pPr>
        <w:pStyle w:val="21"/>
        <w:rPr>
          <w:rFonts w:ascii="宋体" w:hAnsi="宋体" w:cs="仿宋_GB2312"/>
          <w:b/>
          <w:bCs/>
          <w:color w:val="auto"/>
          <w:sz w:val="24"/>
          <w:szCs w:val="24"/>
          <w:highlight w:val="none"/>
        </w:rPr>
      </w:pPr>
    </w:p>
    <w:p w14:paraId="0CD5692B">
      <w:pPr>
        <w:pStyle w:val="21"/>
        <w:rPr>
          <w:rFonts w:ascii="宋体" w:hAnsi="宋体" w:cs="仿宋_GB2312"/>
          <w:b/>
          <w:bCs/>
          <w:color w:val="auto"/>
          <w:sz w:val="24"/>
          <w:szCs w:val="24"/>
          <w:highlight w:val="none"/>
        </w:rPr>
      </w:pPr>
    </w:p>
    <w:p w14:paraId="16B82F3F">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3DE76811">
      <w:pPr>
        <w:spacing w:line="520" w:lineRule="exact"/>
        <w:ind w:firstLine="6360" w:firstLineChars="2650"/>
        <w:jc w:val="left"/>
        <w:rPr>
          <w:rFonts w:ascii="仿宋" w:hAnsi="仿宋" w:eastAsia="仿宋" w:cs="仿宋_GB2312"/>
          <w:b/>
          <w:color w:val="auto"/>
          <w:sz w:val="28"/>
          <w:szCs w:val="28"/>
          <w:highlight w:val="none"/>
        </w:rPr>
      </w:pPr>
      <w:r>
        <w:rPr>
          <w:rFonts w:hint="eastAsia" w:ascii="宋体" w:hAnsi="宋体" w:eastAsia="宋体" w:cs="宋体"/>
          <w:color w:val="auto"/>
          <w:kern w:val="0"/>
          <w:sz w:val="24"/>
          <w:szCs w:val="24"/>
          <w:highlight w:val="none"/>
          <w:lang w:val="zh-CN"/>
        </w:rPr>
        <w:t xml:space="preserve">日期：  年  月   日 </w:t>
      </w:r>
      <w:r>
        <w:rPr>
          <w:rFonts w:hint="eastAsia" w:ascii="仿宋_GB2312" w:hAnsi="仿宋" w:eastAsia="仿宋_GB2312" w:cs="仿宋_GB2312"/>
          <w:color w:val="auto"/>
          <w:kern w:val="0"/>
          <w:sz w:val="24"/>
          <w:szCs w:val="24"/>
          <w:highlight w:val="none"/>
          <w:lang w:val="zh-CN"/>
        </w:rPr>
        <w:t xml:space="preserve">       </w:t>
      </w:r>
      <w:r>
        <w:rPr>
          <w:rFonts w:ascii="宋体" w:hAnsi="宋体" w:eastAsia="宋体" w:cs="Times New Roman"/>
          <w:b/>
          <w:bCs/>
          <w:color w:val="auto"/>
          <w:sz w:val="32"/>
          <w:szCs w:val="32"/>
          <w:highlight w:val="none"/>
        </w:rPr>
        <w:br w:type="page"/>
      </w:r>
      <w:r>
        <w:rPr>
          <w:rFonts w:hint="eastAsia" w:ascii="宋体" w:hAnsi="宋体" w:eastAsia="宋体" w:cs="宋体"/>
          <w:b/>
          <w:color w:val="auto"/>
          <w:sz w:val="28"/>
          <w:szCs w:val="28"/>
          <w:highlight w:val="none"/>
        </w:rPr>
        <w:t>4.法定代表人身份证明的格式：</w:t>
      </w:r>
    </w:p>
    <w:p w14:paraId="548BD801">
      <w:pPr>
        <w:pStyle w:val="21"/>
        <w:rPr>
          <w:color w:val="auto"/>
          <w:highlight w:val="none"/>
        </w:rPr>
      </w:pPr>
    </w:p>
    <w:p w14:paraId="68DC4512">
      <w:pPr>
        <w:spacing w:line="520" w:lineRule="exact"/>
        <w:jc w:val="center"/>
        <w:rPr>
          <w:rFonts w:ascii="仿宋_GB2312" w:hAnsi="仿宋_GB2312" w:eastAsia="仿宋_GB2312" w:cs="仿宋_GB2312"/>
          <w:color w:val="auto"/>
          <w:sz w:val="32"/>
          <w:szCs w:val="32"/>
          <w:highlight w:val="none"/>
        </w:rPr>
      </w:pPr>
      <w:r>
        <w:rPr>
          <w:rFonts w:hint="eastAsia" w:ascii="宋体" w:hAnsi="宋体" w:eastAsia="宋体" w:cs="宋体"/>
          <w:b/>
          <w:color w:val="auto"/>
          <w:sz w:val="32"/>
          <w:szCs w:val="32"/>
          <w:highlight w:val="none"/>
        </w:rPr>
        <w:t>法定代表人身份证明</w:t>
      </w:r>
    </w:p>
    <w:p w14:paraId="2837E189">
      <w:pPr>
        <w:spacing w:line="360" w:lineRule="auto"/>
        <w:ind w:left="540"/>
        <w:contextualSpacing/>
        <w:rPr>
          <w:rFonts w:ascii="仿宋_GB2312" w:hAnsi="仿宋_GB2312" w:eastAsia="仿宋_GB2312" w:cs="仿宋_GB2312"/>
          <w:color w:val="auto"/>
          <w:sz w:val="32"/>
          <w:szCs w:val="32"/>
          <w:highlight w:val="none"/>
        </w:rPr>
      </w:pPr>
    </w:p>
    <w:p w14:paraId="7CAD05F3">
      <w:pPr>
        <w:spacing w:line="360" w:lineRule="auto"/>
        <w:ind w:left="54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p>
    <w:p w14:paraId="1EC3B6BB">
      <w:pPr>
        <w:spacing w:line="360" w:lineRule="auto"/>
        <w:ind w:left="54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 xml:space="preserve">                                                        </w:t>
      </w:r>
    </w:p>
    <w:p w14:paraId="52B1804D">
      <w:pPr>
        <w:spacing w:line="360" w:lineRule="auto"/>
        <w:ind w:left="54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     别：</w:t>
      </w:r>
      <w:r>
        <w:rPr>
          <w:rFonts w:hint="eastAsia" w:ascii="宋体" w:hAnsi="宋体" w:eastAsia="宋体" w:cs="宋体"/>
          <w:color w:val="auto"/>
          <w:sz w:val="24"/>
          <w:szCs w:val="24"/>
          <w:highlight w:val="none"/>
          <w:u w:val="single"/>
        </w:rPr>
        <w:t xml:space="preserve">                </w:t>
      </w:r>
    </w:p>
    <w:p w14:paraId="3E63F539">
      <w:pPr>
        <w:spacing w:line="360" w:lineRule="auto"/>
        <w:ind w:left="540"/>
        <w:contextualSpacing/>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年    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     务：</w:t>
      </w:r>
      <w:r>
        <w:rPr>
          <w:rFonts w:hint="eastAsia" w:ascii="宋体" w:hAnsi="宋体" w:eastAsia="宋体" w:cs="宋体"/>
          <w:color w:val="auto"/>
          <w:sz w:val="24"/>
          <w:szCs w:val="24"/>
          <w:highlight w:val="none"/>
          <w:u w:val="single"/>
        </w:rPr>
        <w:t xml:space="preserve">                </w:t>
      </w:r>
    </w:p>
    <w:p w14:paraId="4DD29F7B">
      <w:pPr>
        <w:spacing w:line="360" w:lineRule="auto"/>
        <w:ind w:left="54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身份证号码：</w:t>
      </w:r>
      <w:r>
        <w:rPr>
          <w:rFonts w:hint="eastAsia" w:ascii="宋体" w:hAnsi="宋体" w:eastAsia="宋体" w:cs="宋体"/>
          <w:color w:val="auto"/>
          <w:sz w:val="24"/>
          <w:szCs w:val="24"/>
          <w:highlight w:val="none"/>
          <w:u w:val="single"/>
        </w:rPr>
        <w:t xml:space="preserve">                                        </w:t>
      </w:r>
    </w:p>
    <w:p w14:paraId="7F16383B">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系</w:t>
      </w:r>
      <w:r>
        <w:rPr>
          <w:rFonts w:hint="eastAsia" w:ascii="宋体" w:hAnsi="宋体" w:eastAsia="宋体" w:cs="宋体"/>
          <w:i/>
          <w:iCs/>
          <w:color w:val="auto"/>
          <w:sz w:val="24"/>
          <w:szCs w:val="24"/>
          <w:highlight w:val="none"/>
          <w:u w:val="single"/>
        </w:rPr>
        <w:t>（供应商名称）</w:t>
      </w:r>
      <w:r>
        <w:rPr>
          <w:rFonts w:hint="eastAsia" w:ascii="宋体" w:hAnsi="宋体" w:eastAsia="宋体" w:cs="宋体"/>
          <w:color w:val="auto"/>
          <w:sz w:val="24"/>
          <w:szCs w:val="24"/>
          <w:highlight w:val="none"/>
        </w:rPr>
        <w:t>的法定代表人。</w:t>
      </w:r>
    </w:p>
    <w:p w14:paraId="71136237">
      <w:pPr>
        <w:spacing w:line="360" w:lineRule="auto"/>
        <w:ind w:left="54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特此证明。</w:t>
      </w:r>
    </w:p>
    <w:p w14:paraId="28FA4899">
      <w:pPr>
        <w:spacing w:line="360" w:lineRule="auto"/>
        <w:ind w:left="540"/>
        <w:contextualSpacing/>
        <w:rPr>
          <w:rFonts w:ascii="宋体" w:hAnsi="宋体" w:eastAsia="宋体" w:cs="宋体"/>
          <w:color w:val="auto"/>
          <w:sz w:val="24"/>
          <w:szCs w:val="24"/>
          <w:highlight w:val="none"/>
        </w:rPr>
      </w:pPr>
    </w:p>
    <w:p w14:paraId="6579B144">
      <w:pPr>
        <w:spacing w:line="360" w:lineRule="auto"/>
        <w:ind w:left="540"/>
        <w:contextualSpacing/>
        <w:rPr>
          <w:rFonts w:ascii="宋体" w:hAnsi="宋体" w:eastAsia="宋体" w:cs="宋体"/>
          <w:color w:val="auto"/>
          <w:sz w:val="24"/>
          <w:szCs w:val="24"/>
          <w:highlight w:val="none"/>
        </w:rPr>
      </w:pPr>
    </w:p>
    <w:p w14:paraId="25C1038D">
      <w:pPr>
        <w:spacing w:line="360" w:lineRule="auto"/>
        <w:ind w:left="540"/>
        <w:contextualSpacing/>
        <w:rPr>
          <w:rFonts w:ascii="宋体" w:hAnsi="宋体" w:eastAsia="宋体" w:cs="宋体"/>
          <w:color w:val="auto"/>
          <w:sz w:val="24"/>
          <w:szCs w:val="24"/>
          <w:highlight w:val="none"/>
        </w:rPr>
      </w:pPr>
    </w:p>
    <w:p w14:paraId="44322DB6">
      <w:pPr>
        <w:spacing w:line="360" w:lineRule="auto"/>
        <w:ind w:left="54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附件：法定代表人有效身份证正反面复印件</w:t>
      </w:r>
    </w:p>
    <w:p w14:paraId="07B12553">
      <w:pPr>
        <w:spacing w:line="360" w:lineRule="auto"/>
        <w:ind w:left="540"/>
        <w:contextualSpacing/>
        <w:rPr>
          <w:rFonts w:ascii="宋体" w:hAnsi="宋体" w:eastAsia="宋体" w:cs="宋体"/>
          <w:color w:val="auto"/>
          <w:sz w:val="24"/>
          <w:szCs w:val="24"/>
          <w:highlight w:val="none"/>
        </w:rPr>
      </w:pPr>
    </w:p>
    <w:p w14:paraId="69B79DF1">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4FEE195C">
      <w:pPr>
        <w:spacing w:line="360" w:lineRule="auto"/>
        <w:contextualSpacing/>
        <w:jc w:val="center"/>
        <w:rPr>
          <w:rFonts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val="zh-CN"/>
        </w:rPr>
        <w:t xml:space="preserve">                                                   日期：  年  月   日</w:t>
      </w:r>
    </w:p>
    <w:p w14:paraId="1F802F1A">
      <w:pPr>
        <w:spacing w:line="360" w:lineRule="auto"/>
        <w:contextualSpacing/>
        <w:jc w:val="left"/>
        <w:rPr>
          <w:rFonts w:ascii="宋体" w:hAnsi="宋体" w:eastAsia="宋体" w:cs="宋体"/>
          <w:color w:val="auto"/>
          <w:sz w:val="24"/>
          <w:szCs w:val="24"/>
          <w:highlight w:val="none"/>
        </w:rPr>
      </w:pPr>
    </w:p>
    <w:p w14:paraId="0FD9ED05">
      <w:pPr>
        <w:spacing w:line="360" w:lineRule="auto"/>
        <w:contextualSpacing/>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注：1.自然人竞标的无需提供，联合体竞标的只需牵头人出具。</w:t>
      </w:r>
    </w:p>
    <w:p w14:paraId="0BFAA218">
      <w:pPr>
        <w:spacing w:line="360" w:lineRule="auto"/>
        <w:ind w:firstLine="480" w:firstLineChars="200"/>
        <w:contextualSpacing/>
        <w:jc w:val="left"/>
        <w:rPr>
          <w:rFonts w:ascii="宋体" w:hAnsi="宋体" w:eastAsia="宋体" w:cs="仿宋_GB2312"/>
          <w:color w:val="auto"/>
          <w:sz w:val="24"/>
          <w:szCs w:val="24"/>
          <w:highlight w:val="none"/>
        </w:rPr>
        <w:sectPr>
          <w:pgSz w:w="11910" w:h="16840"/>
          <w:pgMar w:top="1340" w:right="1500" w:bottom="280" w:left="1680" w:header="720" w:footer="720" w:gutter="0"/>
          <w:cols w:space="720" w:num="1"/>
        </w:sectPr>
      </w:pPr>
      <w:r>
        <w:rPr>
          <w:rFonts w:hint="eastAsia" w:ascii="宋体" w:hAnsi="宋体" w:eastAsia="宋体" w:cs="宋体"/>
          <w:color w:val="auto"/>
          <w:sz w:val="24"/>
          <w:szCs w:val="24"/>
          <w:highlight w:val="none"/>
        </w:rPr>
        <w:t>2.供应商为其他组织或者自然人时，本谈判文件规定的法定代表人指负责人或者自然人。本谈判文件所称负责人是指参加竞标的其他组织营业执照上的负责人，本谈判文件所称自然人指参与竞标的自然人本人。</w:t>
      </w:r>
    </w:p>
    <w:tbl>
      <w:tblPr>
        <w:tblStyle w:val="29"/>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144A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Pr>
          <w:p w14:paraId="4E7D530F">
            <w:pPr>
              <w:spacing w:line="360" w:lineRule="auto"/>
              <w:rPr>
                <w:rFonts w:ascii="宋体" w:hAnsi="Times New Roman" w:eastAsia="宋体" w:cs="Times New Roman"/>
                <w:b/>
                <w:color w:val="auto"/>
                <w:sz w:val="24"/>
                <w:szCs w:val="24"/>
                <w:highlight w:val="none"/>
              </w:rPr>
            </w:pPr>
          </w:p>
          <w:p w14:paraId="6441A9CE">
            <w:pPr>
              <w:spacing w:line="360" w:lineRule="auto"/>
              <w:rPr>
                <w:rFonts w:ascii="宋体" w:hAnsi="Times New Roman" w:eastAsia="宋体" w:cs="Times New Roman"/>
                <w:b/>
                <w:color w:val="auto"/>
                <w:sz w:val="24"/>
                <w:szCs w:val="24"/>
                <w:highlight w:val="none"/>
              </w:rPr>
            </w:pPr>
            <w:r>
              <w:rPr>
                <w:rFonts w:hint="eastAsia" w:ascii="宋体" w:hAnsi="Times New Roman" w:eastAsia="宋体" w:cs="Times New Roman"/>
                <w:b/>
                <w:color w:val="auto"/>
                <w:sz w:val="24"/>
                <w:szCs w:val="24"/>
                <w:highlight w:val="none"/>
              </w:rPr>
              <w:t>法定代表人身份证复印件粘贴处（正、反面）</w:t>
            </w:r>
          </w:p>
        </w:tc>
      </w:tr>
    </w:tbl>
    <w:p w14:paraId="2E64200B">
      <w:pPr>
        <w:spacing w:line="360" w:lineRule="auto"/>
        <w:ind w:firstLine="482" w:firstLineChars="200"/>
        <w:contextualSpacing/>
        <w:jc w:val="left"/>
        <w:rPr>
          <w:rFonts w:ascii="仿宋_GB2312" w:hAnsi="仿宋_GB2312" w:eastAsia="仿宋_GB2312" w:cs="仿宋_GB2312"/>
          <w:b/>
          <w:color w:val="auto"/>
          <w:sz w:val="32"/>
          <w:szCs w:val="32"/>
          <w:highlight w:val="none"/>
        </w:rPr>
      </w:pPr>
      <w:r>
        <w:rPr>
          <w:rFonts w:hint="eastAsia" w:ascii="Times New Roman" w:hAnsi="宋体" w:eastAsia="宋体" w:cs="Times New Roman"/>
          <w:b/>
          <w:color w:val="auto"/>
          <w:sz w:val="24"/>
          <w:szCs w:val="24"/>
          <w:highlight w:val="none"/>
        </w:rPr>
        <w:t>附件：</w:t>
      </w:r>
    </w:p>
    <w:p w14:paraId="2EB94F9E">
      <w:pPr>
        <w:adjustRightInd w:val="0"/>
        <w:snapToGrid w:val="0"/>
        <w:spacing w:line="300" w:lineRule="auto"/>
        <w:jc w:val="left"/>
        <w:rPr>
          <w:rFonts w:ascii="宋体" w:hAnsi="宋体" w:eastAsia="宋体" w:cs="Times New Roman"/>
          <w:b/>
          <w:color w:val="auto"/>
          <w:szCs w:val="21"/>
          <w:highlight w:val="none"/>
        </w:rPr>
      </w:pPr>
    </w:p>
    <w:p w14:paraId="060AF0D2">
      <w:pPr>
        <w:snapToGrid w:val="0"/>
        <w:spacing w:line="360" w:lineRule="auto"/>
        <w:jc w:val="left"/>
        <w:rPr>
          <w:rFonts w:ascii="宋体" w:hAnsi="宋体" w:eastAsia="宋体" w:cs="宋体"/>
          <w:b/>
          <w:color w:val="auto"/>
          <w:sz w:val="28"/>
          <w:szCs w:val="28"/>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宋体" w:hAnsi="宋体" w:eastAsia="宋体" w:cs="宋体"/>
          <w:b/>
          <w:color w:val="auto"/>
          <w:sz w:val="28"/>
          <w:szCs w:val="28"/>
          <w:highlight w:val="none"/>
        </w:rPr>
        <w:t>5.法定代表人授权委托书的格式：</w:t>
      </w:r>
    </w:p>
    <w:p w14:paraId="0E70AF0E">
      <w:pPr>
        <w:spacing w:line="500" w:lineRule="exact"/>
        <w:jc w:val="center"/>
        <w:rPr>
          <w:rFonts w:ascii="方正小标宋简体" w:hAnsi="方正小标宋简体" w:eastAsia="方正小标宋简体" w:cs="方正小标宋简体"/>
          <w:color w:val="auto"/>
          <w:sz w:val="44"/>
          <w:szCs w:val="44"/>
          <w:highlight w:val="none"/>
        </w:rPr>
      </w:pPr>
    </w:p>
    <w:p w14:paraId="44455B2E">
      <w:pPr>
        <w:spacing w:line="520" w:lineRule="exact"/>
        <w:jc w:val="center"/>
        <w:rPr>
          <w:rFonts w:ascii="方正小标宋简体" w:hAnsi="方正小标宋简体" w:eastAsia="方正小标宋简体" w:cs="方正小标宋简体"/>
          <w:b/>
          <w:bCs/>
          <w:color w:val="auto"/>
          <w:sz w:val="32"/>
          <w:szCs w:val="32"/>
          <w:highlight w:val="none"/>
        </w:rPr>
      </w:pPr>
      <w:r>
        <w:rPr>
          <w:rFonts w:hint="eastAsia" w:ascii="方正小标宋简体" w:hAnsi="方正小标宋简体" w:eastAsia="方正小标宋简体" w:cs="方正小标宋简体"/>
          <w:b/>
          <w:bCs/>
          <w:color w:val="auto"/>
          <w:sz w:val="32"/>
          <w:szCs w:val="32"/>
          <w:highlight w:val="none"/>
        </w:rPr>
        <w:t>授权委托书（非联合体竞标格式）</w:t>
      </w:r>
    </w:p>
    <w:p w14:paraId="62A70CDE">
      <w:pPr>
        <w:spacing w:line="520" w:lineRule="exact"/>
        <w:jc w:val="center"/>
        <w:rPr>
          <w:rFonts w:ascii="方正小标宋简体" w:hAnsi="方正小标宋简体" w:eastAsia="方正小标宋简体" w:cs="方正小标宋简体"/>
          <w:b/>
          <w:bCs/>
          <w:color w:val="auto"/>
          <w:sz w:val="32"/>
          <w:szCs w:val="32"/>
          <w:highlight w:val="none"/>
        </w:rPr>
      </w:pPr>
      <w:r>
        <w:rPr>
          <w:rFonts w:hint="eastAsia" w:ascii="方正小标宋简体" w:hAnsi="方正小标宋简体" w:eastAsia="方正小标宋简体" w:cs="方正小标宋简体"/>
          <w:b/>
          <w:bCs/>
          <w:color w:val="auto"/>
          <w:sz w:val="32"/>
          <w:szCs w:val="32"/>
          <w:highlight w:val="none"/>
        </w:rPr>
        <w:t>（如有委托时）</w:t>
      </w:r>
    </w:p>
    <w:p w14:paraId="656CE21C">
      <w:pPr>
        <w:spacing w:line="520" w:lineRule="exact"/>
        <w:rPr>
          <w:rFonts w:ascii="仿宋_GB2312" w:hAnsi="仿宋_GB2312" w:eastAsia="仿宋_GB2312" w:cs="仿宋_GB2312"/>
          <w:color w:val="auto"/>
          <w:sz w:val="32"/>
          <w:szCs w:val="32"/>
          <w:highlight w:val="none"/>
        </w:rPr>
      </w:pPr>
    </w:p>
    <w:p w14:paraId="11376B17">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bookmarkStart w:id="153" w:name="PO_3000001923_PM031_1"/>
      <w:r>
        <w:rPr>
          <w:rFonts w:hint="eastAsia" w:ascii="宋体" w:hAnsi="宋体" w:eastAsia="宋体" w:cs="宋体"/>
          <w:color w:val="auto"/>
          <w:sz w:val="24"/>
          <w:szCs w:val="24"/>
          <w:highlight w:val="none"/>
          <w:u w:val="single"/>
        </w:rPr>
        <w:t>广西科联招标中心有限公司</w:t>
      </w:r>
      <w:bookmarkEnd w:id="153"/>
      <w:r>
        <w:rPr>
          <w:rFonts w:hint="eastAsia" w:ascii="宋体" w:hAnsi="宋体" w:eastAsia="宋体" w:cs="宋体"/>
          <w:color w:val="auto"/>
          <w:sz w:val="24"/>
          <w:szCs w:val="24"/>
          <w:highlight w:val="none"/>
        </w:rPr>
        <w:t>：</w:t>
      </w:r>
    </w:p>
    <w:p w14:paraId="18FFFB6B">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我</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u w:val="single"/>
        </w:rPr>
        <w:t>（姓名）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系</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u w:val="singl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□法定代表人/□负责人/□自然人本人</w:t>
      </w:r>
      <w:r>
        <w:rPr>
          <w:rFonts w:hint="eastAsia" w:ascii="宋体" w:hAnsi="宋体" w:eastAsia="宋体" w:cs="宋体"/>
          <w:color w:val="auto"/>
          <w:sz w:val="24"/>
          <w:szCs w:val="24"/>
          <w:highlight w:val="none"/>
        </w:rPr>
        <w:t>），现授权</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u w:val="single"/>
        </w:rPr>
        <w:t>（姓名）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以我方的名义参加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u w:val="single"/>
        </w:rPr>
        <w:t>（项目名称）</w:t>
      </w:r>
      <w:r>
        <w:rPr>
          <w:rFonts w:hint="eastAsia" w:ascii="宋体" w:hAnsi="宋体" w:eastAsia="宋体" w:cs="宋体"/>
          <w:color w:val="auto"/>
          <w:sz w:val="24"/>
          <w:szCs w:val="24"/>
          <w:highlight w:val="none"/>
        </w:rPr>
        <w:t>项目的竞标活动，并代表我方全权办理针对上述项目的所有采购程序和环节的具体事务和签署相关文件。</w:t>
      </w:r>
    </w:p>
    <w:p w14:paraId="39D308B0">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我方对委托代理人的签字事项负全部责任。</w:t>
      </w:r>
    </w:p>
    <w:p w14:paraId="62AD0245">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本授权书自签署之日起生效，在撤销授权的书面通知以前，本授权书一直有效。委托代理人在授权书有效期内签署的所有文件不因授权的撤销而失效。</w:t>
      </w:r>
    </w:p>
    <w:p w14:paraId="5466916C">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委托代理人无转委托权，特此委托。</w:t>
      </w:r>
    </w:p>
    <w:p w14:paraId="167AF8B6">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附：委托代理人有效身份证正反面复印件</w:t>
      </w:r>
    </w:p>
    <w:p w14:paraId="5F41ADD2">
      <w:pPr>
        <w:spacing w:line="360" w:lineRule="auto"/>
        <w:rPr>
          <w:rFonts w:ascii="宋体" w:hAnsi="宋体" w:eastAsia="宋体" w:cs="宋体"/>
          <w:color w:val="auto"/>
          <w:sz w:val="24"/>
          <w:szCs w:val="24"/>
          <w:highlight w:val="none"/>
        </w:rPr>
      </w:pPr>
    </w:p>
    <w:p w14:paraId="3531EBE5">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委托代理人（签字）：                 法定代表人（签字）：                    </w:t>
      </w:r>
    </w:p>
    <w:p w14:paraId="6D42BEA4">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委托代理人身份证号码：                              </w:t>
      </w:r>
    </w:p>
    <w:p w14:paraId="6333282C">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5C92FC77">
      <w:pPr>
        <w:spacing w:line="360" w:lineRule="auto"/>
        <w:ind w:firstLine="3840" w:firstLineChars="16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kern w:val="0"/>
          <w:sz w:val="24"/>
          <w:szCs w:val="24"/>
          <w:highlight w:val="none"/>
        </w:rPr>
        <w:t>供应商名称（盖公章）：</w:t>
      </w:r>
    </w:p>
    <w:p w14:paraId="10FB0C8E">
      <w:pPr>
        <w:spacing w:line="360" w:lineRule="auto"/>
        <w:contextualSpacing/>
        <w:jc w:val="center"/>
        <w:rPr>
          <w:rFonts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val="zh-CN"/>
        </w:rPr>
        <w:t xml:space="preserve">                                                   日期：  年  月   日</w:t>
      </w:r>
    </w:p>
    <w:p w14:paraId="152E0AA8">
      <w:pPr>
        <w:spacing w:line="360" w:lineRule="auto"/>
        <w:rPr>
          <w:rFonts w:ascii="宋体" w:hAnsi="宋体" w:eastAsia="宋体" w:cs="宋体"/>
          <w:color w:val="auto"/>
          <w:sz w:val="24"/>
          <w:szCs w:val="24"/>
          <w:highlight w:val="none"/>
        </w:rPr>
      </w:pPr>
    </w:p>
    <w:p w14:paraId="34A348AE">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注：1. 法定代表人和委托代理人必须在授权委托书上签字，</w:t>
      </w:r>
      <w:r>
        <w:rPr>
          <w:rFonts w:hint="eastAsia" w:ascii="宋体" w:hAnsi="宋体" w:eastAsia="宋体" w:cs="宋体"/>
          <w:b/>
          <w:color w:val="auto"/>
          <w:sz w:val="24"/>
          <w:szCs w:val="24"/>
          <w:highlight w:val="none"/>
        </w:rPr>
        <w:t>否则其响应文件作无效响应处理。</w:t>
      </w:r>
    </w:p>
    <w:p w14:paraId="6AB6BACE">
      <w:pPr>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6D80FB43">
      <w:pPr>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 法人、其他组织竞标时“我方”是指“我单位”，自然人竞标时“我方”是指“本人”。</w:t>
      </w:r>
    </w:p>
    <w:p w14:paraId="3CA39E62">
      <w:pPr>
        <w:spacing w:line="500" w:lineRule="exact"/>
        <w:jc w:val="center"/>
        <w:rPr>
          <w:rFonts w:ascii="宋体" w:hAnsi="宋体" w:eastAsia="宋体" w:cs="宋体"/>
          <w:b/>
          <w:bCs/>
          <w:color w:val="auto"/>
          <w:sz w:val="32"/>
          <w:szCs w:val="32"/>
          <w:highlight w:val="none"/>
        </w:rPr>
      </w:pPr>
      <w:r>
        <w:rPr>
          <w:rFonts w:hint="eastAsia" w:ascii="宋体" w:hAnsi="宋体" w:eastAsia="宋体" w:cs="宋体"/>
          <w:color w:val="auto"/>
          <w:szCs w:val="21"/>
          <w:highlight w:val="none"/>
        </w:rPr>
        <w:br w:type="page"/>
      </w:r>
      <w:r>
        <w:rPr>
          <w:rFonts w:hint="eastAsia" w:ascii="宋体" w:hAnsi="宋体" w:eastAsia="宋体" w:cs="宋体"/>
          <w:b/>
          <w:bCs/>
          <w:color w:val="auto"/>
          <w:sz w:val="32"/>
          <w:szCs w:val="32"/>
          <w:highlight w:val="none"/>
        </w:rPr>
        <w:t>授权委托书（联合体竞标格式）</w:t>
      </w:r>
    </w:p>
    <w:p w14:paraId="55D3371E">
      <w:pPr>
        <w:spacing w:line="500" w:lineRule="exact"/>
        <w:jc w:val="center"/>
        <w:rPr>
          <w:rFonts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（如有委托时）</w:t>
      </w:r>
    </w:p>
    <w:p w14:paraId="09602CE8">
      <w:pPr>
        <w:spacing w:line="500" w:lineRule="exact"/>
        <w:jc w:val="center"/>
        <w:rPr>
          <w:rFonts w:ascii="方正小标宋简体" w:hAnsi="方正小标宋简体" w:eastAsia="方正小标宋简体" w:cs="方正小标宋简体"/>
          <w:color w:val="auto"/>
          <w:sz w:val="44"/>
          <w:szCs w:val="44"/>
          <w:highlight w:val="none"/>
        </w:rPr>
      </w:pPr>
    </w:p>
    <w:p w14:paraId="46AC66E2">
      <w:pPr>
        <w:spacing w:line="500" w:lineRule="exact"/>
        <w:jc w:val="center"/>
        <w:rPr>
          <w:rFonts w:ascii="仿宋_GB2312" w:hAnsi="仿宋_GB2312" w:eastAsia="仿宋_GB2312" w:cs="仿宋_GB2312"/>
          <w:color w:val="auto"/>
          <w:sz w:val="32"/>
          <w:szCs w:val="32"/>
          <w:highlight w:val="none"/>
        </w:rPr>
      </w:pPr>
    </w:p>
    <w:p w14:paraId="4DFD6367">
      <w:pPr>
        <w:spacing w:line="360" w:lineRule="auto"/>
        <w:ind w:firstLine="480" w:firstLineChars="200"/>
        <w:jc w:val="left"/>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本授权委托书声明：根据</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color w:val="auto"/>
          <w:sz w:val="24"/>
          <w:szCs w:val="24"/>
          <w:highlight w:val="none"/>
        </w:rPr>
        <w:t>（牵头人名称）与</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color w:val="auto"/>
          <w:sz w:val="24"/>
          <w:szCs w:val="24"/>
          <w:highlight w:val="none"/>
        </w:rPr>
        <w:t>（联合体其他成员名称）签订的《联合体竞标协议书》的内容，</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color w:val="auto"/>
          <w:sz w:val="24"/>
          <w:szCs w:val="24"/>
          <w:highlight w:val="none"/>
        </w:rPr>
        <w:t>（牵头人名称）的法定代表人</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i/>
          <w:iCs/>
          <w:color w:val="auto"/>
          <w:sz w:val="24"/>
          <w:szCs w:val="24"/>
          <w:highlight w:val="none"/>
          <w:u w:val="single"/>
        </w:rPr>
        <w:t>（姓名）</w:t>
      </w:r>
      <w:r>
        <w:rPr>
          <w:rFonts w:hint="eastAsia" w:ascii="宋体" w:hAnsi="宋体" w:eastAsia="宋体" w:cs="仿宋_GB2312"/>
          <w:color w:val="auto"/>
          <w:sz w:val="24"/>
          <w:szCs w:val="24"/>
          <w:highlight w:val="none"/>
        </w:rPr>
        <w:t>现授权</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i/>
          <w:iCs/>
          <w:color w:val="auto"/>
          <w:sz w:val="24"/>
          <w:szCs w:val="24"/>
          <w:highlight w:val="none"/>
          <w:u w:val="single"/>
        </w:rPr>
        <w:t>（姓名）</w:t>
      </w:r>
      <w:r>
        <w:rPr>
          <w:rFonts w:hint="eastAsia" w:ascii="宋体" w:hAnsi="宋体" w:eastAsia="宋体" w:cs="仿宋_GB2312"/>
          <w:color w:val="auto"/>
          <w:sz w:val="24"/>
          <w:szCs w:val="24"/>
          <w:highlight w:val="none"/>
        </w:rPr>
        <w:t>为联合委托代理人，并代表我方全权办理针对上述项目的所有采购程序和环节的具体事务和签署相关文件。</w:t>
      </w:r>
    </w:p>
    <w:p w14:paraId="1585D73F">
      <w:pPr>
        <w:spacing w:line="360" w:lineRule="auto"/>
        <w:ind w:firstLine="480" w:firstLineChars="20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我方对委托代理人的签字事项负全部责任。</w:t>
      </w:r>
    </w:p>
    <w:p w14:paraId="6BE1FCC5">
      <w:pPr>
        <w:spacing w:line="360" w:lineRule="auto"/>
        <w:ind w:firstLine="480" w:firstLineChars="20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本授权书自签署之日起生效，在撤销授权的书面通知以前，本授权书一直有效。委托代理人在授权书有效期内签署的所有文件不因授权的撤销而失效。</w:t>
      </w:r>
    </w:p>
    <w:p w14:paraId="147F3B81">
      <w:pPr>
        <w:spacing w:line="360" w:lineRule="auto"/>
        <w:ind w:firstLine="480" w:firstLineChars="20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委托代理人无转委托权，特此委托。</w:t>
      </w:r>
    </w:p>
    <w:p w14:paraId="418DCB87">
      <w:pPr>
        <w:spacing w:line="360" w:lineRule="auto"/>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 xml:space="preserve">    </w:t>
      </w:r>
    </w:p>
    <w:p w14:paraId="37900F9E">
      <w:pPr>
        <w:spacing w:line="360" w:lineRule="auto"/>
        <w:ind w:firstLine="1560" w:firstLineChars="65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牵头人法定代表人（签字）：</w:t>
      </w:r>
    </w:p>
    <w:p w14:paraId="2AB36D6F">
      <w:pPr>
        <w:spacing w:line="360" w:lineRule="auto"/>
        <w:ind w:firstLine="3000" w:firstLineChars="125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牵头人名称（盖公章）：</w:t>
      </w:r>
    </w:p>
    <w:p w14:paraId="2084F800">
      <w:pPr>
        <w:spacing w:line="360" w:lineRule="auto"/>
        <w:ind w:firstLine="3840" w:firstLineChars="160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日期：    年   月   日</w:t>
      </w:r>
    </w:p>
    <w:p w14:paraId="55536DEB">
      <w:pPr>
        <w:spacing w:line="360" w:lineRule="auto"/>
        <w:rPr>
          <w:rFonts w:ascii="宋体" w:hAnsi="宋体" w:eastAsia="宋体" w:cs="仿宋_GB2312"/>
          <w:color w:val="auto"/>
          <w:sz w:val="24"/>
          <w:szCs w:val="24"/>
          <w:highlight w:val="none"/>
        </w:rPr>
      </w:pPr>
    </w:p>
    <w:p w14:paraId="0C0BFEBD">
      <w:pPr>
        <w:spacing w:line="360" w:lineRule="auto"/>
        <w:ind w:firstLine="3120" w:firstLineChars="130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委托代理人（签字）：</w:t>
      </w:r>
    </w:p>
    <w:p w14:paraId="47F63461">
      <w:pPr>
        <w:spacing w:line="360" w:lineRule="auto"/>
        <w:ind w:firstLine="3840" w:firstLineChars="160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日期：    年   月   日</w:t>
      </w:r>
    </w:p>
    <w:p w14:paraId="760A9454">
      <w:pPr>
        <w:spacing w:line="360" w:lineRule="auto"/>
        <w:rPr>
          <w:rFonts w:ascii="宋体" w:hAnsi="宋体" w:eastAsia="宋体" w:cs="仿宋_GB2312"/>
          <w:color w:val="auto"/>
          <w:sz w:val="24"/>
          <w:szCs w:val="24"/>
          <w:highlight w:val="none"/>
        </w:rPr>
      </w:pPr>
    </w:p>
    <w:p w14:paraId="257874E4">
      <w:pPr>
        <w:spacing w:line="360" w:lineRule="auto"/>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注：1. 法定代表人和委托代理人必须在授权委托书上签字，</w:t>
      </w:r>
      <w:r>
        <w:rPr>
          <w:rFonts w:hint="eastAsia" w:ascii="宋体" w:hAnsi="宋体" w:eastAsia="宋体" w:cs="仿宋_GB2312"/>
          <w:b/>
          <w:color w:val="auto"/>
          <w:sz w:val="24"/>
          <w:szCs w:val="24"/>
          <w:highlight w:val="none"/>
        </w:rPr>
        <w:t>否则其响应文件作无效响应处理。</w:t>
      </w:r>
    </w:p>
    <w:p w14:paraId="3BF60466">
      <w:pPr>
        <w:spacing w:line="360" w:lineRule="auto"/>
        <w:ind w:firstLine="480" w:firstLineChars="200"/>
        <w:jc w:val="left"/>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2.本授权委托书应由联合体牵头人的法定代表人按上述规定签署。</w:t>
      </w:r>
    </w:p>
    <w:p w14:paraId="2057D742">
      <w:pPr>
        <w:spacing w:line="360" w:lineRule="auto"/>
        <w:ind w:firstLine="480" w:firstLineChars="200"/>
        <w:jc w:val="left"/>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3</w:t>
      </w:r>
      <w:r>
        <w:rPr>
          <w:rFonts w:ascii="宋体" w:hAnsi="宋体" w:eastAsia="宋体" w:cs="仿宋_GB2312"/>
          <w:color w:val="auto"/>
          <w:sz w:val="24"/>
          <w:szCs w:val="24"/>
          <w:highlight w:val="none"/>
        </w:rPr>
        <w:t>.</w:t>
      </w:r>
      <w:r>
        <w:rPr>
          <w:rFonts w:hint="eastAsia" w:ascii="宋体" w:hAnsi="宋体" w:eastAsia="宋体" w:cs="仿宋_GB2312"/>
          <w:color w:val="auto"/>
          <w:sz w:val="24"/>
          <w:szCs w:val="24"/>
          <w:highlight w:val="none"/>
        </w:rPr>
        <w:t>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7BA2B0BE">
      <w:pPr>
        <w:spacing w:line="360" w:lineRule="auto"/>
        <w:ind w:firstLine="480" w:firstLineChars="200"/>
        <w:jc w:val="left"/>
        <w:rPr>
          <w:rFonts w:ascii="仿宋_GB2312" w:hAnsi="仿宋_GB2312" w:eastAsia="仿宋_GB2312" w:cs="仿宋_GB2312"/>
          <w:color w:val="auto"/>
          <w:szCs w:val="21"/>
          <w:highlight w:val="none"/>
        </w:rPr>
      </w:pPr>
      <w:r>
        <w:rPr>
          <w:rFonts w:hint="eastAsia" w:ascii="宋体" w:hAnsi="宋体" w:eastAsia="宋体" w:cs="仿宋_GB2312"/>
          <w:color w:val="auto"/>
          <w:sz w:val="24"/>
          <w:szCs w:val="24"/>
          <w:highlight w:val="none"/>
        </w:rPr>
        <w:t>4</w:t>
      </w:r>
      <w:r>
        <w:rPr>
          <w:rFonts w:ascii="宋体" w:hAnsi="宋体" w:eastAsia="宋体" w:cs="仿宋_GB2312"/>
          <w:color w:val="auto"/>
          <w:sz w:val="24"/>
          <w:szCs w:val="24"/>
          <w:highlight w:val="none"/>
        </w:rPr>
        <w:t>.</w:t>
      </w:r>
      <w:r>
        <w:rPr>
          <w:rFonts w:hint="eastAsia" w:ascii="宋体" w:hAnsi="宋体" w:eastAsia="宋体" w:cs="仿宋_GB2312"/>
          <w:color w:val="auto"/>
          <w:sz w:val="24"/>
          <w:szCs w:val="24"/>
          <w:highlight w:val="none"/>
        </w:rPr>
        <w:t>法人、其他组织竞标时“我方”是指“我单位”，自然人竞标时“我方”是指“本人”。</w:t>
      </w:r>
    </w:p>
    <w:p w14:paraId="7B5B37C7">
      <w:pPr>
        <w:snapToGrid w:val="0"/>
        <w:spacing w:line="360" w:lineRule="auto"/>
        <w:rPr>
          <w:rFonts w:ascii="宋体" w:hAnsi="宋体" w:eastAsia="宋体" w:cs="Times New Roman"/>
          <w:b/>
          <w:bCs/>
          <w:color w:val="auto"/>
          <w:sz w:val="32"/>
          <w:szCs w:val="32"/>
          <w:highlight w:val="none"/>
        </w:rPr>
      </w:pPr>
      <w:r>
        <w:rPr>
          <w:rFonts w:hint="eastAsia" w:ascii="仿宋_GB2312" w:hAnsi="仿宋_GB2312" w:eastAsia="仿宋_GB2312" w:cs="仿宋_GB2312"/>
          <w:color w:val="auto"/>
          <w:sz w:val="32"/>
          <w:szCs w:val="32"/>
          <w:highlight w:val="none"/>
        </w:rPr>
        <w:br w:type="page"/>
      </w:r>
      <w:r>
        <w:rPr>
          <w:rFonts w:hint="eastAsia" w:ascii="宋体" w:hAnsi="宋体" w:eastAsia="宋体" w:cs="宋体"/>
          <w:b/>
          <w:color w:val="auto"/>
          <w:sz w:val="28"/>
          <w:szCs w:val="28"/>
          <w:highlight w:val="none"/>
        </w:rPr>
        <w:t>6.商务条款偏离表的格式：</w:t>
      </w:r>
    </w:p>
    <w:p w14:paraId="3BBC7CA7">
      <w:pPr>
        <w:spacing w:line="500" w:lineRule="exact"/>
        <w:jc w:val="center"/>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商务条款偏离表</w:t>
      </w:r>
    </w:p>
    <w:p w14:paraId="02E60052">
      <w:pPr>
        <w:spacing w:line="360" w:lineRule="auto"/>
        <w:contextualSpacing/>
        <w:rPr>
          <w:rFonts w:cs="仿宋_GB2312"/>
          <w:color w:val="auto"/>
          <w:sz w:val="24"/>
          <w:highlight w:val="none"/>
        </w:rPr>
      </w:pPr>
    </w:p>
    <w:p w14:paraId="7422D9E2">
      <w:pPr>
        <w:spacing w:line="360" w:lineRule="auto"/>
        <w:contextualSpacing/>
        <w:rPr>
          <w:rFonts w:ascii="宋体" w:hAnsi="宋体" w:eastAsia="宋体" w:cs="宋体"/>
          <w:color w:val="auto"/>
          <w:sz w:val="24"/>
          <w:highlight w:val="none"/>
          <w:u w:val="singl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p>
    <w:p w14:paraId="0B9D3DEF">
      <w:pPr>
        <w:spacing w:line="360" w:lineRule="auto"/>
        <w:contextualSpacing/>
        <w:rPr>
          <w:rFonts w:ascii="宋体" w:hAnsi="宋体" w:eastAsia="宋体" w:cs="宋体"/>
          <w:color w:val="auto"/>
          <w:sz w:val="24"/>
          <w:szCs w:val="24"/>
          <w:highlight w:val="none"/>
        </w:rPr>
      </w:pP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u w:val="single"/>
        </w:rPr>
        <w:t xml:space="preserve">                 </w:t>
      </w:r>
    </w:p>
    <w:p w14:paraId="79ADA508">
      <w:pPr>
        <w:spacing w:line="360" w:lineRule="auto"/>
        <w:contextualSpacing/>
        <w:rPr>
          <w:rFonts w:ascii="宋体" w:hAnsi="宋体" w:eastAsia="宋体" w:cs="宋体"/>
          <w:color w:val="auto"/>
          <w:sz w:val="24"/>
          <w:szCs w:val="24"/>
          <w:highlight w:val="none"/>
          <w:u w:val="single"/>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tbl>
      <w:tblPr>
        <w:tblStyle w:val="29"/>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21C7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vAlign w:val="center"/>
          </w:tcPr>
          <w:p w14:paraId="2D463B84">
            <w:pPr>
              <w:spacing w:line="34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vAlign w:val="center"/>
          </w:tcPr>
          <w:p w14:paraId="0DAB337B">
            <w:pPr>
              <w:spacing w:line="34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竞争性谈判文件的商务条款</w:t>
            </w:r>
          </w:p>
        </w:tc>
        <w:tc>
          <w:tcPr>
            <w:tcW w:w="3589" w:type="dxa"/>
            <w:tcBorders>
              <w:top w:val="single" w:color="auto" w:sz="4" w:space="0"/>
              <w:left w:val="single" w:color="auto" w:sz="4" w:space="0"/>
              <w:bottom w:val="single" w:color="auto" w:sz="4" w:space="0"/>
              <w:right w:val="single" w:color="auto" w:sz="4" w:space="0"/>
            </w:tcBorders>
            <w:vAlign w:val="center"/>
          </w:tcPr>
          <w:p w14:paraId="2EC2BC16">
            <w:pPr>
              <w:spacing w:line="34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响应文件响应的商务条款</w:t>
            </w:r>
          </w:p>
        </w:tc>
        <w:tc>
          <w:tcPr>
            <w:tcW w:w="1274" w:type="dxa"/>
            <w:tcBorders>
              <w:top w:val="single" w:color="auto" w:sz="4" w:space="0"/>
              <w:left w:val="single" w:color="auto" w:sz="4" w:space="0"/>
              <w:bottom w:val="single" w:color="auto" w:sz="4" w:space="0"/>
              <w:right w:val="single" w:color="auto" w:sz="4" w:space="0"/>
            </w:tcBorders>
            <w:vAlign w:val="center"/>
          </w:tcPr>
          <w:p w14:paraId="208B6839">
            <w:pPr>
              <w:spacing w:line="34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14:paraId="1574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2DA86529">
            <w:pPr>
              <w:spacing w:line="340" w:lineRule="exact"/>
              <w:rPr>
                <w:rFonts w:ascii="宋体" w:hAnsi="宋体" w:eastAsia="宋体" w:cs="宋体"/>
                <w:color w:val="auto"/>
                <w:szCs w:val="21"/>
                <w:highlight w:val="none"/>
              </w:rPr>
            </w:pPr>
            <w:r>
              <w:rPr>
                <w:rFonts w:hint="eastAsia" w:ascii="宋体" w:hAnsi="宋体" w:eastAsia="宋体" w:cs="宋体"/>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tcPr>
          <w:p w14:paraId="6151E8E0">
            <w:pPr>
              <w:spacing w:line="340" w:lineRule="exact"/>
              <w:rPr>
                <w:rFonts w:ascii="宋体" w:hAnsi="宋体" w:eastAsia="宋体" w:cs="宋体"/>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tcPr>
          <w:p w14:paraId="74FCFF47">
            <w:pPr>
              <w:spacing w:line="340" w:lineRule="exact"/>
              <w:rPr>
                <w:rFonts w:ascii="宋体" w:hAnsi="宋体" w:eastAsia="宋体" w:cs="宋体"/>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tcPr>
          <w:p w14:paraId="4EB600BE">
            <w:pPr>
              <w:spacing w:line="300" w:lineRule="exact"/>
              <w:rPr>
                <w:rFonts w:ascii="宋体" w:hAnsi="宋体" w:eastAsia="宋体" w:cs="宋体"/>
                <w:color w:val="auto"/>
                <w:szCs w:val="21"/>
                <w:highlight w:val="none"/>
              </w:rPr>
            </w:pPr>
          </w:p>
        </w:tc>
      </w:tr>
      <w:tr w14:paraId="54F7E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1702BA9E">
            <w:pPr>
              <w:spacing w:line="340" w:lineRule="exact"/>
              <w:rPr>
                <w:rFonts w:ascii="宋体" w:hAnsi="宋体" w:eastAsia="宋体" w:cs="宋体"/>
                <w:color w:val="auto"/>
                <w:szCs w:val="21"/>
                <w:highlight w:val="none"/>
              </w:rPr>
            </w:pPr>
            <w:r>
              <w:rPr>
                <w:rFonts w:hint="eastAsia" w:ascii="宋体" w:hAnsi="宋体" w:eastAsia="宋体" w:cs="宋体"/>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tcPr>
          <w:p w14:paraId="41B96D3F">
            <w:pPr>
              <w:spacing w:line="340" w:lineRule="exact"/>
              <w:rPr>
                <w:rFonts w:ascii="宋体" w:hAnsi="宋体" w:eastAsia="宋体" w:cs="宋体"/>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tcPr>
          <w:p w14:paraId="6FE67400">
            <w:pPr>
              <w:spacing w:line="340" w:lineRule="exact"/>
              <w:rPr>
                <w:rFonts w:ascii="宋体" w:hAnsi="宋体" w:eastAsia="宋体" w:cs="宋体"/>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tcPr>
          <w:p w14:paraId="0CD30C78">
            <w:pPr>
              <w:spacing w:line="300" w:lineRule="exact"/>
              <w:rPr>
                <w:rFonts w:ascii="宋体" w:hAnsi="宋体" w:eastAsia="宋体" w:cs="宋体"/>
                <w:color w:val="auto"/>
                <w:szCs w:val="21"/>
                <w:highlight w:val="none"/>
              </w:rPr>
            </w:pPr>
          </w:p>
        </w:tc>
      </w:tr>
      <w:tr w14:paraId="28973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tcPr>
          <w:p w14:paraId="4CB19790">
            <w:pPr>
              <w:spacing w:line="340" w:lineRule="exact"/>
              <w:rPr>
                <w:rFonts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tcPr>
          <w:p w14:paraId="08801E20">
            <w:pPr>
              <w:spacing w:line="340" w:lineRule="exact"/>
              <w:rPr>
                <w:rFonts w:ascii="宋体" w:hAnsi="宋体" w:eastAsia="宋体" w:cs="宋体"/>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tcPr>
          <w:p w14:paraId="704A9613">
            <w:pPr>
              <w:spacing w:line="340" w:lineRule="exact"/>
              <w:rPr>
                <w:rFonts w:ascii="宋体" w:hAnsi="宋体" w:eastAsia="宋体" w:cs="宋体"/>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tcPr>
          <w:p w14:paraId="51DFB8DF">
            <w:pPr>
              <w:spacing w:line="300" w:lineRule="exact"/>
              <w:rPr>
                <w:rFonts w:ascii="宋体" w:hAnsi="宋体" w:eastAsia="宋体" w:cs="宋体"/>
                <w:color w:val="auto"/>
                <w:szCs w:val="21"/>
                <w:highlight w:val="none"/>
              </w:rPr>
            </w:pPr>
          </w:p>
        </w:tc>
      </w:tr>
    </w:tbl>
    <w:p w14:paraId="742012E6">
      <w:pPr>
        <w:spacing w:line="400" w:lineRule="exact"/>
        <w:ind w:left="420"/>
        <w:contextualSpacing/>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注：</w:t>
      </w:r>
    </w:p>
    <w:p w14:paraId="264F376F">
      <w:pPr>
        <w:spacing w:line="400" w:lineRule="exact"/>
        <w:ind w:firstLine="420" w:firstLineChars="175"/>
        <w:contextualSpacing/>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1.说明：应对照谈判文件“第二章 采购需求”中的商务条款逐条作出明确响应，并作出偏离说明。</w:t>
      </w:r>
    </w:p>
    <w:p w14:paraId="21F9497A">
      <w:pPr>
        <w:spacing w:line="400" w:lineRule="exact"/>
        <w:ind w:firstLine="480" w:firstLineChars="200"/>
        <w:contextualSpacing/>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2.供应商应根据自身的承诺，对照谈判文件要求，在“偏离说明”中注明“正偏离”或者“负偏离”或者“无偏离”。既不属于“正偏离”也不属于“负偏离”即为“无偏离”。 当响应文件的商务内容低于竞争性谈判文件要求时，供应商应当如实写明“负偏离”。</w:t>
      </w:r>
    </w:p>
    <w:p w14:paraId="5445C818">
      <w:pPr>
        <w:spacing w:line="400" w:lineRule="exact"/>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3.表格内容均需按要求填写并盖公章，不得留空，</w:t>
      </w:r>
      <w:r>
        <w:rPr>
          <w:rFonts w:hint="eastAsia" w:ascii="宋体" w:hAnsi="宋体" w:eastAsia="宋体" w:cs="宋体"/>
          <w:b/>
          <w:bCs/>
          <w:color w:val="auto"/>
          <w:kern w:val="0"/>
          <w:sz w:val="24"/>
          <w:szCs w:val="24"/>
          <w:highlight w:val="none"/>
        </w:rPr>
        <w:t>否则按竞标无效处理</w:t>
      </w:r>
      <w:r>
        <w:rPr>
          <w:rFonts w:hint="eastAsia" w:ascii="宋体" w:hAnsi="宋体" w:eastAsia="宋体" w:cs="宋体"/>
          <w:color w:val="auto"/>
          <w:kern w:val="0"/>
          <w:sz w:val="24"/>
          <w:szCs w:val="24"/>
          <w:highlight w:val="none"/>
        </w:rPr>
        <w:t>。</w:t>
      </w:r>
    </w:p>
    <w:p w14:paraId="23E4E619">
      <w:pPr>
        <w:spacing w:line="400" w:lineRule="exact"/>
        <w:ind w:firstLine="480" w:firstLineChars="200"/>
        <w:contextualSpacing/>
        <w:rPr>
          <w:rFonts w:ascii="宋体" w:hAnsi="宋体" w:eastAsia="宋体" w:cs="宋体"/>
          <w:color w:val="auto"/>
          <w:kern w:val="0"/>
          <w:sz w:val="24"/>
          <w:szCs w:val="24"/>
          <w:highlight w:val="none"/>
          <w:lang w:val="zh-CN"/>
        </w:rPr>
      </w:pPr>
    </w:p>
    <w:p w14:paraId="0692DEBA">
      <w:pPr>
        <w:spacing w:line="400" w:lineRule="exact"/>
        <w:ind w:firstLine="480" w:firstLineChars="200"/>
        <w:contextualSpacing/>
        <w:rPr>
          <w:rFonts w:ascii="宋体" w:hAnsi="宋体" w:eastAsia="宋体" w:cs="宋体"/>
          <w:color w:val="auto"/>
          <w:kern w:val="0"/>
          <w:sz w:val="24"/>
          <w:szCs w:val="24"/>
          <w:highlight w:val="none"/>
          <w:lang w:val="zh-CN"/>
        </w:rPr>
      </w:pPr>
    </w:p>
    <w:p w14:paraId="5CE0D5BB">
      <w:pPr>
        <w:spacing w:line="360" w:lineRule="auto"/>
        <w:ind w:right="-817" w:rightChars="-389"/>
        <w:contextualSpacing/>
        <w:rPr>
          <w:rFonts w:ascii="宋体" w:hAnsi="宋体" w:eastAsia="宋体" w:cs="宋体"/>
          <w:color w:val="auto"/>
          <w:sz w:val="24"/>
          <w:szCs w:val="24"/>
          <w:highlight w:val="none"/>
        </w:rPr>
      </w:pPr>
    </w:p>
    <w:p w14:paraId="634FE572">
      <w:pPr>
        <w:spacing w:line="360" w:lineRule="auto"/>
        <w:ind w:firstLine="3840" w:firstLineChars="1600"/>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供应商名称（盖公章）：</w:t>
      </w:r>
    </w:p>
    <w:p w14:paraId="07A5293D">
      <w:pPr>
        <w:spacing w:line="360" w:lineRule="auto"/>
        <w:contextualSpacing/>
        <w:jc w:val="center"/>
        <w:rPr>
          <w:rFonts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val="zh-CN"/>
        </w:rPr>
        <w:t xml:space="preserve">                                                   日期：  年  月   日</w:t>
      </w:r>
    </w:p>
    <w:p w14:paraId="5DEA424F">
      <w:pPr>
        <w:snapToGrid w:val="0"/>
        <w:spacing w:line="360" w:lineRule="auto"/>
        <w:ind w:firstLine="602" w:firstLineChars="200"/>
        <w:rPr>
          <w:rFonts w:ascii="仿宋" w:hAnsi="仿宋" w:eastAsia="仿宋" w:cs="仿宋_GB2312"/>
          <w:b/>
          <w:color w:val="auto"/>
          <w:sz w:val="30"/>
          <w:szCs w:val="30"/>
          <w:highlight w:val="none"/>
        </w:rPr>
      </w:pPr>
    </w:p>
    <w:p w14:paraId="63FF7826">
      <w:pPr>
        <w:snapToGrid w:val="0"/>
        <w:spacing w:line="360" w:lineRule="auto"/>
        <w:ind w:firstLine="602" w:firstLineChars="200"/>
        <w:rPr>
          <w:rFonts w:ascii="仿宋" w:hAnsi="仿宋" w:eastAsia="仿宋" w:cs="仿宋_GB2312"/>
          <w:b/>
          <w:color w:val="auto"/>
          <w:sz w:val="30"/>
          <w:szCs w:val="30"/>
          <w:highlight w:val="none"/>
        </w:rPr>
      </w:pPr>
    </w:p>
    <w:p w14:paraId="7EBB164A">
      <w:pPr>
        <w:snapToGrid w:val="0"/>
        <w:spacing w:before="120" w:beforeLines="50" w:after="50"/>
        <w:rPr>
          <w:rFonts w:ascii="宋体" w:hAnsi="宋体" w:eastAsia="宋体" w:cs="宋体"/>
          <w:b/>
          <w:color w:val="auto"/>
          <w:sz w:val="24"/>
          <w:szCs w:val="24"/>
          <w:highlight w:val="none"/>
        </w:rPr>
      </w:pPr>
      <w:r>
        <w:rPr>
          <w:rFonts w:hint="eastAsia" w:ascii="宋体" w:hAnsi="宋体" w:eastAsia="宋体" w:cs="宋体"/>
          <w:b/>
          <w:color w:val="auto"/>
          <w:sz w:val="28"/>
          <w:szCs w:val="28"/>
          <w:highlight w:val="none"/>
        </w:rPr>
        <w:t>7.供应商类似的业绩证明文件</w:t>
      </w:r>
      <w:r>
        <w:rPr>
          <w:rFonts w:hint="eastAsia" w:ascii="宋体" w:hAnsi="宋体" w:eastAsia="宋体" w:cs="宋体"/>
          <w:b/>
          <w:bCs/>
          <w:color w:val="auto"/>
          <w:sz w:val="30"/>
          <w:szCs w:val="30"/>
          <w:highlight w:val="none"/>
        </w:rPr>
        <w:t>（如有要求）：</w:t>
      </w:r>
    </w:p>
    <w:p w14:paraId="5155DC11">
      <w:pPr>
        <w:snapToGrid w:val="0"/>
        <w:ind w:left="480" w:hanging="480" w:hangingChars="200"/>
        <w:contextualSpacing/>
        <w:rPr>
          <w:rFonts w:ascii="宋体" w:hAnsi="宋体" w:eastAsia="宋体" w:cs="Times New Roman"/>
          <w:color w:val="auto"/>
          <w:sz w:val="24"/>
          <w:szCs w:val="24"/>
          <w:highlight w:val="none"/>
        </w:rPr>
      </w:pPr>
    </w:p>
    <w:tbl>
      <w:tblPr>
        <w:tblStyle w:val="29"/>
        <w:tblpPr w:leftFromText="180" w:rightFromText="180" w:vertAnchor="page" w:horzAnchor="margin" w:tblpXSpec="center" w:tblpY="4783"/>
        <w:tblW w:w="950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58"/>
        <w:gridCol w:w="1915"/>
        <w:gridCol w:w="1044"/>
        <w:gridCol w:w="1045"/>
        <w:gridCol w:w="1567"/>
        <w:gridCol w:w="1058"/>
        <w:gridCol w:w="1813"/>
      </w:tblGrid>
      <w:tr w14:paraId="06A0B3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058" w:type="dxa"/>
            <w:vMerge w:val="restart"/>
            <w:tcBorders>
              <w:top w:val="single" w:color="auto" w:sz="4" w:space="0"/>
              <w:left w:val="single" w:color="auto" w:sz="4" w:space="0"/>
              <w:bottom w:val="single" w:color="auto" w:sz="4" w:space="0"/>
              <w:right w:val="single" w:color="auto" w:sz="4" w:space="0"/>
            </w:tcBorders>
            <w:vAlign w:val="center"/>
          </w:tcPr>
          <w:p w14:paraId="1D9BA503">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采购人名称</w:t>
            </w:r>
          </w:p>
        </w:tc>
        <w:tc>
          <w:tcPr>
            <w:tcW w:w="1915" w:type="dxa"/>
            <w:vMerge w:val="restart"/>
            <w:tcBorders>
              <w:top w:val="single" w:color="auto" w:sz="4" w:space="0"/>
              <w:left w:val="single" w:color="auto" w:sz="4" w:space="0"/>
              <w:bottom w:val="single" w:color="auto" w:sz="4" w:space="0"/>
              <w:right w:val="single" w:color="auto" w:sz="4" w:space="0"/>
            </w:tcBorders>
            <w:vAlign w:val="center"/>
          </w:tcPr>
          <w:p w14:paraId="5DC15070">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项目名称</w:t>
            </w:r>
          </w:p>
        </w:tc>
        <w:tc>
          <w:tcPr>
            <w:tcW w:w="1044" w:type="dxa"/>
            <w:vMerge w:val="restart"/>
            <w:tcBorders>
              <w:top w:val="single" w:color="auto" w:sz="4" w:space="0"/>
              <w:left w:val="single" w:color="auto" w:sz="4" w:space="0"/>
              <w:bottom w:val="single" w:color="auto" w:sz="4" w:space="0"/>
              <w:right w:val="single" w:color="auto" w:sz="4" w:space="0"/>
            </w:tcBorders>
            <w:vAlign w:val="center"/>
          </w:tcPr>
          <w:p w14:paraId="6263D4AE">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合同</w:t>
            </w:r>
          </w:p>
          <w:p w14:paraId="10F37FAB">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金额</w:t>
            </w:r>
          </w:p>
          <w:p w14:paraId="6BEBA570">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（万元）</w:t>
            </w:r>
          </w:p>
        </w:tc>
        <w:tc>
          <w:tcPr>
            <w:tcW w:w="3670" w:type="dxa"/>
            <w:gridSpan w:val="3"/>
            <w:tcBorders>
              <w:top w:val="single" w:color="auto" w:sz="4" w:space="0"/>
              <w:left w:val="single" w:color="auto" w:sz="4" w:space="0"/>
              <w:bottom w:val="single" w:color="auto" w:sz="4" w:space="0"/>
              <w:right w:val="single" w:color="auto" w:sz="4" w:space="0"/>
            </w:tcBorders>
            <w:vAlign w:val="center"/>
          </w:tcPr>
          <w:p w14:paraId="1355DC51">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附件在响应文件中页码</w:t>
            </w:r>
          </w:p>
        </w:tc>
        <w:tc>
          <w:tcPr>
            <w:tcW w:w="1813" w:type="dxa"/>
            <w:vMerge w:val="restart"/>
            <w:tcBorders>
              <w:top w:val="single" w:color="auto" w:sz="4" w:space="0"/>
              <w:left w:val="single" w:color="auto" w:sz="4" w:space="0"/>
              <w:bottom w:val="single" w:color="auto" w:sz="4" w:space="0"/>
              <w:right w:val="single" w:color="auto" w:sz="4" w:space="0"/>
            </w:tcBorders>
            <w:vAlign w:val="center"/>
          </w:tcPr>
          <w:p w14:paraId="4F06A002">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采购人联系人及联系电话</w:t>
            </w:r>
          </w:p>
        </w:tc>
      </w:tr>
      <w:tr w14:paraId="397DE7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22" w:hRule="atLeast"/>
        </w:trPr>
        <w:tc>
          <w:tcPr>
            <w:tcW w:w="1058" w:type="dxa"/>
            <w:vMerge w:val="continue"/>
            <w:tcBorders>
              <w:top w:val="single" w:color="auto" w:sz="4" w:space="0"/>
              <w:left w:val="single" w:color="auto" w:sz="4" w:space="0"/>
              <w:bottom w:val="single" w:color="auto" w:sz="4" w:space="0"/>
              <w:right w:val="single" w:color="auto" w:sz="4" w:space="0"/>
            </w:tcBorders>
            <w:vAlign w:val="center"/>
          </w:tcPr>
          <w:p w14:paraId="4025D9F6">
            <w:pPr>
              <w:jc w:val="left"/>
              <w:rPr>
                <w:rFonts w:ascii="宋体" w:hAnsi="宋体" w:eastAsia="宋体" w:cs="Times New Roman"/>
                <w:color w:val="auto"/>
                <w:sz w:val="24"/>
                <w:szCs w:val="24"/>
                <w:highlight w:val="none"/>
              </w:rPr>
            </w:pPr>
          </w:p>
        </w:tc>
        <w:tc>
          <w:tcPr>
            <w:tcW w:w="1915" w:type="dxa"/>
            <w:vMerge w:val="continue"/>
            <w:tcBorders>
              <w:top w:val="single" w:color="auto" w:sz="4" w:space="0"/>
              <w:left w:val="single" w:color="auto" w:sz="4" w:space="0"/>
              <w:bottom w:val="single" w:color="auto" w:sz="4" w:space="0"/>
              <w:right w:val="single" w:color="auto" w:sz="4" w:space="0"/>
            </w:tcBorders>
            <w:vAlign w:val="center"/>
          </w:tcPr>
          <w:p w14:paraId="7D4630EF">
            <w:pPr>
              <w:jc w:val="left"/>
              <w:rPr>
                <w:rFonts w:ascii="宋体" w:hAnsi="宋体" w:eastAsia="宋体" w:cs="Times New Roman"/>
                <w:color w:val="auto"/>
                <w:sz w:val="24"/>
                <w:szCs w:val="24"/>
                <w:highlight w:val="none"/>
              </w:rPr>
            </w:pPr>
          </w:p>
        </w:tc>
        <w:tc>
          <w:tcPr>
            <w:tcW w:w="1044" w:type="dxa"/>
            <w:vMerge w:val="continue"/>
            <w:tcBorders>
              <w:top w:val="single" w:color="auto" w:sz="4" w:space="0"/>
              <w:left w:val="single" w:color="auto" w:sz="4" w:space="0"/>
              <w:bottom w:val="single" w:color="auto" w:sz="4" w:space="0"/>
              <w:right w:val="single" w:color="auto" w:sz="4" w:space="0"/>
            </w:tcBorders>
            <w:vAlign w:val="center"/>
          </w:tcPr>
          <w:p w14:paraId="69DC69A9">
            <w:pPr>
              <w:jc w:val="left"/>
              <w:rPr>
                <w:rFonts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vAlign w:val="center"/>
          </w:tcPr>
          <w:p w14:paraId="3B7164A1">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合同</w:t>
            </w:r>
          </w:p>
        </w:tc>
        <w:tc>
          <w:tcPr>
            <w:tcW w:w="1567" w:type="dxa"/>
            <w:tcBorders>
              <w:top w:val="single" w:color="auto" w:sz="4" w:space="0"/>
              <w:left w:val="single" w:color="auto" w:sz="4" w:space="0"/>
              <w:bottom w:val="single" w:color="auto" w:sz="4" w:space="0"/>
              <w:right w:val="single" w:color="auto" w:sz="4" w:space="0"/>
            </w:tcBorders>
            <w:vAlign w:val="center"/>
          </w:tcPr>
          <w:p w14:paraId="42D790E2">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验收报告</w:t>
            </w:r>
          </w:p>
        </w:tc>
        <w:tc>
          <w:tcPr>
            <w:tcW w:w="1058" w:type="dxa"/>
            <w:tcBorders>
              <w:top w:val="single" w:color="auto" w:sz="4" w:space="0"/>
              <w:left w:val="single" w:color="auto" w:sz="4" w:space="0"/>
              <w:bottom w:val="single" w:color="auto" w:sz="4" w:space="0"/>
              <w:right w:val="single" w:color="auto" w:sz="4" w:space="0"/>
            </w:tcBorders>
            <w:vAlign w:val="center"/>
          </w:tcPr>
          <w:p w14:paraId="1598FEFB">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用户</w:t>
            </w:r>
          </w:p>
          <w:p w14:paraId="4A1F8B7C">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评价</w:t>
            </w:r>
          </w:p>
        </w:tc>
        <w:tc>
          <w:tcPr>
            <w:tcW w:w="1813" w:type="dxa"/>
            <w:vMerge w:val="continue"/>
            <w:tcBorders>
              <w:top w:val="single" w:color="auto" w:sz="4" w:space="0"/>
              <w:left w:val="single" w:color="auto" w:sz="4" w:space="0"/>
              <w:bottom w:val="single" w:color="auto" w:sz="4" w:space="0"/>
              <w:right w:val="single" w:color="auto" w:sz="4" w:space="0"/>
            </w:tcBorders>
            <w:vAlign w:val="center"/>
          </w:tcPr>
          <w:p w14:paraId="6F96F890">
            <w:pPr>
              <w:jc w:val="left"/>
              <w:rPr>
                <w:rFonts w:ascii="宋体" w:hAnsi="宋体" w:eastAsia="宋体" w:cs="Times New Roman"/>
                <w:color w:val="auto"/>
                <w:sz w:val="24"/>
                <w:szCs w:val="24"/>
                <w:highlight w:val="none"/>
              </w:rPr>
            </w:pPr>
          </w:p>
        </w:tc>
      </w:tr>
      <w:tr w14:paraId="12D00E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058" w:type="dxa"/>
            <w:tcBorders>
              <w:top w:val="single" w:color="auto" w:sz="4" w:space="0"/>
              <w:left w:val="single" w:color="auto" w:sz="4" w:space="0"/>
              <w:bottom w:val="single" w:color="auto" w:sz="4" w:space="0"/>
              <w:right w:val="single" w:color="auto" w:sz="4" w:space="0"/>
            </w:tcBorders>
          </w:tcPr>
          <w:p w14:paraId="11365F54">
            <w:pPr>
              <w:snapToGrid w:val="0"/>
              <w:spacing w:line="240" w:lineRule="exact"/>
              <w:jc w:val="left"/>
              <w:rPr>
                <w:rFonts w:ascii="宋体" w:hAnsi="宋体" w:eastAsia="宋体" w:cs="Times New Roman"/>
                <w:color w:val="auto"/>
                <w:sz w:val="24"/>
                <w:szCs w:val="24"/>
                <w:highlight w:val="none"/>
              </w:rPr>
            </w:pPr>
          </w:p>
        </w:tc>
        <w:tc>
          <w:tcPr>
            <w:tcW w:w="1915" w:type="dxa"/>
            <w:tcBorders>
              <w:top w:val="single" w:color="auto" w:sz="4" w:space="0"/>
              <w:left w:val="single" w:color="auto" w:sz="4" w:space="0"/>
              <w:bottom w:val="single" w:color="auto" w:sz="4" w:space="0"/>
              <w:right w:val="single" w:color="auto" w:sz="4" w:space="0"/>
            </w:tcBorders>
          </w:tcPr>
          <w:p w14:paraId="0B6E93FA">
            <w:pPr>
              <w:snapToGrid w:val="0"/>
              <w:spacing w:line="240" w:lineRule="exact"/>
              <w:jc w:val="left"/>
              <w:rPr>
                <w:rFonts w:ascii="宋体" w:hAnsi="宋体" w:eastAsia="宋体" w:cs="Times New Roman"/>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tcPr>
          <w:p w14:paraId="37E7940A">
            <w:pPr>
              <w:snapToGrid w:val="0"/>
              <w:spacing w:line="240" w:lineRule="exact"/>
              <w:jc w:val="left"/>
              <w:rPr>
                <w:rFonts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tcPr>
          <w:p w14:paraId="27D87EC1">
            <w:pPr>
              <w:snapToGrid w:val="0"/>
              <w:spacing w:line="240" w:lineRule="exact"/>
              <w:jc w:val="left"/>
              <w:rPr>
                <w:rFonts w:ascii="宋体" w:hAnsi="宋体" w:eastAsia="宋体" w:cs="Times New Roman"/>
                <w:color w:val="auto"/>
                <w:sz w:val="24"/>
                <w:szCs w:val="24"/>
                <w:highlight w:val="none"/>
              </w:rPr>
            </w:pPr>
          </w:p>
        </w:tc>
        <w:tc>
          <w:tcPr>
            <w:tcW w:w="1567" w:type="dxa"/>
            <w:tcBorders>
              <w:top w:val="single" w:color="auto" w:sz="4" w:space="0"/>
              <w:left w:val="single" w:color="auto" w:sz="4" w:space="0"/>
              <w:bottom w:val="single" w:color="auto" w:sz="4" w:space="0"/>
              <w:right w:val="single" w:color="auto" w:sz="4" w:space="0"/>
            </w:tcBorders>
          </w:tcPr>
          <w:p w14:paraId="579C9CE5">
            <w:pPr>
              <w:snapToGrid w:val="0"/>
              <w:spacing w:line="240" w:lineRule="exact"/>
              <w:jc w:val="left"/>
              <w:rPr>
                <w:rFonts w:ascii="宋体" w:hAnsi="宋体" w:eastAsia="宋体" w:cs="Times New Roman"/>
                <w:color w:val="auto"/>
                <w:sz w:val="24"/>
                <w:szCs w:val="24"/>
                <w:highlight w:val="none"/>
              </w:rPr>
            </w:pPr>
          </w:p>
        </w:tc>
        <w:tc>
          <w:tcPr>
            <w:tcW w:w="1058" w:type="dxa"/>
            <w:tcBorders>
              <w:top w:val="single" w:color="auto" w:sz="4" w:space="0"/>
              <w:left w:val="single" w:color="auto" w:sz="4" w:space="0"/>
              <w:bottom w:val="single" w:color="auto" w:sz="4" w:space="0"/>
              <w:right w:val="single" w:color="auto" w:sz="4" w:space="0"/>
            </w:tcBorders>
          </w:tcPr>
          <w:p w14:paraId="722E34EE">
            <w:pPr>
              <w:snapToGrid w:val="0"/>
              <w:spacing w:line="240" w:lineRule="exact"/>
              <w:jc w:val="left"/>
              <w:rPr>
                <w:rFonts w:ascii="宋体" w:hAnsi="宋体" w:eastAsia="宋体" w:cs="Times New Roman"/>
                <w:color w:val="auto"/>
                <w:sz w:val="24"/>
                <w:szCs w:val="24"/>
                <w:highlight w:val="none"/>
              </w:rPr>
            </w:pPr>
          </w:p>
        </w:tc>
        <w:tc>
          <w:tcPr>
            <w:tcW w:w="1813" w:type="dxa"/>
            <w:tcBorders>
              <w:top w:val="single" w:color="auto" w:sz="4" w:space="0"/>
              <w:left w:val="single" w:color="auto" w:sz="4" w:space="0"/>
              <w:bottom w:val="single" w:color="auto" w:sz="4" w:space="0"/>
              <w:right w:val="single" w:color="auto" w:sz="4" w:space="0"/>
            </w:tcBorders>
          </w:tcPr>
          <w:p w14:paraId="05087159">
            <w:pPr>
              <w:snapToGrid w:val="0"/>
              <w:spacing w:line="240" w:lineRule="exact"/>
              <w:jc w:val="left"/>
              <w:rPr>
                <w:rFonts w:ascii="宋体" w:hAnsi="宋体" w:eastAsia="宋体" w:cs="Times New Roman"/>
                <w:color w:val="auto"/>
                <w:sz w:val="24"/>
                <w:szCs w:val="24"/>
                <w:highlight w:val="none"/>
              </w:rPr>
            </w:pPr>
          </w:p>
        </w:tc>
      </w:tr>
      <w:tr w14:paraId="11AC1B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58" w:type="dxa"/>
            <w:tcBorders>
              <w:top w:val="single" w:color="auto" w:sz="4" w:space="0"/>
              <w:left w:val="single" w:color="auto" w:sz="4" w:space="0"/>
              <w:bottom w:val="single" w:color="auto" w:sz="4" w:space="0"/>
              <w:right w:val="single" w:color="auto" w:sz="4" w:space="0"/>
            </w:tcBorders>
          </w:tcPr>
          <w:p w14:paraId="20269001">
            <w:pPr>
              <w:snapToGrid w:val="0"/>
              <w:spacing w:before="50" w:after="120" w:afterLines="50" w:line="400" w:lineRule="exact"/>
              <w:jc w:val="left"/>
              <w:rPr>
                <w:rFonts w:ascii="宋体" w:hAnsi="宋体" w:eastAsia="宋体" w:cs="Times New Roman"/>
                <w:color w:val="auto"/>
                <w:sz w:val="24"/>
                <w:szCs w:val="24"/>
                <w:highlight w:val="none"/>
              </w:rPr>
            </w:pPr>
          </w:p>
        </w:tc>
        <w:tc>
          <w:tcPr>
            <w:tcW w:w="1915" w:type="dxa"/>
            <w:tcBorders>
              <w:top w:val="single" w:color="auto" w:sz="4" w:space="0"/>
              <w:left w:val="single" w:color="auto" w:sz="4" w:space="0"/>
              <w:bottom w:val="single" w:color="auto" w:sz="4" w:space="0"/>
              <w:right w:val="single" w:color="auto" w:sz="4" w:space="0"/>
            </w:tcBorders>
          </w:tcPr>
          <w:p w14:paraId="4EEC61E6">
            <w:pPr>
              <w:snapToGrid w:val="0"/>
              <w:spacing w:before="50" w:after="120" w:afterLines="50" w:line="400" w:lineRule="exact"/>
              <w:jc w:val="left"/>
              <w:rPr>
                <w:rFonts w:ascii="宋体" w:hAnsi="宋体" w:eastAsia="宋体" w:cs="Times New Roman"/>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tcPr>
          <w:p w14:paraId="5A30805F">
            <w:pPr>
              <w:snapToGrid w:val="0"/>
              <w:spacing w:before="50" w:after="120" w:afterLines="50" w:line="400" w:lineRule="exact"/>
              <w:jc w:val="left"/>
              <w:rPr>
                <w:rFonts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tcPr>
          <w:p w14:paraId="7B73918D">
            <w:pPr>
              <w:snapToGrid w:val="0"/>
              <w:spacing w:before="50" w:after="120" w:afterLines="50" w:line="400" w:lineRule="exact"/>
              <w:jc w:val="left"/>
              <w:rPr>
                <w:rFonts w:ascii="宋体" w:hAnsi="宋体" w:eastAsia="宋体" w:cs="Times New Roman"/>
                <w:color w:val="auto"/>
                <w:sz w:val="24"/>
                <w:szCs w:val="24"/>
                <w:highlight w:val="none"/>
              </w:rPr>
            </w:pPr>
          </w:p>
        </w:tc>
        <w:tc>
          <w:tcPr>
            <w:tcW w:w="1567" w:type="dxa"/>
            <w:tcBorders>
              <w:top w:val="single" w:color="auto" w:sz="4" w:space="0"/>
              <w:left w:val="single" w:color="auto" w:sz="4" w:space="0"/>
              <w:bottom w:val="single" w:color="auto" w:sz="4" w:space="0"/>
              <w:right w:val="single" w:color="auto" w:sz="4" w:space="0"/>
            </w:tcBorders>
          </w:tcPr>
          <w:p w14:paraId="6B084E1A">
            <w:pPr>
              <w:snapToGrid w:val="0"/>
              <w:spacing w:before="50" w:after="120" w:afterLines="50" w:line="400" w:lineRule="exact"/>
              <w:jc w:val="left"/>
              <w:rPr>
                <w:rFonts w:ascii="宋体" w:hAnsi="宋体" w:eastAsia="宋体" w:cs="Times New Roman"/>
                <w:color w:val="auto"/>
                <w:sz w:val="24"/>
                <w:szCs w:val="24"/>
                <w:highlight w:val="none"/>
              </w:rPr>
            </w:pPr>
          </w:p>
        </w:tc>
        <w:tc>
          <w:tcPr>
            <w:tcW w:w="1058" w:type="dxa"/>
            <w:tcBorders>
              <w:top w:val="single" w:color="auto" w:sz="4" w:space="0"/>
              <w:left w:val="single" w:color="auto" w:sz="4" w:space="0"/>
              <w:bottom w:val="single" w:color="auto" w:sz="4" w:space="0"/>
              <w:right w:val="single" w:color="auto" w:sz="4" w:space="0"/>
            </w:tcBorders>
          </w:tcPr>
          <w:p w14:paraId="53640214">
            <w:pPr>
              <w:snapToGrid w:val="0"/>
              <w:spacing w:before="50" w:after="120" w:afterLines="50" w:line="400" w:lineRule="exact"/>
              <w:jc w:val="left"/>
              <w:rPr>
                <w:rFonts w:ascii="宋体" w:hAnsi="宋体" w:eastAsia="宋体" w:cs="Times New Roman"/>
                <w:color w:val="auto"/>
                <w:sz w:val="24"/>
                <w:szCs w:val="24"/>
                <w:highlight w:val="none"/>
              </w:rPr>
            </w:pPr>
          </w:p>
        </w:tc>
        <w:tc>
          <w:tcPr>
            <w:tcW w:w="1813" w:type="dxa"/>
            <w:tcBorders>
              <w:top w:val="single" w:color="auto" w:sz="4" w:space="0"/>
              <w:left w:val="single" w:color="auto" w:sz="4" w:space="0"/>
              <w:bottom w:val="single" w:color="auto" w:sz="4" w:space="0"/>
              <w:right w:val="single" w:color="auto" w:sz="4" w:space="0"/>
            </w:tcBorders>
          </w:tcPr>
          <w:p w14:paraId="0E40D0CC">
            <w:pPr>
              <w:snapToGrid w:val="0"/>
              <w:spacing w:before="50" w:after="120" w:afterLines="50" w:line="400" w:lineRule="exact"/>
              <w:jc w:val="left"/>
              <w:rPr>
                <w:rFonts w:ascii="宋体" w:hAnsi="宋体" w:eastAsia="宋体" w:cs="Times New Roman"/>
                <w:color w:val="auto"/>
                <w:sz w:val="24"/>
                <w:szCs w:val="24"/>
                <w:highlight w:val="none"/>
              </w:rPr>
            </w:pPr>
          </w:p>
        </w:tc>
      </w:tr>
      <w:tr w14:paraId="2D69B0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58" w:type="dxa"/>
            <w:tcBorders>
              <w:top w:val="single" w:color="auto" w:sz="4" w:space="0"/>
              <w:left w:val="single" w:color="auto" w:sz="4" w:space="0"/>
              <w:bottom w:val="single" w:color="auto" w:sz="4" w:space="0"/>
              <w:right w:val="single" w:color="auto" w:sz="4" w:space="0"/>
            </w:tcBorders>
          </w:tcPr>
          <w:p w14:paraId="67A02DAD">
            <w:pPr>
              <w:snapToGrid w:val="0"/>
              <w:spacing w:before="50" w:after="120" w:afterLines="50" w:line="400" w:lineRule="exact"/>
              <w:jc w:val="left"/>
              <w:rPr>
                <w:rFonts w:ascii="宋体" w:hAnsi="宋体" w:eastAsia="宋体" w:cs="Times New Roman"/>
                <w:color w:val="auto"/>
                <w:sz w:val="24"/>
                <w:szCs w:val="24"/>
                <w:highlight w:val="none"/>
              </w:rPr>
            </w:pPr>
          </w:p>
        </w:tc>
        <w:tc>
          <w:tcPr>
            <w:tcW w:w="1915" w:type="dxa"/>
            <w:tcBorders>
              <w:top w:val="single" w:color="auto" w:sz="4" w:space="0"/>
              <w:left w:val="single" w:color="auto" w:sz="4" w:space="0"/>
              <w:bottom w:val="single" w:color="auto" w:sz="4" w:space="0"/>
              <w:right w:val="single" w:color="auto" w:sz="4" w:space="0"/>
            </w:tcBorders>
          </w:tcPr>
          <w:p w14:paraId="58BA3302">
            <w:pPr>
              <w:snapToGrid w:val="0"/>
              <w:spacing w:before="50" w:after="120" w:afterLines="50" w:line="400" w:lineRule="exact"/>
              <w:jc w:val="left"/>
              <w:rPr>
                <w:rFonts w:ascii="宋体" w:hAnsi="宋体" w:eastAsia="宋体" w:cs="Times New Roman"/>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tcPr>
          <w:p w14:paraId="089EC39C">
            <w:pPr>
              <w:snapToGrid w:val="0"/>
              <w:spacing w:before="50" w:after="120" w:afterLines="50" w:line="400" w:lineRule="exact"/>
              <w:jc w:val="left"/>
              <w:rPr>
                <w:rFonts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tcPr>
          <w:p w14:paraId="42EB966A">
            <w:pPr>
              <w:snapToGrid w:val="0"/>
              <w:spacing w:before="50" w:after="120" w:afterLines="50" w:line="400" w:lineRule="exact"/>
              <w:jc w:val="left"/>
              <w:rPr>
                <w:rFonts w:ascii="宋体" w:hAnsi="宋体" w:eastAsia="宋体" w:cs="Times New Roman"/>
                <w:color w:val="auto"/>
                <w:sz w:val="24"/>
                <w:szCs w:val="24"/>
                <w:highlight w:val="none"/>
              </w:rPr>
            </w:pPr>
          </w:p>
        </w:tc>
        <w:tc>
          <w:tcPr>
            <w:tcW w:w="1567" w:type="dxa"/>
            <w:tcBorders>
              <w:top w:val="single" w:color="auto" w:sz="4" w:space="0"/>
              <w:left w:val="single" w:color="auto" w:sz="4" w:space="0"/>
              <w:bottom w:val="single" w:color="auto" w:sz="4" w:space="0"/>
              <w:right w:val="single" w:color="auto" w:sz="4" w:space="0"/>
            </w:tcBorders>
          </w:tcPr>
          <w:p w14:paraId="524788A5">
            <w:pPr>
              <w:snapToGrid w:val="0"/>
              <w:spacing w:before="50" w:after="120" w:afterLines="50" w:line="400" w:lineRule="exact"/>
              <w:jc w:val="left"/>
              <w:rPr>
                <w:rFonts w:ascii="宋体" w:hAnsi="宋体" w:eastAsia="宋体" w:cs="Times New Roman"/>
                <w:color w:val="auto"/>
                <w:sz w:val="24"/>
                <w:szCs w:val="24"/>
                <w:highlight w:val="none"/>
              </w:rPr>
            </w:pPr>
          </w:p>
        </w:tc>
        <w:tc>
          <w:tcPr>
            <w:tcW w:w="1058" w:type="dxa"/>
            <w:tcBorders>
              <w:top w:val="single" w:color="auto" w:sz="4" w:space="0"/>
              <w:left w:val="single" w:color="auto" w:sz="4" w:space="0"/>
              <w:bottom w:val="single" w:color="auto" w:sz="4" w:space="0"/>
              <w:right w:val="single" w:color="auto" w:sz="4" w:space="0"/>
            </w:tcBorders>
          </w:tcPr>
          <w:p w14:paraId="36BEFB4D">
            <w:pPr>
              <w:snapToGrid w:val="0"/>
              <w:spacing w:before="50" w:after="120" w:afterLines="50" w:line="400" w:lineRule="exact"/>
              <w:jc w:val="left"/>
              <w:rPr>
                <w:rFonts w:ascii="宋体" w:hAnsi="宋体" w:eastAsia="宋体" w:cs="Times New Roman"/>
                <w:color w:val="auto"/>
                <w:sz w:val="24"/>
                <w:szCs w:val="24"/>
                <w:highlight w:val="none"/>
              </w:rPr>
            </w:pPr>
          </w:p>
        </w:tc>
        <w:tc>
          <w:tcPr>
            <w:tcW w:w="1813" w:type="dxa"/>
            <w:tcBorders>
              <w:top w:val="single" w:color="auto" w:sz="4" w:space="0"/>
              <w:left w:val="single" w:color="auto" w:sz="4" w:space="0"/>
              <w:bottom w:val="single" w:color="auto" w:sz="4" w:space="0"/>
              <w:right w:val="single" w:color="auto" w:sz="4" w:space="0"/>
            </w:tcBorders>
          </w:tcPr>
          <w:p w14:paraId="0D1C0D21">
            <w:pPr>
              <w:snapToGrid w:val="0"/>
              <w:spacing w:before="50" w:after="120" w:afterLines="50" w:line="400" w:lineRule="exact"/>
              <w:jc w:val="left"/>
              <w:rPr>
                <w:rFonts w:ascii="宋体" w:hAnsi="宋体" w:eastAsia="宋体" w:cs="Times New Roman"/>
                <w:color w:val="auto"/>
                <w:sz w:val="24"/>
                <w:szCs w:val="24"/>
                <w:highlight w:val="none"/>
              </w:rPr>
            </w:pPr>
          </w:p>
        </w:tc>
      </w:tr>
      <w:tr w14:paraId="349A8B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58" w:type="dxa"/>
            <w:tcBorders>
              <w:top w:val="single" w:color="auto" w:sz="4" w:space="0"/>
              <w:left w:val="single" w:color="auto" w:sz="4" w:space="0"/>
              <w:bottom w:val="single" w:color="auto" w:sz="4" w:space="0"/>
              <w:right w:val="single" w:color="auto" w:sz="4" w:space="0"/>
            </w:tcBorders>
          </w:tcPr>
          <w:p w14:paraId="1EFCC365">
            <w:pPr>
              <w:snapToGrid w:val="0"/>
              <w:spacing w:before="50" w:after="120" w:afterLines="50" w:line="400" w:lineRule="exact"/>
              <w:jc w:val="left"/>
              <w:rPr>
                <w:rFonts w:ascii="宋体" w:hAnsi="宋体" w:eastAsia="宋体" w:cs="Times New Roman"/>
                <w:color w:val="auto"/>
                <w:sz w:val="24"/>
                <w:szCs w:val="24"/>
                <w:highlight w:val="none"/>
              </w:rPr>
            </w:pPr>
          </w:p>
        </w:tc>
        <w:tc>
          <w:tcPr>
            <w:tcW w:w="1915" w:type="dxa"/>
            <w:tcBorders>
              <w:top w:val="single" w:color="auto" w:sz="4" w:space="0"/>
              <w:left w:val="single" w:color="auto" w:sz="4" w:space="0"/>
              <w:bottom w:val="single" w:color="auto" w:sz="4" w:space="0"/>
              <w:right w:val="single" w:color="auto" w:sz="4" w:space="0"/>
            </w:tcBorders>
          </w:tcPr>
          <w:p w14:paraId="0D227252">
            <w:pPr>
              <w:snapToGrid w:val="0"/>
              <w:spacing w:before="50" w:after="120" w:afterLines="50" w:line="400" w:lineRule="exact"/>
              <w:jc w:val="left"/>
              <w:rPr>
                <w:rFonts w:ascii="宋体" w:hAnsi="宋体" w:eastAsia="宋体" w:cs="Times New Roman"/>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tcPr>
          <w:p w14:paraId="46AD5417">
            <w:pPr>
              <w:snapToGrid w:val="0"/>
              <w:spacing w:before="50" w:after="120" w:afterLines="50" w:line="400" w:lineRule="exact"/>
              <w:jc w:val="left"/>
              <w:rPr>
                <w:rFonts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tcPr>
          <w:p w14:paraId="698B06EF">
            <w:pPr>
              <w:snapToGrid w:val="0"/>
              <w:spacing w:before="50" w:after="120" w:afterLines="50" w:line="400" w:lineRule="exact"/>
              <w:jc w:val="left"/>
              <w:rPr>
                <w:rFonts w:ascii="宋体" w:hAnsi="宋体" w:eastAsia="宋体" w:cs="Times New Roman"/>
                <w:color w:val="auto"/>
                <w:sz w:val="24"/>
                <w:szCs w:val="24"/>
                <w:highlight w:val="none"/>
              </w:rPr>
            </w:pPr>
          </w:p>
        </w:tc>
        <w:tc>
          <w:tcPr>
            <w:tcW w:w="1567" w:type="dxa"/>
            <w:tcBorders>
              <w:top w:val="single" w:color="auto" w:sz="4" w:space="0"/>
              <w:left w:val="single" w:color="auto" w:sz="4" w:space="0"/>
              <w:bottom w:val="single" w:color="auto" w:sz="4" w:space="0"/>
              <w:right w:val="single" w:color="auto" w:sz="4" w:space="0"/>
            </w:tcBorders>
          </w:tcPr>
          <w:p w14:paraId="797AD077">
            <w:pPr>
              <w:snapToGrid w:val="0"/>
              <w:spacing w:before="50" w:after="120" w:afterLines="50" w:line="400" w:lineRule="exact"/>
              <w:jc w:val="left"/>
              <w:rPr>
                <w:rFonts w:ascii="宋体" w:hAnsi="宋体" w:eastAsia="宋体" w:cs="Times New Roman"/>
                <w:color w:val="auto"/>
                <w:sz w:val="24"/>
                <w:szCs w:val="24"/>
                <w:highlight w:val="none"/>
              </w:rPr>
            </w:pPr>
          </w:p>
        </w:tc>
        <w:tc>
          <w:tcPr>
            <w:tcW w:w="1058" w:type="dxa"/>
            <w:tcBorders>
              <w:top w:val="single" w:color="auto" w:sz="4" w:space="0"/>
              <w:left w:val="single" w:color="auto" w:sz="4" w:space="0"/>
              <w:bottom w:val="single" w:color="auto" w:sz="4" w:space="0"/>
              <w:right w:val="single" w:color="auto" w:sz="4" w:space="0"/>
            </w:tcBorders>
          </w:tcPr>
          <w:p w14:paraId="0AC77763">
            <w:pPr>
              <w:snapToGrid w:val="0"/>
              <w:spacing w:before="50" w:after="120" w:afterLines="50" w:line="400" w:lineRule="exact"/>
              <w:jc w:val="left"/>
              <w:rPr>
                <w:rFonts w:ascii="宋体" w:hAnsi="宋体" w:eastAsia="宋体" w:cs="Times New Roman"/>
                <w:color w:val="auto"/>
                <w:sz w:val="24"/>
                <w:szCs w:val="24"/>
                <w:highlight w:val="none"/>
              </w:rPr>
            </w:pPr>
          </w:p>
        </w:tc>
        <w:tc>
          <w:tcPr>
            <w:tcW w:w="1813" w:type="dxa"/>
            <w:tcBorders>
              <w:top w:val="single" w:color="auto" w:sz="4" w:space="0"/>
              <w:left w:val="single" w:color="auto" w:sz="4" w:space="0"/>
              <w:bottom w:val="single" w:color="auto" w:sz="4" w:space="0"/>
              <w:right w:val="single" w:color="auto" w:sz="4" w:space="0"/>
            </w:tcBorders>
          </w:tcPr>
          <w:p w14:paraId="48823AB7">
            <w:pPr>
              <w:snapToGrid w:val="0"/>
              <w:spacing w:before="50" w:after="120" w:afterLines="50" w:line="400" w:lineRule="exact"/>
              <w:jc w:val="left"/>
              <w:rPr>
                <w:rFonts w:ascii="宋体" w:hAnsi="宋体" w:eastAsia="宋体" w:cs="Times New Roman"/>
                <w:color w:val="auto"/>
                <w:sz w:val="24"/>
                <w:szCs w:val="24"/>
                <w:highlight w:val="none"/>
              </w:rPr>
            </w:pPr>
          </w:p>
        </w:tc>
      </w:tr>
      <w:tr w14:paraId="49AB23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058" w:type="dxa"/>
            <w:tcBorders>
              <w:top w:val="single" w:color="auto" w:sz="4" w:space="0"/>
              <w:left w:val="single" w:color="auto" w:sz="4" w:space="0"/>
              <w:bottom w:val="single" w:color="auto" w:sz="4" w:space="0"/>
              <w:right w:val="single" w:color="auto" w:sz="4" w:space="0"/>
            </w:tcBorders>
          </w:tcPr>
          <w:p w14:paraId="7FB1CF4F">
            <w:pPr>
              <w:snapToGrid w:val="0"/>
              <w:spacing w:before="50" w:after="120" w:afterLines="50" w:line="400" w:lineRule="exact"/>
              <w:jc w:val="left"/>
              <w:rPr>
                <w:rFonts w:ascii="宋体" w:hAnsi="宋体" w:eastAsia="宋体" w:cs="Times New Roman"/>
                <w:color w:val="auto"/>
                <w:sz w:val="24"/>
                <w:szCs w:val="24"/>
                <w:highlight w:val="none"/>
              </w:rPr>
            </w:pPr>
          </w:p>
        </w:tc>
        <w:tc>
          <w:tcPr>
            <w:tcW w:w="1915" w:type="dxa"/>
            <w:tcBorders>
              <w:top w:val="single" w:color="auto" w:sz="4" w:space="0"/>
              <w:left w:val="single" w:color="auto" w:sz="4" w:space="0"/>
              <w:bottom w:val="single" w:color="auto" w:sz="4" w:space="0"/>
              <w:right w:val="single" w:color="auto" w:sz="4" w:space="0"/>
            </w:tcBorders>
          </w:tcPr>
          <w:p w14:paraId="5D503146">
            <w:pPr>
              <w:snapToGrid w:val="0"/>
              <w:spacing w:before="50" w:after="120" w:afterLines="50" w:line="400" w:lineRule="exact"/>
              <w:jc w:val="left"/>
              <w:rPr>
                <w:rFonts w:ascii="宋体" w:hAnsi="宋体" w:eastAsia="宋体" w:cs="Times New Roman"/>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tcPr>
          <w:p w14:paraId="5ECE3963">
            <w:pPr>
              <w:snapToGrid w:val="0"/>
              <w:spacing w:before="50" w:after="120" w:afterLines="50" w:line="400" w:lineRule="exact"/>
              <w:jc w:val="left"/>
              <w:rPr>
                <w:rFonts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tcPr>
          <w:p w14:paraId="76F913CE">
            <w:pPr>
              <w:snapToGrid w:val="0"/>
              <w:spacing w:before="50" w:after="120" w:afterLines="50" w:line="400" w:lineRule="exact"/>
              <w:jc w:val="left"/>
              <w:rPr>
                <w:rFonts w:ascii="宋体" w:hAnsi="宋体" w:eastAsia="宋体" w:cs="Times New Roman"/>
                <w:color w:val="auto"/>
                <w:sz w:val="24"/>
                <w:szCs w:val="24"/>
                <w:highlight w:val="none"/>
              </w:rPr>
            </w:pPr>
          </w:p>
        </w:tc>
        <w:tc>
          <w:tcPr>
            <w:tcW w:w="1567" w:type="dxa"/>
            <w:tcBorders>
              <w:top w:val="single" w:color="auto" w:sz="4" w:space="0"/>
              <w:left w:val="single" w:color="auto" w:sz="4" w:space="0"/>
              <w:bottom w:val="single" w:color="auto" w:sz="4" w:space="0"/>
              <w:right w:val="single" w:color="auto" w:sz="4" w:space="0"/>
            </w:tcBorders>
          </w:tcPr>
          <w:p w14:paraId="4C43C6DA">
            <w:pPr>
              <w:snapToGrid w:val="0"/>
              <w:spacing w:before="50" w:after="120" w:afterLines="50" w:line="400" w:lineRule="exact"/>
              <w:jc w:val="left"/>
              <w:rPr>
                <w:rFonts w:ascii="宋体" w:hAnsi="宋体" w:eastAsia="宋体" w:cs="Times New Roman"/>
                <w:color w:val="auto"/>
                <w:sz w:val="24"/>
                <w:szCs w:val="24"/>
                <w:highlight w:val="none"/>
              </w:rPr>
            </w:pPr>
          </w:p>
        </w:tc>
        <w:tc>
          <w:tcPr>
            <w:tcW w:w="1058" w:type="dxa"/>
            <w:tcBorders>
              <w:top w:val="single" w:color="auto" w:sz="4" w:space="0"/>
              <w:left w:val="single" w:color="auto" w:sz="4" w:space="0"/>
              <w:bottom w:val="single" w:color="auto" w:sz="4" w:space="0"/>
              <w:right w:val="single" w:color="auto" w:sz="4" w:space="0"/>
            </w:tcBorders>
          </w:tcPr>
          <w:p w14:paraId="5C86F635">
            <w:pPr>
              <w:snapToGrid w:val="0"/>
              <w:spacing w:before="50" w:after="120" w:afterLines="50" w:line="400" w:lineRule="exact"/>
              <w:jc w:val="left"/>
              <w:rPr>
                <w:rFonts w:ascii="宋体" w:hAnsi="宋体" w:eastAsia="宋体" w:cs="Times New Roman"/>
                <w:color w:val="auto"/>
                <w:sz w:val="24"/>
                <w:szCs w:val="24"/>
                <w:highlight w:val="none"/>
              </w:rPr>
            </w:pPr>
          </w:p>
        </w:tc>
        <w:tc>
          <w:tcPr>
            <w:tcW w:w="1813" w:type="dxa"/>
            <w:tcBorders>
              <w:top w:val="single" w:color="auto" w:sz="4" w:space="0"/>
              <w:left w:val="single" w:color="auto" w:sz="4" w:space="0"/>
              <w:bottom w:val="single" w:color="auto" w:sz="4" w:space="0"/>
              <w:right w:val="single" w:color="auto" w:sz="4" w:space="0"/>
            </w:tcBorders>
          </w:tcPr>
          <w:p w14:paraId="5EFCEC47">
            <w:pPr>
              <w:snapToGrid w:val="0"/>
              <w:spacing w:before="50" w:after="120" w:afterLines="50" w:line="400" w:lineRule="exact"/>
              <w:jc w:val="left"/>
              <w:rPr>
                <w:rFonts w:ascii="宋体" w:hAnsi="宋体" w:eastAsia="宋体" w:cs="Times New Roman"/>
                <w:color w:val="auto"/>
                <w:sz w:val="24"/>
                <w:szCs w:val="24"/>
                <w:highlight w:val="none"/>
              </w:rPr>
            </w:pPr>
          </w:p>
        </w:tc>
      </w:tr>
    </w:tbl>
    <w:p w14:paraId="604CD1E8">
      <w:pPr>
        <w:snapToGrid w:val="0"/>
        <w:ind w:left="480" w:hanging="480" w:hangingChars="200"/>
        <w:contextualSpacing/>
        <w:rPr>
          <w:rFonts w:ascii="宋体" w:hAnsi="宋体" w:eastAsia="宋体" w:cs="Times New Roman"/>
          <w:color w:val="auto"/>
          <w:sz w:val="24"/>
          <w:szCs w:val="24"/>
          <w:highlight w:val="none"/>
        </w:rPr>
      </w:pPr>
    </w:p>
    <w:p w14:paraId="44CF9897">
      <w:pPr>
        <w:snapToGrid w:val="0"/>
        <w:ind w:left="480" w:hanging="480" w:hangingChars="200"/>
        <w:contextualSpacing/>
        <w:rPr>
          <w:rFonts w:ascii="宋体" w:hAnsi="宋体" w:eastAsia="宋体" w:cs="Times New Roman"/>
          <w:color w:val="auto"/>
          <w:sz w:val="24"/>
          <w:szCs w:val="24"/>
          <w:highlight w:val="none"/>
        </w:rPr>
      </w:pPr>
    </w:p>
    <w:p w14:paraId="653652AA">
      <w:pPr>
        <w:autoSpaceDE w:val="0"/>
        <w:autoSpaceDN w:val="0"/>
        <w:spacing w:line="360" w:lineRule="auto"/>
        <w:ind w:left="-420" w:leftChars="-200" w:firstLine="2416" w:firstLineChars="755"/>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类似项目的业绩一览表</w:t>
      </w:r>
    </w:p>
    <w:p w14:paraId="0ACD7F3F">
      <w:pPr>
        <w:autoSpaceDE w:val="0"/>
        <w:autoSpaceDN w:val="0"/>
        <w:spacing w:line="360" w:lineRule="auto"/>
        <w:rPr>
          <w:rFonts w:ascii="宋体" w:hAnsi="宋体" w:eastAsia="宋体" w:cs="宋体"/>
          <w:color w:val="auto"/>
          <w:sz w:val="32"/>
          <w:szCs w:val="32"/>
          <w:highlight w:val="none"/>
        </w:rPr>
      </w:pPr>
    </w:p>
    <w:p w14:paraId="1AE9B05E">
      <w:pPr>
        <w:spacing w:line="360" w:lineRule="auto"/>
        <w:ind w:left="-218" w:leftChars="-104" w:firstLine="480" w:firstLineChars="200"/>
        <w:rPr>
          <w:rFonts w:ascii="宋体" w:hAnsi="宋体" w:eastAsia="宋体" w:cs="宋体"/>
          <w:color w:val="auto"/>
          <w:kern w:val="0"/>
          <w:sz w:val="20"/>
          <w:szCs w:val="21"/>
          <w:highlight w:val="none"/>
          <w:lang w:val="zh-CN"/>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highlight w:val="none"/>
          <w:u w:val="single"/>
        </w:rPr>
        <w:t xml:space="preserve"> </w:t>
      </w:r>
    </w:p>
    <w:p w14:paraId="42CF2104">
      <w:pPr>
        <w:snapToGrid w:val="0"/>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注：在填写时，如本表格不适合供应商的实际情况，可参照本表格式自行制表填写，并附上相关证明材料。 </w:t>
      </w:r>
    </w:p>
    <w:p w14:paraId="52D9F0DF">
      <w:pPr>
        <w:snapToGrid w:val="0"/>
        <w:spacing w:line="360" w:lineRule="auto"/>
        <w:ind w:firstLine="4935" w:firstLineChars="2350"/>
        <w:rPr>
          <w:rFonts w:ascii="宋体" w:hAnsi="宋体" w:eastAsia="宋体" w:cs="宋体"/>
          <w:color w:val="auto"/>
          <w:szCs w:val="21"/>
          <w:highlight w:val="none"/>
        </w:rPr>
      </w:pPr>
    </w:p>
    <w:p w14:paraId="53581D07">
      <w:pPr>
        <w:snapToGrid w:val="0"/>
        <w:spacing w:line="360" w:lineRule="auto"/>
        <w:ind w:left="4410" w:leftChars="2100" w:firstLine="5670" w:firstLineChars="2700"/>
        <w:rPr>
          <w:rFonts w:ascii="宋体" w:hAnsi="宋体" w:eastAsia="宋体" w:cs="宋体"/>
          <w:color w:val="auto"/>
          <w:kern w:val="0"/>
          <w:sz w:val="24"/>
          <w:szCs w:val="24"/>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kern w:val="0"/>
          <w:sz w:val="24"/>
          <w:szCs w:val="24"/>
          <w:highlight w:val="none"/>
          <w:lang w:val="zh-CN"/>
        </w:rPr>
        <w:t>供应商名称(盖公章)：</w:t>
      </w:r>
    </w:p>
    <w:p w14:paraId="3342DB54">
      <w:pPr>
        <w:spacing w:line="500" w:lineRule="exact"/>
        <w:jc w:val="center"/>
        <w:rPr>
          <w:rFonts w:ascii="仿宋_GB2312" w:hAnsi="仿宋_GB2312" w:eastAsia="仿宋_GB2312" w:cs="仿宋_GB2312"/>
          <w:color w:val="auto"/>
          <w:sz w:val="32"/>
          <w:szCs w:val="32"/>
          <w:highlight w:val="none"/>
        </w:rPr>
        <w:sectPr>
          <w:pgSz w:w="11910" w:h="16840"/>
          <w:pgMar w:top="1340" w:right="1500" w:bottom="280" w:left="1680" w:header="720" w:footer="720" w:gutter="0"/>
          <w:cols w:space="720" w:num="1"/>
        </w:sectPr>
      </w:pPr>
      <w:r>
        <w:rPr>
          <w:rFonts w:hint="eastAsia" w:ascii="宋体" w:hAnsi="宋体" w:eastAsia="宋体" w:cs="宋体"/>
          <w:color w:val="auto"/>
          <w:kern w:val="0"/>
          <w:sz w:val="24"/>
          <w:szCs w:val="24"/>
          <w:highlight w:val="none"/>
          <w:lang w:val="zh-CN"/>
        </w:rPr>
        <w:t xml:space="preserve">                                                     日期</w:t>
      </w:r>
      <w:r>
        <w:rPr>
          <w:rFonts w:hint="eastAsia" w:ascii="宋体" w:hAnsi="宋体" w:eastAsia="宋体" w:cs="宋体"/>
          <w:color w:val="auto"/>
          <w:kern w:val="0"/>
          <w:sz w:val="24"/>
          <w:szCs w:val="24"/>
          <w:highlight w:val="none"/>
        </w:rPr>
        <w:t xml:space="preserve">：  年  </w:t>
      </w:r>
      <w:r>
        <w:rPr>
          <w:rFonts w:hint="eastAsia" w:ascii="宋体" w:hAnsi="宋体" w:eastAsia="宋体" w:cs="宋体"/>
          <w:color w:val="auto"/>
          <w:kern w:val="0"/>
          <w:sz w:val="24"/>
          <w:szCs w:val="24"/>
          <w:highlight w:val="none"/>
          <w:lang w:val="zh-CN"/>
        </w:rPr>
        <w:t>月</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lang w:val="zh-CN"/>
        </w:rPr>
        <w:t>日</w:t>
      </w:r>
    </w:p>
    <w:p w14:paraId="4F3BD4E7">
      <w:pPr>
        <w:snapToGrid w:val="0"/>
        <w:spacing w:line="360" w:lineRule="auto"/>
        <w:jc w:val="left"/>
        <w:rPr>
          <w:rFonts w:ascii="仿宋" w:hAnsi="仿宋" w:eastAsia="仿宋" w:cs="仿宋_GB2312"/>
          <w:b/>
          <w:color w:val="auto"/>
          <w:sz w:val="30"/>
          <w:szCs w:val="30"/>
          <w:highlight w:val="none"/>
        </w:rPr>
      </w:pPr>
      <w:r>
        <w:rPr>
          <w:rFonts w:hint="eastAsia" w:ascii="宋体" w:hAnsi="宋体" w:eastAsia="宋体" w:cs="宋体"/>
          <w:b/>
          <w:color w:val="auto"/>
          <w:sz w:val="30"/>
          <w:szCs w:val="30"/>
          <w:highlight w:val="none"/>
        </w:rPr>
        <w:t>8.技术需求偏离表的格式：</w:t>
      </w:r>
    </w:p>
    <w:p w14:paraId="650ECF38">
      <w:pPr>
        <w:spacing w:line="500" w:lineRule="exact"/>
        <w:jc w:val="center"/>
        <w:rPr>
          <w:rFonts w:ascii="仿宋_GB2312" w:hAnsi="仿宋_GB2312" w:eastAsia="仿宋_GB2312" w:cs="仿宋_GB2312"/>
          <w:color w:val="auto"/>
          <w:sz w:val="32"/>
          <w:szCs w:val="32"/>
          <w:highlight w:val="none"/>
        </w:rPr>
      </w:pPr>
    </w:p>
    <w:p w14:paraId="6479D2EA">
      <w:pPr>
        <w:spacing w:line="500" w:lineRule="exact"/>
        <w:jc w:val="center"/>
        <w:rPr>
          <w:rFonts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技术需求偏离表</w:t>
      </w:r>
    </w:p>
    <w:p w14:paraId="3233C903">
      <w:pPr>
        <w:spacing w:line="500" w:lineRule="exact"/>
        <w:jc w:val="center"/>
        <w:rPr>
          <w:rFonts w:ascii="宋体" w:hAnsi="宋体" w:eastAsia="宋体" w:cs="宋体"/>
          <w:b/>
          <w:color w:val="auto"/>
          <w:sz w:val="32"/>
          <w:szCs w:val="32"/>
          <w:highlight w:val="none"/>
        </w:rPr>
      </w:pPr>
    </w:p>
    <w:p w14:paraId="0905E566">
      <w:pPr>
        <w:spacing w:line="360" w:lineRule="auto"/>
        <w:contextualSpacing/>
        <w:jc w:val="left"/>
        <w:rPr>
          <w:rFonts w:ascii="宋体" w:hAnsi="宋体" w:eastAsia="宋体" w:cs="宋体"/>
          <w:color w:val="auto"/>
          <w:sz w:val="24"/>
          <w:szCs w:val="24"/>
          <w:highlight w:val="none"/>
        </w:rPr>
      </w:pPr>
    </w:p>
    <w:p w14:paraId="1FE575E4">
      <w:pPr>
        <w:spacing w:line="360" w:lineRule="auto"/>
        <w:ind w:firstLine="240" w:firstLineChars="100"/>
        <w:contextualSpacing/>
        <w:rPr>
          <w:rFonts w:ascii="宋体" w:hAnsi="宋体" w:eastAsia="宋体" w:cs="宋体"/>
          <w:color w:val="auto"/>
          <w:sz w:val="24"/>
          <w:highlight w:val="none"/>
          <w:u w:val="singl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p>
    <w:p w14:paraId="1CDA2CA7">
      <w:pPr>
        <w:spacing w:line="360" w:lineRule="auto"/>
        <w:ind w:firstLine="240" w:firstLineChars="100"/>
        <w:contextualSpacing/>
        <w:rPr>
          <w:rFonts w:ascii="宋体" w:hAnsi="宋体" w:eastAsia="宋体" w:cs="宋体"/>
          <w:color w:val="auto"/>
          <w:sz w:val="24"/>
          <w:highlight w:val="none"/>
        </w:rPr>
      </w:pP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u w:val="single"/>
        </w:rPr>
        <w:t xml:space="preserve">                 </w:t>
      </w:r>
    </w:p>
    <w:p w14:paraId="2A10700C">
      <w:pPr>
        <w:spacing w:line="360" w:lineRule="auto"/>
        <w:ind w:firstLine="240" w:firstLineChars="100"/>
        <w:contextualSpacing/>
        <w:rPr>
          <w:rFonts w:ascii="宋体" w:hAnsi="宋体" w:eastAsia="宋体" w:cs="宋体"/>
          <w:color w:val="auto"/>
          <w:kern w:val="0"/>
          <w:sz w:val="24"/>
          <w:szCs w:val="24"/>
          <w:highlight w:val="none"/>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highlight w:val="none"/>
          <w:u w:val="single"/>
        </w:rPr>
        <w:t xml:space="preserve">        </w:t>
      </w:r>
    </w:p>
    <w:tbl>
      <w:tblPr>
        <w:tblStyle w:val="29"/>
        <w:tblW w:w="85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212"/>
        <w:gridCol w:w="2288"/>
        <w:gridCol w:w="2786"/>
        <w:gridCol w:w="1520"/>
      </w:tblGrid>
      <w:tr w14:paraId="698D7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0B52EDA8">
            <w:pPr>
              <w:widowControl/>
              <w:jc w:val="left"/>
              <w:rPr>
                <w:rFonts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1212" w:type="dxa"/>
            <w:tcBorders>
              <w:top w:val="single" w:color="auto" w:sz="4" w:space="0"/>
              <w:left w:val="single" w:color="auto" w:sz="4" w:space="0"/>
              <w:bottom w:val="single" w:color="auto" w:sz="4" w:space="0"/>
              <w:right w:val="single" w:color="auto" w:sz="4" w:space="0"/>
            </w:tcBorders>
            <w:vAlign w:val="center"/>
          </w:tcPr>
          <w:p w14:paraId="7D400B9D">
            <w:pPr>
              <w:rPr>
                <w:rFonts w:ascii="宋体" w:hAnsi="宋体" w:eastAsia="宋体" w:cs="宋体"/>
                <w:color w:val="auto"/>
                <w:szCs w:val="21"/>
                <w:highlight w:val="none"/>
              </w:rPr>
            </w:pPr>
            <w:r>
              <w:rPr>
                <w:rFonts w:hint="eastAsia" w:ascii="宋体" w:hAnsi="宋体" w:eastAsia="宋体" w:cs="宋体"/>
                <w:color w:val="auto"/>
                <w:szCs w:val="21"/>
                <w:highlight w:val="none"/>
              </w:rPr>
              <w:t>标的名称</w:t>
            </w:r>
          </w:p>
        </w:tc>
        <w:tc>
          <w:tcPr>
            <w:tcW w:w="2288" w:type="dxa"/>
            <w:tcBorders>
              <w:top w:val="single" w:color="auto" w:sz="4" w:space="0"/>
              <w:left w:val="single" w:color="auto" w:sz="4" w:space="0"/>
              <w:bottom w:val="single" w:color="auto" w:sz="4" w:space="0"/>
              <w:right w:val="single" w:color="auto" w:sz="4" w:space="0"/>
            </w:tcBorders>
            <w:vAlign w:val="center"/>
          </w:tcPr>
          <w:p w14:paraId="24AC4B96">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竞争性谈判文件</w:t>
            </w:r>
            <w:r>
              <w:rPr>
                <w:rFonts w:hint="eastAsia" w:ascii="宋体" w:hAnsi="宋体" w:cs="Times New Roman"/>
                <w:color w:val="auto"/>
                <w:szCs w:val="21"/>
                <w:highlight w:val="none"/>
              </w:rPr>
              <w:t>采购需求中的</w:t>
            </w:r>
            <w:r>
              <w:rPr>
                <w:rFonts w:hint="eastAsia" w:ascii="宋体" w:hAnsi="宋体" w:cs="宋体"/>
                <w:color w:val="auto"/>
                <w:szCs w:val="21"/>
                <w:highlight w:val="none"/>
              </w:rPr>
              <w:t>技术参数及配置</w:t>
            </w:r>
          </w:p>
        </w:tc>
        <w:tc>
          <w:tcPr>
            <w:tcW w:w="2786" w:type="dxa"/>
            <w:tcBorders>
              <w:top w:val="single" w:color="auto" w:sz="4" w:space="0"/>
              <w:left w:val="single" w:color="auto" w:sz="4" w:space="0"/>
              <w:bottom w:val="single" w:color="auto" w:sz="4" w:space="0"/>
              <w:right w:val="single" w:color="auto" w:sz="4" w:space="0"/>
            </w:tcBorders>
            <w:vAlign w:val="center"/>
          </w:tcPr>
          <w:p w14:paraId="496DA534">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响应文件响应的</w:t>
            </w:r>
            <w:r>
              <w:rPr>
                <w:rFonts w:hint="eastAsia" w:ascii="宋体" w:hAnsi="宋体" w:cs="宋体"/>
                <w:color w:val="auto"/>
                <w:szCs w:val="21"/>
                <w:highlight w:val="none"/>
              </w:rPr>
              <w:t>技术参数及配置</w:t>
            </w:r>
          </w:p>
        </w:tc>
        <w:tc>
          <w:tcPr>
            <w:tcW w:w="1520" w:type="dxa"/>
            <w:tcBorders>
              <w:top w:val="single" w:color="auto" w:sz="4" w:space="0"/>
              <w:left w:val="single" w:color="auto" w:sz="4" w:space="0"/>
              <w:bottom w:val="single" w:color="auto" w:sz="4" w:space="0"/>
              <w:right w:val="single" w:color="auto" w:sz="4" w:space="0"/>
            </w:tcBorders>
            <w:vAlign w:val="center"/>
          </w:tcPr>
          <w:p w14:paraId="268B1016">
            <w:pPr>
              <w:widowControl/>
              <w:jc w:val="left"/>
              <w:rPr>
                <w:rFonts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14:paraId="1DF8F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0CA4329E">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212" w:type="dxa"/>
            <w:tcBorders>
              <w:top w:val="single" w:color="auto" w:sz="4" w:space="0"/>
              <w:left w:val="single" w:color="auto" w:sz="4" w:space="0"/>
              <w:bottom w:val="single" w:color="auto" w:sz="4" w:space="0"/>
              <w:right w:val="single" w:color="auto" w:sz="4" w:space="0"/>
            </w:tcBorders>
            <w:vAlign w:val="center"/>
          </w:tcPr>
          <w:p w14:paraId="695DD13F">
            <w:pPr>
              <w:rPr>
                <w:rFonts w:ascii="宋体" w:hAnsi="宋体" w:eastAsia="宋体" w:cs="宋体"/>
                <w:color w:val="auto"/>
                <w:szCs w:val="21"/>
                <w:highlight w:val="none"/>
              </w:rPr>
            </w:pPr>
          </w:p>
        </w:tc>
        <w:tc>
          <w:tcPr>
            <w:tcW w:w="2288" w:type="dxa"/>
            <w:tcBorders>
              <w:top w:val="single" w:color="auto" w:sz="4" w:space="0"/>
              <w:left w:val="single" w:color="auto" w:sz="4" w:space="0"/>
              <w:bottom w:val="single" w:color="auto" w:sz="4" w:space="0"/>
              <w:right w:val="single" w:color="auto" w:sz="4" w:space="0"/>
            </w:tcBorders>
            <w:vAlign w:val="center"/>
          </w:tcPr>
          <w:p w14:paraId="3F2AB310">
            <w:pPr>
              <w:rPr>
                <w:rFonts w:ascii="宋体" w:hAnsi="宋体" w:eastAsia="宋体" w:cs="宋体"/>
                <w:color w:val="auto"/>
                <w:szCs w:val="21"/>
                <w:highlight w:val="none"/>
              </w:rPr>
            </w:pPr>
          </w:p>
        </w:tc>
        <w:tc>
          <w:tcPr>
            <w:tcW w:w="2786" w:type="dxa"/>
            <w:tcBorders>
              <w:top w:val="single" w:color="auto" w:sz="4" w:space="0"/>
              <w:left w:val="single" w:color="auto" w:sz="4" w:space="0"/>
              <w:bottom w:val="single" w:color="auto" w:sz="4" w:space="0"/>
              <w:right w:val="single" w:color="auto" w:sz="4" w:space="0"/>
            </w:tcBorders>
            <w:vAlign w:val="center"/>
          </w:tcPr>
          <w:p w14:paraId="14D3792E">
            <w:pPr>
              <w:rPr>
                <w:rFonts w:ascii="宋体" w:hAnsi="宋体" w:eastAsia="宋体" w:cs="宋体"/>
                <w:color w:val="auto"/>
                <w:szCs w:val="21"/>
                <w:highlight w:val="none"/>
              </w:rPr>
            </w:pPr>
          </w:p>
        </w:tc>
        <w:tc>
          <w:tcPr>
            <w:tcW w:w="1520" w:type="dxa"/>
            <w:tcBorders>
              <w:top w:val="single" w:color="auto" w:sz="4" w:space="0"/>
              <w:left w:val="single" w:color="auto" w:sz="4" w:space="0"/>
              <w:bottom w:val="single" w:color="auto" w:sz="4" w:space="0"/>
              <w:right w:val="single" w:color="auto" w:sz="4" w:space="0"/>
            </w:tcBorders>
            <w:vAlign w:val="center"/>
          </w:tcPr>
          <w:p w14:paraId="79BA5802">
            <w:pPr>
              <w:rPr>
                <w:rFonts w:ascii="宋体" w:hAnsi="宋体" w:eastAsia="宋体" w:cs="宋体"/>
                <w:color w:val="auto"/>
                <w:szCs w:val="21"/>
                <w:highlight w:val="none"/>
              </w:rPr>
            </w:pPr>
          </w:p>
        </w:tc>
      </w:tr>
      <w:tr w14:paraId="1099C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0D18D4A2">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212" w:type="dxa"/>
            <w:tcBorders>
              <w:top w:val="single" w:color="auto" w:sz="4" w:space="0"/>
              <w:left w:val="single" w:color="auto" w:sz="4" w:space="0"/>
              <w:bottom w:val="single" w:color="auto" w:sz="4" w:space="0"/>
              <w:right w:val="single" w:color="auto" w:sz="4" w:space="0"/>
            </w:tcBorders>
            <w:vAlign w:val="center"/>
          </w:tcPr>
          <w:p w14:paraId="04548106">
            <w:pPr>
              <w:rPr>
                <w:rFonts w:ascii="宋体" w:hAnsi="宋体" w:eastAsia="宋体" w:cs="宋体"/>
                <w:color w:val="auto"/>
                <w:szCs w:val="21"/>
                <w:highlight w:val="none"/>
              </w:rPr>
            </w:pPr>
          </w:p>
        </w:tc>
        <w:tc>
          <w:tcPr>
            <w:tcW w:w="2288" w:type="dxa"/>
            <w:tcBorders>
              <w:top w:val="single" w:color="auto" w:sz="4" w:space="0"/>
              <w:left w:val="single" w:color="auto" w:sz="4" w:space="0"/>
              <w:bottom w:val="single" w:color="auto" w:sz="4" w:space="0"/>
              <w:right w:val="single" w:color="auto" w:sz="4" w:space="0"/>
            </w:tcBorders>
            <w:vAlign w:val="center"/>
          </w:tcPr>
          <w:p w14:paraId="264F6F6B">
            <w:pPr>
              <w:rPr>
                <w:rFonts w:ascii="宋体" w:hAnsi="宋体" w:eastAsia="宋体" w:cs="宋体"/>
                <w:color w:val="auto"/>
                <w:szCs w:val="21"/>
                <w:highlight w:val="none"/>
              </w:rPr>
            </w:pPr>
          </w:p>
        </w:tc>
        <w:tc>
          <w:tcPr>
            <w:tcW w:w="2786" w:type="dxa"/>
            <w:tcBorders>
              <w:top w:val="single" w:color="auto" w:sz="4" w:space="0"/>
              <w:left w:val="single" w:color="auto" w:sz="4" w:space="0"/>
              <w:bottom w:val="single" w:color="auto" w:sz="4" w:space="0"/>
              <w:right w:val="single" w:color="auto" w:sz="4" w:space="0"/>
            </w:tcBorders>
            <w:vAlign w:val="center"/>
          </w:tcPr>
          <w:p w14:paraId="15CD4564">
            <w:pPr>
              <w:rPr>
                <w:rFonts w:ascii="宋体" w:hAnsi="宋体" w:eastAsia="宋体" w:cs="宋体"/>
                <w:color w:val="auto"/>
                <w:szCs w:val="21"/>
                <w:highlight w:val="none"/>
              </w:rPr>
            </w:pPr>
          </w:p>
        </w:tc>
        <w:tc>
          <w:tcPr>
            <w:tcW w:w="1520" w:type="dxa"/>
            <w:tcBorders>
              <w:top w:val="single" w:color="auto" w:sz="4" w:space="0"/>
              <w:left w:val="single" w:color="auto" w:sz="4" w:space="0"/>
              <w:bottom w:val="single" w:color="auto" w:sz="4" w:space="0"/>
              <w:right w:val="single" w:color="auto" w:sz="4" w:space="0"/>
            </w:tcBorders>
            <w:vAlign w:val="center"/>
          </w:tcPr>
          <w:p w14:paraId="25151A8E">
            <w:pPr>
              <w:rPr>
                <w:rFonts w:ascii="宋体" w:hAnsi="宋体" w:eastAsia="宋体" w:cs="宋体"/>
                <w:color w:val="auto"/>
                <w:szCs w:val="21"/>
                <w:highlight w:val="none"/>
              </w:rPr>
            </w:pPr>
          </w:p>
        </w:tc>
      </w:tr>
      <w:tr w14:paraId="1181F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6B41AA64">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12" w:type="dxa"/>
            <w:tcBorders>
              <w:top w:val="single" w:color="auto" w:sz="4" w:space="0"/>
              <w:left w:val="single" w:color="auto" w:sz="4" w:space="0"/>
              <w:bottom w:val="single" w:color="auto" w:sz="4" w:space="0"/>
              <w:right w:val="single" w:color="auto" w:sz="4" w:space="0"/>
            </w:tcBorders>
            <w:vAlign w:val="center"/>
          </w:tcPr>
          <w:p w14:paraId="01165820">
            <w:pPr>
              <w:rPr>
                <w:rFonts w:ascii="宋体" w:hAnsi="宋体" w:eastAsia="宋体" w:cs="宋体"/>
                <w:color w:val="auto"/>
                <w:szCs w:val="21"/>
                <w:highlight w:val="none"/>
              </w:rPr>
            </w:pPr>
          </w:p>
        </w:tc>
        <w:tc>
          <w:tcPr>
            <w:tcW w:w="2288" w:type="dxa"/>
            <w:tcBorders>
              <w:top w:val="single" w:color="auto" w:sz="4" w:space="0"/>
              <w:left w:val="single" w:color="auto" w:sz="4" w:space="0"/>
              <w:bottom w:val="single" w:color="auto" w:sz="4" w:space="0"/>
              <w:right w:val="single" w:color="auto" w:sz="4" w:space="0"/>
            </w:tcBorders>
            <w:vAlign w:val="center"/>
          </w:tcPr>
          <w:p w14:paraId="19968131">
            <w:pPr>
              <w:rPr>
                <w:rFonts w:ascii="宋体" w:hAnsi="宋体" w:eastAsia="宋体" w:cs="宋体"/>
                <w:color w:val="auto"/>
                <w:szCs w:val="21"/>
                <w:highlight w:val="none"/>
              </w:rPr>
            </w:pPr>
          </w:p>
        </w:tc>
        <w:tc>
          <w:tcPr>
            <w:tcW w:w="2786" w:type="dxa"/>
            <w:tcBorders>
              <w:top w:val="single" w:color="auto" w:sz="4" w:space="0"/>
              <w:left w:val="single" w:color="auto" w:sz="4" w:space="0"/>
              <w:bottom w:val="single" w:color="auto" w:sz="4" w:space="0"/>
              <w:right w:val="single" w:color="auto" w:sz="4" w:space="0"/>
            </w:tcBorders>
            <w:vAlign w:val="center"/>
          </w:tcPr>
          <w:p w14:paraId="0773D47F">
            <w:pPr>
              <w:rPr>
                <w:rFonts w:ascii="宋体" w:hAnsi="宋体" w:eastAsia="宋体" w:cs="宋体"/>
                <w:color w:val="auto"/>
                <w:szCs w:val="21"/>
                <w:highlight w:val="none"/>
              </w:rPr>
            </w:pPr>
          </w:p>
        </w:tc>
        <w:tc>
          <w:tcPr>
            <w:tcW w:w="1520" w:type="dxa"/>
            <w:tcBorders>
              <w:top w:val="single" w:color="auto" w:sz="4" w:space="0"/>
              <w:left w:val="single" w:color="auto" w:sz="4" w:space="0"/>
              <w:bottom w:val="single" w:color="auto" w:sz="4" w:space="0"/>
              <w:right w:val="single" w:color="auto" w:sz="4" w:space="0"/>
            </w:tcBorders>
            <w:vAlign w:val="center"/>
          </w:tcPr>
          <w:p w14:paraId="02F6FEB2">
            <w:pPr>
              <w:rPr>
                <w:rFonts w:ascii="宋体" w:hAnsi="宋体" w:eastAsia="宋体" w:cs="宋体"/>
                <w:color w:val="auto"/>
                <w:szCs w:val="21"/>
                <w:highlight w:val="none"/>
              </w:rPr>
            </w:pPr>
          </w:p>
        </w:tc>
      </w:tr>
      <w:tr w14:paraId="7B14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8511" w:type="dxa"/>
            <w:gridSpan w:val="5"/>
            <w:tcBorders>
              <w:top w:val="single" w:color="auto" w:sz="4" w:space="0"/>
              <w:left w:val="single" w:color="auto" w:sz="4" w:space="0"/>
              <w:bottom w:val="single" w:color="auto" w:sz="4" w:space="0"/>
              <w:right w:val="single" w:color="auto" w:sz="4" w:space="0"/>
            </w:tcBorders>
            <w:vAlign w:val="center"/>
          </w:tcPr>
          <w:p w14:paraId="682D6B34">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竞标货物中，属于优先采购节能产品</w:t>
            </w:r>
            <w:r>
              <w:rPr>
                <w:rFonts w:hint="eastAsia" w:ascii="宋体" w:hAnsi="宋体" w:cs="宋体"/>
                <w:color w:val="auto"/>
                <w:highlight w:val="none"/>
              </w:rPr>
              <w:t>为</w:t>
            </w:r>
            <w:r>
              <w:rPr>
                <w:rFonts w:hint="eastAsia" w:ascii="宋体" w:hAnsi="宋体" w:eastAsia="宋体" w:cs="宋体"/>
                <w:color w:val="auto"/>
                <w:szCs w:val="21"/>
                <w:highlight w:val="none"/>
              </w:rPr>
              <w:t>本项目竞争性谈判文件“第二章 采购需求”中</w:t>
            </w:r>
            <w:r>
              <w:rPr>
                <w:rFonts w:hint="eastAsia" w:ascii="宋体" w:hAnsi="宋体" w:cs="宋体"/>
                <w:color w:val="auto"/>
                <w:highlight w:val="none"/>
              </w:rPr>
              <w:t>“</w:t>
            </w:r>
            <w:r>
              <w:rPr>
                <w:rFonts w:hint="eastAsia" w:ascii="宋体" w:hAnsi="宋体" w:cs="宋体"/>
                <w:color w:val="auto"/>
                <w:szCs w:val="21"/>
                <w:highlight w:val="none"/>
              </w:rPr>
              <w:t>需求一览表</w:t>
            </w:r>
            <w:r>
              <w:rPr>
                <w:rFonts w:hint="eastAsia" w:ascii="宋体" w:hAnsi="宋体" w:cs="宋体"/>
                <w:color w:val="auto"/>
                <w:highlight w:val="none"/>
              </w:rPr>
              <w:t>”的第   项产品</w:t>
            </w:r>
            <w:r>
              <w:rPr>
                <w:rFonts w:hint="eastAsia" w:ascii="宋体" w:hAnsi="宋体" w:eastAsia="宋体" w:cs="宋体"/>
                <w:color w:val="auto"/>
                <w:szCs w:val="24"/>
                <w:highlight w:val="none"/>
              </w:rPr>
              <w:t>：</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，合计</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项</w:t>
            </w:r>
            <w:r>
              <w:rPr>
                <w:rFonts w:hint="eastAsia" w:ascii="宋体" w:hAnsi="宋体" w:eastAsia="宋体" w:cs="宋体"/>
                <w:color w:val="auto"/>
                <w:szCs w:val="21"/>
                <w:highlight w:val="none"/>
              </w:rPr>
              <w:t>；属于优先采购环境标志产品为本项目竞争性谈判文件“第二章 采购需求”中</w:t>
            </w:r>
            <w:r>
              <w:rPr>
                <w:rFonts w:hint="eastAsia" w:ascii="宋体" w:hAnsi="宋体" w:cs="宋体"/>
                <w:color w:val="auto"/>
                <w:highlight w:val="none"/>
              </w:rPr>
              <w:t>“</w:t>
            </w:r>
            <w:r>
              <w:rPr>
                <w:rFonts w:hint="eastAsia" w:ascii="宋体" w:hAnsi="宋体" w:cs="宋体"/>
                <w:color w:val="auto"/>
                <w:szCs w:val="21"/>
                <w:highlight w:val="none"/>
              </w:rPr>
              <w:t>需求一览表</w:t>
            </w:r>
            <w:r>
              <w:rPr>
                <w:rFonts w:hint="eastAsia" w:ascii="宋体" w:hAnsi="宋体" w:cs="宋体"/>
                <w:color w:val="auto"/>
                <w:highlight w:val="none"/>
              </w:rPr>
              <w:t>”的第   项产品</w:t>
            </w:r>
            <w:r>
              <w:rPr>
                <w:rFonts w:hint="eastAsia" w:ascii="宋体" w:hAnsi="宋体" w:eastAsia="宋体" w:cs="宋体"/>
                <w:color w:val="auto"/>
                <w:szCs w:val="24"/>
                <w:highlight w:val="none"/>
              </w:rPr>
              <w:t>：</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，合计</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项</w:t>
            </w:r>
            <w:r>
              <w:rPr>
                <w:rFonts w:hint="eastAsia" w:ascii="宋体" w:hAnsi="宋体" w:eastAsia="宋体" w:cs="宋体"/>
                <w:color w:val="auto"/>
                <w:szCs w:val="21"/>
                <w:highlight w:val="none"/>
              </w:rPr>
              <w:t>。</w:t>
            </w:r>
            <w:r>
              <w:rPr>
                <w:rFonts w:hint="eastAsia" w:ascii="宋体" w:hAnsi="宋体" w:eastAsia="宋体" w:cs="宋体"/>
                <w:color w:val="auto"/>
                <w:highlight w:val="none"/>
              </w:rPr>
              <w:t xml:space="preserve"> </w:t>
            </w:r>
            <w:r>
              <w:rPr>
                <w:rFonts w:hint="eastAsia" w:ascii="宋体" w:hAnsi="宋体" w:eastAsia="宋体" w:cs="宋体"/>
                <w:b/>
                <w:bCs/>
                <w:color w:val="auto"/>
                <w:szCs w:val="21"/>
                <w:highlight w:val="none"/>
              </w:rPr>
              <w:t>（注：如有，请逐项列出，如无填写“无”或者留空。）</w:t>
            </w:r>
          </w:p>
        </w:tc>
      </w:tr>
    </w:tbl>
    <w:p w14:paraId="1EC44DDC">
      <w:pPr>
        <w:spacing w:line="360" w:lineRule="auto"/>
        <w:contextualSpacing/>
        <w:rPr>
          <w:rFonts w:ascii="宋体" w:hAnsi="宋体" w:eastAsia="宋体" w:cs="宋体"/>
          <w:color w:val="auto"/>
          <w:kern w:val="0"/>
          <w:szCs w:val="21"/>
          <w:highlight w:val="none"/>
          <w:lang w:val="zh-CN"/>
        </w:rPr>
      </w:pPr>
    </w:p>
    <w:p w14:paraId="76D5692E">
      <w:pPr>
        <w:spacing w:line="360" w:lineRule="auto"/>
        <w:contextualSpacing/>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注：</w:t>
      </w:r>
    </w:p>
    <w:p w14:paraId="69ED3C1C">
      <w:pPr>
        <w:spacing w:line="360" w:lineRule="auto"/>
        <w:ind w:firstLine="420" w:firstLineChars="200"/>
        <w:contextualSpacing/>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1.说明：应对照谈判文件“第二章</w:t>
      </w:r>
      <w:r>
        <w:rPr>
          <w:rFonts w:hint="eastAsia"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lang w:val="zh-CN"/>
        </w:rPr>
        <w:t>采购需求”中“需求一览表”的技术参数及配置条款逐条作出明确响应，并作出偏离说明。</w:t>
      </w:r>
    </w:p>
    <w:p w14:paraId="2C320217">
      <w:pPr>
        <w:spacing w:line="360" w:lineRule="auto"/>
        <w:ind w:firstLine="420" w:firstLineChars="200"/>
        <w:contextualSpacing/>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2.供应商应根据自身的承诺，对照谈判文件要求，在“偏离说明”中注明“正偏离”或者“负偏离”或者“无偏离”。既不属于“正偏离”也不属于“负偏离”即为“无偏离”。 当响应文件的技术参数及配置内容低于竞争性谈判文件要求时，供应商应当如实写明“负偏离”。</w:t>
      </w:r>
    </w:p>
    <w:p w14:paraId="032CC6F6">
      <w:pPr>
        <w:spacing w:line="360" w:lineRule="auto"/>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3.表格内容均需按要求填写并盖公章，不得留空（有说明可以留空的除外），</w:t>
      </w:r>
      <w:r>
        <w:rPr>
          <w:rFonts w:hint="eastAsia" w:ascii="宋体" w:hAnsi="宋体" w:eastAsia="宋体" w:cs="宋体"/>
          <w:b/>
          <w:bCs/>
          <w:color w:val="auto"/>
          <w:kern w:val="0"/>
          <w:szCs w:val="21"/>
          <w:highlight w:val="none"/>
        </w:rPr>
        <w:t>否则按竞标无效处理。</w:t>
      </w:r>
    </w:p>
    <w:p w14:paraId="39C42C86">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p>
    <w:p w14:paraId="3A263976">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p>
    <w:p w14:paraId="7705D3B6">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07BD8143">
      <w:pPr>
        <w:autoSpaceDE w:val="0"/>
        <w:autoSpaceDN w:val="0"/>
        <w:spacing w:line="360" w:lineRule="auto"/>
        <w:ind w:firstLine="6480" w:firstLineChars="2700"/>
        <w:rPr>
          <w:rFonts w:ascii="仿宋_GB2312" w:hAnsi="仿宋" w:eastAsia="仿宋_GB2312" w:cs="仿宋_GB2312"/>
          <w:b/>
          <w:bCs/>
          <w:color w:val="auto"/>
          <w:sz w:val="24"/>
          <w:szCs w:val="24"/>
          <w:highlight w:val="none"/>
        </w:rPr>
      </w:pPr>
      <w:r>
        <w:rPr>
          <w:rFonts w:hint="eastAsia" w:ascii="宋体" w:hAnsi="宋体" w:eastAsia="宋体" w:cs="宋体"/>
          <w:color w:val="auto"/>
          <w:kern w:val="0"/>
          <w:sz w:val="24"/>
          <w:szCs w:val="24"/>
          <w:highlight w:val="none"/>
          <w:lang w:val="zh-CN"/>
        </w:rPr>
        <w:t>日期：  年  月   日</w:t>
      </w:r>
    </w:p>
    <w:p w14:paraId="2338681F">
      <w:pPr>
        <w:spacing w:line="500" w:lineRule="exact"/>
        <w:jc w:val="center"/>
        <w:rPr>
          <w:rFonts w:ascii="仿宋_GB2312" w:hAnsi="仿宋_GB2312" w:eastAsia="仿宋_GB2312" w:cs="仿宋_GB2312"/>
          <w:color w:val="auto"/>
          <w:sz w:val="32"/>
          <w:szCs w:val="32"/>
          <w:highlight w:val="none"/>
        </w:rPr>
        <w:sectPr>
          <w:pgSz w:w="11910" w:h="16840"/>
          <w:pgMar w:top="1340" w:right="1500" w:bottom="280" w:left="1680" w:header="720" w:footer="720" w:gutter="0"/>
          <w:cols w:space="720" w:num="1"/>
        </w:sectPr>
      </w:pPr>
    </w:p>
    <w:p w14:paraId="3DF8B311">
      <w:pPr>
        <w:snapToGrid w:val="0"/>
        <w:spacing w:before="165" w:beforeLines="50" w:after="50"/>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9.</w:t>
      </w:r>
      <w:r>
        <w:rPr>
          <w:rFonts w:hint="eastAsia" w:ascii="宋体" w:hAnsi="宋体" w:eastAsia="宋体" w:cs="宋体"/>
          <w:b/>
          <w:color w:val="auto"/>
          <w:sz w:val="28"/>
          <w:szCs w:val="28"/>
          <w:highlight w:val="none"/>
          <w:lang w:val="en-US" w:eastAsia="zh-CN"/>
        </w:rPr>
        <w:t>实施及</w:t>
      </w:r>
      <w:r>
        <w:rPr>
          <w:rFonts w:hint="eastAsia" w:ascii="宋体" w:hAnsi="宋体" w:eastAsia="宋体" w:cs="宋体"/>
          <w:b/>
          <w:color w:val="auto"/>
          <w:sz w:val="28"/>
          <w:szCs w:val="28"/>
          <w:highlight w:val="none"/>
        </w:rPr>
        <w:t>售后服务方案</w:t>
      </w:r>
    </w:p>
    <w:p w14:paraId="54199A55">
      <w:pPr>
        <w:snapToGrid w:val="0"/>
        <w:spacing w:before="165" w:beforeLines="50" w:after="50"/>
        <w:ind w:left="143" w:leftChars="68"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由供应商按本项目竞争性谈判文件“第二章  采购需求”中商务条款部分的</w:t>
      </w:r>
      <w:r>
        <w:rPr>
          <w:rFonts w:hint="eastAsia"/>
          <w:color w:val="auto"/>
          <w:lang w:val="en-US" w:eastAsia="zh-CN"/>
        </w:rPr>
        <w:t>实施及</w:t>
      </w:r>
      <w:r>
        <w:rPr>
          <w:rFonts w:hint="eastAsia" w:ascii="宋体" w:hAnsi="宋体" w:eastAsia="宋体" w:cs="宋体"/>
          <w:color w:val="auto"/>
          <w:szCs w:val="24"/>
          <w:highlight w:val="none"/>
        </w:rPr>
        <w:t>售后服务要求自行填写，其中要包含售后服务承诺。</w:t>
      </w:r>
    </w:p>
    <w:p w14:paraId="36346046">
      <w:pPr>
        <w:snapToGrid w:val="0"/>
        <w:spacing w:before="165" w:beforeLines="50" w:after="50"/>
        <w:ind w:left="142"/>
        <w:jc w:val="center"/>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1.</w:t>
      </w:r>
      <w:r>
        <w:rPr>
          <w:rFonts w:hint="eastAsia" w:ascii="宋体" w:hAnsi="宋体" w:eastAsia="宋体" w:cs="宋体"/>
          <w:b/>
          <w:color w:val="auto"/>
          <w:sz w:val="32"/>
          <w:szCs w:val="32"/>
          <w:highlight w:val="none"/>
          <w:lang w:val="en-US" w:eastAsia="zh-CN"/>
        </w:rPr>
        <w:t>实施及</w:t>
      </w:r>
      <w:r>
        <w:rPr>
          <w:rFonts w:hint="eastAsia" w:ascii="宋体" w:hAnsi="宋体" w:eastAsia="宋体" w:cs="宋体"/>
          <w:b/>
          <w:color w:val="auto"/>
          <w:sz w:val="32"/>
          <w:szCs w:val="32"/>
          <w:highlight w:val="none"/>
        </w:rPr>
        <w:t>售后服务承诺</w:t>
      </w:r>
    </w:p>
    <w:p w14:paraId="33702476">
      <w:pPr>
        <w:autoSpaceDE w:val="0"/>
        <w:autoSpaceDN w:val="0"/>
        <w:spacing w:line="360" w:lineRule="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附表A:</w:t>
      </w:r>
      <w:r>
        <w:rPr>
          <w:rFonts w:hint="eastAsia" w:ascii="宋体" w:hAnsi="宋体" w:eastAsia="宋体" w:cs="宋体"/>
          <w:b/>
          <w:color w:val="auto"/>
          <w:sz w:val="24"/>
          <w:szCs w:val="24"/>
          <w:highlight w:val="none"/>
          <w:lang w:val="en-US" w:eastAsia="zh-CN"/>
        </w:rPr>
        <w:t>实施及</w:t>
      </w:r>
      <w:r>
        <w:rPr>
          <w:rFonts w:hint="eastAsia" w:ascii="宋体" w:hAnsi="宋体" w:eastAsia="宋体" w:cs="宋体"/>
          <w:b/>
          <w:color w:val="auto"/>
          <w:sz w:val="24"/>
          <w:szCs w:val="24"/>
          <w:highlight w:val="none"/>
        </w:rPr>
        <w:t>售后服务机构情况表</w:t>
      </w:r>
      <w:r>
        <w:rPr>
          <w:rFonts w:hint="eastAsia" w:ascii="宋体" w:hAnsi="宋体" w:eastAsia="宋体" w:cs="宋体"/>
          <w:color w:val="auto"/>
          <w:sz w:val="24"/>
          <w:szCs w:val="24"/>
          <w:highlight w:val="none"/>
        </w:rPr>
        <w:t>（参照此格式自制）</w:t>
      </w:r>
    </w:p>
    <w:tbl>
      <w:tblPr>
        <w:tblStyle w:val="29"/>
        <w:tblW w:w="92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650"/>
        <w:gridCol w:w="1523"/>
        <w:gridCol w:w="1390"/>
        <w:gridCol w:w="1533"/>
      </w:tblGrid>
      <w:tr w14:paraId="27D6F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780B242">
            <w:pPr>
              <w:autoSpaceDE w:val="0"/>
              <w:autoSpaceDN w:val="0"/>
              <w:spacing w:line="360" w:lineRule="auto"/>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2340" w:type="dxa"/>
            <w:vAlign w:val="center"/>
          </w:tcPr>
          <w:p w14:paraId="3DDA3D02">
            <w:pPr>
              <w:autoSpaceDE w:val="0"/>
              <w:autoSpaceDN w:val="0"/>
              <w:spacing w:line="360" w:lineRule="auto"/>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机构名称</w:t>
            </w:r>
          </w:p>
        </w:tc>
        <w:tc>
          <w:tcPr>
            <w:tcW w:w="1650" w:type="dxa"/>
            <w:vAlign w:val="center"/>
          </w:tcPr>
          <w:p w14:paraId="4BD6AFF5">
            <w:pPr>
              <w:autoSpaceDE w:val="0"/>
              <w:autoSpaceDN w:val="0"/>
              <w:spacing w:line="360" w:lineRule="auto"/>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机构性质</w:t>
            </w:r>
          </w:p>
        </w:tc>
        <w:tc>
          <w:tcPr>
            <w:tcW w:w="1523" w:type="dxa"/>
            <w:vAlign w:val="center"/>
          </w:tcPr>
          <w:p w14:paraId="25F9CCCE">
            <w:pPr>
              <w:autoSpaceDE w:val="0"/>
              <w:autoSpaceDN w:val="0"/>
              <w:spacing w:line="360" w:lineRule="auto"/>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注册地址</w:t>
            </w:r>
          </w:p>
        </w:tc>
        <w:tc>
          <w:tcPr>
            <w:tcW w:w="1390" w:type="dxa"/>
            <w:vAlign w:val="center"/>
          </w:tcPr>
          <w:p w14:paraId="55B3AA8F">
            <w:pPr>
              <w:autoSpaceDE w:val="0"/>
              <w:autoSpaceDN w:val="0"/>
              <w:spacing w:line="360" w:lineRule="auto"/>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技术人员数量</w:t>
            </w:r>
          </w:p>
        </w:tc>
        <w:tc>
          <w:tcPr>
            <w:tcW w:w="1533" w:type="dxa"/>
            <w:vAlign w:val="center"/>
          </w:tcPr>
          <w:p w14:paraId="50BD1D72">
            <w:pPr>
              <w:autoSpaceDE w:val="0"/>
              <w:autoSpaceDN w:val="0"/>
              <w:spacing w:line="360" w:lineRule="auto"/>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联系电话</w:t>
            </w:r>
          </w:p>
        </w:tc>
      </w:tr>
      <w:tr w14:paraId="07D64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7E4210">
            <w:pPr>
              <w:autoSpaceDE w:val="0"/>
              <w:autoSpaceDN w:val="0"/>
              <w:spacing w:line="360" w:lineRule="auto"/>
              <w:jc w:val="center"/>
              <w:rPr>
                <w:rFonts w:ascii="宋体" w:hAnsi="宋体" w:eastAsia="宋体" w:cs="宋体"/>
                <w:color w:val="auto"/>
                <w:sz w:val="24"/>
                <w:szCs w:val="24"/>
                <w:highlight w:val="none"/>
              </w:rPr>
            </w:pPr>
          </w:p>
        </w:tc>
        <w:tc>
          <w:tcPr>
            <w:tcW w:w="2340" w:type="dxa"/>
          </w:tcPr>
          <w:p w14:paraId="789AA8C0">
            <w:pPr>
              <w:autoSpaceDE w:val="0"/>
              <w:autoSpaceDN w:val="0"/>
              <w:spacing w:line="360" w:lineRule="auto"/>
              <w:jc w:val="center"/>
              <w:rPr>
                <w:rFonts w:ascii="宋体" w:hAnsi="宋体" w:eastAsia="宋体" w:cs="宋体"/>
                <w:color w:val="auto"/>
                <w:sz w:val="24"/>
                <w:szCs w:val="24"/>
                <w:highlight w:val="none"/>
              </w:rPr>
            </w:pPr>
          </w:p>
        </w:tc>
        <w:tc>
          <w:tcPr>
            <w:tcW w:w="1650" w:type="dxa"/>
          </w:tcPr>
          <w:p w14:paraId="1612CBF4">
            <w:pPr>
              <w:autoSpaceDE w:val="0"/>
              <w:autoSpaceDN w:val="0"/>
              <w:spacing w:line="360" w:lineRule="auto"/>
              <w:jc w:val="center"/>
              <w:rPr>
                <w:rFonts w:ascii="宋体" w:hAnsi="宋体" w:eastAsia="宋体" w:cs="宋体"/>
                <w:color w:val="auto"/>
                <w:sz w:val="24"/>
                <w:szCs w:val="24"/>
                <w:highlight w:val="none"/>
              </w:rPr>
            </w:pPr>
          </w:p>
        </w:tc>
        <w:tc>
          <w:tcPr>
            <w:tcW w:w="1523" w:type="dxa"/>
          </w:tcPr>
          <w:p w14:paraId="7B003B99">
            <w:pPr>
              <w:autoSpaceDE w:val="0"/>
              <w:autoSpaceDN w:val="0"/>
              <w:spacing w:line="360" w:lineRule="auto"/>
              <w:jc w:val="center"/>
              <w:rPr>
                <w:rFonts w:ascii="宋体" w:hAnsi="宋体" w:eastAsia="宋体" w:cs="宋体"/>
                <w:color w:val="auto"/>
                <w:sz w:val="24"/>
                <w:szCs w:val="24"/>
                <w:highlight w:val="none"/>
              </w:rPr>
            </w:pPr>
          </w:p>
        </w:tc>
        <w:tc>
          <w:tcPr>
            <w:tcW w:w="1390" w:type="dxa"/>
          </w:tcPr>
          <w:p w14:paraId="68969D40">
            <w:pPr>
              <w:autoSpaceDE w:val="0"/>
              <w:autoSpaceDN w:val="0"/>
              <w:spacing w:line="360" w:lineRule="auto"/>
              <w:jc w:val="center"/>
              <w:rPr>
                <w:rFonts w:ascii="宋体" w:hAnsi="宋体" w:eastAsia="宋体" w:cs="宋体"/>
                <w:color w:val="auto"/>
                <w:sz w:val="24"/>
                <w:szCs w:val="24"/>
                <w:highlight w:val="none"/>
              </w:rPr>
            </w:pPr>
          </w:p>
        </w:tc>
        <w:tc>
          <w:tcPr>
            <w:tcW w:w="1533" w:type="dxa"/>
          </w:tcPr>
          <w:p w14:paraId="55647135">
            <w:pPr>
              <w:autoSpaceDE w:val="0"/>
              <w:autoSpaceDN w:val="0"/>
              <w:spacing w:line="360" w:lineRule="auto"/>
              <w:jc w:val="center"/>
              <w:rPr>
                <w:rFonts w:ascii="宋体" w:hAnsi="宋体" w:eastAsia="宋体" w:cs="宋体"/>
                <w:color w:val="auto"/>
                <w:sz w:val="24"/>
                <w:szCs w:val="24"/>
                <w:highlight w:val="none"/>
              </w:rPr>
            </w:pPr>
          </w:p>
        </w:tc>
      </w:tr>
      <w:tr w14:paraId="61B7A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A20D277">
            <w:pPr>
              <w:autoSpaceDE w:val="0"/>
              <w:autoSpaceDN w:val="0"/>
              <w:spacing w:line="360" w:lineRule="auto"/>
              <w:jc w:val="center"/>
              <w:rPr>
                <w:rFonts w:ascii="宋体" w:hAnsi="宋体" w:eastAsia="宋体" w:cs="宋体"/>
                <w:color w:val="auto"/>
                <w:sz w:val="24"/>
                <w:szCs w:val="24"/>
                <w:highlight w:val="none"/>
              </w:rPr>
            </w:pPr>
          </w:p>
        </w:tc>
        <w:tc>
          <w:tcPr>
            <w:tcW w:w="2340" w:type="dxa"/>
          </w:tcPr>
          <w:p w14:paraId="409CE83F">
            <w:pPr>
              <w:autoSpaceDE w:val="0"/>
              <w:autoSpaceDN w:val="0"/>
              <w:spacing w:line="360" w:lineRule="auto"/>
              <w:jc w:val="center"/>
              <w:rPr>
                <w:rFonts w:ascii="宋体" w:hAnsi="宋体" w:eastAsia="宋体" w:cs="宋体"/>
                <w:color w:val="auto"/>
                <w:sz w:val="24"/>
                <w:szCs w:val="24"/>
                <w:highlight w:val="none"/>
              </w:rPr>
            </w:pPr>
          </w:p>
        </w:tc>
        <w:tc>
          <w:tcPr>
            <w:tcW w:w="1650" w:type="dxa"/>
          </w:tcPr>
          <w:p w14:paraId="7222031F">
            <w:pPr>
              <w:autoSpaceDE w:val="0"/>
              <w:autoSpaceDN w:val="0"/>
              <w:spacing w:line="360" w:lineRule="auto"/>
              <w:jc w:val="center"/>
              <w:rPr>
                <w:rFonts w:ascii="宋体" w:hAnsi="宋体" w:eastAsia="宋体" w:cs="宋体"/>
                <w:color w:val="auto"/>
                <w:sz w:val="24"/>
                <w:szCs w:val="24"/>
                <w:highlight w:val="none"/>
              </w:rPr>
            </w:pPr>
          </w:p>
        </w:tc>
        <w:tc>
          <w:tcPr>
            <w:tcW w:w="1523" w:type="dxa"/>
          </w:tcPr>
          <w:p w14:paraId="6443FD3A">
            <w:pPr>
              <w:autoSpaceDE w:val="0"/>
              <w:autoSpaceDN w:val="0"/>
              <w:spacing w:line="360" w:lineRule="auto"/>
              <w:jc w:val="center"/>
              <w:rPr>
                <w:rFonts w:ascii="宋体" w:hAnsi="宋体" w:eastAsia="宋体" w:cs="宋体"/>
                <w:color w:val="auto"/>
                <w:sz w:val="24"/>
                <w:szCs w:val="24"/>
                <w:highlight w:val="none"/>
              </w:rPr>
            </w:pPr>
          </w:p>
        </w:tc>
        <w:tc>
          <w:tcPr>
            <w:tcW w:w="1390" w:type="dxa"/>
          </w:tcPr>
          <w:p w14:paraId="5F128430">
            <w:pPr>
              <w:autoSpaceDE w:val="0"/>
              <w:autoSpaceDN w:val="0"/>
              <w:spacing w:line="360" w:lineRule="auto"/>
              <w:jc w:val="center"/>
              <w:rPr>
                <w:rFonts w:ascii="宋体" w:hAnsi="宋体" w:eastAsia="宋体" w:cs="宋体"/>
                <w:color w:val="auto"/>
                <w:sz w:val="24"/>
                <w:szCs w:val="24"/>
                <w:highlight w:val="none"/>
              </w:rPr>
            </w:pPr>
          </w:p>
        </w:tc>
        <w:tc>
          <w:tcPr>
            <w:tcW w:w="1533" w:type="dxa"/>
          </w:tcPr>
          <w:p w14:paraId="06EAEB88">
            <w:pPr>
              <w:autoSpaceDE w:val="0"/>
              <w:autoSpaceDN w:val="0"/>
              <w:spacing w:line="360" w:lineRule="auto"/>
              <w:jc w:val="center"/>
              <w:rPr>
                <w:rFonts w:ascii="宋体" w:hAnsi="宋体" w:eastAsia="宋体" w:cs="宋体"/>
                <w:color w:val="auto"/>
                <w:sz w:val="24"/>
                <w:szCs w:val="24"/>
                <w:highlight w:val="none"/>
              </w:rPr>
            </w:pPr>
          </w:p>
        </w:tc>
      </w:tr>
      <w:tr w14:paraId="7895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4BD0D6D">
            <w:pPr>
              <w:autoSpaceDE w:val="0"/>
              <w:autoSpaceDN w:val="0"/>
              <w:spacing w:line="360" w:lineRule="auto"/>
              <w:jc w:val="center"/>
              <w:rPr>
                <w:rFonts w:ascii="宋体" w:hAnsi="宋体" w:eastAsia="宋体" w:cs="宋体"/>
                <w:color w:val="auto"/>
                <w:sz w:val="24"/>
                <w:szCs w:val="24"/>
                <w:highlight w:val="none"/>
              </w:rPr>
            </w:pPr>
          </w:p>
        </w:tc>
        <w:tc>
          <w:tcPr>
            <w:tcW w:w="2340" w:type="dxa"/>
          </w:tcPr>
          <w:p w14:paraId="208F2913">
            <w:pPr>
              <w:autoSpaceDE w:val="0"/>
              <w:autoSpaceDN w:val="0"/>
              <w:spacing w:line="360" w:lineRule="auto"/>
              <w:jc w:val="center"/>
              <w:rPr>
                <w:rFonts w:ascii="宋体" w:hAnsi="宋体" w:eastAsia="宋体" w:cs="宋体"/>
                <w:color w:val="auto"/>
                <w:sz w:val="24"/>
                <w:szCs w:val="24"/>
                <w:highlight w:val="none"/>
              </w:rPr>
            </w:pPr>
          </w:p>
        </w:tc>
        <w:tc>
          <w:tcPr>
            <w:tcW w:w="1650" w:type="dxa"/>
          </w:tcPr>
          <w:p w14:paraId="5685E031">
            <w:pPr>
              <w:autoSpaceDE w:val="0"/>
              <w:autoSpaceDN w:val="0"/>
              <w:spacing w:line="360" w:lineRule="auto"/>
              <w:jc w:val="center"/>
              <w:rPr>
                <w:rFonts w:ascii="宋体" w:hAnsi="宋体" w:eastAsia="宋体" w:cs="宋体"/>
                <w:color w:val="auto"/>
                <w:sz w:val="24"/>
                <w:szCs w:val="24"/>
                <w:highlight w:val="none"/>
              </w:rPr>
            </w:pPr>
          </w:p>
        </w:tc>
        <w:tc>
          <w:tcPr>
            <w:tcW w:w="1523" w:type="dxa"/>
          </w:tcPr>
          <w:p w14:paraId="33E790D8">
            <w:pPr>
              <w:autoSpaceDE w:val="0"/>
              <w:autoSpaceDN w:val="0"/>
              <w:spacing w:line="360" w:lineRule="auto"/>
              <w:jc w:val="center"/>
              <w:rPr>
                <w:rFonts w:ascii="宋体" w:hAnsi="宋体" w:eastAsia="宋体" w:cs="宋体"/>
                <w:color w:val="auto"/>
                <w:sz w:val="24"/>
                <w:szCs w:val="24"/>
                <w:highlight w:val="none"/>
              </w:rPr>
            </w:pPr>
          </w:p>
        </w:tc>
        <w:tc>
          <w:tcPr>
            <w:tcW w:w="1390" w:type="dxa"/>
          </w:tcPr>
          <w:p w14:paraId="4A546851">
            <w:pPr>
              <w:autoSpaceDE w:val="0"/>
              <w:autoSpaceDN w:val="0"/>
              <w:spacing w:line="360" w:lineRule="auto"/>
              <w:jc w:val="center"/>
              <w:rPr>
                <w:rFonts w:ascii="宋体" w:hAnsi="宋体" w:eastAsia="宋体" w:cs="宋体"/>
                <w:color w:val="auto"/>
                <w:sz w:val="24"/>
                <w:szCs w:val="24"/>
                <w:highlight w:val="none"/>
              </w:rPr>
            </w:pPr>
          </w:p>
        </w:tc>
        <w:tc>
          <w:tcPr>
            <w:tcW w:w="1533" w:type="dxa"/>
          </w:tcPr>
          <w:p w14:paraId="48DBA9F2">
            <w:pPr>
              <w:autoSpaceDE w:val="0"/>
              <w:autoSpaceDN w:val="0"/>
              <w:spacing w:line="360" w:lineRule="auto"/>
              <w:jc w:val="center"/>
              <w:rPr>
                <w:rFonts w:ascii="宋体" w:hAnsi="宋体" w:eastAsia="宋体" w:cs="宋体"/>
                <w:color w:val="auto"/>
                <w:sz w:val="24"/>
                <w:szCs w:val="24"/>
                <w:highlight w:val="none"/>
              </w:rPr>
            </w:pPr>
          </w:p>
        </w:tc>
      </w:tr>
    </w:tbl>
    <w:p w14:paraId="2CE9A300">
      <w:pPr>
        <w:autoSpaceDE w:val="0"/>
        <w:autoSpaceDN w:val="0"/>
        <w:spacing w:line="360" w:lineRule="auto"/>
        <w:rPr>
          <w:rFonts w:ascii="宋体" w:hAnsi="宋体" w:eastAsia="宋体" w:cs="宋体"/>
          <w:color w:val="auto"/>
          <w:kern w:val="0"/>
          <w:sz w:val="24"/>
          <w:szCs w:val="24"/>
          <w:highlight w:val="none"/>
        </w:rPr>
      </w:pPr>
      <w:r>
        <w:rPr>
          <w:rFonts w:hint="eastAsia" w:ascii="宋体" w:hAnsi="宋体" w:eastAsia="宋体" w:cs="宋体"/>
          <w:b/>
          <w:color w:val="auto"/>
          <w:sz w:val="24"/>
          <w:szCs w:val="24"/>
          <w:highlight w:val="none"/>
        </w:rPr>
        <w:t>注：关于项目涉及的所有</w:t>
      </w:r>
      <w:r>
        <w:rPr>
          <w:rFonts w:hint="eastAsia" w:ascii="宋体" w:hAnsi="宋体" w:eastAsia="宋体" w:cs="宋体"/>
          <w:b/>
          <w:color w:val="auto"/>
          <w:sz w:val="24"/>
          <w:szCs w:val="24"/>
          <w:highlight w:val="none"/>
          <w:lang w:val="en-US" w:eastAsia="zh-CN"/>
        </w:rPr>
        <w:t>实施及</w:t>
      </w:r>
      <w:r>
        <w:rPr>
          <w:rFonts w:hint="eastAsia" w:ascii="宋体" w:hAnsi="宋体" w:eastAsia="宋体" w:cs="宋体"/>
          <w:b/>
          <w:color w:val="auto"/>
          <w:sz w:val="24"/>
          <w:szCs w:val="24"/>
          <w:highlight w:val="none"/>
        </w:rPr>
        <w:t>售后服务机构均在本表注明，包括供应商本单位和符合条件的第三方服务机构。</w:t>
      </w:r>
    </w:p>
    <w:p w14:paraId="689F1555">
      <w:pPr>
        <w:autoSpaceDE w:val="0"/>
        <w:autoSpaceDN w:val="0"/>
        <w:spacing w:line="360" w:lineRule="auto"/>
        <w:rPr>
          <w:rFonts w:ascii="宋体" w:hAnsi="宋体" w:eastAsia="宋体" w:cs="宋体"/>
          <w:color w:val="auto"/>
          <w:kern w:val="0"/>
          <w:sz w:val="24"/>
          <w:szCs w:val="24"/>
          <w:highlight w:val="none"/>
        </w:rPr>
      </w:pPr>
      <w:r>
        <w:rPr>
          <w:rFonts w:hint="eastAsia" w:ascii="宋体" w:hAnsi="宋体" w:eastAsia="宋体" w:cs="宋体"/>
          <w:b/>
          <w:color w:val="auto"/>
          <w:kern w:val="0"/>
          <w:sz w:val="24"/>
          <w:szCs w:val="24"/>
          <w:highlight w:val="none"/>
        </w:rPr>
        <w:t>附表B：</w:t>
      </w:r>
      <w:r>
        <w:rPr>
          <w:rFonts w:hint="eastAsia" w:ascii="宋体" w:hAnsi="宋体" w:eastAsia="宋体" w:cs="宋体"/>
          <w:b/>
          <w:color w:val="auto"/>
          <w:kern w:val="0"/>
          <w:sz w:val="24"/>
          <w:szCs w:val="24"/>
          <w:highlight w:val="none"/>
          <w:lang w:val="en-US" w:eastAsia="zh-CN"/>
        </w:rPr>
        <w:t>实施及</w:t>
      </w:r>
      <w:r>
        <w:rPr>
          <w:rFonts w:hint="eastAsia" w:ascii="宋体" w:hAnsi="宋体" w:eastAsia="宋体" w:cs="宋体"/>
          <w:b/>
          <w:color w:val="auto"/>
          <w:kern w:val="0"/>
          <w:sz w:val="24"/>
          <w:szCs w:val="24"/>
          <w:highlight w:val="none"/>
        </w:rPr>
        <w:t>售后服务人员情况表</w:t>
      </w:r>
      <w:r>
        <w:rPr>
          <w:rFonts w:hint="eastAsia" w:ascii="宋体" w:hAnsi="宋体" w:eastAsia="宋体" w:cs="宋体"/>
          <w:color w:val="auto"/>
          <w:sz w:val="24"/>
          <w:szCs w:val="24"/>
          <w:highlight w:val="none"/>
        </w:rPr>
        <w:t>（参照此格式自制）</w:t>
      </w:r>
    </w:p>
    <w:tbl>
      <w:tblPr>
        <w:tblStyle w:val="29"/>
        <w:tblW w:w="10216" w:type="dxa"/>
        <w:jc w:val="center"/>
        <w:tblLayout w:type="fixed"/>
        <w:tblCellMar>
          <w:top w:w="0" w:type="dxa"/>
          <w:left w:w="108" w:type="dxa"/>
          <w:bottom w:w="0" w:type="dxa"/>
          <w:right w:w="108" w:type="dxa"/>
        </w:tblCellMar>
      </w:tblPr>
      <w:tblGrid>
        <w:gridCol w:w="646"/>
        <w:gridCol w:w="746"/>
        <w:gridCol w:w="787"/>
        <w:gridCol w:w="626"/>
        <w:gridCol w:w="900"/>
        <w:gridCol w:w="1080"/>
        <w:gridCol w:w="1080"/>
        <w:gridCol w:w="1080"/>
        <w:gridCol w:w="1260"/>
        <w:gridCol w:w="900"/>
        <w:gridCol w:w="1111"/>
      </w:tblGrid>
      <w:tr w14:paraId="53D33093">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vAlign w:val="center"/>
          </w:tcPr>
          <w:p w14:paraId="427E06AF">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57D57F4">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FE9C5AA">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626" w:type="dxa"/>
            <w:tcBorders>
              <w:top w:val="single" w:color="auto" w:sz="6" w:space="0"/>
              <w:left w:val="single" w:color="auto" w:sz="6" w:space="0"/>
              <w:bottom w:val="single" w:color="auto" w:sz="6" w:space="0"/>
              <w:right w:val="single" w:color="auto" w:sz="6" w:space="0"/>
            </w:tcBorders>
            <w:vAlign w:val="center"/>
          </w:tcPr>
          <w:p w14:paraId="5752BB64">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92A326E">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35B0184">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C215EE9">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2B4DF49">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F611347">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9D83327">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14:paraId="6B1327FD">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到达现场时间</w:t>
            </w:r>
          </w:p>
        </w:tc>
      </w:tr>
      <w:tr w14:paraId="5A380974">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14:paraId="19BE6C21">
            <w:pPr>
              <w:autoSpaceDE w:val="0"/>
              <w:autoSpaceDN w:val="0"/>
              <w:spacing w:line="360" w:lineRule="auto"/>
              <w:jc w:val="center"/>
              <w:rPr>
                <w:rFonts w:ascii="宋体" w:hAnsi="宋体" w:eastAsia="宋体" w:cs="宋体"/>
                <w:color w:val="auto"/>
                <w:sz w:val="24"/>
                <w:szCs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64F0B1F">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049C90BB">
            <w:pPr>
              <w:autoSpaceDE w:val="0"/>
              <w:autoSpaceDN w:val="0"/>
              <w:spacing w:line="360" w:lineRule="auto"/>
              <w:rPr>
                <w:rFonts w:ascii="宋体" w:hAnsi="宋体" w:eastAsia="宋体" w:cs="宋体"/>
                <w:color w:val="auto"/>
                <w:sz w:val="24"/>
                <w:szCs w:val="24"/>
                <w:highlight w:val="none"/>
              </w:rPr>
            </w:pPr>
          </w:p>
        </w:tc>
        <w:tc>
          <w:tcPr>
            <w:tcW w:w="626" w:type="dxa"/>
            <w:tcBorders>
              <w:top w:val="single" w:color="auto" w:sz="6" w:space="0"/>
              <w:left w:val="single" w:color="auto" w:sz="6" w:space="0"/>
              <w:bottom w:val="single" w:color="auto" w:sz="6" w:space="0"/>
              <w:right w:val="single" w:color="auto" w:sz="6" w:space="0"/>
            </w:tcBorders>
          </w:tcPr>
          <w:p w14:paraId="3EF9F45F">
            <w:pPr>
              <w:autoSpaceDE w:val="0"/>
              <w:autoSpaceDN w:val="0"/>
              <w:spacing w:line="360" w:lineRule="auto"/>
              <w:rPr>
                <w:rFonts w:ascii="宋体" w:hAnsi="宋体" w:eastAsia="宋体" w:cs="宋体"/>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B8CC102">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B75E76">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143BDF">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092E41">
            <w:pPr>
              <w:autoSpaceDE w:val="0"/>
              <w:autoSpaceDN w:val="0"/>
              <w:spacing w:line="360" w:lineRule="auto"/>
              <w:rPr>
                <w:rFonts w:ascii="宋体" w:hAnsi="宋体" w:eastAsia="宋体" w:cs="宋体"/>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F521E54">
            <w:pPr>
              <w:autoSpaceDE w:val="0"/>
              <w:autoSpaceDN w:val="0"/>
              <w:spacing w:line="360" w:lineRule="auto"/>
              <w:rPr>
                <w:rFonts w:ascii="宋体" w:hAnsi="宋体" w:eastAsia="宋体" w:cs="宋体"/>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5251C0E">
            <w:pPr>
              <w:autoSpaceDE w:val="0"/>
              <w:autoSpaceDN w:val="0"/>
              <w:spacing w:line="360" w:lineRule="auto"/>
              <w:rPr>
                <w:rFonts w:ascii="宋体" w:hAnsi="宋体" w:eastAsia="宋体" w:cs="宋体"/>
                <w:color w:val="auto"/>
                <w:sz w:val="24"/>
                <w:szCs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3B224845">
            <w:pPr>
              <w:autoSpaceDE w:val="0"/>
              <w:autoSpaceDN w:val="0"/>
              <w:spacing w:line="360" w:lineRule="auto"/>
              <w:rPr>
                <w:rFonts w:ascii="宋体" w:hAnsi="宋体" w:eastAsia="宋体" w:cs="宋体"/>
                <w:color w:val="auto"/>
                <w:sz w:val="24"/>
                <w:szCs w:val="24"/>
                <w:highlight w:val="none"/>
              </w:rPr>
            </w:pPr>
          </w:p>
        </w:tc>
      </w:tr>
      <w:tr w14:paraId="57DB4F4F">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7EFB7BC3">
            <w:pPr>
              <w:autoSpaceDE w:val="0"/>
              <w:autoSpaceDN w:val="0"/>
              <w:spacing w:line="360" w:lineRule="auto"/>
              <w:jc w:val="center"/>
              <w:rPr>
                <w:rFonts w:ascii="宋体" w:hAnsi="宋体" w:eastAsia="宋体" w:cs="宋体"/>
                <w:color w:val="auto"/>
                <w:sz w:val="24"/>
                <w:szCs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4120B5B">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A074C4B">
            <w:pPr>
              <w:autoSpaceDE w:val="0"/>
              <w:autoSpaceDN w:val="0"/>
              <w:spacing w:line="360" w:lineRule="auto"/>
              <w:rPr>
                <w:rFonts w:ascii="宋体" w:hAnsi="宋体" w:eastAsia="宋体" w:cs="宋体"/>
                <w:color w:val="auto"/>
                <w:sz w:val="24"/>
                <w:szCs w:val="24"/>
                <w:highlight w:val="none"/>
              </w:rPr>
            </w:pPr>
          </w:p>
        </w:tc>
        <w:tc>
          <w:tcPr>
            <w:tcW w:w="626" w:type="dxa"/>
            <w:tcBorders>
              <w:top w:val="single" w:color="auto" w:sz="6" w:space="0"/>
              <w:left w:val="single" w:color="auto" w:sz="6" w:space="0"/>
              <w:bottom w:val="single" w:color="auto" w:sz="6" w:space="0"/>
              <w:right w:val="single" w:color="auto" w:sz="6" w:space="0"/>
            </w:tcBorders>
          </w:tcPr>
          <w:p w14:paraId="6B8568F3">
            <w:pPr>
              <w:autoSpaceDE w:val="0"/>
              <w:autoSpaceDN w:val="0"/>
              <w:spacing w:line="360" w:lineRule="auto"/>
              <w:rPr>
                <w:rFonts w:ascii="宋体" w:hAnsi="宋体" w:eastAsia="宋体" w:cs="宋体"/>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D1F7668">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20D1F0">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F1FD970">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3F95B6">
            <w:pPr>
              <w:autoSpaceDE w:val="0"/>
              <w:autoSpaceDN w:val="0"/>
              <w:spacing w:line="360" w:lineRule="auto"/>
              <w:rPr>
                <w:rFonts w:ascii="宋体" w:hAnsi="宋体" w:eastAsia="宋体" w:cs="宋体"/>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87FFCC9">
            <w:pPr>
              <w:autoSpaceDE w:val="0"/>
              <w:autoSpaceDN w:val="0"/>
              <w:spacing w:line="360" w:lineRule="auto"/>
              <w:rPr>
                <w:rFonts w:ascii="宋体" w:hAnsi="宋体" w:eastAsia="宋体" w:cs="宋体"/>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280CBFC">
            <w:pPr>
              <w:autoSpaceDE w:val="0"/>
              <w:autoSpaceDN w:val="0"/>
              <w:spacing w:line="360" w:lineRule="auto"/>
              <w:rPr>
                <w:rFonts w:ascii="宋体" w:hAnsi="宋体" w:eastAsia="宋体" w:cs="宋体"/>
                <w:color w:val="auto"/>
                <w:sz w:val="24"/>
                <w:szCs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4EACE71B">
            <w:pPr>
              <w:autoSpaceDE w:val="0"/>
              <w:autoSpaceDN w:val="0"/>
              <w:spacing w:line="360" w:lineRule="auto"/>
              <w:rPr>
                <w:rFonts w:ascii="宋体" w:hAnsi="宋体" w:eastAsia="宋体" w:cs="宋体"/>
                <w:color w:val="auto"/>
                <w:sz w:val="24"/>
                <w:szCs w:val="24"/>
                <w:highlight w:val="none"/>
              </w:rPr>
            </w:pPr>
          </w:p>
        </w:tc>
      </w:tr>
      <w:tr w14:paraId="03C61EDE">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73DCD486">
            <w:pPr>
              <w:autoSpaceDE w:val="0"/>
              <w:autoSpaceDN w:val="0"/>
              <w:spacing w:line="360" w:lineRule="auto"/>
              <w:jc w:val="center"/>
              <w:rPr>
                <w:rFonts w:ascii="宋体" w:hAnsi="宋体" w:eastAsia="宋体" w:cs="宋体"/>
                <w:color w:val="auto"/>
                <w:sz w:val="24"/>
                <w:szCs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AEF9F71">
            <w:pPr>
              <w:autoSpaceDE w:val="0"/>
              <w:autoSpaceDN w:val="0"/>
              <w:spacing w:line="360" w:lineRule="auto"/>
              <w:jc w:val="center"/>
              <w:rPr>
                <w:rFonts w:ascii="宋体" w:hAnsi="宋体" w:eastAsia="宋体" w:cs="宋体"/>
                <w:color w:val="auto"/>
                <w:sz w:val="24"/>
                <w:szCs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40FF848">
            <w:pPr>
              <w:autoSpaceDE w:val="0"/>
              <w:autoSpaceDN w:val="0"/>
              <w:spacing w:line="360" w:lineRule="auto"/>
              <w:rPr>
                <w:rFonts w:ascii="宋体" w:hAnsi="宋体" w:eastAsia="宋体" w:cs="宋体"/>
                <w:color w:val="auto"/>
                <w:sz w:val="24"/>
                <w:szCs w:val="24"/>
                <w:highlight w:val="none"/>
              </w:rPr>
            </w:pPr>
          </w:p>
        </w:tc>
        <w:tc>
          <w:tcPr>
            <w:tcW w:w="626" w:type="dxa"/>
            <w:tcBorders>
              <w:top w:val="single" w:color="auto" w:sz="6" w:space="0"/>
              <w:left w:val="single" w:color="auto" w:sz="6" w:space="0"/>
              <w:bottom w:val="single" w:color="auto" w:sz="6" w:space="0"/>
              <w:right w:val="single" w:color="auto" w:sz="6" w:space="0"/>
            </w:tcBorders>
          </w:tcPr>
          <w:p w14:paraId="645C142C">
            <w:pPr>
              <w:autoSpaceDE w:val="0"/>
              <w:autoSpaceDN w:val="0"/>
              <w:spacing w:line="360" w:lineRule="auto"/>
              <w:rPr>
                <w:rFonts w:ascii="宋体" w:hAnsi="宋体" w:eastAsia="宋体" w:cs="宋体"/>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AD0F4D2">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D965C13">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36ED27">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75D8BED">
            <w:pPr>
              <w:autoSpaceDE w:val="0"/>
              <w:autoSpaceDN w:val="0"/>
              <w:spacing w:line="360" w:lineRule="auto"/>
              <w:rPr>
                <w:rFonts w:ascii="宋体" w:hAnsi="宋体" w:eastAsia="宋体" w:cs="宋体"/>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F3D3161">
            <w:pPr>
              <w:autoSpaceDE w:val="0"/>
              <w:autoSpaceDN w:val="0"/>
              <w:spacing w:line="360" w:lineRule="auto"/>
              <w:rPr>
                <w:rFonts w:ascii="宋体" w:hAnsi="宋体" w:eastAsia="宋体" w:cs="宋体"/>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53BD937">
            <w:pPr>
              <w:autoSpaceDE w:val="0"/>
              <w:autoSpaceDN w:val="0"/>
              <w:spacing w:line="360" w:lineRule="auto"/>
              <w:rPr>
                <w:rFonts w:ascii="宋体" w:hAnsi="宋体" w:eastAsia="宋体" w:cs="宋体"/>
                <w:color w:val="auto"/>
                <w:sz w:val="24"/>
                <w:szCs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3E08825C">
            <w:pPr>
              <w:autoSpaceDE w:val="0"/>
              <w:autoSpaceDN w:val="0"/>
              <w:spacing w:line="360" w:lineRule="auto"/>
              <w:rPr>
                <w:rFonts w:ascii="宋体" w:hAnsi="宋体" w:eastAsia="宋体" w:cs="宋体"/>
                <w:color w:val="auto"/>
                <w:sz w:val="24"/>
                <w:szCs w:val="24"/>
                <w:highlight w:val="none"/>
              </w:rPr>
            </w:pPr>
          </w:p>
        </w:tc>
      </w:tr>
      <w:tr w14:paraId="52C887B7">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295D1897">
            <w:pPr>
              <w:autoSpaceDE w:val="0"/>
              <w:autoSpaceDN w:val="0"/>
              <w:spacing w:line="360" w:lineRule="auto"/>
              <w:jc w:val="center"/>
              <w:rPr>
                <w:rFonts w:ascii="宋体" w:hAnsi="宋体" w:eastAsia="宋体" w:cs="宋体"/>
                <w:color w:val="auto"/>
                <w:sz w:val="24"/>
                <w:szCs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AB018E5">
            <w:pPr>
              <w:autoSpaceDE w:val="0"/>
              <w:autoSpaceDN w:val="0"/>
              <w:spacing w:line="360" w:lineRule="auto"/>
              <w:jc w:val="center"/>
              <w:rPr>
                <w:rFonts w:ascii="宋体" w:hAnsi="宋体" w:eastAsia="宋体" w:cs="宋体"/>
                <w:color w:val="auto"/>
                <w:sz w:val="24"/>
                <w:szCs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B34B1C2">
            <w:pPr>
              <w:autoSpaceDE w:val="0"/>
              <w:autoSpaceDN w:val="0"/>
              <w:spacing w:line="360" w:lineRule="auto"/>
              <w:rPr>
                <w:rFonts w:ascii="宋体" w:hAnsi="宋体" w:eastAsia="宋体" w:cs="宋体"/>
                <w:color w:val="auto"/>
                <w:sz w:val="24"/>
                <w:szCs w:val="24"/>
                <w:highlight w:val="none"/>
              </w:rPr>
            </w:pPr>
          </w:p>
        </w:tc>
        <w:tc>
          <w:tcPr>
            <w:tcW w:w="626" w:type="dxa"/>
            <w:tcBorders>
              <w:top w:val="single" w:color="auto" w:sz="6" w:space="0"/>
              <w:left w:val="single" w:color="auto" w:sz="6" w:space="0"/>
              <w:bottom w:val="single" w:color="auto" w:sz="6" w:space="0"/>
              <w:right w:val="single" w:color="auto" w:sz="6" w:space="0"/>
            </w:tcBorders>
          </w:tcPr>
          <w:p w14:paraId="7E8ED982">
            <w:pPr>
              <w:autoSpaceDE w:val="0"/>
              <w:autoSpaceDN w:val="0"/>
              <w:spacing w:line="360" w:lineRule="auto"/>
              <w:rPr>
                <w:rFonts w:ascii="宋体" w:hAnsi="宋体" w:eastAsia="宋体" w:cs="宋体"/>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84688CB">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E212D1">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39A852">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B99093">
            <w:pPr>
              <w:autoSpaceDE w:val="0"/>
              <w:autoSpaceDN w:val="0"/>
              <w:spacing w:line="360" w:lineRule="auto"/>
              <w:rPr>
                <w:rFonts w:ascii="宋体" w:hAnsi="宋体" w:eastAsia="宋体" w:cs="宋体"/>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22DBC21">
            <w:pPr>
              <w:autoSpaceDE w:val="0"/>
              <w:autoSpaceDN w:val="0"/>
              <w:spacing w:line="360" w:lineRule="auto"/>
              <w:rPr>
                <w:rFonts w:ascii="宋体" w:hAnsi="宋体" w:eastAsia="宋体" w:cs="宋体"/>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8A5EE27">
            <w:pPr>
              <w:autoSpaceDE w:val="0"/>
              <w:autoSpaceDN w:val="0"/>
              <w:spacing w:line="360" w:lineRule="auto"/>
              <w:rPr>
                <w:rFonts w:ascii="宋体" w:hAnsi="宋体" w:eastAsia="宋体" w:cs="宋体"/>
                <w:color w:val="auto"/>
                <w:sz w:val="24"/>
                <w:szCs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53BD3BA8">
            <w:pPr>
              <w:autoSpaceDE w:val="0"/>
              <w:autoSpaceDN w:val="0"/>
              <w:spacing w:line="360" w:lineRule="auto"/>
              <w:rPr>
                <w:rFonts w:ascii="宋体" w:hAnsi="宋体" w:eastAsia="宋体" w:cs="宋体"/>
                <w:color w:val="auto"/>
                <w:sz w:val="24"/>
                <w:szCs w:val="24"/>
                <w:highlight w:val="none"/>
              </w:rPr>
            </w:pPr>
          </w:p>
        </w:tc>
      </w:tr>
    </w:tbl>
    <w:p w14:paraId="72002DC1">
      <w:pPr>
        <w:spacing w:line="440" w:lineRule="exact"/>
        <w:ind w:firstLine="396" w:firstLineChars="198"/>
        <w:rPr>
          <w:rFonts w:ascii="宋体" w:hAnsi="宋体" w:eastAsia="宋体" w:cs="宋体"/>
          <w:color w:val="auto"/>
          <w:kern w:val="0"/>
          <w:sz w:val="20"/>
          <w:szCs w:val="21"/>
          <w:highlight w:val="none"/>
          <w:lang w:val="zh-CN"/>
        </w:rPr>
      </w:pPr>
    </w:p>
    <w:p w14:paraId="17890C39">
      <w:pPr>
        <w:spacing w:line="500" w:lineRule="exact"/>
        <w:rPr>
          <w:rFonts w:ascii="宋体" w:hAnsi="宋体" w:eastAsia="宋体" w:cs="宋体"/>
          <w:color w:val="auto"/>
          <w:sz w:val="32"/>
          <w:szCs w:val="32"/>
          <w:highlight w:val="none"/>
        </w:rPr>
      </w:pPr>
    </w:p>
    <w:p w14:paraId="6F7B6FFD">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51AAA85D">
      <w:pPr>
        <w:autoSpaceDE w:val="0"/>
        <w:autoSpaceDN w:val="0"/>
        <w:spacing w:line="360" w:lineRule="auto"/>
        <w:ind w:firstLine="6480" w:firstLineChars="270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14:paraId="606DE69F">
      <w:pPr>
        <w:snapToGrid w:val="0"/>
        <w:spacing w:line="360" w:lineRule="auto"/>
        <w:rPr>
          <w:rFonts w:ascii="宋体" w:hAnsi="宋体" w:eastAsia="宋体" w:cs="宋体"/>
          <w:b/>
          <w:color w:val="auto"/>
          <w:sz w:val="28"/>
          <w:szCs w:val="28"/>
          <w:highlight w:val="none"/>
        </w:rPr>
      </w:pPr>
    </w:p>
    <w:p w14:paraId="68C20E00">
      <w:pPr>
        <w:snapToGrid w:val="0"/>
        <w:spacing w:line="360" w:lineRule="auto"/>
        <w:rPr>
          <w:rFonts w:ascii="宋体" w:hAnsi="宋体" w:eastAsia="宋体" w:cs="宋体"/>
          <w:b/>
          <w:color w:val="auto"/>
          <w:sz w:val="28"/>
          <w:szCs w:val="28"/>
          <w:highlight w:val="none"/>
        </w:rPr>
      </w:pPr>
    </w:p>
    <w:p w14:paraId="4A5ECB7F">
      <w:pPr>
        <w:snapToGrid w:val="0"/>
        <w:spacing w:line="360" w:lineRule="auto"/>
        <w:rPr>
          <w:rFonts w:ascii="宋体" w:hAnsi="宋体" w:eastAsia="宋体" w:cs="宋体"/>
          <w:b/>
          <w:color w:val="auto"/>
          <w:sz w:val="28"/>
          <w:szCs w:val="28"/>
          <w:highlight w:val="none"/>
        </w:rPr>
      </w:pPr>
    </w:p>
    <w:p w14:paraId="6449669D">
      <w:pPr>
        <w:snapToGrid w:val="0"/>
        <w:spacing w:line="360" w:lineRule="auto"/>
        <w:rPr>
          <w:rFonts w:ascii="宋体" w:hAnsi="宋体" w:eastAsia="宋体" w:cs="宋体"/>
          <w:b/>
          <w:i/>
          <w:iCs/>
          <w:color w:val="auto"/>
          <w:sz w:val="28"/>
          <w:szCs w:val="28"/>
          <w:highlight w:val="none"/>
        </w:rPr>
      </w:pPr>
      <w:r>
        <w:rPr>
          <w:rFonts w:hint="eastAsia" w:ascii="宋体" w:hAnsi="宋体" w:eastAsia="宋体" w:cs="宋体"/>
          <w:b/>
          <w:color w:val="auto"/>
          <w:sz w:val="28"/>
          <w:szCs w:val="28"/>
          <w:highlight w:val="none"/>
        </w:rPr>
        <w:t>10.项目实施人员一览表</w:t>
      </w:r>
    </w:p>
    <w:p w14:paraId="652C735B">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（由供应商根据采购需求及采购文件要求编制）</w:t>
      </w:r>
    </w:p>
    <w:p w14:paraId="49875C8A">
      <w:pPr>
        <w:pStyle w:val="21"/>
        <w:rPr>
          <w:rFonts w:ascii="宋体" w:hAnsi="宋体" w:cs="宋体"/>
          <w:color w:val="auto"/>
          <w:highlight w:val="none"/>
        </w:rPr>
      </w:pPr>
    </w:p>
    <w:p w14:paraId="38BEFF8A">
      <w:pPr>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所竞分标（此处有分标时填写具体分标号，无分标时填写“无”）：</w:t>
      </w:r>
      <w:r>
        <w:rPr>
          <w:rFonts w:hint="eastAsia" w:ascii="宋体" w:hAnsi="宋体" w:eastAsia="宋体" w:cs="宋体"/>
          <w:color w:val="auto"/>
          <w:kern w:val="0"/>
          <w:sz w:val="24"/>
          <w:szCs w:val="24"/>
          <w:highlight w:val="none"/>
          <w:u w:val="single"/>
          <w:lang w:val="zh-CN"/>
        </w:rPr>
        <w:t xml:space="preserve">     </w:t>
      </w:r>
      <w:r>
        <w:rPr>
          <w:rFonts w:hint="eastAsia" w:ascii="宋体" w:hAnsi="宋体" w:eastAsia="宋体" w:cs="宋体"/>
          <w:color w:val="auto"/>
          <w:kern w:val="0"/>
          <w:sz w:val="24"/>
          <w:szCs w:val="24"/>
          <w:highlight w:val="none"/>
          <w:u w:val="single"/>
        </w:rPr>
        <w:t xml:space="preserve"> </w:t>
      </w:r>
    </w:p>
    <w:p w14:paraId="1ACD995A">
      <w:pPr>
        <w:keepNext/>
        <w:autoSpaceDE w:val="0"/>
        <w:autoSpaceDN w:val="0"/>
        <w:spacing w:line="360" w:lineRule="auto"/>
        <w:ind w:firstLine="477"/>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附表A:本项目的项目经理情况表</w:t>
      </w:r>
    </w:p>
    <w:tbl>
      <w:tblPr>
        <w:tblStyle w:val="29"/>
        <w:tblW w:w="8755" w:type="dxa"/>
        <w:tblInd w:w="0" w:type="dxa"/>
        <w:shd w:val="clear" w:color="auto" w:fill="auto"/>
        <w:tblLayout w:type="fixed"/>
        <w:tblCellMar>
          <w:top w:w="0" w:type="dxa"/>
          <w:left w:w="108" w:type="dxa"/>
          <w:bottom w:w="0" w:type="dxa"/>
          <w:right w:w="108" w:type="dxa"/>
        </w:tblCellMar>
      </w:tblPr>
      <w:tblGrid>
        <w:gridCol w:w="2061"/>
        <w:gridCol w:w="1287"/>
        <w:gridCol w:w="1260"/>
        <w:gridCol w:w="4147"/>
      </w:tblGrid>
      <w:tr w14:paraId="4F7CB21C">
        <w:tblPrEx>
          <w:shd w:val="clear" w:color="auto" w:fill="auto"/>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D566BB5">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63D31DB">
            <w:pPr>
              <w:autoSpaceDE w:val="0"/>
              <w:autoSpaceDN w:val="0"/>
              <w:spacing w:line="360" w:lineRule="auto"/>
              <w:jc w:val="center"/>
              <w:rPr>
                <w:rFonts w:ascii="宋体" w:hAnsi="宋体" w:eastAsia="宋体" w:cs="宋体"/>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F55D9D0">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页码</w:t>
            </w:r>
          </w:p>
        </w:tc>
        <w:tc>
          <w:tcPr>
            <w:tcW w:w="4147" w:type="dxa"/>
            <w:tcBorders>
              <w:top w:val="single" w:color="auto" w:sz="6" w:space="0"/>
              <w:left w:val="single" w:color="auto" w:sz="6" w:space="0"/>
              <w:bottom w:val="single" w:color="auto" w:sz="6" w:space="0"/>
              <w:right w:val="single" w:color="auto" w:sz="6" w:space="0"/>
            </w:tcBorders>
            <w:shd w:val="clear" w:color="auto" w:fill="auto"/>
            <w:vAlign w:val="center"/>
          </w:tcPr>
          <w:p w14:paraId="00C35FA9">
            <w:pPr>
              <w:autoSpaceDE w:val="0"/>
              <w:autoSpaceDN w:val="0"/>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响应截止时间前三年业绩及承担的主要工作情况，曾担任项目经理的项目应列明细。</w:t>
            </w:r>
          </w:p>
        </w:tc>
      </w:tr>
      <w:tr w14:paraId="0ABFFA7D">
        <w:tblPrEx>
          <w:shd w:val="clear" w:color="auto" w:fill="auto"/>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0BFC49F">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7B591A5">
            <w:pPr>
              <w:autoSpaceDE w:val="0"/>
              <w:autoSpaceDN w:val="0"/>
              <w:spacing w:line="360" w:lineRule="auto"/>
              <w:jc w:val="center"/>
              <w:rPr>
                <w:rFonts w:ascii="宋体" w:hAnsi="宋体" w:eastAsia="宋体" w:cs="宋体"/>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E480440">
            <w:pPr>
              <w:autoSpaceDE w:val="0"/>
              <w:autoSpaceDN w:val="0"/>
              <w:spacing w:line="360" w:lineRule="auto"/>
              <w:jc w:val="center"/>
              <w:rPr>
                <w:rFonts w:ascii="宋体" w:hAnsi="宋体" w:eastAsia="宋体" w:cs="宋体"/>
                <w:color w:val="auto"/>
                <w:sz w:val="24"/>
                <w:szCs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3CD5CA5F">
            <w:pPr>
              <w:autoSpaceDE w:val="0"/>
              <w:autoSpaceDN w:val="0"/>
              <w:spacing w:line="360" w:lineRule="auto"/>
              <w:jc w:val="center"/>
              <w:rPr>
                <w:rFonts w:ascii="宋体" w:hAnsi="宋体" w:eastAsia="宋体" w:cs="宋体"/>
                <w:color w:val="auto"/>
                <w:sz w:val="24"/>
                <w:szCs w:val="24"/>
                <w:highlight w:val="none"/>
              </w:rPr>
            </w:pPr>
          </w:p>
        </w:tc>
      </w:tr>
      <w:tr w14:paraId="3572037E">
        <w:tblPrEx>
          <w:shd w:val="clear" w:color="auto" w:fill="auto"/>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C2B4714">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BF795F0">
            <w:pPr>
              <w:autoSpaceDE w:val="0"/>
              <w:autoSpaceDN w:val="0"/>
              <w:spacing w:line="360" w:lineRule="auto"/>
              <w:jc w:val="center"/>
              <w:rPr>
                <w:rFonts w:ascii="宋体" w:hAnsi="宋体" w:eastAsia="宋体" w:cs="宋体"/>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4C3C354">
            <w:pPr>
              <w:autoSpaceDE w:val="0"/>
              <w:autoSpaceDN w:val="0"/>
              <w:spacing w:line="360" w:lineRule="auto"/>
              <w:jc w:val="center"/>
              <w:rPr>
                <w:rFonts w:ascii="宋体" w:hAnsi="宋体" w:eastAsia="宋体" w:cs="宋体"/>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1ABB2CA2">
            <w:pPr>
              <w:autoSpaceDE w:val="0"/>
              <w:autoSpaceDN w:val="0"/>
              <w:spacing w:line="360" w:lineRule="auto"/>
              <w:jc w:val="center"/>
              <w:rPr>
                <w:rFonts w:ascii="宋体" w:hAnsi="宋体" w:eastAsia="宋体" w:cs="宋体"/>
                <w:color w:val="auto"/>
                <w:sz w:val="24"/>
                <w:szCs w:val="24"/>
                <w:highlight w:val="none"/>
              </w:rPr>
            </w:pPr>
          </w:p>
        </w:tc>
      </w:tr>
      <w:tr w14:paraId="752CEC94">
        <w:tblPrEx>
          <w:shd w:val="clear" w:color="auto" w:fill="auto"/>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A4E8EDF">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3F96845">
            <w:pPr>
              <w:autoSpaceDE w:val="0"/>
              <w:autoSpaceDN w:val="0"/>
              <w:spacing w:line="360" w:lineRule="auto"/>
              <w:jc w:val="center"/>
              <w:rPr>
                <w:rFonts w:ascii="宋体" w:hAnsi="宋体" w:eastAsia="宋体" w:cs="宋体"/>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41CAD7D">
            <w:pPr>
              <w:autoSpaceDE w:val="0"/>
              <w:autoSpaceDN w:val="0"/>
              <w:spacing w:line="360" w:lineRule="auto"/>
              <w:jc w:val="center"/>
              <w:rPr>
                <w:rFonts w:ascii="宋体" w:hAnsi="宋体" w:eastAsia="宋体" w:cs="宋体"/>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2DEFE1FC">
            <w:pPr>
              <w:autoSpaceDE w:val="0"/>
              <w:autoSpaceDN w:val="0"/>
              <w:spacing w:line="360" w:lineRule="auto"/>
              <w:jc w:val="center"/>
              <w:rPr>
                <w:rFonts w:ascii="宋体" w:hAnsi="宋体" w:eastAsia="宋体" w:cs="宋体"/>
                <w:color w:val="auto"/>
                <w:sz w:val="24"/>
                <w:szCs w:val="24"/>
                <w:highlight w:val="none"/>
              </w:rPr>
            </w:pPr>
          </w:p>
        </w:tc>
      </w:tr>
      <w:tr w14:paraId="225DE28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3D9FC2E">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9C9ECFD">
            <w:pPr>
              <w:autoSpaceDE w:val="0"/>
              <w:autoSpaceDN w:val="0"/>
              <w:spacing w:line="360" w:lineRule="auto"/>
              <w:jc w:val="center"/>
              <w:rPr>
                <w:rFonts w:ascii="宋体" w:hAnsi="宋体" w:eastAsia="宋体" w:cs="宋体"/>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69AE163">
            <w:pPr>
              <w:autoSpaceDE w:val="0"/>
              <w:autoSpaceDN w:val="0"/>
              <w:spacing w:line="360" w:lineRule="auto"/>
              <w:jc w:val="center"/>
              <w:rPr>
                <w:rFonts w:ascii="宋体" w:hAnsi="宋体" w:eastAsia="宋体" w:cs="宋体"/>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837F5CB">
            <w:pPr>
              <w:autoSpaceDE w:val="0"/>
              <w:autoSpaceDN w:val="0"/>
              <w:spacing w:line="360" w:lineRule="auto"/>
              <w:jc w:val="center"/>
              <w:rPr>
                <w:rFonts w:ascii="宋体" w:hAnsi="宋体" w:eastAsia="宋体" w:cs="宋体"/>
                <w:color w:val="auto"/>
                <w:sz w:val="24"/>
                <w:szCs w:val="24"/>
                <w:highlight w:val="none"/>
              </w:rPr>
            </w:pPr>
          </w:p>
        </w:tc>
      </w:tr>
      <w:tr w14:paraId="2A192AB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FC54670">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BBB8B99">
            <w:pPr>
              <w:autoSpaceDE w:val="0"/>
              <w:autoSpaceDN w:val="0"/>
              <w:spacing w:line="360" w:lineRule="auto"/>
              <w:jc w:val="center"/>
              <w:rPr>
                <w:rFonts w:ascii="宋体" w:hAnsi="宋体" w:eastAsia="宋体" w:cs="宋体"/>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4B9333F1">
            <w:pPr>
              <w:autoSpaceDE w:val="0"/>
              <w:autoSpaceDN w:val="0"/>
              <w:spacing w:line="360" w:lineRule="auto"/>
              <w:jc w:val="center"/>
              <w:rPr>
                <w:rFonts w:ascii="宋体" w:hAnsi="宋体" w:eastAsia="宋体" w:cs="宋体"/>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37351B2">
            <w:pPr>
              <w:autoSpaceDE w:val="0"/>
              <w:autoSpaceDN w:val="0"/>
              <w:spacing w:line="360" w:lineRule="auto"/>
              <w:jc w:val="center"/>
              <w:rPr>
                <w:rFonts w:ascii="宋体" w:hAnsi="宋体" w:eastAsia="宋体" w:cs="宋体"/>
                <w:color w:val="auto"/>
                <w:sz w:val="24"/>
                <w:szCs w:val="24"/>
                <w:highlight w:val="none"/>
              </w:rPr>
            </w:pPr>
          </w:p>
        </w:tc>
      </w:tr>
      <w:tr w14:paraId="7B895138">
        <w:tblPrEx>
          <w:shd w:val="clear" w:color="auto" w:fill="auto"/>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4CA4CE9">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ABBFC1E">
            <w:pPr>
              <w:autoSpaceDE w:val="0"/>
              <w:autoSpaceDN w:val="0"/>
              <w:spacing w:line="360" w:lineRule="auto"/>
              <w:jc w:val="center"/>
              <w:rPr>
                <w:rFonts w:ascii="宋体" w:hAnsi="宋体" w:eastAsia="宋体" w:cs="宋体"/>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3DBFD03">
            <w:pPr>
              <w:autoSpaceDE w:val="0"/>
              <w:autoSpaceDN w:val="0"/>
              <w:spacing w:line="360" w:lineRule="auto"/>
              <w:jc w:val="center"/>
              <w:rPr>
                <w:rFonts w:ascii="宋体" w:hAnsi="宋体" w:eastAsia="宋体" w:cs="宋体"/>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F764E04">
            <w:pPr>
              <w:autoSpaceDE w:val="0"/>
              <w:autoSpaceDN w:val="0"/>
              <w:spacing w:line="360" w:lineRule="auto"/>
              <w:jc w:val="center"/>
              <w:rPr>
                <w:rFonts w:ascii="宋体" w:hAnsi="宋体" w:eastAsia="宋体" w:cs="宋体"/>
                <w:color w:val="auto"/>
                <w:sz w:val="24"/>
                <w:szCs w:val="24"/>
                <w:highlight w:val="none"/>
              </w:rPr>
            </w:pPr>
          </w:p>
        </w:tc>
      </w:tr>
      <w:tr w14:paraId="091E4817">
        <w:tblPrEx>
          <w:shd w:val="clear" w:color="auto" w:fill="auto"/>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B83BE2E">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359B5FE">
            <w:pPr>
              <w:autoSpaceDE w:val="0"/>
              <w:autoSpaceDN w:val="0"/>
              <w:spacing w:line="360" w:lineRule="auto"/>
              <w:jc w:val="center"/>
              <w:rPr>
                <w:rFonts w:ascii="宋体" w:hAnsi="宋体" w:eastAsia="宋体" w:cs="宋体"/>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8301C41">
            <w:pPr>
              <w:autoSpaceDE w:val="0"/>
              <w:autoSpaceDN w:val="0"/>
              <w:spacing w:line="360" w:lineRule="auto"/>
              <w:jc w:val="center"/>
              <w:rPr>
                <w:rFonts w:ascii="宋体" w:hAnsi="宋体" w:eastAsia="宋体" w:cs="宋体"/>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3B749355">
            <w:pPr>
              <w:autoSpaceDE w:val="0"/>
              <w:autoSpaceDN w:val="0"/>
              <w:spacing w:line="360" w:lineRule="auto"/>
              <w:jc w:val="center"/>
              <w:rPr>
                <w:rFonts w:ascii="宋体" w:hAnsi="宋体" w:eastAsia="宋体" w:cs="宋体"/>
                <w:color w:val="auto"/>
                <w:sz w:val="24"/>
                <w:szCs w:val="24"/>
                <w:highlight w:val="none"/>
              </w:rPr>
            </w:pPr>
          </w:p>
        </w:tc>
      </w:tr>
      <w:tr w14:paraId="150B5577">
        <w:tblPrEx>
          <w:shd w:val="clear" w:color="auto" w:fill="auto"/>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BB573F6">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29EBDE9">
            <w:pPr>
              <w:autoSpaceDE w:val="0"/>
              <w:autoSpaceDN w:val="0"/>
              <w:spacing w:line="360" w:lineRule="auto"/>
              <w:jc w:val="center"/>
              <w:rPr>
                <w:rFonts w:ascii="宋体" w:hAnsi="宋体" w:eastAsia="宋体" w:cs="宋体"/>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4A9500BF">
            <w:pPr>
              <w:autoSpaceDE w:val="0"/>
              <w:autoSpaceDN w:val="0"/>
              <w:spacing w:line="360" w:lineRule="auto"/>
              <w:jc w:val="center"/>
              <w:rPr>
                <w:rFonts w:ascii="宋体" w:hAnsi="宋体" w:eastAsia="宋体" w:cs="宋体"/>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CCE5A4C">
            <w:pPr>
              <w:autoSpaceDE w:val="0"/>
              <w:autoSpaceDN w:val="0"/>
              <w:spacing w:line="360" w:lineRule="auto"/>
              <w:jc w:val="center"/>
              <w:rPr>
                <w:rFonts w:ascii="宋体" w:hAnsi="宋体" w:eastAsia="宋体" w:cs="宋体"/>
                <w:color w:val="auto"/>
                <w:sz w:val="24"/>
                <w:szCs w:val="24"/>
                <w:highlight w:val="none"/>
              </w:rPr>
            </w:pPr>
          </w:p>
        </w:tc>
      </w:tr>
      <w:tr w14:paraId="4A359E5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3B29132">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D8ACC92">
            <w:pPr>
              <w:autoSpaceDE w:val="0"/>
              <w:autoSpaceDN w:val="0"/>
              <w:spacing w:line="360" w:lineRule="auto"/>
              <w:jc w:val="center"/>
              <w:rPr>
                <w:rFonts w:ascii="宋体" w:hAnsi="宋体" w:eastAsia="宋体" w:cs="宋体"/>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68A13CC">
            <w:pPr>
              <w:autoSpaceDE w:val="0"/>
              <w:autoSpaceDN w:val="0"/>
              <w:spacing w:line="360" w:lineRule="auto"/>
              <w:jc w:val="center"/>
              <w:rPr>
                <w:rFonts w:ascii="宋体" w:hAnsi="宋体" w:eastAsia="宋体" w:cs="宋体"/>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07E0E5E2">
            <w:pPr>
              <w:autoSpaceDE w:val="0"/>
              <w:autoSpaceDN w:val="0"/>
              <w:spacing w:line="360" w:lineRule="auto"/>
              <w:jc w:val="center"/>
              <w:rPr>
                <w:rFonts w:ascii="宋体" w:hAnsi="宋体" w:eastAsia="宋体" w:cs="宋体"/>
                <w:color w:val="auto"/>
                <w:sz w:val="24"/>
                <w:szCs w:val="24"/>
                <w:highlight w:val="none"/>
              </w:rPr>
            </w:pPr>
          </w:p>
        </w:tc>
      </w:tr>
    </w:tbl>
    <w:p w14:paraId="489335D8">
      <w:pPr>
        <w:autoSpaceDE w:val="0"/>
        <w:autoSpaceDN w:val="0"/>
        <w:spacing w:line="360" w:lineRule="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w:t>
      </w:r>
      <w:r>
        <w:rPr>
          <w:rFonts w:hint="eastAsia" w:ascii="宋体" w:hAnsi="宋体" w:eastAsia="宋体" w:cs="宋体"/>
          <w:b/>
          <w:color w:val="auto"/>
          <w:sz w:val="24"/>
          <w:highlight w:val="none"/>
        </w:rPr>
        <w:t>供应商可参照上述的格式自行编制，</w:t>
      </w:r>
      <w:r>
        <w:rPr>
          <w:rFonts w:hint="eastAsia" w:ascii="宋体" w:hAnsi="宋体" w:eastAsia="宋体" w:cs="宋体"/>
          <w:b/>
          <w:color w:val="auto"/>
          <w:sz w:val="24"/>
          <w:szCs w:val="24"/>
          <w:highlight w:val="none"/>
        </w:rPr>
        <w:t>并注明所在响应技术文件页码。</w:t>
      </w:r>
    </w:p>
    <w:p w14:paraId="2E77FE0C">
      <w:pPr>
        <w:autoSpaceDE w:val="0"/>
        <w:autoSpaceDN w:val="0"/>
        <w:spacing w:line="360" w:lineRule="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附表B:本项目的项目小组人员情况表</w:t>
      </w:r>
      <w:r>
        <w:rPr>
          <w:rFonts w:hint="eastAsia" w:ascii="宋体" w:hAnsi="宋体" w:eastAsia="宋体" w:cs="宋体"/>
          <w:color w:val="auto"/>
          <w:sz w:val="24"/>
          <w:szCs w:val="24"/>
          <w:highlight w:val="none"/>
        </w:rPr>
        <w:t>（参照此格式自制）</w:t>
      </w:r>
    </w:p>
    <w:tbl>
      <w:tblPr>
        <w:tblStyle w:val="29"/>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874766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EC89478">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682E538">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139F713">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042782F">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D713D09">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学历</w:t>
            </w:r>
          </w:p>
          <w:p w14:paraId="61969421">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76530CD">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p w14:paraId="0BA52B8A">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7D81A7C">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p w14:paraId="16026B58">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2145D69">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62A3A7F">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34D1633">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参与本项目的到位情况</w:t>
            </w:r>
          </w:p>
        </w:tc>
      </w:tr>
      <w:tr w14:paraId="50A8D83F">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00BA7C6">
            <w:pPr>
              <w:autoSpaceDE w:val="0"/>
              <w:autoSpaceDN w:val="0"/>
              <w:spacing w:line="360" w:lineRule="auto"/>
              <w:jc w:val="center"/>
              <w:rPr>
                <w:rFonts w:ascii="宋体" w:hAnsi="宋体" w:eastAsia="宋体" w:cs="宋体"/>
                <w:color w:val="auto"/>
                <w:sz w:val="24"/>
                <w:szCs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E44E484">
            <w:pPr>
              <w:autoSpaceDE w:val="0"/>
              <w:autoSpaceDN w:val="0"/>
              <w:spacing w:line="360" w:lineRule="auto"/>
              <w:rPr>
                <w:rFonts w:ascii="宋体" w:hAnsi="宋体" w:eastAsia="宋体" w:cs="宋体"/>
                <w:color w:val="auto"/>
                <w:sz w:val="24"/>
                <w:szCs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5780317">
            <w:pPr>
              <w:autoSpaceDE w:val="0"/>
              <w:autoSpaceDN w:val="0"/>
              <w:spacing w:line="360" w:lineRule="auto"/>
              <w:rPr>
                <w:rFonts w:ascii="宋体" w:hAnsi="宋体" w:eastAsia="宋体" w:cs="宋体"/>
                <w:color w:val="auto"/>
                <w:sz w:val="24"/>
                <w:szCs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678FE63">
            <w:pPr>
              <w:autoSpaceDE w:val="0"/>
              <w:autoSpaceDN w:val="0"/>
              <w:spacing w:line="360" w:lineRule="auto"/>
              <w:rPr>
                <w:rFonts w:ascii="宋体" w:hAnsi="宋体" w:eastAsia="宋体" w:cs="宋体"/>
                <w:color w:val="auto"/>
                <w:sz w:val="24"/>
                <w:szCs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9081408">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A74560A">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AA1E23B">
            <w:pPr>
              <w:autoSpaceDE w:val="0"/>
              <w:autoSpaceDN w:val="0"/>
              <w:spacing w:line="360" w:lineRule="auto"/>
              <w:rPr>
                <w:rFonts w:ascii="宋体" w:hAnsi="宋体" w:eastAsia="宋体" w:cs="宋体"/>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E62648C">
            <w:pPr>
              <w:autoSpaceDE w:val="0"/>
              <w:autoSpaceDN w:val="0"/>
              <w:spacing w:line="360" w:lineRule="auto"/>
              <w:rPr>
                <w:rFonts w:ascii="宋体" w:hAnsi="宋体" w:eastAsia="宋体" w:cs="宋体"/>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37C17AA">
            <w:pPr>
              <w:autoSpaceDE w:val="0"/>
              <w:autoSpaceDN w:val="0"/>
              <w:spacing w:line="360" w:lineRule="auto"/>
              <w:rPr>
                <w:rFonts w:ascii="宋体" w:hAnsi="宋体" w:eastAsia="宋体" w:cs="宋体"/>
                <w:color w:val="auto"/>
                <w:sz w:val="24"/>
                <w:szCs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35ED5C6">
            <w:pPr>
              <w:autoSpaceDE w:val="0"/>
              <w:autoSpaceDN w:val="0"/>
              <w:spacing w:line="360" w:lineRule="auto"/>
              <w:rPr>
                <w:rFonts w:ascii="宋体" w:hAnsi="宋体" w:eastAsia="宋体" w:cs="宋体"/>
                <w:color w:val="auto"/>
                <w:sz w:val="24"/>
                <w:szCs w:val="24"/>
                <w:highlight w:val="none"/>
              </w:rPr>
            </w:pPr>
          </w:p>
        </w:tc>
      </w:tr>
      <w:tr w14:paraId="45E90A1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30E8FEF">
            <w:pPr>
              <w:autoSpaceDE w:val="0"/>
              <w:autoSpaceDN w:val="0"/>
              <w:spacing w:line="360" w:lineRule="auto"/>
              <w:jc w:val="center"/>
              <w:rPr>
                <w:rFonts w:ascii="宋体" w:hAnsi="宋体" w:eastAsia="宋体" w:cs="宋体"/>
                <w:color w:val="auto"/>
                <w:sz w:val="24"/>
                <w:szCs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9514B9B">
            <w:pPr>
              <w:autoSpaceDE w:val="0"/>
              <w:autoSpaceDN w:val="0"/>
              <w:spacing w:line="360" w:lineRule="auto"/>
              <w:rPr>
                <w:rFonts w:ascii="宋体" w:hAnsi="宋体" w:eastAsia="宋体" w:cs="宋体"/>
                <w:color w:val="auto"/>
                <w:sz w:val="24"/>
                <w:szCs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489D465">
            <w:pPr>
              <w:autoSpaceDE w:val="0"/>
              <w:autoSpaceDN w:val="0"/>
              <w:spacing w:line="360" w:lineRule="auto"/>
              <w:rPr>
                <w:rFonts w:ascii="宋体" w:hAnsi="宋体" w:eastAsia="宋体" w:cs="宋体"/>
                <w:color w:val="auto"/>
                <w:sz w:val="24"/>
                <w:szCs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04B3028">
            <w:pPr>
              <w:autoSpaceDE w:val="0"/>
              <w:autoSpaceDN w:val="0"/>
              <w:spacing w:line="360" w:lineRule="auto"/>
              <w:rPr>
                <w:rFonts w:ascii="宋体" w:hAnsi="宋体" w:eastAsia="宋体" w:cs="宋体"/>
                <w:color w:val="auto"/>
                <w:sz w:val="24"/>
                <w:szCs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BD0A1F6">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599D8F">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36D525">
            <w:pPr>
              <w:autoSpaceDE w:val="0"/>
              <w:autoSpaceDN w:val="0"/>
              <w:spacing w:line="360" w:lineRule="auto"/>
              <w:rPr>
                <w:rFonts w:ascii="宋体" w:hAnsi="宋体" w:eastAsia="宋体" w:cs="宋体"/>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4BD9729">
            <w:pPr>
              <w:autoSpaceDE w:val="0"/>
              <w:autoSpaceDN w:val="0"/>
              <w:spacing w:line="360" w:lineRule="auto"/>
              <w:rPr>
                <w:rFonts w:ascii="宋体" w:hAnsi="宋体" w:eastAsia="宋体" w:cs="宋体"/>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E16F426">
            <w:pPr>
              <w:autoSpaceDE w:val="0"/>
              <w:autoSpaceDN w:val="0"/>
              <w:spacing w:line="360" w:lineRule="auto"/>
              <w:rPr>
                <w:rFonts w:ascii="宋体" w:hAnsi="宋体" w:eastAsia="宋体" w:cs="宋体"/>
                <w:color w:val="auto"/>
                <w:sz w:val="24"/>
                <w:szCs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DF61B9D">
            <w:pPr>
              <w:autoSpaceDE w:val="0"/>
              <w:autoSpaceDN w:val="0"/>
              <w:spacing w:line="360" w:lineRule="auto"/>
              <w:rPr>
                <w:rFonts w:ascii="宋体" w:hAnsi="宋体" w:eastAsia="宋体" w:cs="宋体"/>
                <w:color w:val="auto"/>
                <w:sz w:val="24"/>
                <w:szCs w:val="24"/>
                <w:highlight w:val="none"/>
              </w:rPr>
            </w:pPr>
          </w:p>
        </w:tc>
      </w:tr>
    </w:tbl>
    <w:p w14:paraId="751F5117">
      <w:pPr>
        <w:spacing w:line="360" w:lineRule="auto"/>
        <w:rPr>
          <w:rFonts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注：供应商可参照上述的格式自行编制，并注明所在响应技术文件页码。</w:t>
      </w:r>
    </w:p>
    <w:p w14:paraId="630827EB">
      <w:pPr>
        <w:snapToGrid w:val="0"/>
        <w:spacing w:line="360" w:lineRule="auto"/>
        <w:ind w:firstLine="602" w:firstLineChars="200"/>
        <w:rPr>
          <w:rFonts w:ascii="宋体" w:hAnsi="宋体" w:eastAsia="宋体" w:cs="宋体"/>
          <w:b/>
          <w:color w:val="auto"/>
          <w:sz w:val="30"/>
          <w:szCs w:val="30"/>
          <w:highlight w:val="none"/>
        </w:rPr>
      </w:pPr>
    </w:p>
    <w:p w14:paraId="61790350">
      <w:pPr>
        <w:autoSpaceDE w:val="0"/>
        <w:autoSpaceDN w:val="0"/>
        <w:spacing w:line="360" w:lineRule="auto"/>
        <w:ind w:firstLine="6505" w:firstLineChars="2700"/>
        <w:rPr>
          <w:rFonts w:ascii="宋体" w:hAnsi="宋体" w:eastAsia="宋体" w:cs="宋体"/>
          <w:b/>
          <w:bCs/>
          <w:color w:val="auto"/>
          <w:sz w:val="24"/>
          <w:szCs w:val="24"/>
          <w:highlight w:val="none"/>
        </w:rPr>
      </w:pPr>
    </w:p>
    <w:p w14:paraId="0DBAEFA6">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6DD314A1">
      <w:pPr>
        <w:autoSpaceDE w:val="0"/>
        <w:autoSpaceDN w:val="0"/>
        <w:spacing w:line="360" w:lineRule="auto"/>
        <w:ind w:firstLine="6480" w:firstLineChars="270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14:paraId="589393EE">
      <w:pPr>
        <w:spacing w:line="500" w:lineRule="exact"/>
        <w:rPr>
          <w:rFonts w:ascii="仿宋_GB2312" w:hAnsi="仿宋_GB2312" w:eastAsia="仿宋_GB2312" w:cs="仿宋_GB2312"/>
          <w:color w:val="auto"/>
          <w:sz w:val="32"/>
          <w:szCs w:val="32"/>
          <w:highlight w:val="none"/>
        </w:rPr>
      </w:pPr>
    </w:p>
    <w:p w14:paraId="2B93351D">
      <w:pPr>
        <w:adjustRightInd w:val="0"/>
        <w:snapToGrid w:val="0"/>
        <w:spacing w:line="300" w:lineRule="auto"/>
        <w:rPr>
          <w:rFonts w:ascii="宋体" w:hAnsi="宋体" w:eastAsia="宋体" w:cs="Times New Roman"/>
          <w:color w:val="auto"/>
          <w:szCs w:val="21"/>
          <w:highlight w:val="none"/>
          <w:u w:val="single"/>
        </w:rPr>
      </w:pPr>
    </w:p>
    <w:p w14:paraId="021EFA05">
      <w:pPr>
        <w:keepNext/>
        <w:keepLines/>
        <w:spacing w:before="260" w:after="260" w:line="416" w:lineRule="auto"/>
        <w:jc w:val="center"/>
        <w:outlineLvl w:val="1"/>
        <w:rPr>
          <w:rFonts w:ascii="宋体" w:hAnsi="宋体" w:eastAsia="宋体" w:cs="Times New Roman"/>
          <w:b/>
          <w:bCs/>
          <w:color w:val="auto"/>
          <w:sz w:val="32"/>
          <w:szCs w:val="32"/>
          <w:highlight w:val="none"/>
          <w:lang w:val="zh-CN"/>
        </w:rPr>
      </w:pPr>
      <w:bookmarkStart w:id="154" w:name="_Toc17296"/>
      <w:bookmarkStart w:id="155" w:name="_Toc80205941"/>
      <w:bookmarkStart w:id="156" w:name="_Toc13020"/>
      <w:r>
        <w:rPr>
          <w:rFonts w:hint="eastAsia" w:ascii="宋体" w:hAnsi="宋体" w:eastAsia="宋体" w:cs="Times New Roman"/>
          <w:b/>
          <w:bCs/>
          <w:color w:val="auto"/>
          <w:sz w:val="32"/>
          <w:szCs w:val="32"/>
          <w:highlight w:val="none"/>
          <w:lang w:val="zh-CN"/>
        </w:rPr>
        <w:t>第三节 报价文件格式</w:t>
      </w:r>
      <w:bookmarkEnd w:id="154"/>
      <w:bookmarkEnd w:id="155"/>
      <w:bookmarkEnd w:id="156"/>
    </w:p>
    <w:p w14:paraId="057801DE">
      <w:pPr>
        <w:pStyle w:val="21"/>
        <w:rPr>
          <w:color w:val="auto"/>
          <w:highlight w:val="none"/>
        </w:rPr>
      </w:pPr>
    </w:p>
    <w:p w14:paraId="48A3FD21">
      <w:pPr>
        <w:pStyle w:val="21"/>
        <w:rPr>
          <w:color w:val="auto"/>
          <w:highlight w:val="none"/>
        </w:rPr>
      </w:pPr>
      <w:r>
        <w:rPr>
          <w:rFonts w:hint="eastAsia" w:ascii="宋体" w:hAnsi="宋体" w:cs="宋体"/>
          <w:b/>
          <w:bCs/>
          <w:color w:val="auto"/>
          <w:sz w:val="28"/>
          <w:szCs w:val="28"/>
          <w:highlight w:val="none"/>
          <w:lang w:val="en-US"/>
        </w:rPr>
        <w:t>1.</w:t>
      </w:r>
      <w:r>
        <w:rPr>
          <w:rFonts w:hint="eastAsia" w:ascii="宋体" w:hAnsi="宋体" w:cs="宋体"/>
          <w:b/>
          <w:bCs/>
          <w:color w:val="auto"/>
          <w:sz w:val="28"/>
          <w:szCs w:val="28"/>
          <w:highlight w:val="none"/>
        </w:rPr>
        <w:t>报价文件封面的格式</w:t>
      </w:r>
      <w:r>
        <w:rPr>
          <w:rFonts w:hint="eastAsia" w:ascii="宋体" w:hAnsi="宋体" w:cs="宋体"/>
          <w:b/>
          <w:color w:val="auto"/>
          <w:sz w:val="28"/>
          <w:szCs w:val="28"/>
          <w:highlight w:val="none"/>
        </w:rPr>
        <w:t>（参照此格式自拟）</w:t>
      </w:r>
      <w:r>
        <w:rPr>
          <w:rFonts w:hint="eastAsia" w:ascii="宋体" w:hAnsi="宋体" w:cs="宋体"/>
          <w:b/>
          <w:bCs/>
          <w:color w:val="auto"/>
          <w:sz w:val="28"/>
          <w:szCs w:val="28"/>
          <w:highlight w:val="none"/>
        </w:rPr>
        <w:t>：</w:t>
      </w:r>
    </w:p>
    <w:p w14:paraId="276A305A">
      <w:pPr>
        <w:snapToGrid w:val="0"/>
        <w:spacing w:before="165" w:beforeLines="50" w:after="50"/>
        <w:rPr>
          <w:rFonts w:ascii="宋体" w:hAnsi="宋体" w:eastAsia="宋体" w:cs="Times New Roman"/>
          <w:bCs/>
          <w:color w:val="auto"/>
          <w:sz w:val="32"/>
          <w:szCs w:val="20"/>
          <w:highlight w:val="none"/>
        </w:rPr>
      </w:pPr>
      <w:r>
        <w:rPr>
          <w:rFonts w:hint="eastAsia" w:ascii="宋体" w:hAnsi="宋体" w:eastAsia="宋体" w:cs="Times New Roman"/>
          <w:color w:val="auto"/>
          <w:sz w:val="24"/>
          <w:szCs w:val="24"/>
          <w:highlight w:val="none"/>
        </w:rPr>
        <w:t xml:space="preserve">                                                    </w:t>
      </w:r>
      <w:r>
        <w:rPr>
          <w:rFonts w:hint="eastAsia" w:ascii="宋体" w:hAnsi="宋体" w:eastAsia="宋体" w:cs="Times New Roman"/>
          <w:bCs/>
          <w:color w:val="auto"/>
          <w:szCs w:val="24"/>
          <w:highlight w:val="none"/>
        </w:rPr>
        <w:t>全流程电子文件</w:t>
      </w:r>
    </w:p>
    <w:p w14:paraId="281F6F01">
      <w:pPr>
        <w:snapToGrid w:val="0"/>
        <w:spacing w:before="165" w:beforeLines="50" w:after="50"/>
        <w:rPr>
          <w:rFonts w:ascii="宋体" w:hAnsi="宋体" w:eastAsia="宋体" w:cs="Times New Roman"/>
          <w:color w:val="auto"/>
          <w:sz w:val="24"/>
          <w:szCs w:val="20"/>
          <w:highlight w:val="none"/>
        </w:rPr>
      </w:pPr>
    </w:p>
    <w:p w14:paraId="1341A93D">
      <w:pPr>
        <w:snapToGrid w:val="0"/>
        <w:spacing w:before="165" w:beforeLines="50" w:after="50"/>
        <w:rPr>
          <w:rFonts w:ascii="宋体" w:hAnsi="宋体" w:eastAsia="宋体" w:cs="Times New Roman"/>
          <w:color w:val="auto"/>
          <w:sz w:val="24"/>
          <w:szCs w:val="20"/>
          <w:highlight w:val="none"/>
        </w:rPr>
      </w:pPr>
    </w:p>
    <w:p w14:paraId="46122308">
      <w:pPr>
        <w:snapToGrid w:val="0"/>
        <w:spacing w:before="165" w:beforeLines="50" w:after="50"/>
        <w:rPr>
          <w:rFonts w:ascii="宋体" w:hAnsi="宋体" w:eastAsia="宋体" w:cs="Times New Roman"/>
          <w:color w:val="auto"/>
          <w:sz w:val="24"/>
          <w:szCs w:val="20"/>
          <w:highlight w:val="none"/>
        </w:rPr>
      </w:pPr>
    </w:p>
    <w:p w14:paraId="6A183D04">
      <w:pPr>
        <w:snapToGrid w:val="0"/>
        <w:spacing w:before="165"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 xml:space="preserve">报 </w:t>
      </w:r>
      <w:r>
        <w:rPr>
          <w:rFonts w:ascii="方正小标宋简体" w:hAnsi="方正小标宋简体" w:eastAsia="方正小标宋简体" w:cs="方正小标宋简体"/>
          <w:bCs/>
          <w:color w:val="auto"/>
          <w:sz w:val="44"/>
          <w:szCs w:val="44"/>
          <w:highlight w:val="none"/>
        </w:rPr>
        <w:t xml:space="preserve"> </w:t>
      </w:r>
      <w:r>
        <w:rPr>
          <w:rFonts w:hint="eastAsia" w:ascii="方正小标宋简体" w:hAnsi="方正小标宋简体" w:eastAsia="方正小标宋简体" w:cs="方正小标宋简体"/>
          <w:bCs/>
          <w:color w:val="auto"/>
          <w:sz w:val="44"/>
          <w:szCs w:val="44"/>
          <w:highlight w:val="none"/>
        </w:rPr>
        <w:t>价  文  件</w:t>
      </w:r>
    </w:p>
    <w:p w14:paraId="22C67FF8">
      <w:pPr>
        <w:snapToGrid w:val="0"/>
        <w:spacing w:before="165" w:beforeLines="50" w:after="50"/>
        <w:rPr>
          <w:rFonts w:ascii="宋体" w:hAnsi="宋体" w:eastAsia="宋体" w:cs="Times New Roman"/>
          <w:bCs/>
          <w:color w:val="auto"/>
          <w:sz w:val="24"/>
          <w:szCs w:val="20"/>
          <w:highlight w:val="none"/>
        </w:rPr>
      </w:pPr>
    </w:p>
    <w:p w14:paraId="32CDE020">
      <w:pPr>
        <w:snapToGrid w:val="0"/>
        <w:spacing w:before="165" w:beforeLines="50" w:after="50"/>
        <w:rPr>
          <w:rFonts w:ascii="宋体" w:hAnsi="宋体" w:eastAsia="宋体" w:cs="Times New Roman"/>
          <w:bCs/>
          <w:color w:val="auto"/>
          <w:sz w:val="24"/>
          <w:szCs w:val="20"/>
          <w:highlight w:val="none"/>
        </w:rPr>
      </w:pPr>
    </w:p>
    <w:p w14:paraId="51DBEA0B">
      <w:pPr>
        <w:snapToGrid w:val="0"/>
        <w:spacing w:before="165" w:beforeLines="50" w:after="50"/>
        <w:rPr>
          <w:rFonts w:ascii="宋体" w:hAnsi="宋体" w:eastAsia="宋体" w:cs="Times New Roman"/>
          <w:bCs/>
          <w:color w:val="auto"/>
          <w:sz w:val="24"/>
          <w:szCs w:val="20"/>
          <w:highlight w:val="none"/>
        </w:rPr>
      </w:pPr>
    </w:p>
    <w:p w14:paraId="70F38951">
      <w:pPr>
        <w:snapToGrid w:val="0"/>
        <w:spacing w:before="165" w:beforeLines="50" w:after="50"/>
        <w:rPr>
          <w:rFonts w:ascii="宋体" w:hAnsi="宋体" w:eastAsia="宋体" w:cs="Times New Roman"/>
          <w:bCs/>
          <w:color w:val="auto"/>
          <w:sz w:val="24"/>
          <w:szCs w:val="20"/>
          <w:highlight w:val="none"/>
        </w:rPr>
      </w:pPr>
    </w:p>
    <w:p w14:paraId="1D12BCD4">
      <w:pPr>
        <w:snapToGrid w:val="0"/>
        <w:spacing w:before="165" w:beforeLines="50" w:after="50"/>
        <w:rPr>
          <w:rFonts w:ascii="宋体" w:hAnsi="宋体" w:eastAsia="宋体" w:cs="Times New Roman"/>
          <w:bCs/>
          <w:color w:val="auto"/>
          <w:sz w:val="24"/>
          <w:szCs w:val="20"/>
          <w:highlight w:val="none"/>
        </w:rPr>
      </w:pPr>
    </w:p>
    <w:p w14:paraId="67B539CD">
      <w:pPr>
        <w:snapToGrid w:val="0"/>
        <w:spacing w:before="165"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项目名称：</w:t>
      </w:r>
    </w:p>
    <w:p w14:paraId="22CB8785">
      <w:pPr>
        <w:snapToGrid w:val="0"/>
        <w:spacing w:before="165" w:beforeLines="50" w:after="50"/>
        <w:ind w:firstLine="720" w:firstLineChars="225"/>
        <w:rPr>
          <w:rFonts w:ascii="宋体" w:hAnsi="宋体" w:eastAsia="宋体" w:cs="仿宋_GB2312"/>
          <w:bCs/>
          <w:color w:val="auto"/>
          <w:sz w:val="32"/>
          <w:szCs w:val="32"/>
          <w:highlight w:val="none"/>
        </w:rPr>
      </w:pPr>
    </w:p>
    <w:p w14:paraId="73A48B49">
      <w:pPr>
        <w:snapToGrid w:val="0"/>
        <w:spacing w:before="165"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项目编号：</w:t>
      </w:r>
    </w:p>
    <w:p w14:paraId="7C7A03D2">
      <w:pPr>
        <w:snapToGrid w:val="0"/>
        <w:spacing w:before="165" w:beforeLines="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 </w:t>
      </w:r>
    </w:p>
    <w:p w14:paraId="3A94C3D4">
      <w:pPr>
        <w:snapToGrid w:val="0"/>
        <w:spacing w:before="165"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所竞分标（如有则填写，无分标时填写“无”或者留空）：</w:t>
      </w:r>
    </w:p>
    <w:p w14:paraId="2F33AB4B">
      <w:pPr>
        <w:snapToGrid w:val="0"/>
        <w:spacing w:before="165" w:beforeLines="50" w:after="50"/>
        <w:ind w:firstLine="720" w:firstLineChars="225"/>
        <w:rPr>
          <w:rFonts w:ascii="宋体" w:hAnsi="宋体" w:eastAsia="宋体" w:cs="仿宋_GB2312"/>
          <w:bCs/>
          <w:color w:val="auto"/>
          <w:sz w:val="32"/>
          <w:szCs w:val="32"/>
          <w:highlight w:val="none"/>
        </w:rPr>
      </w:pPr>
    </w:p>
    <w:p w14:paraId="4D4063F8">
      <w:pPr>
        <w:snapToGrid w:val="0"/>
        <w:spacing w:before="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供应商名称：</w:t>
      </w:r>
    </w:p>
    <w:p w14:paraId="18D890E3">
      <w:pPr>
        <w:snapToGrid w:val="0"/>
        <w:spacing w:before="50" w:after="50"/>
        <w:ind w:firstLine="720" w:firstLineChars="225"/>
        <w:rPr>
          <w:rFonts w:ascii="宋体" w:hAnsi="宋体" w:eastAsia="宋体" w:cs="仿宋_GB2312"/>
          <w:bCs/>
          <w:color w:val="auto"/>
          <w:sz w:val="32"/>
          <w:szCs w:val="32"/>
          <w:highlight w:val="none"/>
        </w:rPr>
      </w:pPr>
    </w:p>
    <w:p w14:paraId="7DC3CD93">
      <w:pPr>
        <w:snapToGrid w:val="0"/>
        <w:spacing w:before="50" w:after="50"/>
        <w:ind w:firstLine="720" w:firstLineChars="225"/>
        <w:rPr>
          <w:rFonts w:ascii="宋体" w:hAnsi="宋体" w:eastAsia="宋体" w:cs="仿宋_GB2312"/>
          <w:bCs/>
          <w:color w:val="auto"/>
          <w:sz w:val="32"/>
          <w:szCs w:val="32"/>
          <w:highlight w:val="none"/>
        </w:rPr>
      </w:pPr>
    </w:p>
    <w:p w14:paraId="6CD292B2">
      <w:pPr>
        <w:snapToGrid w:val="0"/>
        <w:spacing w:before="50" w:after="50"/>
        <w:ind w:firstLine="1280" w:firstLineChars="400"/>
        <w:rPr>
          <w:rFonts w:ascii="宋体" w:hAnsi="宋体" w:eastAsia="宋体" w:cs="仿宋_GB2312"/>
          <w:bCs/>
          <w:color w:val="auto"/>
          <w:sz w:val="32"/>
          <w:szCs w:val="32"/>
          <w:highlight w:val="none"/>
        </w:rPr>
      </w:pPr>
    </w:p>
    <w:p w14:paraId="4CFEDF04">
      <w:pPr>
        <w:snapToGrid w:val="0"/>
        <w:spacing w:before="165" w:beforeLines="50" w:after="50"/>
        <w:jc w:val="center"/>
        <w:rPr>
          <w:rFonts w:ascii="宋体" w:hAnsi="宋体" w:eastAsia="宋体" w:cs="仿宋_GB2312"/>
          <w:color w:val="auto"/>
          <w:sz w:val="32"/>
          <w:szCs w:val="32"/>
          <w:highlight w:val="none"/>
        </w:rPr>
      </w:pPr>
      <w:r>
        <w:rPr>
          <w:rFonts w:hint="eastAsia" w:ascii="宋体" w:hAnsi="宋体" w:eastAsia="宋体" w:cs="仿宋_GB2312"/>
          <w:color w:val="auto"/>
          <w:sz w:val="32"/>
          <w:szCs w:val="32"/>
          <w:highlight w:val="none"/>
        </w:rPr>
        <w:t>年    月    日</w:t>
      </w:r>
    </w:p>
    <w:p w14:paraId="1145D335">
      <w:pPr>
        <w:snapToGrid w:val="0"/>
        <w:spacing w:before="165" w:beforeLines="50" w:after="50" w:line="360" w:lineRule="auto"/>
        <w:jc w:val="left"/>
        <w:rPr>
          <w:rFonts w:ascii="宋体" w:hAnsi="宋体" w:eastAsia="宋体" w:cs="宋体"/>
          <w:color w:val="auto"/>
          <w:sz w:val="28"/>
          <w:szCs w:val="28"/>
          <w:highlight w:val="none"/>
        </w:rPr>
      </w:pPr>
      <w:r>
        <w:rPr>
          <w:rFonts w:ascii="宋体" w:hAnsi="宋体" w:eastAsia="宋体" w:cs="Times New Roman"/>
          <w:color w:val="auto"/>
          <w:sz w:val="24"/>
          <w:szCs w:val="24"/>
          <w:highlight w:val="none"/>
        </w:rPr>
        <w:br w:type="page"/>
      </w:r>
      <w:r>
        <w:rPr>
          <w:rFonts w:hint="eastAsia" w:ascii="宋体" w:hAnsi="宋体" w:eastAsia="宋体" w:cs="宋体"/>
          <w:b/>
          <w:color w:val="auto"/>
          <w:sz w:val="28"/>
          <w:szCs w:val="28"/>
          <w:highlight w:val="none"/>
        </w:rPr>
        <w:t>2.</w:t>
      </w:r>
      <w:r>
        <w:rPr>
          <w:rFonts w:hint="eastAsia" w:ascii="宋体" w:hAnsi="宋体" w:eastAsia="宋体" w:cs="宋体"/>
          <w:b/>
          <w:bCs/>
          <w:color w:val="auto"/>
          <w:sz w:val="28"/>
          <w:szCs w:val="28"/>
          <w:highlight w:val="none"/>
        </w:rPr>
        <w:t>报价文件目录</w:t>
      </w:r>
    </w:p>
    <w:p w14:paraId="7EE377D1">
      <w:pPr>
        <w:snapToGrid w:val="0"/>
        <w:spacing w:before="50" w:after="165" w:afterLines="50" w:line="360" w:lineRule="auto"/>
        <w:jc w:val="left"/>
        <w:rPr>
          <w:rFonts w:ascii="宋体" w:hAnsi="宋体" w:eastAsia="宋体" w:cs="宋体"/>
          <w:b/>
          <w:color w:val="auto"/>
          <w:sz w:val="28"/>
          <w:szCs w:val="28"/>
          <w:highlight w:val="none"/>
        </w:rPr>
      </w:pPr>
      <w:r>
        <w:rPr>
          <w:rFonts w:hint="eastAsia" w:ascii="宋体" w:hAnsi="宋体" w:eastAsia="宋体" w:cs="宋体"/>
          <w:color w:val="auto"/>
          <w:sz w:val="28"/>
          <w:szCs w:val="28"/>
          <w:highlight w:val="none"/>
        </w:rPr>
        <w:t>根据竞争性谈判文件规定及供应商提供的材料自行编写目录</w:t>
      </w:r>
      <w:r>
        <w:rPr>
          <w:rFonts w:hint="eastAsia" w:ascii="宋体" w:hAnsi="宋体" w:eastAsia="宋体" w:cs="宋体"/>
          <w:color w:val="auto"/>
          <w:kern w:val="0"/>
          <w:sz w:val="28"/>
          <w:szCs w:val="28"/>
          <w:highlight w:val="none"/>
        </w:rPr>
        <w:t>（部分格式后附）</w:t>
      </w:r>
      <w:r>
        <w:rPr>
          <w:rFonts w:hint="eastAsia" w:ascii="宋体" w:hAnsi="宋体" w:eastAsia="宋体" w:cs="宋体"/>
          <w:color w:val="auto"/>
          <w:sz w:val="28"/>
          <w:szCs w:val="28"/>
          <w:highlight w:val="none"/>
        </w:rPr>
        <w:t>。</w:t>
      </w:r>
    </w:p>
    <w:p w14:paraId="400CC82E">
      <w:pPr>
        <w:spacing w:line="360" w:lineRule="auto"/>
        <w:rPr>
          <w:rFonts w:ascii="仿宋_GB2312" w:hAnsi="仿宋" w:eastAsia="仿宋_GB2312" w:cs="仿宋_GB2312"/>
          <w:b/>
          <w:bCs/>
          <w:i/>
          <w:iCs/>
          <w:color w:val="auto"/>
          <w:sz w:val="24"/>
          <w:szCs w:val="24"/>
          <w:highlight w:val="none"/>
        </w:rPr>
      </w:pPr>
    </w:p>
    <w:p w14:paraId="33A49D55">
      <w:pPr>
        <w:snapToGrid w:val="0"/>
        <w:spacing w:before="165" w:beforeLines="50" w:after="50" w:line="360" w:lineRule="auto"/>
        <w:ind w:left="142" w:firstLine="640" w:firstLineChars="200"/>
        <w:jc w:val="left"/>
        <w:rPr>
          <w:rFonts w:ascii="仿宋_GB2312" w:hAnsi="仿宋_GB2312" w:eastAsia="仿宋_GB2312" w:cs="仿宋_GB2312"/>
          <w:color w:val="auto"/>
          <w:sz w:val="32"/>
          <w:szCs w:val="32"/>
          <w:highlight w:val="none"/>
        </w:rPr>
      </w:pPr>
    </w:p>
    <w:p w14:paraId="4DB40C2B">
      <w:pPr>
        <w:spacing w:line="500" w:lineRule="exact"/>
        <w:rPr>
          <w:rFonts w:ascii="宋体" w:hAnsi="宋体" w:eastAsia="宋体" w:cs="仿宋_GB2312"/>
          <w:color w:val="auto"/>
          <w:kern w:val="0"/>
          <w:sz w:val="24"/>
          <w:szCs w:val="21"/>
          <w:highlight w:val="none"/>
          <w:lang w:val="zh-CN"/>
        </w:rPr>
      </w:pPr>
      <w:r>
        <w:rPr>
          <w:rFonts w:ascii="宋体" w:hAnsi="宋体" w:eastAsia="宋体" w:cs="仿宋_GB2312"/>
          <w:color w:val="auto"/>
          <w:kern w:val="0"/>
          <w:sz w:val="24"/>
          <w:szCs w:val="21"/>
          <w:highlight w:val="none"/>
          <w:lang w:val="zh-CN"/>
        </w:rPr>
        <w:br w:type="page"/>
      </w:r>
      <w:r>
        <w:rPr>
          <w:rFonts w:hint="eastAsia" w:ascii="宋体" w:hAnsi="宋体" w:eastAsia="宋体" w:cs="宋体"/>
          <w:b/>
          <w:color w:val="auto"/>
          <w:sz w:val="28"/>
          <w:szCs w:val="28"/>
          <w:highlight w:val="none"/>
        </w:rPr>
        <w:t>3.</w:t>
      </w:r>
      <w:r>
        <w:rPr>
          <w:rFonts w:hint="eastAsia" w:ascii="宋体" w:hAnsi="宋体" w:eastAsia="宋体" w:cs="宋体"/>
          <w:b/>
          <w:color w:val="auto"/>
          <w:sz w:val="28"/>
          <w:szCs w:val="28"/>
          <w:highlight w:val="none"/>
          <w:lang w:val="zh-CN"/>
        </w:rPr>
        <w:t>响应函的格式：</w:t>
      </w:r>
    </w:p>
    <w:p w14:paraId="382BA6E1">
      <w:pPr>
        <w:spacing w:line="500" w:lineRule="exact"/>
        <w:jc w:val="center"/>
        <w:rPr>
          <w:rFonts w:ascii="Times New Roman" w:hAnsi="Times New Roman" w:eastAsia="宋体" w:cs="Times New Roman"/>
          <w:b/>
          <w:bCs/>
          <w:color w:val="auto"/>
          <w:kern w:val="0"/>
          <w:sz w:val="30"/>
          <w:szCs w:val="30"/>
          <w:highlight w:val="none"/>
          <w:lang w:val="zh-CN"/>
        </w:rPr>
      </w:pPr>
      <w:r>
        <w:rPr>
          <w:rFonts w:hint="eastAsia" w:ascii="Times New Roman" w:hAnsi="Times New Roman" w:eastAsia="宋体" w:cs="Times New Roman"/>
          <w:b/>
          <w:bCs/>
          <w:color w:val="auto"/>
          <w:kern w:val="0"/>
          <w:sz w:val="30"/>
          <w:szCs w:val="30"/>
          <w:highlight w:val="none"/>
          <w:lang w:val="zh-CN"/>
        </w:rPr>
        <w:t>响应函</w:t>
      </w:r>
    </w:p>
    <w:p w14:paraId="5E26852A">
      <w:pPr>
        <w:spacing w:line="360" w:lineRule="auto"/>
        <w:rPr>
          <w:rFonts w:ascii="Times New Roman" w:hAnsi="Times New Roman" w:eastAsia="宋体" w:cs="Times New Roman"/>
          <w:color w:val="auto"/>
          <w:kern w:val="0"/>
          <w:sz w:val="20"/>
          <w:szCs w:val="21"/>
          <w:highlight w:val="none"/>
          <w:lang w:val="zh-CN"/>
        </w:rPr>
      </w:pPr>
    </w:p>
    <w:p w14:paraId="74C5B4C2">
      <w:pPr>
        <w:spacing w:line="360" w:lineRule="auto"/>
        <w:rPr>
          <w:rFonts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lang w:val="zh-CN"/>
        </w:rPr>
        <w:t>致：</w:t>
      </w:r>
      <w:r>
        <w:rPr>
          <w:rFonts w:hint="eastAsia" w:ascii="宋体" w:hAnsi="宋体" w:eastAsia="宋体" w:cs="宋体"/>
          <w:color w:val="auto"/>
          <w:kern w:val="0"/>
          <w:sz w:val="20"/>
          <w:szCs w:val="21"/>
          <w:highlight w:val="none"/>
          <w:u w:val="single"/>
          <w:lang w:val="zh-CN"/>
        </w:rPr>
        <w:t xml:space="preserve"> </w:t>
      </w:r>
      <w:bookmarkStart w:id="157" w:name="PO_3000001871_PM031_6"/>
      <w:r>
        <w:rPr>
          <w:rFonts w:hint="eastAsia" w:ascii="宋体" w:hAnsi="宋体" w:eastAsia="宋体" w:cs="宋体"/>
          <w:color w:val="auto"/>
          <w:kern w:val="0"/>
          <w:sz w:val="20"/>
          <w:szCs w:val="21"/>
          <w:highlight w:val="none"/>
          <w:u w:val="single"/>
        </w:rPr>
        <w:t>广西科联招标中心有限公司</w:t>
      </w:r>
      <w:bookmarkEnd w:id="157"/>
      <w:r>
        <w:rPr>
          <w:rFonts w:hint="eastAsia" w:ascii="宋体" w:hAnsi="宋体" w:eastAsia="宋体" w:cs="宋体"/>
          <w:color w:val="auto"/>
          <w:kern w:val="0"/>
          <w:sz w:val="20"/>
          <w:szCs w:val="21"/>
          <w:highlight w:val="none"/>
          <w:u w:val="single"/>
        </w:rPr>
        <w:t xml:space="preserve">         </w:t>
      </w:r>
    </w:p>
    <w:p w14:paraId="0CBFA2B9">
      <w:pPr>
        <w:spacing w:line="360" w:lineRule="auto"/>
        <w:ind w:firstLine="400" w:firstLineChars="200"/>
        <w:rPr>
          <w:rFonts w:ascii="宋体" w:hAnsi="宋体" w:eastAsia="宋体" w:cs="宋体"/>
          <w:color w:val="auto"/>
          <w:kern w:val="0"/>
          <w:sz w:val="20"/>
          <w:szCs w:val="21"/>
          <w:highlight w:val="none"/>
          <w:lang w:val="zh-CN"/>
        </w:rPr>
      </w:pPr>
      <w:r>
        <w:rPr>
          <w:rFonts w:hint="eastAsia" w:ascii="宋体" w:hAnsi="宋体" w:eastAsia="宋体" w:cs="宋体"/>
          <w:color w:val="auto"/>
          <w:kern w:val="0"/>
          <w:sz w:val="20"/>
          <w:szCs w:val="21"/>
          <w:highlight w:val="none"/>
          <w:lang w:val="zh-CN"/>
        </w:rPr>
        <w:t>我方已仔细阅读了贵方组织的</w:t>
      </w:r>
      <w:r>
        <w:rPr>
          <w:rFonts w:hint="eastAsia" w:ascii="宋体" w:hAnsi="宋体" w:eastAsia="宋体" w:cs="宋体"/>
          <w:color w:val="auto"/>
          <w:kern w:val="0"/>
          <w:sz w:val="20"/>
          <w:szCs w:val="21"/>
          <w:highlight w:val="none"/>
          <w:u w:val="single"/>
        </w:rPr>
        <w:t xml:space="preserve">             </w:t>
      </w:r>
      <w:r>
        <w:rPr>
          <w:rFonts w:hint="eastAsia" w:ascii="宋体" w:hAnsi="宋体" w:eastAsia="宋体" w:cs="宋体"/>
          <w:color w:val="auto"/>
          <w:kern w:val="0"/>
          <w:sz w:val="20"/>
          <w:szCs w:val="21"/>
          <w:highlight w:val="none"/>
          <w:u w:val="single"/>
          <w:lang w:val="zh-CN"/>
        </w:rPr>
        <w:t xml:space="preserve"> </w:t>
      </w:r>
      <w:r>
        <w:rPr>
          <w:rFonts w:hint="eastAsia" w:ascii="宋体" w:hAnsi="宋体" w:eastAsia="宋体" w:cs="宋体"/>
          <w:color w:val="auto"/>
          <w:kern w:val="0"/>
          <w:sz w:val="20"/>
          <w:szCs w:val="21"/>
          <w:highlight w:val="none"/>
          <w:lang w:val="zh-CN"/>
        </w:rPr>
        <w:t>项目（项目编号：</w:t>
      </w:r>
      <w:r>
        <w:rPr>
          <w:rFonts w:hint="eastAsia" w:ascii="宋体" w:hAnsi="宋体" w:eastAsia="宋体" w:cs="宋体"/>
          <w:color w:val="auto"/>
          <w:kern w:val="0"/>
          <w:sz w:val="20"/>
          <w:szCs w:val="21"/>
          <w:highlight w:val="none"/>
          <w:u w:val="single"/>
        </w:rPr>
        <w:t xml:space="preserve">                   </w:t>
      </w:r>
      <w:r>
        <w:rPr>
          <w:rFonts w:hint="eastAsia" w:ascii="宋体" w:hAnsi="宋体" w:eastAsia="宋体" w:cs="宋体"/>
          <w:color w:val="auto"/>
          <w:kern w:val="0"/>
          <w:sz w:val="20"/>
          <w:szCs w:val="21"/>
          <w:highlight w:val="none"/>
          <w:lang w:val="zh-CN"/>
        </w:rPr>
        <w:t xml:space="preserve">）的竞争性谈判文件的全部内容，现正式递交下述文件参加贵方组织的本次政府采购活动： </w:t>
      </w:r>
    </w:p>
    <w:p w14:paraId="4187980F">
      <w:pPr>
        <w:spacing w:line="360" w:lineRule="auto"/>
        <w:ind w:firstLine="400" w:firstLineChars="200"/>
        <w:rPr>
          <w:rFonts w:ascii="宋体" w:hAnsi="宋体" w:eastAsia="宋体" w:cs="宋体"/>
          <w:color w:val="auto"/>
          <w:kern w:val="0"/>
          <w:sz w:val="20"/>
          <w:szCs w:val="21"/>
          <w:highlight w:val="none"/>
          <w:lang w:val="zh-CN"/>
        </w:rPr>
      </w:pPr>
      <w:r>
        <w:rPr>
          <w:rFonts w:hint="eastAsia" w:ascii="宋体" w:hAnsi="宋体" w:eastAsia="宋体" w:cs="宋体"/>
          <w:color w:val="auto"/>
          <w:kern w:val="0"/>
          <w:sz w:val="20"/>
          <w:szCs w:val="21"/>
          <w:highlight w:val="none"/>
          <w:lang w:val="zh-CN"/>
        </w:rPr>
        <w:t>一、首次报价文件电子版（包含按“第三章 供应商须知”提交的全部文件）；</w:t>
      </w:r>
    </w:p>
    <w:p w14:paraId="3B6CC8C8">
      <w:pPr>
        <w:spacing w:line="360" w:lineRule="auto"/>
        <w:ind w:firstLine="400" w:firstLineChars="200"/>
        <w:rPr>
          <w:rFonts w:ascii="宋体" w:hAnsi="宋体" w:eastAsia="宋体" w:cs="宋体"/>
          <w:color w:val="auto"/>
          <w:kern w:val="0"/>
          <w:sz w:val="20"/>
          <w:szCs w:val="21"/>
          <w:highlight w:val="none"/>
          <w:lang w:val="zh-CN"/>
        </w:rPr>
      </w:pPr>
      <w:r>
        <w:rPr>
          <w:rFonts w:hint="eastAsia" w:ascii="宋体" w:hAnsi="宋体" w:eastAsia="宋体" w:cs="宋体"/>
          <w:color w:val="auto"/>
          <w:kern w:val="0"/>
          <w:sz w:val="20"/>
          <w:szCs w:val="21"/>
          <w:highlight w:val="none"/>
          <w:lang w:val="zh-CN"/>
        </w:rPr>
        <w:t>二、技术文件电子版（包含按“第三章 供应商须知”提交的全部文件）；商务文件电子版（包含按“第三章 供应商须知”提交的全部文件）；</w:t>
      </w:r>
    </w:p>
    <w:p w14:paraId="5DFBF0FF">
      <w:pPr>
        <w:spacing w:line="360" w:lineRule="auto"/>
        <w:ind w:firstLine="400" w:firstLineChars="200"/>
        <w:rPr>
          <w:rFonts w:ascii="宋体" w:hAnsi="宋体" w:eastAsia="宋体" w:cs="宋体"/>
          <w:color w:val="auto"/>
          <w:kern w:val="0"/>
          <w:sz w:val="20"/>
          <w:szCs w:val="21"/>
          <w:highlight w:val="none"/>
          <w:lang w:val="zh-CN"/>
        </w:rPr>
      </w:pPr>
      <w:r>
        <w:rPr>
          <w:rFonts w:hint="eastAsia" w:ascii="宋体" w:hAnsi="宋体" w:eastAsia="宋体" w:cs="宋体"/>
          <w:color w:val="auto"/>
          <w:kern w:val="0"/>
          <w:sz w:val="20"/>
          <w:szCs w:val="21"/>
          <w:highlight w:val="none"/>
          <w:lang w:val="zh-CN"/>
        </w:rPr>
        <w:t>三、资格证明文件电子版（包含按“第三章供应商须知”提交的全部文件）。</w:t>
      </w:r>
    </w:p>
    <w:p w14:paraId="5D6BA305">
      <w:pPr>
        <w:spacing w:line="360" w:lineRule="auto"/>
        <w:ind w:firstLine="400" w:firstLineChars="200"/>
        <w:rPr>
          <w:rFonts w:ascii="宋体" w:hAnsi="宋体" w:eastAsia="宋体" w:cs="宋体"/>
          <w:color w:val="auto"/>
          <w:kern w:val="0"/>
          <w:sz w:val="20"/>
          <w:szCs w:val="21"/>
          <w:highlight w:val="none"/>
          <w:lang w:val="zh-CN"/>
        </w:rPr>
      </w:pPr>
      <w:r>
        <w:rPr>
          <w:rFonts w:hint="eastAsia" w:ascii="宋体" w:hAnsi="宋体" w:eastAsia="宋体" w:cs="宋体"/>
          <w:color w:val="auto"/>
          <w:kern w:val="0"/>
          <w:sz w:val="20"/>
          <w:szCs w:val="21"/>
          <w:highlight w:val="none"/>
          <w:lang w:val="zh-CN"/>
        </w:rPr>
        <w:t>据此函，</w:t>
      </w:r>
      <w:r>
        <w:rPr>
          <w:rFonts w:hint="eastAsia" w:ascii="宋体" w:hAnsi="宋体" w:eastAsia="宋体" w:cs="宋体"/>
          <w:color w:val="auto"/>
          <w:kern w:val="0"/>
          <w:sz w:val="20"/>
          <w:szCs w:val="21"/>
          <w:highlight w:val="none"/>
        </w:rPr>
        <w:t>我方</w:t>
      </w:r>
      <w:r>
        <w:rPr>
          <w:rFonts w:hint="eastAsia" w:ascii="宋体" w:hAnsi="宋体" w:eastAsia="宋体" w:cs="宋体"/>
          <w:color w:val="auto"/>
          <w:kern w:val="0"/>
          <w:sz w:val="20"/>
          <w:szCs w:val="21"/>
          <w:highlight w:val="none"/>
          <w:lang w:val="zh-CN"/>
        </w:rPr>
        <w:t>兹宣布：</w:t>
      </w:r>
    </w:p>
    <w:p w14:paraId="20AB0452">
      <w:pPr>
        <w:spacing w:line="360" w:lineRule="auto"/>
        <w:ind w:firstLine="482"/>
        <w:rPr>
          <w:rFonts w:ascii="宋体" w:hAnsi="宋体" w:eastAsia="宋体" w:cs="宋体"/>
          <w:color w:val="auto"/>
          <w:kern w:val="0"/>
          <w:sz w:val="20"/>
          <w:szCs w:val="21"/>
          <w:highlight w:val="none"/>
          <w:lang w:val="zh-CN"/>
        </w:rPr>
      </w:pPr>
      <w:r>
        <w:rPr>
          <w:rFonts w:hint="eastAsia" w:ascii="宋体" w:hAnsi="宋体" w:eastAsia="宋体" w:cs="宋体"/>
          <w:color w:val="auto"/>
          <w:kern w:val="0"/>
          <w:sz w:val="20"/>
          <w:szCs w:val="21"/>
          <w:highlight w:val="none"/>
          <w:lang w:val="zh-CN"/>
        </w:rPr>
        <w:t>1</w:t>
      </w:r>
      <w:r>
        <w:rPr>
          <w:rFonts w:hint="eastAsia" w:ascii="宋体" w:hAnsi="宋体" w:eastAsia="宋体" w:cs="宋体"/>
          <w:color w:val="auto"/>
          <w:kern w:val="0"/>
          <w:sz w:val="20"/>
          <w:szCs w:val="21"/>
          <w:highlight w:val="none"/>
        </w:rPr>
        <w:t>.</w:t>
      </w:r>
      <w:r>
        <w:rPr>
          <w:rFonts w:hint="eastAsia" w:ascii="宋体" w:hAnsi="宋体" w:eastAsia="宋体" w:cs="宋体"/>
          <w:color w:val="auto"/>
          <w:kern w:val="0"/>
          <w:sz w:val="20"/>
          <w:szCs w:val="21"/>
          <w:highlight w:val="none"/>
          <w:lang w:val="zh-CN"/>
        </w:rPr>
        <w:t>我方愿意以</w:t>
      </w:r>
      <w:r>
        <w:rPr>
          <w:rFonts w:hint="eastAsia" w:ascii="宋体" w:hAnsi="宋体" w:eastAsia="宋体" w:cs="宋体"/>
          <w:color w:val="auto"/>
          <w:kern w:val="0"/>
          <w:sz w:val="20"/>
          <w:szCs w:val="21"/>
          <w:highlight w:val="none"/>
        </w:rPr>
        <w:t>谈判时</w:t>
      </w:r>
      <w:r>
        <w:rPr>
          <w:rFonts w:hint="eastAsia" w:ascii="宋体" w:hAnsi="宋体" w:eastAsia="宋体" w:cs="宋体"/>
          <w:color w:val="auto"/>
          <w:highlight w:val="none"/>
        </w:rPr>
        <w:t>提交的最后报价表中的竞标总报价</w:t>
      </w:r>
      <w:r>
        <w:rPr>
          <w:rFonts w:hint="eastAsia" w:ascii="宋体" w:hAnsi="宋体" w:eastAsia="宋体" w:cs="宋体"/>
          <w:color w:val="auto"/>
          <w:kern w:val="0"/>
          <w:sz w:val="20"/>
          <w:szCs w:val="21"/>
          <w:highlight w:val="none"/>
          <w:lang w:val="zh-CN"/>
        </w:rPr>
        <w:t>，在承诺的交付时间内提供本项目竞争性谈判文件“第二章</w:t>
      </w:r>
      <w:r>
        <w:rPr>
          <w:rFonts w:hint="eastAsia" w:ascii="宋体" w:hAnsi="宋体" w:eastAsia="宋体" w:cs="宋体"/>
          <w:color w:val="auto"/>
          <w:kern w:val="0"/>
          <w:sz w:val="20"/>
          <w:szCs w:val="21"/>
          <w:highlight w:val="none"/>
        </w:rPr>
        <w:t xml:space="preserve">  采购需求</w:t>
      </w:r>
      <w:r>
        <w:rPr>
          <w:rFonts w:hint="eastAsia" w:ascii="宋体" w:hAnsi="宋体" w:eastAsia="宋体" w:cs="宋体"/>
          <w:color w:val="auto"/>
          <w:kern w:val="0"/>
          <w:sz w:val="20"/>
          <w:szCs w:val="21"/>
          <w:highlight w:val="none"/>
          <w:lang w:val="zh-CN"/>
        </w:rPr>
        <w:t>”的“需求一览表”中相应的采购内容</w:t>
      </w:r>
      <w:r>
        <w:rPr>
          <w:rFonts w:hint="eastAsia" w:ascii="宋体" w:hAnsi="宋体" w:eastAsia="宋体" w:cs="宋体"/>
          <w:color w:val="auto"/>
          <w:highlight w:val="none"/>
        </w:rPr>
        <w:t>，具体详见最后报价表</w:t>
      </w:r>
      <w:r>
        <w:rPr>
          <w:rFonts w:hint="eastAsia" w:ascii="宋体" w:hAnsi="宋体" w:eastAsia="宋体" w:cs="宋体"/>
          <w:color w:val="auto"/>
          <w:kern w:val="0"/>
          <w:sz w:val="20"/>
          <w:szCs w:val="21"/>
          <w:highlight w:val="none"/>
          <w:lang w:val="zh-CN"/>
        </w:rPr>
        <w:t>。</w:t>
      </w:r>
    </w:p>
    <w:p w14:paraId="1A960DFB">
      <w:pPr>
        <w:spacing w:line="360" w:lineRule="auto"/>
        <w:ind w:firstLine="482"/>
        <w:rPr>
          <w:rFonts w:ascii="宋体" w:hAnsi="宋体" w:eastAsia="宋体" w:cs="宋体"/>
          <w:color w:val="auto"/>
          <w:kern w:val="0"/>
          <w:sz w:val="20"/>
          <w:szCs w:val="21"/>
          <w:highlight w:val="none"/>
          <w:lang w:val="zh-CN"/>
        </w:rPr>
      </w:pPr>
      <w:r>
        <w:rPr>
          <w:rFonts w:hint="eastAsia" w:ascii="宋体" w:hAnsi="宋体" w:eastAsia="宋体" w:cs="宋体"/>
          <w:color w:val="auto"/>
          <w:kern w:val="0"/>
          <w:sz w:val="20"/>
          <w:szCs w:val="21"/>
          <w:highlight w:val="none"/>
          <w:lang w:val="zh-CN"/>
        </w:rPr>
        <w:t>2</w:t>
      </w:r>
      <w:r>
        <w:rPr>
          <w:rFonts w:hint="eastAsia" w:ascii="宋体" w:hAnsi="宋体" w:eastAsia="宋体" w:cs="宋体"/>
          <w:color w:val="auto"/>
          <w:kern w:val="0"/>
          <w:sz w:val="20"/>
          <w:szCs w:val="21"/>
          <w:highlight w:val="none"/>
        </w:rPr>
        <w:t>.</w:t>
      </w:r>
      <w:r>
        <w:rPr>
          <w:rFonts w:hint="eastAsia" w:ascii="宋体" w:hAnsi="宋体" w:eastAsia="宋体" w:cs="宋体"/>
          <w:color w:val="auto"/>
          <w:kern w:val="0"/>
          <w:sz w:val="20"/>
          <w:szCs w:val="21"/>
          <w:highlight w:val="none"/>
          <w:lang w:val="zh-CN"/>
        </w:rPr>
        <w:t>我方同意自本项目竞争性谈判文件采购公告规定的提交响应文件截止时间起遵循本响应函，并承诺在“第三章 供应商须知”规定的</w:t>
      </w:r>
      <w:r>
        <w:rPr>
          <w:rFonts w:hint="eastAsia" w:ascii="宋体" w:hAnsi="宋体" w:eastAsia="宋体" w:cs="宋体"/>
          <w:color w:val="auto"/>
          <w:kern w:val="0"/>
          <w:sz w:val="20"/>
          <w:szCs w:val="21"/>
          <w:highlight w:val="none"/>
        </w:rPr>
        <w:t>竞标</w:t>
      </w:r>
      <w:r>
        <w:rPr>
          <w:rFonts w:hint="eastAsia" w:ascii="宋体" w:hAnsi="宋体" w:eastAsia="宋体" w:cs="宋体"/>
          <w:color w:val="auto"/>
          <w:kern w:val="0"/>
          <w:sz w:val="20"/>
          <w:szCs w:val="21"/>
          <w:highlight w:val="none"/>
          <w:lang w:val="zh-CN"/>
        </w:rPr>
        <w:t>有效期内不修改、撤销响应文件。</w:t>
      </w:r>
    </w:p>
    <w:p w14:paraId="1D2B4DF2">
      <w:pPr>
        <w:spacing w:line="360" w:lineRule="auto"/>
        <w:ind w:firstLine="482"/>
        <w:rPr>
          <w:rFonts w:ascii="宋体" w:hAnsi="宋体" w:eastAsia="宋体" w:cs="宋体"/>
          <w:color w:val="auto"/>
          <w:kern w:val="0"/>
          <w:sz w:val="20"/>
          <w:szCs w:val="21"/>
          <w:highlight w:val="none"/>
          <w:lang w:val="zh-CN"/>
        </w:rPr>
      </w:pPr>
      <w:r>
        <w:rPr>
          <w:rFonts w:hint="eastAsia" w:ascii="宋体" w:hAnsi="宋体" w:eastAsia="宋体" w:cs="宋体"/>
          <w:color w:val="auto"/>
          <w:kern w:val="0"/>
          <w:sz w:val="20"/>
          <w:szCs w:val="21"/>
          <w:highlight w:val="none"/>
          <w:lang w:val="zh-CN"/>
        </w:rPr>
        <w:t>3</w:t>
      </w:r>
      <w:r>
        <w:rPr>
          <w:rFonts w:hint="eastAsia" w:ascii="宋体" w:hAnsi="宋体" w:eastAsia="宋体" w:cs="宋体"/>
          <w:color w:val="auto"/>
          <w:kern w:val="0"/>
          <w:sz w:val="20"/>
          <w:szCs w:val="21"/>
          <w:highlight w:val="none"/>
        </w:rPr>
        <w:t>.</w:t>
      </w:r>
      <w:r>
        <w:rPr>
          <w:rFonts w:hint="eastAsia" w:ascii="宋体" w:hAnsi="宋体" w:eastAsia="宋体" w:cs="宋体"/>
          <w:color w:val="auto"/>
          <w:kern w:val="0"/>
          <w:sz w:val="20"/>
          <w:szCs w:val="21"/>
          <w:highlight w:val="none"/>
          <w:lang w:val="zh-CN"/>
        </w:rPr>
        <w:t>我方在此声明，所递交的响应文件及有关资料内容完整、真实和准确。</w:t>
      </w:r>
    </w:p>
    <w:p w14:paraId="04FCD5EE">
      <w:pPr>
        <w:spacing w:line="360" w:lineRule="auto"/>
        <w:ind w:firstLine="482"/>
        <w:rPr>
          <w:rFonts w:ascii="宋体" w:hAnsi="宋体" w:eastAsia="宋体" w:cs="宋体"/>
          <w:color w:val="auto"/>
          <w:kern w:val="0"/>
          <w:sz w:val="20"/>
          <w:szCs w:val="21"/>
          <w:highlight w:val="none"/>
          <w:lang w:val="zh-CN"/>
        </w:rPr>
      </w:pPr>
      <w:r>
        <w:rPr>
          <w:rFonts w:hint="eastAsia" w:ascii="宋体" w:hAnsi="宋体" w:eastAsia="宋体" w:cs="宋体"/>
          <w:color w:val="auto"/>
          <w:kern w:val="0"/>
          <w:sz w:val="20"/>
          <w:szCs w:val="21"/>
          <w:highlight w:val="none"/>
          <w:lang w:val="zh-CN"/>
        </w:rPr>
        <w:t>4</w:t>
      </w:r>
      <w:r>
        <w:rPr>
          <w:rFonts w:hint="eastAsia" w:ascii="宋体" w:hAnsi="宋体" w:eastAsia="宋体" w:cs="宋体"/>
          <w:color w:val="auto"/>
          <w:kern w:val="0"/>
          <w:sz w:val="20"/>
          <w:szCs w:val="21"/>
          <w:highlight w:val="none"/>
        </w:rPr>
        <w:t>.</w:t>
      </w:r>
      <w:r>
        <w:rPr>
          <w:rFonts w:hint="eastAsia" w:ascii="宋体" w:hAnsi="宋体" w:eastAsia="宋体" w:cs="宋体"/>
          <w:color w:val="auto"/>
          <w:kern w:val="0"/>
          <w:sz w:val="20"/>
          <w:szCs w:val="21"/>
          <w:highlight w:val="none"/>
          <w:lang w:val="zh-CN"/>
        </w:rPr>
        <w:t>如本项目采购内容涉及须符合国家强制规定的，我方承诺我方本次竞标均符合国家有关强制规定。</w:t>
      </w:r>
    </w:p>
    <w:p w14:paraId="0F869A6F">
      <w:pPr>
        <w:spacing w:line="360" w:lineRule="auto"/>
        <w:ind w:firstLine="482"/>
        <w:rPr>
          <w:rFonts w:ascii="宋体" w:hAnsi="宋体" w:eastAsia="宋体" w:cs="宋体"/>
          <w:color w:val="auto"/>
          <w:kern w:val="0"/>
          <w:sz w:val="20"/>
          <w:szCs w:val="21"/>
          <w:highlight w:val="none"/>
          <w:lang w:val="zh-CN"/>
        </w:rPr>
      </w:pPr>
      <w:r>
        <w:rPr>
          <w:rFonts w:hint="eastAsia" w:ascii="宋体" w:hAnsi="宋体" w:eastAsia="宋体" w:cs="宋体"/>
          <w:color w:val="auto"/>
          <w:kern w:val="0"/>
          <w:sz w:val="20"/>
          <w:szCs w:val="21"/>
          <w:highlight w:val="none"/>
          <w:lang w:val="zh-CN"/>
        </w:rPr>
        <w:t>5</w:t>
      </w:r>
      <w:r>
        <w:rPr>
          <w:rFonts w:hint="eastAsia" w:ascii="宋体" w:hAnsi="宋体" w:eastAsia="宋体" w:cs="宋体"/>
          <w:color w:val="auto"/>
          <w:kern w:val="0"/>
          <w:sz w:val="20"/>
          <w:szCs w:val="21"/>
          <w:highlight w:val="none"/>
        </w:rPr>
        <w:t>.</w:t>
      </w:r>
      <w:r>
        <w:rPr>
          <w:rFonts w:hint="eastAsia" w:ascii="宋体" w:hAnsi="宋体" w:eastAsia="宋体" w:cs="宋体"/>
          <w:color w:val="auto"/>
          <w:kern w:val="0"/>
          <w:sz w:val="20"/>
          <w:szCs w:val="21"/>
          <w:highlight w:val="none"/>
          <w:lang w:val="zh-CN"/>
        </w:rPr>
        <w:t>如我方成交，我方承诺在收到成交通知书后，在成交通知书规定的期限内，根据竞争性谈判文件、我方的响应文件及有关澄清承诺书的要求按第六章“合同文本”与采购人订立书面合同，并按照合同约定承担完成合同的责任和义务。</w:t>
      </w:r>
    </w:p>
    <w:p w14:paraId="0CA527E9">
      <w:pPr>
        <w:spacing w:line="360" w:lineRule="auto"/>
        <w:ind w:firstLine="482"/>
        <w:rPr>
          <w:rFonts w:ascii="宋体" w:hAnsi="宋体" w:eastAsia="宋体" w:cs="宋体"/>
          <w:color w:val="auto"/>
          <w:kern w:val="0"/>
          <w:sz w:val="20"/>
          <w:szCs w:val="21"/>
          <w:highlight w:val="none"/>
          <w:lang w:val="zh-CN"/>
        </w:rPr>
      </w:pPr>
      <w:r>
        <w:rPr>
          <w:rFonts w:hint="eastAsia" w:ascii="宋体" w:hAnsi="宋体" w:eastAsia="宋体" w:cs="宋体"/>
          <w:color w:val="auto"/>
          <w:kern w:val="0"/>
          <w:sz w:val="20"/>
          <w:szCs w:val="21"/>
          <w:highlight w:val="none"/>
          <w:lang w:val="zh-CN"/>
        </w:rPr>
        <w:t>6</w:t>
      </w:r>
      <w:r>
        <w:rPr>
          <w:rFonts w:hint="eastAsia" w:ascii="宋体" w:hAnsi="宋体" w:eastAsia="宋体" w:cs="宋体"/>
          <w:color w:val="auto"/>
          <w:kern w:val="0"/>
          <w:sz w:val="20"/>
          <w:szCs w:val="21"/>
          <w:highlight w:val="none"/>
        </w:rPr>
        <w:t>.</w:t>
      </w:r>
      <w:r>
        <w:rPr>
          <w:rFonts w:hint="eastAsia" w:ascii="宋体" w:hAnsi="宋体" w:eastAsia="宋体" w:cs="宋体"/>
          <w:color w:val="auto"/>
          <w:kern w:val="0"/>
          <w:sz w:val="20"/>
          <w:szCs w:val="21"/>
          <w:highlight w:val="none"/>
          <w:lang w:val="zh-CN"/>
        </w:rPr>
        <w:t>我方已详细审核竞争性谈判文件，我方知道必须放弃提出含糊不清或误解问题的权利。</w:t>
      </w:r>
    </w:p>
    <w:p w14:paraId="51686AE4">
      <w:pPr>
        <w:spacing w:line="360" w:lineRule="auto"/>
        <w:ind w:firstLine="482"/>
        <w:rPr>
          <w:rFonts w:ascii="宋体" w:hAnsi="宋体" w:eastAsia="宋体" w:cs="宋体"/>
          <w:color w:val="auto"/>
          <w:kern w:val="0"/>
          <w:sz w:val="20"/>
          <w:szCs w:val="21"/>
          <w:highlight w:val="none"/>
          <w:lang w:val="zh-CN"/>
        </w:rPr>
      </w:pPr>
      <w:r>
        <w:rPr>
          <w:rFonts w:hint="eastAsia" w:ascii="宋体" w:hAnsi="宋体" w:eastAsia="宋体" w:cs="宋体"/>
          <w:color w:val="auto"/>
          <w:kern w:val="0"/>
          <w:sz w:val="20"/>
          <w:szCs w:val="21"/>
          <w:highlight w:val="none"/>
          <w:lang w:val="zh-CN"/>
        </w:rPr>
        <w:t>7</w:t>
      </w:r>
      <w:r>
        <w:rPr>
          <w:rFonts w:hint="eastAsia" w:ascii="宋体" w:hAnsi="宋体" w:eastAsia="宋体" w:cs="宋体"/>
          <w:color w:val="auto"/>
          <w:kern w:val="0"/>
          <w:sz w:val="20"/>
          <w:szCs w:val="21"/>
          <w:highlight w:val="none"/>
        </w:rPr>
        <w:t>.</w:t>
      </w:r>
      <w:r>
        <w:rPr>
          <w:rFonts w:hint="eastAsia" w:ascii="宋体" w:hAnsi="宋体" w:eastAsia="宋体" w:cs="宋体"/>
          <w:color w:val="auto"/>
          <w:kern w:val="0"/>
          <w:sz w:val="20"/>
          <w:szCs w:val="21"/>
          <w:highlight w:val="none"/>
          <w:lang w:val="zh-CN"/>
        </w:rPr>
        <w:t>我方承诺满足竞争性谈判文件第六章“合同文本”的条款，承担完成合同的责任和义务。</w:t>
      </w:r>
    </w:p>
    <w:p w14:paraId="41126CA6">
      <w:pPr>
        <w:spacing w:line="360" w:lineRule="auto"/>
        <w:ind w:firstLine="482"/>
        <w:rPr>
          <w:rFonts w:ascii="宋体" w:hAnsi="宋体" w:eastAsia="宋体" w:cs="宋体"/>
          <w:color w:val="auto"/>
          <w:kern w:val="0"/>
          <w:sz w:val="20"/>
          <w:szCs w:val="21"/>
          <w:highlight w:val="none"/>
          <w:lang w:val="zh-CN"/>
        </w:rPr>
      </w:pPr>
      <w:r>
        <w:rPr>
          <w:rFonts w:hint="eastAsia" w:ascii="宋体" w:hAnsi="宋体" w:eastAsia="宋体" w:cs="宋体"/>
          <w:color w:val="auto"/>
          <w:kern w:val="0"/>
          <w:sz w:val="20"/>
          <w:szCs w:val="21"/>
          <w:highlight w:val="none"/>
          <w:lang w:val="zh-CN"/>
        </w:rPr>
        <w:t>8</w:t>
      </w:r>
      <w:r>
        <w:rPr>
          <w:rFonts w:hint="eastAsia" w:ascii="宋体" w:hAnsi="宋体" w:eastAsia="宋体" w:cs="宋体"/>
          <w:color w:val="auto"/>
          <w:kern w:val="0"/>
          <w:sz w:val="20"/>
          <w:szCs w:val="21"/>
          <w:highlight w:val="none"/>
        </w:rPr>
        <w:t>.</w:t>
      </w:r>
      <w:r>
        <w:rPr>
          <w:rFonts w:hint="eastAsia" w:ascii="宋体" w:hAnsi="宋体" w:eastAsia="宋体" w:cs="宋体"/>
          <w:color w:val="auto"/>
          <w:kern w:val="0"/>
          <w:sz w:val="20"/>
          <w:szCs w:val="21"/>
          <w:highlight w:val="none"/>
          <w:lang w:val="zh-CN"/>
        </w:rPr>
        <w:t>我方同意应贵方要求提供与本竞标有关的任何数据或资料。若贵方需要，我方愿意提供我方作出的一切承诺的证明材料。</w:t>
      </w:r>
    </w:p>
    <w:p w14:paraId="300E4EF1">
      <w:pPr>
        <w:spacing w:line="360" w:lineRule="auto"/>
        <w:ind w:firstLine="482"/>
        <w:rPr>
          <w:rFonts w:ascii="宋体" w:hAnsi="宋体" w:eastAsia="宋体" w:cs="宋体"/>
          <w:color w:val="auto"/>
          <w:kern w:val="0"/>
          <w:sz w:val="20"/>
          <w:szCs w:val="21"/>
          <w:highlight w:val="none"/>
          <w:lang w:val="zh-CN"/>
        </w:rPr>
      </w:pPr>
      <w:r>
        <w:rPr>
          <w:rFonts w:hint="eastAsia" w:ascii="宋体" w:hAnsi="宋体" w:eastAsia="宋体" w:cs="宋体"/>
          <w:color w:val="auto"/>
          <w:kern w:val="0"/>
          <w:sz w:val="20"/>
          <w:szCs w:val="21"/>
          <w:highlight w:val="none"/>
          <w:lang w:val="zh-CN"/>
        </w:rPr>
        <w:t>9</w:t>
      </w:r>
      <w:r>
        <w:rPr>
          <w:rFonts w:hint="eastAsia" w:ascii="宋体" w:hAnsi="宋体" w:eastAsia="宋体" w:cs="宋体"/>
          <w:color w:val="auto"/>
          <w:kern w:val="0"/>
          <w:sz w:val="20"/>
          <w:szCs w:val="21"/>
          <w:highlight w:val="none"/>
        </w:rPr>
        <w:t>.</w:t>
      </w:r>
      <w:r>
        <w:rPr>
          <w:rFonts w:hint="eastAsia" w:ascii="宋体" w:hAnsi="宋体" w:eastAsia="宋体" w:cs="宋体"/>
          <w:color w:val="auto"/>
          <w:kern w:val="0"/>
          <w:sz w:val="20"/>
          <w:szCs w:val="21"/>
          <w:highlight w:val="none"/>
          <w:lang w:val="zh-CN"/>
        </w:rPr>
        <w:t>我方完全理解贵方不一定接受响应报价最低的供应商为成交供应商的行为。</w:t>
      </w:r>
    </w:p>
    <w:p w14:paraId="39D37471">
      <w:pPr>
        <w:spacing w:line="360" w:lineRule="auto"/>
        <w:ind w:firstLine="482"/>
        <w:rPr>
          <w:rFonts w:ascii="宋体" w:hAnsi="宋体" w:eastAsia="宋体" w:cs="宋体"/>
          <w:color w:val="auto"/>
          <w:kern w:val="0"/>
          <w:sz w:val="20"/>
          <w:szCs w:val="21"/>
          <w:highlight w:val="none"/>
          <w:lang w:val="zh-CN"/>
        </w:rPr>
      </w:pPr>
      <w:r>
        <w:rPr>
          <w:rFonts w:hint="eastAsia" w:ascii="宋体" w:hAnsi="宋体" w:eastAsia="宋体" w:cs="宋体"/>
          <w:color w:val="auto"/>
          <w:kern w:val="0"/>
          <w:sz w:val="20"/>
          <w:szCs w:val="21"/>
          <w:highlight w:val="none"/>
          <w:lang w:val="zh-CN"/>
        </w:rPr>
        <w:t>10</w:t>
      </w:r>
      <w:r>
        <w:rPr>
          <w:rFonts w:hint="eastAsia" w:ascii="宋体" w:hAnsi="宋体" w:eastAsia="宋体" w:cs="宋体"/>
          <w:color w:val="auto"/>
          <w:kern w:val="0"/>
          <w:sz w:val="20"/>
          <w:szCs w:val="21"/>
          <w:highlight w:val="none"/>
        </w:rPr>
        <w:t>.</w:t>
      </w:r>
      <w:r>
        <w:rPr>
          <w:rFonts w:hint="eastAsia" w:ascii="宋体" w:hAnsi="宋体" w:eastAsia="宋体" w:cs="宋体"/>
          <w:color w:val="auto"/>
          <w:kern w:val="0"/>
          <w:sz w:val="20"/>
          <w:szCs w:val="21"/>
          <w:highlight w:val="none"/>
          <w:lang w:val="zh-CN"/>
        </w:rPr>
        <w:t>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68B96BB1">
      <w:pPr>
        <w:numPr>
          <w:ilvl w:val="0"/>
          <w:numId w:val="1"/>
        </w:numPr>
        <w:tabs>
          <w:tab w:val="left" w:pos="945"/>
        </w:tabs>
        <w:spacing w:line="360" w:lineRule="auto"/>
        <w:rPr>
          <w:rFonts w:ascii="宋体" w:hAnsi="宋体" w:eastAsia="宋体" w:cs="宋体"/>
          <w:color w:val="auto"/>
          <w:kern w:val="0"/>
          <w:sz w:val="20"/>
          <w:szCs w:val="21"/>
          <w:highlight w:val="none"/>
          <w:lang w:val="zh-CN"/>
        </w:rPr>
      </w:pPr>
      <w:r>
        <w:rPr>
          <w:rFonts w:hint="eastAsia" w:ascii="宋体" w:hAnsi="宋体" w:eastAsia="宋体" w:cs="宋体"/>
          <w:color w:val="auto"/>
          <w:kern w:val="0"/>
          <w:sz w:val="20"/>
          <w:szCs w:val="21"/>
          <w:highlight w:val="none"/>
          <w:lang w:val="zh-CN"/>
        </w:rPr>
        <w:t>提供虚假材料谋取中标、成交的；</w:t>
      </w:r>
    </w:p>
    <w:p w14:paraId="5DA96F59">
      <w:pPr>
        <w:numPr>
          <w:ilvl w:val="0"/>
          <w:numId w:val="1"/>
        </w:numPr>
        <w:tabs>
          <w:tab w:val="left" w:pos="945"/>
        </w:tabs>
        <w:spacing w:line="360" w:lineRule="auto"/>
        <w:rPr>
          <w:rFonts w:ascii="宋体" w:hAnsi="宋体" w:eastAsia="宋体" w:cs="宋体"/>
          <w:color w:val="auto"/>
          <w:kern w:val="0"/>
          <w:sz w:val="20"/>
          <w:szCs w:val="21"/>
          <w:highlight w:val="none"/>
          <w:lang w:val="zh-CN"/>
        </w:rPr>
      </w:pPr>
      <w:r>
        <w:rPr>
          <w:rFonts w:hint="eastAsia" w:ascii="宋体" w:hAnsi="宋体" w:eastAsia="宋体" w:cs="宋体"/>
          <w:color w:val="auto"/>
          <w:kern w:val="0"/>
          <w:sz w:val="20"/>
          <w:szCs w:val="21"/>
          <w:highlight w:val="none"/>
          <w:lang w:val="zh-CN"/>
        </w:rPr>
        <w:t>采取不正当手段诋毁、排挤其他供应商的；</w:t>
      </w:r>
    </w:p>
    <w:p w14:paraId="4A6BB7C9">
      <w:pPr>
        <w:numPr>
          <w:ilvl w:val="0"/>
          <w:numId w:val="1"/>
        </w:numPr>
        <w:tabs>
          <w:tab w:val="left" w:pos="945"/>
        </w:tabs>
        <w:spacing w:line="360" w:lineRule="auto"/>
        <w:rPr>
          <w:rFonts w:ascii="宋体" w:hAnsi="宋体" w:eastAsia="宋体" w:cs="宋体"/>
          <w:color w:val="auto"/>
          <w:kern w:val="0"/>
          <w:sz w:val="20"/>
          <w:szCs w:val="20"/>
          <w:highlight w:val="none"/>
          <w:lang w:val="zh-CN"/>
        </w:rPr>
      </w:pPr>
      <w:r>
        <w:rPr>
          <w:rFonts w:hint="eastAsia" w:ascii="宋体" w:hAnsi="宋体" w:eastAsia="宋体" w:cs="宋体"/>
          <w:color w:val="auto"/>
          <w:kern w:val="0"/>
          <w:sz w:val="20"/>
          <w:szCs w:val="20"/>
          <w:highlight w:val="none"/>
          <w:lang w:val="zh-CN"/>
        </w:rPr>
        <w:t>与采购人、其他供应商或者采购代理机构恶意串通的；</w:t>
      </w:r>
    </w:p>
    <w:p w14:paraId="66AE8223">
      <w:pPr>
        <w:numPr>
          <w:ilvl w:val="0"/>
          <w:numId w:val="1"/>
        </w:numPr>
        <w:tabs>
          <w:tab w:val="left" w:pos="945"/>
        </w:tabs>
        <w:spacing w:line="360" w:lineRule="auto"/>
        <w:rPr>
          <w:rFonts w:ascii="宋体" w:hAnsi="宋体" w:eastAsia="宋体" w:cs="宋体"/>
          <w:color w:val="auto"/>
          <w:kern w:val="0"/>
          <w:sz w:val="20"/>
          <w:szCs w:val="20"/>
          <w:highlight w:val="none"/>
          <w:lang w:val="zh-CN"/>
        </w:rPr>
      </w:pPr>
      <w:r>
        <w:rPr>
          <w:rFonts w:hint="eastAsia" w:ascii="宋体" w:hAnsi="宋体" w:eastAsia="宋体" w:cs="宋体"/>
          <w:color w:val="auto"/>
          <w:kern w:val="0"/>
          <w:sz w:val="20"/>
          <w:szCs w:val="20"/>
          <w:highlight w:val="none"/>
          <w:lang w:val="zh-CN"/>
        </w:rPr>
        <w:t>向采购人、采购代理机构行贿或者提供其他不正当利益的；</w:t>
      </w:r>
    </w:p>
    <w:p w14:paraId="70C36E2B">
      <w:pPr>
        <w:numPr>
          <w:ilvl w:val="0"/>
          <w:numId w:val="1"/>
        </w:numPr>
        <w:tabs>
          <w:tab w:val="left" w:pos="945"/>
        </w:tabs>
        <w:spacing w:line="360" w:lineRule="auto"/>
        <w:rPr>
          <w:rFonts w:ascii="宋体" w:hAnsi="宋体" w:eastAsia="宋体" w:cs="宋体"/>
          <w:color w:val="auto"/>
          <w:kern w:val="0"/>
          <w:sz w:val="20"/>
          <w:szCs w:val="20"/>
          <w:highlight w:val="none"/>
          <w:lang w:val="zh-CN"/>
        </w:rPr>
      </w:pPr>
      <w:r>
        <w:rPr>
          <w:rFonts w:hint="eastAsia" w:ascii="宋体" w:hAnsi="宋体" w:eastAsia="宋体" w:cs="宋体"/>
          <w:color w:val="auto"/>
          <w:kern w:val="0"/>
          <w:sz w:val="20"/>
          <w:szCs w:val="20"/>
          <w:highlight w:val="none"/>
          <w:lang w:val="zh-CN"/>
        </w:rPr>
        <w:t>在采购过程中与采购人进行协商谈判的；</w:t>
      </w:r>
    </w:p>
    <w:p w14:paraId="5FF37584">
      <w:pPr>
        <w:numPr>
          <w:ilvl w:val="0"/>
          <w:numId w:val="1"/>
        </w:numPr>
        <w:tabs>
          <w:tab w:val="left" w:pos="945"/>
        </w:tabs>
        <w:spacing w:line="360" w:lineRule="auto"/>
        <w:rPr>
          <w:rFonts w:ascii="宋体" w:hAnsi="宋体" w:eastAsia="宋体" w:cs="宋体"/>
          <w:color w:val="auto"/>
          <w:kern w:val="0"/>
          <w:sz w:val="20"/>
          <w:szCs w:val="20"/>
          <w:highlight w:val="none"/>
          <w:lang w:val="zh-CN"/>
        </w:rPr>
      </w:pPr>
      <w:r>
        <w:rPr>
          <w:rFonts w:hint="eastAsia" w:ascii="宋体" w:hAnsi="宋体" w:eastAsia="宋体" w:cs="宋体"/>
          <w:color w:val="auto"/>
          <w:kern w:val="0"/>
          <w:sz w:val="20"/>
          <w:szCs w:val="20"/>
          <w:highlight w:val="none"/>
          <w:lang w:val="zh-CN"/>
        </w:rPr>
        <w:t>拒绝有关部门监督检查或提供虚假情况的。</w:t>
      </w:r>
    </w:p>
    <w:p w14:paraId="38F091AE">
      <w:pPr>
        <w:spacing w:line="360" w:lineRule="auto"/>
        <w:ind w:firstLine="420"/>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11.</w:t>
      </w:r>
      <w:r>
        <w:rPr>
          <w:rFonts w:hint="eastAsia" w:eastAsia="宋体" w:cs="Times New Roman"/>
          <w:color w:val="auto"/>
          <w:highlight w:val="none"/>
        </w:rPr>
        <w:t>以上事项如有虚假或</w:t>
      </w:r>
      <w:r>
        <w:rPr>
          <w:rFonts w:hint="eastAsia" w:cs="Times New Roman"/>
          <w:color w:val="auto"/>
          <w:highlight w:val="none"/>
        </w:rPr>
        <w:t>者</w:t>
      </w:r>
      <w:r>
        <w:rPr>
          <w:rFonts w:hint="eastAsia" w:eastAsia="宋体" w:cs="Times New Roman"/>
          <w:color w:val="auto"/>
          <w:highlight w:val="none"/>
        </w:rPr>
        <w:t>隐瞒，我方愿意承担一切后果，并不再寻求任何旨在减轻或</w:t>
      </w:r>
      <w:r>
        <w:rPr>
          <w:rFonts w:hint="eastAsia" w:cs="Times New Roman"/>
          <w:color w:val="auto"/>
          <w:highlight w:val="none"/>
        </w:rPr>
        <w:t>者</w:t>
      </w:r>
      <w:r>
        <w:rPr>
          <w:rFonts w:hint="eastAsia" w:eastAsia="宋体" w:cs="Times New Roman"/>
          <w:color w:val="auto"/>
          <w:highlight w:val="none"/>
        </w:rPr>
        <w:t>免除法律责任的辩解。</w:t>
      </w:r>
    </w:p>
    <w:p w14:paraId="77439471">
      <w:pPr>
        <w:spacing w:line="360" w:lineRule="auto"/>
        <w:ind w:firstLine="420"/>
        <w:rPr>
          <w:rFonts w:ascii="宋体" w:hAnsi="宋体" w:eastAsia="宋体" w:cs="宋体"/>
          <w:color w:val="auto"/>
          <w:kern w:val="0"/>
          <w:sz w:val="20"/>
          <w:szCs w:val="20"/>
          <w:highlight w:val="none"/>
          <w:lang w:val="zh-CN"/>
        </w:rPr>
      </w:pPr>
      <w:r>
        <w:rPr>
          <w:rFonts w:hint="eastAsia" w:ascii="宋体" w:hAnsi="宋体" w:eastAsia="宋体" w:cs="宋体"/>
          <w:color w:val="auto"/>
          <w:kern w:val="0"/>
          <w:sz w:val="20"/>
          <w:szCs w:val="20"/>
          <w:highlight w:val="none"/>
          <w:lang w:val="zh-CN"/>
        </w:rPr>
        <w:t>1</w:t>
      </w:r>
      <w:r>
        <w:rPr>
          <w:rFonts w:hint="eastAsia" w:ascii="宋体" w:hAnsi="宋体" w:eastAsia="宋体" w:cs="宋体"/>
          <w:color w:val="auto"/>
          <w:kern w:val="0"/>
          <w:sz w:val="20"/>
          <w:szCs w:val="20"/>
          <w:highlight w:val="none"/>
        </w:rPr>
        <w:t>2.</w:t>
      </w:r>
      <w:r>
        <w:rPr>
          <w:rFonts w:hint="eastAsia" w:ascii="宋体" w:hAnsi="宋体" w:eastAsia="宋体" w:cs="宋体"/>
          <w:color w:val="auto"/>
          <w:kern w:val="0"/>
          <w:sz w:val="20"/>
          <w:szCs w:val="20"/>
          <w:highlight w:val="none"/>
          <w:lang w:val="zh-CN"/>
        </w:rPr>
        <w:t>与本谈判有关的一切正式往来信函请寄：</w:t>
      </w:r>
    </w:p>
    <w:p w14:paraId="2DEC2AD0">
      <w:pPr>
        <w:spacing w:line="360" w:lineRule="auto"/>
        <w:ind w:firstLine="420"/>
        <w:rPr>
          <w:rFonts w:ascii="宋体" w:hAnsi="宋体" w:eastAsia="宋体" w:cs="宋体"/>
          <w:color w:val="auto"/>
          <w:kern w:val="0"/>
          <w:sz w:val="20"/>
          <w:szCs w:val="21"/>
          <w:highlight w:val="none"/>
          <w:lang w:val="zh-CN"/>
        </w:rPr>
      </w:pPr>
      <w:r>
        <w:rPr>
          <w:rFonts w:hint="eastAsia" w:ascii="宋体" w:hAnsi="宋体" w:eastAsia="宋体" w:cs="宋体"/>
          <w:color w:val="auto"/>
          <w:kern w:val="0"/>
          <w:sz w:val="20"/>
          <w:szCs w:val="21"/>
          <w:highlight w:val="none"/>
          <w:lang w:val="zh-CN"/>
        </w:rPr>
        <w:t>地址：</w:t>
      </w:r>
      <w:r>
        <w:rPr>
          <w:rFonts w:hint="eastAsia" w:ascii="宋体" w:hAnsi="宋体" w:eastAsia="宋体" w:cs="宋体"/>
          <w:color w:val="auto"/>
          <w:kern w:val="0"/>
          <w:sz w:val="20"/>
          <w:szCs w:val="21"/>
          <w:highlight w:val="none"/>
          <w:u w:val="single"/>
          <w:lang w:val="zh-CN"/>
        </w:rPr>
        <w:t xml:space="preserve">                                                        </w:t>
      </w:r>
      <w:r>
        <w:rPr>
          <w:rFonts w:hint="eastAsia" w:ascii="宋体" w:hAnsi="宋体" w:eastAsia="宋体" w:cs="宋体"/>
          <w:color w:val="auto"/>
          <w:kern w:val="0"/>
          <w:sz w:val="20"/>
          <w:szCs w:val="21"/>
          <w:highlight w:val="none"/>
          <w:lang w:val="zh-CN"/>
        </w:rPr>
        <w:t xml:space="preserve"> </w:t>
      </w:r>
    </w:p>
    <w:p w14:paraId="6C62FF93">
      <w:pPr>
        <w:spacing w:line="360" w:lineRule="auto"/>
        <w:ind w:firstLine="420"/>
        <w:rPr>
          <w:rFonts w:ascii="宋体" w:hAnsi="宋体" w:eastAsia="宋体" w:cs="宋体"/>
          <w:color w:val="auto"/>
          <w:kern w:val="0"/>
          <w:sz w:val="20"/>
          <w:szCs w:val="21"/>
          <w:highlight w:val="none"/>
          <w:u w:val="single"/>
          <w:lang w:val="zh-CN"/>
        </w:rPr>
      </w:pPr>
      <w:r>
        <w:rPr>
          <w:rFonts w:hint="eastAsia" w:ascii="宋体" w:hAnsi="宋体" w:eastAsia="宋体" w:cs="宋体"/>
          <w:color w:val="auto"/>
          <w:kern w:val="0"/>
          <w:sz w:val="20"/>
          <w:szCs w:val="21"/>
          <w:highlight w:val="none"/>
          <w:lang w:val="zh-CN"/>
        </w:rPr>
        <w:t>电话：</w:t>
      </w:r>
      <w:r>
        <w:rPr>
          <w:rFonts w:hint="eastAsia" w:ascii="宋体" w:hAnsi="宋体" w:eastAsia="宋体" w:cs="宋体"/>
          <w:color w:val="auto"/>
          <w:kern w:val="0"/>
          <w:sz w:val="20"/>
          <w:szCs w:val="21"/>
          <w:highlight w:val="none"/>
          <w:u w:val="single"/>
          <w:lang w:val="zh-CN"/>
        </w:rPr>
        <w:t xml:space="preserve">                                      　　　　　　　　　</w:t>
      </w:r>
    </w:p>
    <w:p w14:paraId="1F123BAF">
      <w:pPr>
        <w:spacing w:line="360" w:lineRule="auto"/>
        <w:ind w:firstLine="420"/>
        <w:rPr>
          <w:rFonts w:ascii="宋体" w:hAnsi="宋体" w:eastAsia="宋体" w:cs="宋体"/>
          <w:color w:val="auto"/>
          <w:kern w:val="0"/>
          <w:sz w:val="20"/>
          <w:szCs w:val="21"/>
          <w:highlight w:val="none"/>
          <w:u w:val="single"/>
          <w:lang w:val="zh-CN"/>
        </w:rPr>
      </w:pPr>
      <w:r>
        <w:rPr>
          <w:rFonts w:hint="eastAsia" w:ascii="宋体" w:hAnsi="宋体" w:eastAsia="宋体" w:cs="宋体"/>
          <w:color w:val="auto"/>
          <w:kern w:val="0"/>
          <w:sz w:val="20"/>
          <w:szCs w:val="21"/>
          <w:highlight w:val="none"/>
          <w:lang w:val="zh-CN"/>
        </w:rPr>
        <w:t>传真：</w:t>
      </w:r>
      <w:r>
        <w:rPr>
          <w:rFonts w:hint="eastAsia" w:ascii="宋体" w:hAnsi="宋体" w:eastAsia="宋体" w:cs="宋体"/>
          <w:color w:val="auto"/>
          <w:kern w:val="0"/>
          <w:sz w:val="20"/>
          <w:szCs w:val="21"/>
          <w:highlight w:val="none"/>
          <w:u w:val="single"/>
          <w:lang w:val="zh-CN"/>
        </w:rPr>
        <w:t>　　　　　　　　　　　　　　　　　　　　　　　　　　　　</w:t>
      </w:r>
    </w:p>
    <w:p w14:paraId="5C75B97B">
      <w:pPr>
        <w:spacing w:line="360" w:lineRule="auto"/>
        <w:ind w:firstLine="420"/>
        <w:rPr>
          <w:rFonts w:ascii="宋体" w:hAnsi="宋体" w:eastAsia="宋体" w:cs="宋体"/>
          <w:color w:val="auto"/>
          <w:highlight w:val="none"/>
          <w:lang w:val="zh-CN"/>
        </w:rPr>
      </w:pPr>
      <w:r>
        <w:rPr>
          <w:rFonts w:hint="eastAsia" w:ascii="宋体" w:hAnsi="宋体" w:eastAsia="宋体" w:cs="宋体"/>
          <w:color w:val="auto"/>
          <w:kern w:val="0"/>
          <w:sz w:val="20"/>
          <w:szCs w:val="20"/>
          <w:highlight w:val="none"/>
          <w:lang w:val="zh-CN"/>
        </w:rPr>
        <w:t>电子邮箱</w:t>
      </w:r>
      <w:r>
        <w:rPr>
          <w:rFonts w:hint="eastAsia" w:ascii="宋体" w:hAnsi="宋体" w:eastAsia="宋体" w:cs="宋体"/>
          <w:color w:val="auto"/>
          <w:highlight w:val="none"/>
          <w:lang w:val="zh-CN"/>
        </w:rPr>
        <w:t>：</w:t>
      </w:r>
      <w:r>
        <w:rPr>
          <w:rFonts w:hint="eastAsia" w:ascii="宋体" w:hAnsi="宋体" w:eastAsia="宋体" w:cs="宋体"/>
          <w:color w:val="auto"/>
          <w:kern w:val="0"/>
          <w:sz w:val="20"/>
          <w:szCs w:val="21"/>
          <w:highlight w:val="none"/>
          <w:u w:val="single"/>
          <w:lang w:val="zh-CN"/>
        </w:rPr>
        <w:t>　　　　　　　　　　　　　　　　　　　　　　　　　　</w:t>
      </w:r>
    </w:p>
    <w:p w14:paraId="1C2E4C6F">
      <w:pPr>
        <w:spacing w:line="360" w:lineRule="auto"/>
        <w:ind w:firstLine="420"/>
        <w:rPr>
          <w:rFonts w:ascii="宋体" w:hAnsi="宋体" w:eastAsia="宋体" w:cs="宋体"/>
          <w:color w:val="auto"/>
          <w:kern w:val="0"/>
          <w:sz w:val="20"/>
          <w:szCs w:val="21"/>
          <w:highlight w:val="none"/>
          <w:u w:val="single"/>
          <w:lang w:val="zh-CN"/>
        </w:rPr>
      </w:pPr>
      <w:r>
        <w:rPr>
          <w:rFonts w:hint="eastAsia" w:ascii="宋体" w:hAnsi="宋体" w:eastAsia="宋体" w:cs="宋体"/>
          <w:color w:val="auto"/>
          <w:kern w:val="0"/>
          <w:sz w:val="20"/>
          <w:szCs w:val="21"/>
          <w:highlight w:val="none"/>
          <w:lang w:val="zh-CN"/>
        </w:rPr>
        <w:t>邮政编码：</w:t>
      </w:r>
      <w:r>
        <w:rPr>
          <w:rFonts w:hint="eastAsia" w:ascii="宋体" w:hAnsi="宋体" w:eastAsia="宋体" w:cs="宋体"/>
          <w:color w:val="auto"/>
          <w:kern w:val="0"/>
          <w:sz w:val="20"/>
          <w:szCs w:val="21"/>
          <w:highlight w:val="none"/>
          <w:u w:val="single"/>
          <w:lang w:val="zh-CN"/>
        </w:rPr>
        <w:t xml:space="preserve">                                                    </w:t>
      </w:r>
    </w:p>
    <w:p w14:paraId="2E850C30">
      <w:pPr>
        <w:spacing w:line="360" w:lineRule="auto"/>
        <w:ind w:firstLine="420"/>
        <w:rPr>
          <w:rFonts w:ascii="宋体" w:hAnsi="宋体" w:eastAsia="宋体" w:cs="宋体"/>
          <w:color w:val="auto"/>
          <w:kern w:val="0"/>
          <w:sz w:val="20"/>
          <w:szCs w:val="21"/>
          <w:highlight w:val="none"/>
          <w:u w:val="single"/>
          <w:lang w:val="zh-CN"/>
        </w:rPr>
      </w:pPr>
      <w:r>
        <w:rPr>
          <w:rFonts w:hint="eastAsia" w:ascii="宋体" w:hAnsi="宋体" w:eastAsia="宋体" w:cs="宋体"/>
          <w:color w:val="auto"/>
          <w:kern w:val="0"/>
          <w:sz w:val="20"/>
          <w:szCs w:val="21"/>
          <w:highlight w:val="none"/>
          <w:lang w:val="zh-CN"/>
        </w:rPr>
        <w:t>开户名称：</w:t>
      </w:r>
      <w:r>
        <w:rPr>
          <w:rFonts w:hint="eastAsia" w:ascii="宋体" w:hAnsi="宋体" w:eastAsia="宋体" w:cs="宋体"/>
          <w:color w:val="auto"/>
          <w:kern w:val="0"/>
          <w:sz w:val="20"/>
          <w:szCs w:val="21"/>
          <w:highlight w:val="none"/>
          <w:u w:val="single"/>
          <w:lang w:val="zh-CN"/>
        </w:rPr>
        <w:t xml:space="preserve">                                                    </w:t>
      </w:r>
    </w:p>
    <w:p w14:paraId="607032F5">
      <w:pPr>
        <w:spacing w:line="360" w:lineRule="auto"/>
        <w:ind w:firstLine="420"/>
        <w:rPr>
          <w:rFonts w:ascii="宋体" w:hAnsi="宋体" w:eastAsia="宋体" w:cs="宋体"/>
          <w:color w:val="auto"/>
          <w:kern w:val="0"/>
          <w:sz w:val="20"/>
          <w:szCs w:val="21"/>
          <w:highlight w:val="none"/>
          <w:u w:val="single"/>
          <w:lang w:val="zh-CN"/>
        </w:rPr>
      </w:pPr>
      <w:r>
        <w:rPr>
          <w:rFonts w:hint="eastAsia" w:ascii="宋体" w:hAnsi="宋体" w:eastAsia="宋体" w:cs="宋体"/>
          <w:color w:val="auto"/>
          <w:kern w:val="0"/>
          <w:sz w:val="20"/>
          <w:szCs w:val="21"/>
          <w:highlight w:val="none"/>
          <w:lang w:val="zh-CN"/>
        </w:rPr>
        <w:t>开户银行：</w:t>
      </w:r>
      <w:r>
        <w:rPr>
          <w:rFonts w:hint="eastAsia" w:ascii="宋体" w:hAnsi="宋体" w:eastAsia="宋体" w:cs="宋体"/>
          <w:color w:val="auto"/>
          <w:kern w:val="0"/>
          <w:sz w:val="20"/>
          <w:szCs w:val="21"/>
          <w:highlight w:val="none"/>
          <w:u w:val="single"/>
          <w:lang w:val="zh-CN"/>
        </w:rPr>
        <w:t xml:space="preserve">                                                    </w:t>
      </w:r>
    </w:p>
    <w:p w14:paraId="4D942419">
      <w:pPr>
        <w:spacing w:line="360" w:lineRule="auto"/>
        <w:ind w:firstLine="420"/>
        <w:rPr>
          <w:rFonts w:ascii="宋体" w:hAnsi="宋体" w:eastAsia="宋体" w:cs="宋体"/>
          <w:color w:val="auto"/>
          <w:kern w:val="0"/>
          <w:sz w:val="20"/>
          <w:szCs w:val="21"/>
          <w:highlight w:val="none"/>
          <w:u w:val="single"/>
          <w:lang w:val="zh-CN"/>
        </w:rPr>
      </w:pPr>
      <w:r>
        <w:rPr>
          <w:rFonts w:hint="eastAsia" w:ascii="宋体" w:hAnsi="宋体" w:eastAsia="宋体" w:cs="宋体"/>
          <w:color w:val="auto"/>
          <w:kern w:val="0"/>
          <w:sz w:val="20"/>
          <w:szCs w:val="21"/>
          <w:highlight w:val="none"/>
          <w:lang w:val="zh-CN"/>
        </w:rPr>
        <w:t>银行账号：</w:t>
      </w:r>
      <w:r>
        <w:rPr>
          <w:rFonts w:hint="eastAsia" w:ascii="宋体" w:hAnsi="宋体" w:eastAsia="宋体" w:cs="宋体"/>
          <w:color w:val="auto"/>
          <w:kern w:val="0"/>
          <w:sz w:val="20"/>
          <w:szCs w:val="21"/>
          <w:highlight w:val="none"/>
          <w:u w:val="single"/>
          <w:lang w:val="zh-CN"/>
        </w:rPr>
        <w:t xml:space="preserve">                                                    </w:t>
      </w:r>
    </w:p>
    <w:p w14:paraId="4B06FC83">
      <w:pPr>
        <w:tabs>
          <w:tab w:val="left" w:pos="939"/>
        </w:tabs>
        <w:spacing w:line="360" w:lineRule="auto"/>
        <w:ind w:left="141" w:leftChars="67" w:firstLine="315" w:firstLineChars="150"/>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特此承诺。</w:t>
      </w:r>
    </w:p>
    <w:p w14:paraId="47282CF9">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4D0E056D">
      <w:pPr>
        <w:ind w:firstLine="6000" w:firstLineChars="2500"/>
        <w:rPr>
          <w:rFonts w:ascii="宋体" w:hAnsi="宋体" w:eastAsia="宋体" w:cs="宋体"/>
          <w:color w:val="auto"/>
          <w:kern w:val="0"/>
          <w:sz w:val="24"/>
          <w:szCs w:val="24"/>
          <w:highlight w:val="none"/>
          <w:lang w:val="zh-CN"/>
        </w:rPr>
        <w:sectPr>
          <w:pgSz w:w="11906" w:h="16838"/>
          <w:pgMar w:top="1134" w:right="1134" w:bottom="1134" w:left="1134" w:header="720" w:footer="720" w:gutter="0"/>
          <w:cols w:space="720" w:num="1"/>
          <w:docGrid w:type="lines" w:linePitch="331" w:charSpace="0"/>
        </w:sectPr>
      </w:pPr>
      <w:r>
        <w:rPr>
          <w:rFonts w:hint="eastAsia" w:ascii="宋体" w:hAnsi="宋体" w:eastAsia="宋体" w:cs="宋体"/>
          <w:color w:val="auto"/>
          <w:kern w:val="0"/>
          <w:sz w:val="24"/>
          <w:szCs w:val="24"/>
          <w:highlight w:val="none"/>
          <w:lang w:val="zh-CN"/>
        </w:rPr>
        <w:t>日期：  年  月   日</w:t>
      </w:r>
    </w:p>
    <w:p w14:paraId="29B2A85B">
      <w:pPr>
        <w:ind w:firstLine="5250" w:firstLineChars="2500"/>
        <w:rPr>
          <w:rFonts w:ascii="Times New Roman" w:hAnsi="Times New Roman" w:eastAsia="宋体" w:cs="Times New Roman"/>
          <w:color w:val="auto"/>
          <w:szCs w:val="24"/>
          <w:highlight w:val="none"/>
        </w:rPr>
      </w:pPr>
    </w:p>
    <w:p w14:paraId="53809397">
      <w:pPr>
        <w:spacing w:line="500" w:lineRule="exact"/>
        <w:rPr>
          <w:rFonts w:ascii="仿宋" w:hAnsi="仿宋" w:eastAsia="仿宋" w:cs="仿宋_GB2312"/>
          <w:b/>
          <w:color w:val="auto"/>
          <w:sz w:val="30"/>
          <w:szCs w:val="30"/>
          <w:highlight w:val="none"/>
          <w:lang w:val="zh-CN"/>
        </w:rPr>
      </w:pPr>
      <w:r>
        <w:rPr>
          <w:rFonts w:hint="eastAsia" w:ascii="宋体" w:hAnsi="宋体" w:eastAsia="宋体" w:cs="宋体"/>
          <w:b/>
          <w:color w:val="auto"/>
          <w:sz w:val="28"/>
          <w:szCs w:val="28"/>
          <w:highlight w:val="none"/>
        </w:rPr>
        <w:t>4.</w:t>
      </w:r>
      <w:r>
        <w:rPr>
          <w:rFonts w:hint="eastAsia" w:ascii="宋体" w:hAnsi="宋体" w:eastAsia="宋体" w:cs="宋体"/>
          <w:b/>
          <w:color w:val="auto"/>
          <w:sz w:val="28"/>
          <w:szCs w:val="28"/>
          <w:highlight w:val="none"/>
          <w:lang w:val="zh-CN"/>
        </w:rPr>
        <w:t>响应报价表的格式：</w:t>
      </w:r>
      <w:r>
        <w:rPr>
          <w:rFonts w:hint="eastAsia" w:ascii="仿宋" w:hAnsi="仿宋" w:eastAsia="仿宋" w:cs="仿宋_GB2312"/>
          <w:b/>
          <w:color w:val="auto"/>
          <w:sz w:val="30"/>
          <w:szCs w:val="30"/>
          <w:highlight w:val="none"/>
          <w:lang w:val="zh-CN"/>
        </w:rPr>
        <w:t xml:space="preserve"> </w:t>
      </w:r>
    </w:p>
    <w:p w14:paraId="50BBD849">
      <w:pPr>
        <w:snapToGrid w:val="0"/>
        <w:spacing w:before="50" w:after="50" w:line="360" w:lineRule="auto"/>
        <w:ind w:firstLine="4518" w:firstLineChars="1500"/>
        <w:rPr>
          <w:rFonts w:ascii="宋体" w:hAnsi="宋体" w:eastAsia="宋体" w:cs="宋体"/>
          <w:color w:val="auto"/>
          <w:sz w:val="24"/>
          <w:szCs w:val="24"/>
          <w:highlight w:val="none"/>
        </w:rPr>
      </w:pPr>
      <w:r>
        <w:rPr>
          <w:rFonts w:hint="eastAsia" w:ascii="宋体" w:hAnsi="宋体" w:eastAsia="宋体" w:cs="宋体"/>
          <w:b/>
          <w:color w:val="auto"/>
          <w:sz w:val="30"/>
          <w:szCs w:val="30"/>
          <w:highlight w:val="none"/>
          <w:lang w:val="zh-CN"/>
        </w:rPr>
        <w:t>响应报价表</w:t>
      </w:r>
    </w:p>
    <w:p w14:paraId="062D3EA5">
      <w:pPr>
        <w:snapToGrid w:val="0"/>
        <w:spacing w:before="50" w:after="50" w:line="360" w:lineRule="auto"/>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p>
    <w:p w14:paraId="690BA69A">
      <w:pPr>
        <w:snapToGrid w:val="0"/>
        <w:spacing w:before="50" w:after="50" w:line="360" w:lineRule="auto"/>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p>
    <w:p w14:paraId="7F81FE02">
      <w:pPr>
        <w:snapToGrid w:val="0"/>
        <w:spacing w:before="50" w:after="50" w:line="360" w:lineRule="auto"/>
        <w:rPr>
          <w:rFonts w:ascii="宋体" w:hAnsi="宋体" w:eastAsia="宋体" w:cs="宋体"/>
          <w:color w:val="auto"/>
          <w:sz w:val="24"/>
          <w:szCs w:val="24"/>
          <w:highlight w:val="none"/>
          <w:u w:val="single"/>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tbl>
      <w:tblPr>
        <w:tblStyle w:val="29"/>
        <w:tblW w:w="94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1251"/>
        <w:gridCol w:w="1128"/>
        <w:gridCol w:w="918"/>
        <w:gridCol w:w="1332"/>
        <w:gridCol w:w="1707"/>
        <w:gridCol w:w="1118"/>
      </w:tblGrid>
      <w:tr w14:paraId="16E88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14:paraId="66CF1B1B">
            <w:pPr>
              <w:jc w:val="center"/>
              <w:rPr>
                <w:rFonts w:ascii="宋体" w:hAnsi="宋体" w:eastAsia="宋体" w:cs="宋体"/>
                <w:color w:val="auto"/>
                <w:highlight w:val="none"/>
              </w:rPr>
            </w:pPr>
            <w:r>
              <w:rPr>
                <w:rFonts w:hint="eastAsia" w:ascii="宋体" w:hAnsi="宋体" w:eastAsia="宋体" w:cs="宋体"/>
                <w:color w:val="auto"/>
                <w:highlight w:val="none"/>
              </w:rPr>
              <w:t>序号</w:t>
            </w:r>
          </w:p>
        </w:tc>
        <w:tc>
          <w:tcPr>
            <w:tcW w:w="1260" w:type="dxa"/>
            <w:tcBorders>
              <w:top w:val="single" w:color="auto" w:sz="4" w:space="0"/>
              <w:left w:val="single" w:color="auto" w:sz="4" w:space="0"/>
              <w:bottom w:val="single" w:color="auto" w:sz="4" w:space="0"/>
              <w:right w:val="single" w:color="auto" w:sz="4" w:space="0"/>
            </w:tcBorders>
            <w:vAlign w:val="center"/>
          </w:tcPr>
          <w:p w14:paraId="74F8CE18">
            <w:pPr>
              <w:jc w:val="center"/>
              <w:rPr>
                <w:rFonts w:ascii="宋体" w:hAnsi="宋体" w:eastAsia="宋体" w:cs="宋体"/>
                <w:color w:val="auto"/>
                <w:highlight w:val="none"/>
              </w:rPr>
            </w:pPr>
            <w:r>
              <w:rPr>
                <w:rFonts w:hint="eastAsia" w:ascii="宋体" w:hAnsi="宋体" w:eastAsia="宋体" w:cs="宋体"/>
                <w:color w:val="auto"/>
                <w:highlight w:val="none"/>
              </w:rPr>
              <w:t>标的名称</w:t>
            </w:r>
          </w:p>
        </w:tc>
        <w:tc>
          <w:tcPr>
            <w:tcW w:w="1251" w:type="dxa"/>
            <w:tcBorders>
              <w:top w:val="single" w:color="auto" w:sz="4" w:space="0"/>
              <w:left w:val="single" w:color="auto" w:sz="4" w:space="0"/>
              <w:bottom w:val="single" w:color="auto" w:sz="4" w:space="0"/>
              <w:right w:val="single" w:color="auto" w:sz="4" w:space="0"/>
            </w:tcBorders>
            <w:vAlign w:val="center"/>
          </w:tcPr>
          <w:p w14:paraId="5DC7F46A">
            <w:pPr>
              <w:jc w:val="center"/>
              <w:rPr>
                <w:rFonts w:ascii="宋体" w:hAnsi="宋体" w:eastAsia="宋体" w:cs="宋体"/>
                <w:color w:val="auto"/>
                <w:highlight w:val="none"/>
              </w:rPr>
            </w:pPr>
            <w:r>
              <w:rPr>
                <w:rFonts w:hint="eastAsia" w:ascii="宋体" w:hAnsi="宋体" w:eastAsia="宋体" w:cs="宋体"/>
                <w:color w:val="auto"/>
                <w:highlight w:val="none"/>
              </w:rPr>
              <w:t>规格型号</w:t>
            </w:r>
          </w:p>
        </w:tc>
        <w:tc>
          <w:tcPr>
            <w:tcW w:w="1128" w:type="dxa"/>
            <w:tcBorders>
              <w:top w:val="single" w:color="auto" w:sz="4" w:space="0"/>
              <w:left w:val="single" w:color="auto" w:sz="4" w:space="0"/>
              <w:bottom w:val="single" w:color="auto" w:sz="4" w:space="0"/>
              <w:right w:val="single" w:color="auto" w:sz="4" w:space="0"/>
            </w:tcBorders>
            <w:vAlign w:val="center"/>
          </w:tcPr>
          <w:p w14:paraId="7BC32FB7">
            <w:pPr>
              <w:jc w:val="center"/>
              <w:rPr>
                <w:rFonts w:ascii="宋体" w:hAnsi="宋体" w:eastAsia="宋体" w:cs="宋体"/>
                <w:color w:val="auto"/>
                <w:highlight w:val="none"/>
              </w:rPr>
            </w:pPr>
            <w:r>
              <w:rPr>
                <w:rFonts w:hint="eastAsia" w:ascii="宋体" w:hAnsi="宋体" w:eastAsia="宋体" w:cs="宋体"/>
                <w:color w:val="auto"/>
                <w:highlight w:val="none"/>
              </w:rPr>
              <w:t>品牌</w:t>
            </w:r>
          </w:p>
          <w:p w14:paraId="729F299E">
            <w:pPr>
              <w:jc w:val="center"/>
              <w:rPr>
                <w:rFonts w:ascii="宋体" w:hAnsi="宋体" w:eastAsia="宋体" w:cs="宋体"/>
                <w:color w:val="auto"/>
                <w:highlight w:val="none"/>
              </w:rPr>
            </w:pPr>
            <w:r>
              <w:rPr>
                <w:rFonts w:hint="eastAsia" w:ascii="宋体" w:hAnsi="宋体" w:eastAsia="宋体" w:cs="宋体"/>
                <w:color w:val="auto"/>
                <w:highlight w:val="none"/>
              </w:rPr>
              <w:t>及制造商</w:t>
            </w:r>
          </w:p>
        </w:tc>
        <w:tc>
          <w:tcPr>
            <w:tcW w:w="918" w:type="dxa"/>
            <w:tcBorders>
              <w:top w:val="single" w:color="auto" w:sz="4" w:space="0"/>
              <w:left w:val="single" w:color="auto" w:sz="4" w:space="0"/>
              <w:bottom w:val="single" w:color="auto" w:sz="4" w:space="0"/>
              <w:right w:val="single" w:color="auto" w:sz="4" w:space="0"/>
            </w:tcBorders>
            <w:vAlign w:val="center"/>
          </w:tcPr>
          <w:p w14:paraId="764745EF">
            <w:pPr>
              <w:jc w:val="center"/>
              <w:rPr>
                <w:rFonts w:ascii="宋体" w:hAnsi="宋体" w:eastAsia="宋体" w:cs="宋体"/>
                <w:color w:val="auto"/>
                <w:highlight w:val="none"/>
              </w:rPr>
            </w:pPr>
            <w:r>
              <w:rPr>
                <w:rFonts w:hint="eastAsia" w:ascii="宋体" w:hAnsi="宋体" w:eastAsia="宋体" w:cs="宋体"/>
                <w:color w:val="auto"/>
                <w:highlight w:val="none"/>
              </w:rPr>
              <w:t>数量及单位①</w:t>
            </w:r>
          </w:p>
        </w:tc>
        <w:tc>
          <w:tcPr>
            <w:tcW w:w="1332" w:type="dxa"/>
            <w:tcBorders>
              <w:top w:val="single" w:color="auto" w:sz="4" w:space="0"/>
              <w:left w:val="single" w:color="auto" w:sz="4" w:space="0"/>
              <w:bottom w:val="single" w:color="auto" w:sz="4" w:space="0"/>
              <w:right w:val="single" w:color="auto" w:sz="4" w:space="0"/>
            </w:tcBorders>
            <w:vAlign w:val="center"/>
          </w:tcPr>
          <w:p w14:paraId="3D2D6046">
            <w:pPr>
              <w:jc w:val="center"/>
              <w:rPr>
                <w:rFonts w:ascii="宋体" w:hAnsi="宋体" w:eastAsia="宋体" w:cs="宋体"/>
                <w:color w:val="auto"/>
                <w:highlight w:val="none"/>
              </w:rPr>
            </w:pPr>
            <w:r>
              <w:rPr>
                <w:rFonts w:hint="eastAsia" w:ascii="宋体" w:hAnsi="宋体" w:eastAsia="宋体" w:cs="宋体"/>
                <w:color w:val="auto"/>
                <w:highlight w:val="none"/>
              </w:rPr>
              <w:t>单价(元)②</w:t>
            </w:r>
          </w:p>
        </w:tc>
        <w:tc>
          <w:tcPr>
            <w:tcW w:w="1707" w:type="dxa"/>
            <w:tcBorders>
              <w:top w:val="single" w:color="auto" w:sz="4" w:space="0"/>
              <w:left w:val="single" w:color="auto" w:sz="4" w:space="0"/>
              <w:bottom w:val="single" w:color="auto" w:sz="4" w:space="0"/>
              <w:right w:val="single" w:color="auto" w:sz="4" w:space="0"/>
            </w:tcBorders>
            <w:vAlign w:val="center"/>
          </w:tcPr>
          <w:p w14:paraId="38CB8D0B">
            <w:pPr>
              <w:jc w:val="center"/>
              <w:rPr>
                <w:rFonts w:ascii="宋体" w:hAnsi="宋体" w:eastAsia="宋体" w:cs="宋体"/>
                <w:color w:val="auto"/>
                <w:highlight w:val="none"/>
              </w:rPr>
            </w:pPr>
            <w:r>
              <w:rPr>
                <w:rFonts w:hint="eastAsia" w:ascii="宋体" w:hAnsi="宋体" w:eastAsia="宋体" w:cs="宋体"/>
                <w:color w:val="auto"/>
                <w:highlight w:val="none"/>
              </w:rPr>
              <w:t>单项合价（元）</w:t>
            </w:r>
          </w:p>
          <w:p w14:paraId="06497246">
            <w:pPr>
              <w:jc w:val="center"/>
              <w:rPr>
                <w:rFonts w:ascii="宋体" w:hAnsi="宋体" w:eastAsia="宋体" w:cs="宋体"/>
                <w:color w:val="auto"/>
                <w:highlight w:val="none"/>
              </w:rPr>
            </w:pPr>
            <w:r>
              <w:rPr>
                <w:rFonts w:hint="eastAsia" w:ascii="宋体" w:hAnsi="宋体" w:eastAsia="宋体" w:cs="宋体"/>
                <w:color w:val="auto"/>
                <w:highlight w:val="none"/>
              </w:rPr>
              <w:t>③＝①×②</w:t>
            </w:r>
          </w:p>
        </w:tc>
        <w:tc>
          <w:tcPr>
            <w:tcW w:w="1118" w:type="dxa"/>
            <w:tcBorders>
              <w:top w:val="single" w:color="auto" w:sz="4" w:space="0"/>
              <w:left w:val="single" w:color="auto" w:sz="4" w:space="0"/>
              <w:bottom w:val="single" w:color="auto" w:sz="4" w:space="0"/>
              <w:right w:val="single" w:color="auto" w:sz="4" w:space="0"/>
            </w:tcBorders>
            <w:vAlign w:val="center"/>
          </w:tcPr>
          <w:p w14:paraId="382F5171">
            <w:pPr>
              <w:jc w:val="center"/>
              <w:rPr>
                <w:rFonts w:ascii="宋体" w:hAnsi="宋体" w:eastAsia="宋体" w:cs="宋体"/>
                <w:color w:val="auto"/>
                <w:highlight w:val="none"/>
              </w:rPr>
            </w:pPr>
            <w:r>
              <w:rPr>
                <w:rFonts w:hint="eastAsia" w:ascii="宋体" w:hAnsi="宋体" w:eastAsia="宋体" w:cs="宋体"/>
                <w:color w:val="auto"/>
                <w:highlight w:val="none"/>
              </w:rPr>
              <w:t>备注</w:t>
            </w:r>
          </w:p>
        </w:tc>
      </w:tr>
      <w:tr w14:paraId="3E815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14:paraId="3DF35E26">
            <w:pPr>
              <w:jc w:val="center"/>
              <w:rPr>
                <w:rFonts w:ascii="宋体" w:hAnsi="宋体" w:eastAsia="宋体" w:cs="宋体"/>
                <w:color w:val="auto"/>
                <w:highlight w:val="none"/>
              </w:rPr>
            </w:pPr>
            <w:r>
              <w:rPr>
                <w:rFonts w:hint="eastAsia" w:ascii="宋体" w:hAnsi="宋体" w:eastAsia="宋体" w:cs="宋体"/>
                <w:color w:val="auto"/>
                <w:highlight w:val="none"/>
              </w:rPr>
              <w:t>1</w:t>
            </w:r>
          </w:p>
        </w:tc>
        <w:tc>
          <w:tcPr>
            <w:tcW w:w="1260" w:type="dxa"/>
            <w:tcBorders>
              <w:top w:val="single" w:color="auto" w:sz="4" w:space="0"/>
              <w:left w:val="single" w:color="auto" w:sz="4" w:space="0"/>
              <w:bottom w:val="single" w:color="auto" w:sz="4" w:space="0"/>
              <w:right w:val="single" w:color="auto" w:sz="4" w:space="0"/>
            </w:tcBorders>
            <w:vAlign w:val="center"/>
          </w:tcPr>
          <w:p w14:paraId="655B942E">
            <w:pPr>
              <w:rPr>
                <w:rFonts w:ascii="宋体" w:hAnsi="宋体" w:eastAsia="宋体" w:cs="宋体"/>
                <w:color w:val="auto"/>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14:paraId="6E122E31">
            <w:pPr>
              <w:rPr>
                <w:rFonts w:ascii="宋体" w:hAnsi="宋体" w:eastAsia="宋体" w:cs="宋体"/>
                <w:color w:val="auto"/>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054A32A5">
            <w:pPr>
              <w:rPr>
                <w:rFonts w:ascii="宋体" w:hAnsi="宋体" w:eastAsia="宋体" w:cs="宋体"/>
                <w:color w:val="auto"/>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14:paraId="196D4EC5">
            <w:pPr>
              <w:rPr>
                <w:rFonts w:ascii="宋体" w:hAnsi="宋体" w:eastAsia="宋体" w:cs="宋体"/>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08FB312D">
            <w:pPr>
              <w:rPr>
                <w:rFonts w:ascii="宋体" w:hAnsi="宋体" w:eastAsia="宋体" w:cs="宋体"/>
                <w:color w:val="auto"/>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14:paraId="540B172E">
            <w:pPr>
              <w:rPr>
                <w:rFonts w:ascii="宋体" w:hAnsi="宋体" w:eastAsia="宋体" w:cs="宋体"/>
                <w:color w:val="auto"/>
                <w:highlight w:val="none"/>
              </w:rPr>
            </w:pPr>
          </w:p>
        </w:tc>
        <w:tc>
          <w:tcPr>
            <w:tcW w:w="1118" w:type="dxa"/>
            <w:tcBorders>
              <w:top w:val="single" w:color="auto" w:sz="4" w:space="0"/>
              <w:left w:val="single" w:color="auto" w:sz="4" w:space="0"/>
              <w:bottom w:val="single" w:color="auto" w:sz="4" w:space="0"/>
              <w:right w:val="single" w:color="auto" w:sz="4" w:space="0"/>
            </w:tcBorders>
          </w:tcPr>
          <w:p w14:paraId="06720D68">
            <w:pPr>
              <w:rPr>
                <w:rFonts w:ascii="宋体" w:hAnsi="宋体" w:eastAsia="宋体" w:cs="宋体"/>
                <w:color w:val="auto"/>
                <w:highlight w:val="none"/>
              </w:rPr>
            </w:pPr>
          </w:p>
        </w:tc>
      </w:tr>
      <w:tr w14:paraId="53A3E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14:paraId="314709BC">
            <w:pPr>
              <w:jc w:val="center"/>
              <w:rPr>
                <w:rFonts w:ascii="宋体" w:hAnsi="宋体" w:eastAsia="宋体" w:cs="宋体"/>
                <w:color w:val="auto"/>
                <w:highlight w:val="none"/>
              </w:rPr>
            </w:pPr>
            <w:r>
              <w:rPr>
                <w:rFonts w:hint="eastAsia" w:ascii="宋体" w:hAnsi="宋体" w:eastAsia="宋体" w:cs="宋体"/>
                <w:color w:val="auto"/>
                <w:highlight w:val="none"/>
              </w:rPr>
              <w:t>2</w:t>
            </w:r>
          </w:p>
        </w:tc>
        <w:tc>
          <w:tcPr>
            <w:tcW w:w="1260" w:type="dxa"/>
            <w:tcBorders>
              <w:top w:val="single" w:color="auto" w:sz="4" w:space="0"/>
              <w:left w:val="single" w:color="auto" w:sz="4" w:space="0"/>
              <w:bottom w:val="single" w:color="auto" w:sz="4" w:space="0"/>
              <w:right w:val="single" w:color="auto" w:sz="4" w:space="0"/>
            </w:tcBorders>
            <w:vAlign w:val="center"/>
          </w:tcPr>
          <w:p w14:paraId="278A0249">
            <w:pPr>
              <w:rPr>
                <w:rFonts w:ascii="宋体" w:hAnsi="宋体" w:eastAsia="宋体" w:cs="宋体"/>
                <w:color w:val="auto"/>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14:paraId="1994E05C">
            <w:pPr>
              <w:rPr>
                <w:rFonts w:ascii="宋体" w:hAnsi="宋体" w:eastAsia="宋体" w:cs="宋体"/>
                <w:color w:val="auto"/>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1ADE49D4">
            <w:pPr>
              <w:rPr>
                <w:rFonts w:ascii="宋体" w:hAnsi="宋体" w:eastAsia="宋体" w:cs="宋体"/>
                <w:color w:val="auto"/>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14:paraId="08A9E888">
            <w:pPr>
              <w:rPr>
                <w:rFonts w:ascii="宋体" w:hAnsi="宋体" w:eastAsia="宋体" w:cs="宋体"/>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23427E4F">
            <w:pPr>
              <w:rPr>
                <w:rFonts w:ascii="宋体" w:hAnsi="宋体" w:eastAsia="宋体" w:cs="宋体"/>
                <w:color w:val="auto"/>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14:paraId="664FD8F4">
            <w:pPr>
              <w:rPr>
                <w:rFonts w:ascii="宋体" w:hAnsi="宋体" w:eastAsia="宋体" w:cs="宋体"/>
                <w:color w:val="auto"/>
                <w:highlight w:val="none"/>
              </w:rPr>
            </w:pPr>
          </w:p>
        </w:tc>
        <w:tc>
          <w:tcPr>
            <w:tcW w:w="1118" w:type="dxa"/>
            <w:tcBorders>
              <w:top w:val="single" w:color="auto" w:sz="4" w:space="0"/>
              <w:left w:val="single" w:color="auto" w:sz="4" w:space="0"/>
              <w:bottom w:val="single" w:color="auto" w:sz="4" w:space="0"/>
              <w:right w:val="single" w:color="auto" w:sz="4" w:space="0"/>
            </w:tcBorders>
          </w:tcPr>
          <w:p w14:paraId="759C0591">
            <w:pPr>
              <w:rPr>
                <w:rFonts w:ascii="宋体" w:hAnsi="宋体" w:eastAsia="宋体" w:cs="宋体"/>
                <w:color w:val="auto"/>
                <w:highlight w:val="none"/>
              </w:rPr>
            </w:pPr>
          </w:p>
        </w:tc>
      </w:tr>
      <w:tr w14:paraId="547B3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14:paraId="06CB7567">
            <w:pPr>
              <w:jc w:val="center"/>
              <w:rPr>
                <w:rFonts w:ascii="宋体" w:hAnsi="宋体" w:eastAsia="宋体" w:cs="宋体"/>
                <w:color w:val="auto"/>
                <w:highlight w:val="none"/>
              </w:rPr>
            </w:pPr>
            <w:r>
              <w:rPr>
                <w:rFonts w:hint="eastAsia" w:ascii="宋体" w:hAnsi="宋体" w:eastAsia="宋体" w:cs="宋体"/>
                <w:color w:val="auto"/>
                <w:highlight w:val="none"/>
              </w:rPr>
              <w:t>...</w:t>
            </w:r>
          </w:p>
        </w:tc>
        <w:tc>
          <w:tcPr>
            <w:tcW w:w="1260" w:type="dxa"/>
            <w:tcBorders>
              <w:top w:val="single" w:color="auto" w:sz="4" w:space="0"/>
              <w:left w:val="single" w:color="auto" w:sz="4" w:space="0"/>
              <w:bottom w:val="single" w:color="auto" w:sz="4" w:space="0"/>
              <w:right w:val="single" w:color="auto" w:sz="4" w:space="0"/>
            </w:tcBorders>
            <w:vAlign w:val="center"/>
          </w:tcPr>
          <w:p w14:paraId="4E85C227">
            <w:pPr>
              <w:rPr>
                <w:rFonts w:ascii="宋体" w:hAnsi="宋体" w:eastAsia="宋体" w:cs="宋体"/>
                <w:color w:val="auto"/>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14:paraId="37F32ED4">
            <w:pPr>
              <w:rPr>
                <w:rFonts w:ascii="宋体" w:hAnsi="宋体" w:eastAsia="宋体" w:cs="宋体"/>
                <w:color w:val="auto"/>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628FF0DE">
            <w:pPr>
              <w:rPr>
                <w:rFonts w:ascii="宋体" w:hAnsi="宋体" w:eastAsia="宋体" w:cs="宋体"/>
                <w:color w:val="auto"/>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14:paraId="3CE33B30">
            <w:pPr>
              <w:rPr>
                <w:rFonts w:ascii="宋体" w:hAnsi="宋体" w:eastAsia="宋体" w:cs="宋体"/>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3020F803">
            <w:pPr>
              <w:rPr>
                <w:rFonts w:ascii="宋体" w:hAnsi="宋体" w:eastAsia="宋体" w:cs="宋体"/>
                <w:color w:val="auto"/>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14:paraId="7D27A738">
            <w:pPr>
              <w:rPr>
                <w:rFonts w:ascii="宋体" w:hAnsi="宋体" w:eastAsia="宋体" w:cs="宋体"/>
                <w:color w:val="auto"/>
                <w:highlight w:val="none"/>
              </w:rPr>
            </w:pPr>
          </w:p>
        </w:tc>
        <w:tc>
          <w:tcPr>
            <w:tcW w:w="1118" w:type="dxa"/>
            <w:tcBorders>
              <w:top w:val="single" w:color="auto" w:sz="4" w:space="0"/>
              <w:left w:val="single" w:color="auto" w:sz="4" w:space="0"/>
              <w:bottom w:val="single" w:color="auto" w:sz="4" w:space="0"/>
              <w:right w:val="single" w:color="auto" w:sz="4" w:space="0"/>
            </w:tcBorders>
          </w:tcPr>
          <w:p w14:paraId="0803E212">
            <w:pPr>
              <w:rPr>
                <w:rFonts w:ascii="宋体" w:hAnsi="宋体" w:eastAsia="宋体" w:cs="宋体"/>
                <w:color w:val="auto"/>
                <w:highlight w:val="none"/>
              </w:rPr>
            </w:pPr>
          </w:p>
        </w:tc>
      </w:tr>
      <w:tr w14:paraId="1CB1C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433" w:type="dxa"/>
            <w:gridSpan w:val="8"/>
            <w:tcBorders>
              <w:top w:val="single" w:color="auto" w:sz="4" w:space="0"/>
              <w:left w:val="single" w:color="auto" w:sz="4" w:space="0"/>
              <w:bottom w:val="single" w:color="auto" w:sz="4" w:space="0"/>
              <w:right w:val="single" w:color="auto" w:sz="4" w:space="0"/>
            </w:tcBorders>
            <w:vAlign w:val="center"/>
          </w:tcPr>
          <w:p w14:paraId="2BBA2BA0">
            <w:pPr>
              <w:spacing w:line="360" w:lineRule="auto"/>
              <w:rPr>
                <w:rFonts w:ascii="宋体" w:hAnsi="宋体" w:eastAsia="宋体" w:cs="宋体"/>
                <w:color w:val="auto"/>
                <w:highlight w:val="none"/>
              </w:rPr>
            </w:pPr>
            <w:r>
              <w:rPr>
                <w:rFonts w:hint="eastAsia" w:ascii="宋体" w:hAnsi="宋体" w:eastAsia="宋体" w:cs="宋体"/>
                <w:color w:val="auto"/>
                <w:highlight w:val="none"/>
              </w:rPr>
              <w:t>竞标总报价（包含税费等所有费用）：</w:t>
            </w:r>
            <w:r>
              <w:rPr>
                <w:rFonts w:hint="eastAsia" w:ascii="宋体" w:hAnsi="宋体" w:eastAsia="宋体" w:cs="宋体"/>
                <w:color w:val="auto"/>
                <w:highlight w:val="none"/>
                <w:u w:val="single"/>
              </w:rPr>
              <w:t xml:space="preserve">（大写）人民币                  （小写）¥           </w:t>
            </w:r>
            <w:r>
              <w:rPr>
                <w:rFonts w:hint="eastAsia" w:ascii="宋体" w:hAnsi="宋体" w:eastAsia="宋体" w:cs="宋体"/>
                <w:color w:val="auto"/>
                <w:highlight w:val="none"/>
              </w:rPr>
              <w:t xml:space="preserve"> </w:t>
            </w:r>
          </w:p>
        </w:tc>
      </w:tr>
      <w:tr w14:paraId="4D0E5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433" w:type="dxa"/>
            <w:gridSpan w:val="8"/>
            <w:tcBorders>
              <w:top w:val="single" w:color="auto" w:sz="4" w:space="0"/>
              <w:left w:val="single" w:color="auto" w:sz="4" w:space="0"/>
              <w:bottom w:val="single" w:color="auto" w:sz="4" w:space="0"/>
              <w:right w:val="single" w:color="auto" w:sz="4" w:space="0"/>
            </w:tcBorders>
            <w:vAlign w:val="center"/>
          </w:tcPr>
          <w:p w14:paraId="5BCEE5AE">
            <w:pPr>
              <w:rPr>
                <w:rFonts w:ascii="宋体" w:hAnsi="宋体" w:eastAsia="宋体" w:cs="宋体"/>
                <w:color w:val="auto"/>
                <w:highlight w:val="none"/>
              </w:rPr>
            </w:pPr>
            <w:r>
              <w:rPr>
                <w:rFonts w:hint="eastAsia" w:ascii="宋体" w:hAnsi="宋体" w:eastAsia="宋体" w:cs="宋体"/>
                <w:color w:val="auto"/>
                <w:highlight w:val="none"/>
              </w:rPr>
              <w:t>交付时间：</w:t>
            </w:r>
          </w:p>
        </w:tc>
      </w:tr>
      <w:tr w14:paraId="6499C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433" w:type="dxa"/>
            <w:gridSpan w:val="8"/>
            <w:tcBorders>
              <w:top w:val="single" w:color="auto" w:sz="4" w:space="0"/>
              <w:left w:val="single" w:color="auto" w:sz="4" w:space="0"/>
              <w:bottom w:val="single" w:color="auto" w:sz="4" w:space="0"/>
              <w:right w:val="single" w:color="auto" w:sz="4" w:space="0"/>
            </w:tcBorders>
            <w:vAlign w:val="center"/>
          </w:tcPr>
          <w:p w14:paraId="7C3EFAA1">
            <w:pPr>
              <w:rPr>
                <w:rFonts w:ascii="宋体" w:hAnsi="宋体" w:eastAsia="宋体" w:cs="宋体"/>
                <w:color w:val="auto"/>
                <w:highlight w:val="none"/>
              </w:rPr>
            </w:pPr>
            <w:r>
              <w:rPr>
                <w:rFonts w:hint="eastAsia" w:ascii="宋体" w:hAnsi="宋体" w:eastAsia="宋体" w:cs="宋体"/>
                <w:color w:val="auto"/>
                <w:highlight w:val="none"/>
              </w:rPr>
              <w:t>优惠及其它：</w:t>
            </w:r>
            <w:r>
              <w:rPr>
                <w:rFonts w:hint="eastAsia" w:ascii="宋体" w:hAnsi="宋体" w:eastAsia="宋体" w:cs="宋体"/>
                <w:i/>
                <w:iCs/>
                <w:color w:val="auto"/>
                <w:highlight w:val="none"/>
              </w:rPr>
              <w:t>（如没有填写无）</w:t>
            </w:r>
          </w:p>
        </w:tc>
      </w:tr>
    </w:tbl>
    <w:p w14:paraId="19A1C15E">
      <w:pPr>
        <w:snapToGrid w:val="0"/>
        <w:spacing w:before="50" w:after="50" w:line="360" w:lineRule="auto"/>
        <w:ind w:firstLine="480" w:firstLineChars="20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 xml:space="preserve">注： </w:t>
      </w:r>
    </w:p>
    <w:p w14:paraId="14999D9A">
      <w:pPr>
        <w:numPr>
          <w:ilvl w:val="0"/>
          <w:numId w:val="0"/>
        </w:numPr>
        <w:snapToGrid w:val="0"/>
        <w:spacing w:before="50" w:after="50" w:line="360" w:lineRule="auto"/>
        <w:ind w:firstLine="420" w:firstLineChars="200"/>
        <w:jc w:val="left"/>
        <w:rPr>
          <w:rFonts w:hint="eastAsia" w:ascii="宋体" w:hAnsi="宋体" w:cs="宋体"/>
          <w:bCs/>
          <w:color w:val="auto"/>
          <w:sz w:val="21"/>
          <w:szCs w:val="21"/>
          <w:highlight w:val="none"/>
        </w:rPr>
      </w:pPr>
      <w:r>
        <w:rPr>
          <w:rFonts w:hint="eastAsia" w:ascii="宋体" w:hAnsi="宋体" w:cs="宋体" w:eastAsiaTheme="minorEastAsia"/>
          <w:bCs/>
          <w:color w:val="auto"/>
          <w:kern w:val="2"/>
          <w:sz w:val="21"/>
          <w:szCs w:val="21"/>
          <w:lang w:val="en-US" w:eastAsia="zh-CN" w:bidi="ar-SA"/>
        </w:rPr>
        <w:t>1.</w:t>
      </w:r>
      <w:r>
        <w:rPr>
          <w:rFonts w:hint="eastAsia" w:ascii="宋体" w:hAnsi="宋体" w:cs="宋体"/>
          <w:color w:val="auto"/>
          <w:sz w:val="21"/>
          <w:szCs w:val="21"/>
          <w:highlight w:val="none"/>
        </w:rPr>
        <w:t>供应商需按本表格式填写，不得自行更改，也不得留空（备注除外）, 如有多分标，按分标分别提供响应报价表，</w:t>
      </w:r>
      <w:r>
        <w:rPr>
          <w:rFonts w:hint="eastAsia" w:ascii="宋体" w:hAnsi="宋体" w:cs="宋体"/>
          <w:b/>
          <w:color w:val="auto"/>
          <w:sz w:val="21"/>
          <w:szCs w:val="21"/>
          <w:highlight w:val="none"/>
        </w:rPr>
        <w:t>否则其响应按无效响应处理</w:t>
      </w:r>
      <w:r>
        <w:rPr>
          <w:rFonts w:hint="eastAsia" w:ascii="宋体" w:hAnsi="宋体" w:cs="宋体"/>
          <w:bCs/>
          <w:color w:val="auto"/>
          <w:sz w:val="21"/>
          <w:szCs w:val="21"/>
          <w:highlight w:val="none"/>
        </w:rPr>
        <w:t>。</w:t>
      </w:r>
    </w:p>
    <w:p w14:paraId="037DB215">
      <w:pPr>
        <w:numPr>
          <w:ilvl w:val="0"/>
          <w:numId w:val="0"/>
        </w:numPr>
        <w:snapToGrid w:val="0"/>
        <w:spacing w:before="50" w:after="50" w:line="360" w:lineRule="auto"/>
        <w:ind w:firstLine="420" w:firstLineChars="200"/>
        <w:jc w:val="left"/>
        <w:rPr>
          <w:rFonts w:hint="eastAsia" w:ascii="宋体" w:hAnsi="宋体" w:eastAsia="宋体" w:cs="宋体"/>
          <w:b/>
          <w:color w:val="auto"/>
          <w:kern w:val="0"/>
          <w:szCs w:val="21"/>
          <w:highlight w:val="none"/>
          <w:lang w:val="zh-CN"/>
        </w:rPr>
      </w:pPr>
      <w:r>
        <w:rPr>
          <w:rFonts w:hint="eastAsia" w:ascii="宋体" w:hAnsi="宋体" w:eastAsia="宋体" w:cs="宋体"/>
          <w:color w:val="auto"/>
          <w:kern w:val="0"/>
          <w:szCs w:val="21"/>
          <w:highlight w:val="none"/>
        </w:rPr>
        <w:t>2.</w:t>
      </w:r>
      <w:r>
        <w:rPr>
          <w:rFonts w:hint="eastAsia" w:ascii="宋体" w:hAnsi="宋体" w:eastAsia="宋体" w:cs="宋体"/>
          <w:color w:val="auto"/>
          <w:kern w:val="0"/>
          <w:szCs w:val="21"/>
          <w:highlight w:val="none"/>
          <w:lang w:val="zh-CN"/>
        </w:rPr>
        <w:t>如为联合体响应的，“供应商名称”处必须列明联合体各方名称，并标注联合体牵头人名称，且盖章处须加盖联合体各方公章，</w:t>
      </w:r>
      <w:r>
        <w:rPr>
          <w:rFonts w:hint="eastAsia" w:ascii="宋体" w:hAnsi="宋体" w:eastAsia="宋体" w:cs="宋体"/>
          <w:b/>
          <w:color w:val="auto"/>
          <w:kern w:val="0"/>
          <w:szCs w:val="21"/>
          <w:highlight w:val="none"/>
          <w:lang w:val="zh-CN"/>
        </w:rPr>
        <w:t>否则其响应作无效响应处理。</w:t>
      </w:r>
    </w:p>
    <w:p w14:paraId="01A5F31E">
      <w:pPr>
        <w:numPr>
          <w:ilvl w:val="0"/>
          <w:numId w:val="0"/>
        </w:numPr>
        <w:snapToGrid w:val="0"/>
        <w:spacing w:before="50" w:after="50" w:line="360" w:lineRule="auto"/>
        <w:ind w:firstLine="420" w:firstLineChars="200"/>
        <w:jc w:val="left"/>
        <w:rPr>
          <w:rFonts w:hint="eastAsia" w:ascii="宋体" w:hAnsi="宋体" w:eastAsia="宋体" w:cs="宋体"/>
          <w:b/>
          <w:color w:val="auto"/>
          <w:kern w:val="0"/>
          <w:szCs w:val="21"/>
          <w:highlight w:val="none"/>
          <w:lang w:val="zh-CN"/>
        </w:rPr>
      </w:pPr>
      <w:r>
        <w:rPr>
          <w:rFonts w:hint="eastAsia" w:ascii="宋体" w:hAnsi="宋体" w:eastAsia="宋体" w:cs="宋体"/>
          <w:color w:val="auto"/>
          <w:kern w:val="0"/>
          <w:szCs w:val="21"/>
          <w:highlight w:val="none"/>
          <w:lang w:val="zh-CN"/>
        </w:rPr>
        <w:t>3</w:t>
      </w: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zh-CN"/>
        </w:rPr>
        <w:t>以上表格要求细分项目及报价，在“标的名称”一栏中，填写具体货物，在“规格型号”一栏中，填写具体货物规格和型号，</w:t>
      </w:r>
      <w:r>
        <w:rPr>
          <w:rFonts w:hint="eastAsia" w:ascii="宋体" w:hAnsi="宋体" w:eastAsia="宋体" w:cs="宋体"/>
          <w:b/>
          <w:color w:val="auto"/>
          <w:kern w:val="0"/>
          <w:szCs w:val="21"/>
          <w:highlight w:val="none"/>
          <w:lang w:val="zh-CN"/>
        </w:rPr>
        <w:t>否则其响应作无效响应处理。</w:t>
      </w:r>
    </w:p>
    <w:p w14:paraId="2003BA82">
      <w:pPr>
        <w:numPr>
          <w:ilvl w:val="0"/>
          <w:numId w:val="0"/>
        </w:numPr>
        <w:snapToGrid w:val="0"/>
        <w:spacing w:before="50" w:after="50" w:line="360" w:lineRule="auto"/>
        <w:ind w:firstLine="420" w:firstLineChars="200"/>
        <w:jc w:val="left"/>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4</w:t>
      </w: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zh-CN"/>
        </w:rPr>
        <w:t>特别提示：采购代理机构将对项目名称和项目编号，成交供应商名称、地址和成交金额，主要成交标的的名称、规格型号、数量、单价等予以公示。</w:t>
      </w:r>
    </w:p>
    <w:p w14:paraId="7A476405">
      <w:pPr>
        <w:numPr>
          <w:ilvl w:val="0"/>
          <w:numId w:val="0"/>
        </w:numPr>
        <w:snapToGrid w:val="0"/>
        <w:spacing w:before="50" w:after="50" w:line="360" w:lineRule="auto"/>
        <w:ind w:firstLine="420" w:firstLineChars="200"/>
        <w:jc w:val="left"/>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5</w:t>
      </w: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zh-CN"/>
        </w:rPr>
        <w:t>符合采购文件中列明的可享受中小企业扶持政策的供应商，请填写中小企业声明函。</w:t>
      </w:r>
    </w:p>
    <w:p w14:paraId="1EF73170">
      <w:pPr>
        <w:numPr>
          <w:ilvl w:val="0"/>
          <w:numId w:val="0"/>
        </w:numPr>
        <w:snapToGrid w:val="0"/>
        <w:spacing w:before="50" w:after="50" w:line="360" w:lineRule="auto"/>
        <w:ind w:firstLine="420" w:firstLineChars="200"/>
        <w:jc w:val="left"/>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rPr>
        <w:t>6.</w:t>
      </w:r>
      <w:r>
        <w:rPr>
          <w:rFonts w:hint="eastAsia" w:ascii="宋体" w:hAnsi="宋体" w:eastAsia="宋体" w:cs="宋体"/>
          <w:color w:val="auto"/>
          <w:kern w:val="0"/>
          <w:szCs w:val="21"/>
          <w:highlight w:val="none"/>
          <w:lang w:val="zh-CN"/>
        </w:rPr>
        <w:t>供应商提供的中小企业声明函内容不实的，属于提供虚假材料谋取中标、成交，依照《中华人民共和国政府采购法》等国家有关规定追究相应责任。</w:t>
      </w:r>
    </w:p>
    <w:p w14:paraId="40355B30">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p>
    <w:p w14:paraId="1D337A06">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0567A4DA">
      <w:pPr>
        <w:autoSpaceDE w:val="0"/>
        <w:autoSpaceDN w:val="0"/>
        <w:spacing w:line="360" w:lineRule="auto"/>
        <w:ind w:firstLine="6480" w:firstLineChars="270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14:paraId="7C9CB6A2">
      <w:pPr>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br w:type="page"/>
      </w:r>
    </w:p>
    <w:p w14:paraId="4AFEE1B4">
      <w:pPr>
        <w:spacing w:line="500" w:lineRule="exact"/>
        <w:rPr>
          <w:rFonts w:ascii="仿宋" w:hAnsi="仿宋" w:eastAsia="仿宋" w:cs="仿宋_GB2312"/>
          <w:b/>
          <w:color w:val="auto"/>
          <w:sz w:val="30"/>
          <w:szCs w:val="30"/>
          <w:highlight w:val="none"/>
          <w:lang w:val="zh-CN"/>
        </w:rPr>
      </w:pPr>
      <w:r>
        <w:rPr>
          <w:rFonts w:hint="eastAsia" w:ascii="宋体" w:hAnsi="宋体" w:eastAsia="宋体" w:cs="宋体"/>
          <w:b/>
          <w:color w:val="auto"/>
          <w:sz w:val="28"/>
          <w:szCs w:val="28"/>
          <w:highlight w:val="none"/>
        </w:rPr>
        <w:t>5.</w:t>
      </w:r>
      <w:r>
        <w:rPr>
          <w:rFonts w:hint="eastAsia" w:ascii="宋体" w:hAnsi="宋体" w:eastAsia="宋体" w:cs="宋体"/>
          <w:b/>
          <w:color w:val="auto"/>
          <w:sz w:val="28"/>
          <w:szCs w:val="28"/>
          <w:highlight w:val="none"/>
          <w:lang w:val="zh-CN"/>
        </w:rPr>
        <w:t>最后报价表的格式：</w:t>
      </w:r>
      <w:r>
        <w:rPr>
          <w:rFonts w:hint="eastAsia" w:ascii="仿宋" w:hAnsi="仿宋" w:eastAsia="仿宋" w:cs="仿宋_GB2312"/>
          <w:b/>
          <w:color w:val="auto"/>
          <w:sz w:val="30"/>
          <w:szCs w:val="30"/>
          <w:highlight w:val="none"/>
          <w:lang w:val="zh-CN"/>
        </w:rPr>
        <w:t xml:space="preserve"> </w:t>
      </w:r>
    </w:p>
    <w:p w14:paraId="72D3CA87">
      <w:pPr>
        <w:snapToGrid w:val="0"/>
        <w:spacing w:before="50" w:after="50" w:line="360" w:lineRule="auto"/>
        <w:ind w:firstLine="4518" w:firstLineChars="1500"/>
        <w:rPr>
          <w:rFonts w:ascii="宋体" w:hAnsi="宋体" w:eastAsia="宋体" w:cs="宋体"/>
          <w:color w:val="auto"/>
          <w:sz w:val="24"/>
          <w:szCs w:val="24"/>
          <w:highlight w:val="none"/>
        </w:rPr>
      </w:pPr>
      <w:r>
        <w:rPr>
          <w:rFonts w:hint="eastAsia" w:ascii="宋体" w:hAnsi="宋体" w:eastAsia="宋体" w:cs="宋体"/>
          <w:b/>
          <w:color w:val="auto"/>
          <w:sz w:val="30"/>
          <w:szCs w:val="30"/>
          <w:highlight w:val="none"/>
          <w:lang w:val="zh-CN"/>
        </w:rPr>
        <w:t>最后报价表</w:t>
      </w:r>
    </w:p>
    <w:p w14:paraId="32B37B20">
      <w:pPr>
        <w:snapToGrid w:val="0"/>
        <w:spacing w:before="50" w:after="50" w:line="360" w:lineRule="auto"/>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p>
    <w:p w14:paraId="6121BF5B">
      <w:pPr>
        <w:snapToGrid w:val="0"/>
        <w:spacing w:before="50" w:after="50" w:line="360" w:lineRule="auto"/>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p>
    <w:p w14:paraId="093038E7">
      <w:pPr>
        <w:snapToGrid w:val="0"/>
        <w:spacing w:before="50" w:after="50" w:line="360" w:lineRule="auto"/>
        <w:rPr>
          <w:rFonts w:ascii="宋体" w:hAnsi="宋体" w:eastAsia="宋体" w:cs="宋体"/>
          <w:color w:val="auto"/>
          <w:sz w:val="24"/>
          <w:szCs w:val="24"/>
          <w:highlight w:val="none"/>
          <w:u w:val="single"/>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tbl>
      <w:tblPr>
        <w:tblStyle w:val="29"/>
        <w:tblW w:w="9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1251"/>
        <w:gridCol w:w="975"/>
        <w:gridCol w:w="918"/>
        <w:gridCol w:w="1332"/>
        <w:gridCol w:w="1707"/>
        <w:gridCol w:w="1651"/>
      </w:tblGrid>
      <w:tr w14:paraId="2DF1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vAlign w:val="center"/>
          </w:tcPr>
          <w:p w14:paraId="5A3B8C96">
            <w:pPr>
              <w:rPr>
                <w:rFonts w:ascii="宋体" w:hAnsi="宋体" w:eastAsia="宋体" w:cs="宋体"/>
                <w:color w:val="auto"/>
                <w:highlight w:val="none"/>
              </w:rPr>
            </w:pPr>
            <w:r>
              <w:rPr>
                <w:rFonts w:hint="eastAsia" w:ascii="宋体" w:hAnsi="宋体" w:eastAsia="宋体" w:cs="宋体"/>
                <w:color w:val="auto"/>
                <w:highlight w:val="none"/>
              </w:rPr>
              <w:t>序号</w:t>
            </w:r>
          </w:p>
        </w:tc>
        <w:tc>
          <w:tcPr>
            <w:tcW w:w="1260" w:type="dxa"/>
            <w:tcBorders>
              <w:top w:val="single" w:color="auto" w:sz="4" w:space="0"/>
              <w:left w:val="single" w:color="auto" w:sz="4" w:space="0"/>
              <w:bottom w:val="single" w:color="auto" w:sz="4" w:space="0"/>
              <w:right w:val="single" w:color="auto" w:sz="4" w:space="0"/>
            </w:tcBorders>
            <w:vAlign w:val="center"/>
          </w:tcPr>
          <w:p w14:paraId="43556584">
            <w:pPr>
              <w:rPr>
                <w:rFonts w:ascii="宋体" w:hAnsi="宋体" w:eastAsia="宋体" w:cs="宋体"/>
                <w:color w:val="auto"/>
                <w:highlight w:val="none"/>
              </w:rPr>
            </w:pPr>
            <w:r>
              <w:rPr>
                <w:rFonts w:hint="eastAsia" w:ascii="宋体" w:hAnsi="宋体" w:eastAsia="宋体" w:cs="宋体"/>
                <w:color w:val="auto"/>
                <w:highlight w:val="none"/>
              </w:rPr>
              <w:t>标的名称</w:t>
            </w:r>
          </w:p>
        </w:tc>
        <w:tc>
          <w:tcPr>
            <w:tcW w:w="1251" w:type="dxa"/>
            <w:tcBorders>
              <w:top w:val="single" w:color="auto" w:sz="4" w:space="0"/>
              <w:left w:val="single" w:color="auto" w:sz="4" w:space="0"/>
              <w:bottom w:val="single" w:color="auto" w:sz="4" w:space="0"/>
              <w:right w:val="single" w:color="auto" w:sz="4" w:space="0"/>
            </w:tcBorders>
            <w:vAlign w:val="center"/>
          </w:tcPr>
          <w:p w14:paraId="60248523">
            <w:pPr>
              <w:jc w:val="center"/>
              <w:rPr>
                <w:rFonts w:ascii="宋体" w:hAnsi="宋体" w:eastAsia="宋体" w:cs="宋体"/>
                <w:color w:val="auto"/>
                <w:highlight w:val="none"/>
              </w:rPr>
            </w:pPr>
            <w:r>
              <w:rPr>
                <w:rFonts w:hint="eastAsia" w:ascii="宋体" w:hAnsi="宋体" w:eastAsia="宋体" w:cs="宋体"/>
                <w:color w:val="auto"/>
                <w:highlight w:val="none"/>
              </w:rPr>
              <w:t>规格型号</w:t>
            </w:r>
          </w:p>
        </w:tc>
        <w:tc>
          <w:tcPr>
            <w:tcW w:w="975" w:type="dxa"/>
            <w:tcBorders>
              <w:top w:val="single" w:color="auto" w:sz="4" w:space="0"/>
              <w:left w:val="single" w:color="auto" w:sz="4" w:space="0"/>
              <w:bottom w:val="single" w:color="auto" w:sz="4" w:space="0"/>
              <w:right w:val="single" w:color="auto" w:sz="4" w:space="0"/>
            </w:tcBorders>
            <w:vAlign w:val="center"/>
          </w:tcPr>
          <w:p w14:paraId="4FE3B35E">
            <w:pPr>
              <w:jc w:val="center"/>
              <w:rPr>
                <w:rFonts w:ascii="宋体" w:hAnsi="宋体" w:eastAsia="宋体" w:cs="宋体"/>
                <w:color w:val="auto"/>
                <w:highlight w:val="none"/>
              </w:rPr>
            </w:pPr>
            <w:r>
              <w:rPr>
                <w:rFonts w:hint="eastAsia" w:ascii="宋体" w:hAnsi="宋体" w:eastAsia="宋体" w:cs="宋体"/>
                <w:color w:val="auto"/>
                <w:highlight w:val="none"/>
              </w:rPr>
              <w:t>品牌</w:t>
            </w:r>
          </w:p>
          <w:p w14:paraId="7C22764D">
            <w:pPr>
              <w:jc w:val="center"/>
              <w:rPr>
                <w:rFonts w:ascii="宋体" w:hAnsi="宋体" w:eastAsia="宋体" w:cs="宋体"/>
                <w:color w:val="auto"/>
                <w:highlight w:val="none"/>
              </w:rPr>
            </w:pPr>
            <w:r>
              <w:rPr>
                <w:rFonts w:hint="eastAsia" w:ascii="宋体" w:hAnsi="宋体" w:eastAsia="宋体" w:cs="宋体"/>
                <w:color w:val="auto"/>
                <w:highlight w:val="none"/>
              </w:rPr>
              <w:t>及制造商</w:t>
            </w:r>
          </w:p>
        </w:tc>
        <w:tc>
          <w:tcPr>
            <w:tcW w:w="918" w:type="dxa"/>
            <w:tcBorders>
              <w:top w:val="single" w:color="auto" w:sz="4" w:space="0"/>
              <w:left w:val="single" w:color="auto" w:sz="4" w:space="0"/>
              <w:bottom w:val="single" w:color="auto" w:sz="4" w:space="0"/>
              <w:right w:val="single" w:color="auto" w:sz="4" w:space="0"/>
            </w:tcBorders>
            <w:vAlign w:val="center"/>
          </w:tcPr>
          <w:p w14:paraId="2E61A46C">
            <w:pPr>
              <w:jc w:val="center"/>
              <w:rPr>
                <w:rFonts w:ascii="宋体" w:hAnsi="宋体" w:eastAsia="宋体" w:cs="宋体"/>
                <w:color w:val="auto"/>
                <w:highlight w:val="none"/>
              </w:rPr>
            </w:pPr>
            <w:r>
              <w:rPr>
                <w:rFonts w:hint="eastAsia" w:ascii="宋体" w:hAnsi="宋体" w:eastAsia="宋体" w:cs="宋体"/>
                <w:color w:val="auto"/>
                <w:highlight w:val="none"/>
              </w:rPr>
              <w:t>数量及单位①</w:t>
            </w:r>
          </w:p>
        </w:tc>
        <w:tc>
          <w:tcPr>
            <w:tcW w:w="1332" w:type="dxa"/>
            <w:tcBorders>
              <w:top w:val="single" w:color="auto" w:sz="4" w:space="0"/>
              <w:left w:val="single" w:color="auto" w:sz="4" w:space="0"/>
              <w:bottom w:val="single" w:color="auto" w:sz="4" w:space="0"/>
              <w:right w:val="single" w:color="auto" w:sz="4" w:space="0"/>
            </w:tcBorders>
            <w:vAlign w:val="center"/>
          </w:tcPr>
          <w:p w14:paraId="370F35BE">
            <w:pPr>
              <w:rPr>
                <w:rFonts w:ascii="宋体" w:hAnsi="宋体" w:eastAsia="宋体" w:cs="宋体"/>
                <w:color w:val="auto"/>
                <w:highlight w:val="none"/>
              </w:rPr>
            </w:pPr>
            <w:r>
              <w:rPr>
                <w:rFonts w:hint="eastAsia" w:ascii="宋体" w:hAnsi="宋体" w:eastAsia="宋体" w:cs="宋体"/>
                <w:color w:val="auto"/>
                <w:highlight w:val="none"/>
              </w:rPr>
              <w:t>单价(元)②</w:t>
            </w:r>
          </w:p>
        </w:tc>
        <w:tc>
          <w:tcPr>
            <w:tcW w:w="1707" w:type="dxa"/>
            <w:tcBorders>
              <w:top w:val="single" w:color="auto" w:sz="4" w:space="0"/>
              <w:left w:val="single" w:color="auto" w:sz="4" w:space="0"/>
              <w:bottom w:val="single" w:color="auto" w:sz="4" w:space="0"/>
              <w:right w:val="single" w:color="auto" w:sz="4" w:space="0"/>
            </w:tcBorders>
            <w:vAlign w:val="center"/>
          </w:tcPr>
          <w:p w14:paraId="70F8040A">
            <w:pPr>
              <w:rPr>
                <w:rFonts w:ascii="宋体" w:hAnsi="宋体" w:eastAsia="宋体" w:cs="宋体"/>
                <w:color w:val="auto"/>
                <w:highlight w:val="none"/>
              </w:rPr>
            </w:pPr>
            <w:r>
              <w:rPr>
                <w:rFonts w:hint="eastAsia" w:ascii="宋体" w:hAnsi="宋体" w:eastAsia="宋体" w:cs="宋体"/>
                <w:color w:val="auto"/>
                <w:highlight w:val="none"/>
              </w:rPr>
              <w:t>单项合价（元）</w:t>
            </w:r>
          </w:p>
          <w:p w14:paraId="44CCD405">
            <w:pPr>
              <w:rPr>
                <w:rFonts w:ascii="宋体" w:hAnsi="宋体" w:eastAsia="宋体" w:cs="宋体"/>
                <w:color w:val="auto"/>
                <w:highlight w:val="none"/>
              </w:rPr>
            </w:pPr>
            <w:r>
              <w:rPr>
                <w:rFonts w:hint="eastAsia" w:ascii="宋体" w:hAnsi="宋体" w:eastAsia="宋体" w:cs="宋体"/>
                <w:color w:val="auto"/>
                <w:highlight w:val="none"/>
              </w:rPr>
              <w:t>③＝①×②</w:t>
            </w:r>
          </w:p>
        </w:tc>
        <w:tc>
          <w:tcPr>
            <w:tcW w:w="1651" w:type="dxa"/>
            <w:tcBorders>
              <w:top w:val="single" w:color="auto" w:sz="4" w:space="0"/>
              <w:left w:val="single" w:color="auto" w:sz="4" w:space="0"/>
              <w:bottom w:val="single" w:color="auto" w:sz="4" w:space="0"/>
              <w:right w:val="single" w:color="auto" w:sz="4" w:space="0"/>
            </w:tcBorders>
            <w:vAlign w:val="center"/>
          </w:tcPr>
          <w:p w14:paraId="2CCFE6A5">
            <w:pPr>
              <w:jc w:val="center"/>
              <w:rPr>
                <w:rFonts w:ascii="宋体" w:hAnsi="宋体" w:eastAsia="宋体" w:cs="宋体"/>
                <w:color w:val="auto"/>
                <w:highlight w:val="none"/>
              </w:rPr>
            </w:pPr>
            <w:r>
              <w:rPr>
                <w:rFonts w:hint="eastAsia" w:ascii="宋体" w:hAnsi="宋体" w:eastAsia="宋体" w:cs="宋体"/>
                <w:color w:val="auto"/>
                <w:highlight w:val="none"/>
              </w:rPr>
              <w:t>备注</w:t>
            </w:r>
          </w:p>
        </w:tc>
      </w:tr>
      <w:tr w14:paraId="015C3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vAlign w:val="center"/>
          </w:tcPr>
          <w:p w14:paraId="486724E8">
            <w:pPr>
              <w:jc w:val="center"/>
              <w:rPr>
                <w:rFonts w:ascii="宋体" w:hAnsi="宋体" w:eastAsia="宋体" w:cs="宋体"/>
                <w:color w:val="auto"/>
                <w:highlight w:val="none"/>
              </w:rPr>
            </w:pPr>
            <w:r>
              <w:rPr>
                <w:rFonts w:hint="eastAsia" w:ascii="宋体" w:hAnsi="宋体" w:eastAsia="宋体" w:cs="宋体"/>
                <w:color w:val="auto"/>
                <w:highlight w:val="none"/>
              </w:rPr>
              <w:t>1</w:t>
            </w:r>
          </w:p>
        </w:tc>
        <w:tc>
          <w:tcPr>
            <w:tcW w:w="1260" w:type="dxa"/>
            <w:tcBorders>
              <w:top w:val="single" w:color="auto" w:sz="4" w:space="0"/>
              <w:left w:val="single" w:color="auto" w:sz="4" w:space="0"/>
              <w:bottom w:val="single" w:color="auto" w:sz="4" w:space="0"/>
              <w:right w:val="single" w:color="auto" w:sz="4" w:space="0"/>
            </w:tcBorders>
            <w:vAlign w:val="center"/>
          </w:tcPr>
          <w:p w14:paraId="3035810D">
            <w:pPr>
              <w:rPr>
                <w:rFonts w:ascii="宋体" w:hAnsi="宋体" w:eastAsia="宋体" w:cs="宋体"/>
                <w:color w:val="auto"/>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14:paraId="4E90F35A">
            <w:pPr>
              <w:rPr>
                <w:rFonts w:ascii="宋体" w:hAnsi="宋体" w:eastAsia="宋体" w:cs="宋体"/>
                <w:color w:val="auto"/>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14:paraId="76017750">
            <w:pPr>
              <w:rPr>
                <w:rFonts w:ascii="宋体" w:hAnsi="宋体" w:eastAsia="宋体" w:cs="宋体"/>
                <w:color w:val="auto"/>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14:paraId="21CD42A0">
            <w:pPr>
              <w:rPr>
                <w:rFonts w:ascii="宋体" w:hAnsi="宋体" w:eastAsia="宋体" w:cs="宋体"/>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73512ECE">
            <w:pPr>
              <w:rPr>
                <w:rFonts w:ascii="宋体" w:hAnsi="宋体" w:eastAsia="宋体" w:cs="宋体"/>
                <w:color w:val="auto"/>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14:paraId="1E532F96">
            <w:pPr>
              <w:rPr>
                <w:rFonts w:ascii="宋体" w:hAnsi="宋体" w:eastAsia="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tcPr>
          <w:p w14:paraId="141343CA">
            <w:pPr>
              <w:rPr>
                <w:rFonts w:ascii="宋体" w:hAnsi="宋体" w:eastAsia="宋体" w:cs="宋体"/>
                <w:color w:val="auto"/>
                <w:highlight w:val="none"/>
              </w:rPr>
            </w:pPr>
          </w:p>
        </w:tc>
      </w:tr>
      <w:tr w14:paraId="3A4F6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vAlign w:val="center"/>
          </w:tcPr>
          <w:p w14:paraId="42EF0A39">
            <w:pPr>
              <w:jc w:val="center"/>
              <w:rPr>
                <w:rFonts w:ascii="宋体" w:hAnsi="宋体" w:eastAsia="宋体" w:cs="宋体"/>
                <w:color w:val="auto"/>
                <w:highlight w:val="none"/>
              </w:rPr>
            </w:pPr>
            <w:r>
              <w:rPr>
                <w:rFonts w:hint="eastAsia" w:ascii="宋体" w:hAnsi="宋体" w:eastAsia="宋体" w:cs="宋体"/>
                <w:color w:val="auto"/>
                <w:highlight w:val="none"/>
              </w:rPr>
              <w:t>2</w:t>
            </w:r>
          </w:p>
        </w:tc>
        <w:tc>
          <w:tcPr>
            <w:tcW w:w="1260" w:type="dxa"/>
            <w:tcBorders>
              <w:top w:val="single" w:color="auto" w:sz="4" w:space="0"/>
              <w:left w:val="single" w:color="auto" w:sz="4" w:space="0"/>
              <w:bottom w:val="single" w:color="auto" w:sz="4" w:space="0"/>
              <w:right w:val="single" w:color="auto" w:sz="4" w:space="0"/>
            </w:tcBorders>
            <w:vAlign w:val="center"/>
          </w:tcPr>
          <w:p w14:paraId="2BC1B02D">
            <w:pPr>
              <w:rPr>
                <w:rFonts w:ascii="宋体" w:hAnsi="宋体" w:eastAsia="宋体" w:cs="宋体"/>
                <w:color w:val="auto"/>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14:paraId="05CD1A82">
            <w:pPr>
              <w:rPr>
                <w:rFonts w:ascii="宋体" w:hAnsi="宋体" w:eastAsia="宋体" w:cs="宋体"/>
                <w:color w:val="auto"/>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14:paraId="43E02BE5">
            <w:pPr>
              <w:rPr>
                <w:rFonts w:ascii="宋体" w:hAnsi="宋体" w:eastAsia="宋体" w:cs="宋体"/>
                <w:color w:val="auto"/>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14:paraId="580BD086">
            <w:pPr>
              <w:rPr>
                <w:rFonts w:ascii="宋体" w:hAnsi="宋体" w:eastAsia="宋体" w:cs="宋体"/>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4344791F">
            <w:pPr>
              <w:rPr>
                <w:rFonts w:ascii="宋体" w:hAnsi="宋体" w:eastAsia="宋体" w:cs="宋体"/>
                <w:color w:val="auto"/>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14:paraId="76E527CC">
            <w:pPr>
              <w:rPr>
                <w:rFonts w:ascii="宋体" w:hAnsi="宋体" w:eastAsia="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tcPr>
          <w:p w14:paraId="2A3DE865">
            <w:pPr>
              <w:rPr>
                <w:rFonts w:ascii="宋体" w:hAnsi="宋体" w:eastAsia="宋体" w:cs="宋体"/>
                <w:color w:val="auto"/>
                <w:highlight w:val="none"/>
              </w:rPr>
            </w:pPr>
          </w:p>
        </w:tc>
      </w:tr>
      <w:tr w14:paraId="3B1CA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719" w:type="dxa"/>
            <w:tcBorders>
              <w:top w:val="single" w:color="auto" w:sz="4" w:space="0"/>
              <w:left w:val="single" w:color="auto" w:sz="4" w:space="0"/>
              <w:bottom w:val="single" w:color="auto" w:sz="4" w:space="0"/>
              <w:right w:val="single" w:color="auto" w:sz="4" w:space="0"/>
            </w:tcBorders>
            <w:vAlign w:val="center"/>
          </w:tcPr>
          <w:p w14:paraId="04629534">
            <w:pPr>
              <w:jc w:val="center"/>
              <w:rPr>
                <w:rFonts w:ascii="宋体" w:hAnsi="宋体" w:eastAsia="宋体" w:cs="宋体"/>
                <w:color w:val="auto"/>
                <w:highlight w:val="none"/>
              </w:rPr>
            </w:pPr>
            <w:r>
              <w:rPr>
                <w:rFonts w:hint="eastAsia" w:ascii="宋体" w:hAnsi="宋体" w:eastAsia="宋体" w:cs="宋体"/>
                <w:color w:val="auto"/>
                <w:highlight w:val="none"/>
              </w:rPr>
              <w:t>...</w:t>
            </w:r>
          </w:p>
        </w:tc>
        <w:tc>
          <w:tcPr>
            <w:tcW w:w="1260" w:type="dxa"/>
            <w:tcBorders>
              <w:top w:val="single" w:color="auto" w:sz="4" w:space="0"/>
              <w:left w:val="single" w:color="auto" w:sz="4" w:space="0"/>
              <w:bottom w:val="single" w:color="auto" w:sz="4" w:space="0"/>
              <w:right w:val="single" w:color="auto" w:sz="4" w:space="0"/>
            </w:tcBorders>
            <w:vAlign w:val="center"/>
          </w:tcPr>
          <w:p w14:paraId="55EFCA40">
            <w:pPr>
              <w:rPr>
                <w:rFonts w:ascii="宋体" w:hAnsi="宋体" w:eastAsia="宋体" w:cs="宋体"/>
                <w:color w:val="auto"/>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14:paraId="2A028194">
            <w:pPr>
              <w:rPr>
                <w:rFonts w:ascii="宋体" w:hAnsi="宋体" w:eastAsia="宋体" w:cs="宋体"/>
                <w:color w:val="auto"/>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14:paraId="2C0B4616">
            <w:pPr>
              <w:rPr>
                <w:rFonts w:ascii="宋体" w:hAnsi="宋体" w:eastAsia="宋体" w:cs="宋体"/>
                <w:color w:val="auto"/>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14:paraId="57F2A98B">
            <w:pPr>
              <w:rPr>
                <w:rFonts w:ascii="宋体" w:hAnsi="宋体" w:eastAsia="宋体" w:cs="宋体"/>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6D4F808B">
            <w:pPr>
              <w:rPr>
                <w:rFonts w:ascii="宋体" w:hAnsi="宋体" w:eastAsia="宋体" w:cs="宋体"/>
                <w:color w:val="auto"/>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14:paraId="73B3B2C4">
            <w:pPr>
              <w:rPr>
                <w:rFonts w:ascii="宋体" w:hAnsi="宋体" w:eastAsia="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tcPr>
          <w:p w14:paraId="4981E202">
            <w:pPr>
              <w:rPr>
                <w:rFonts w:ascii="宋体" w:hAnsi="宋体" w:eastAsia="宋体" w:cs="宋体"/>
                <w:color w:val="auto"/>
                <w:highlight w:val="none"/>
              </w:rPr>
            </w:pPr>
          </w:p>
        </w:tc>
      </w:tr>
      <w:tr w14:paraId="00776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vAlign w:val="bottom"/>
          </w:tcPr>
          <w:p w14:paraId="7CB5C5D4">
            <w:pPr>
              <w:rPr>
                <w:color w:val="auto"/>
                <w:highlight w:val="none"/>
              </w:rPr>
            </w:pPr>
            <w:r>
              <w:rPr>
                <w:rFonts w:hint="eastAsia"/>
                <w:color w:val="auto"/>
                <w:highlight w:val="none"/>
              </w:rPr>
              <w:t>竞标总报价（包含税费等所有费用）：</w:t>
            </w:r>
            <w:r>
              <w:rPr>
                <w:rFonts w:hint="eastAsia"/>
                <w:color w:val="auto"/>
                <w:highlight w:val="none"/>
                <w:u w:val="single"/>
              </w:rPr>
              <w:t>（大写）人民币                      （小写）</w:t>
            </w:r>
            <w:r>
              <w:rPr>
                <w:rFonts w:hint="eastAsia" w:ascii="宋体" w:hAnsi="宋体" w:eastAsia="宋体" w:cs="宋体"/>
                <w:color w:val="auto"/>
                <w:highlight w:val="none"/>
                <w:u w:val="single"/>
              </w:rPr>
              <w:t xml:space="preserve">¥     </w:t>
            </w:r>
            <w:r>
              <w:rPr>
                <w:rFonts w:hint="eastAsia"/>
                <w:color w:val="auto"/>
                <w:highlight w:val="none"/>
                <w:u w:val="single"/>
              </w:rPr>
              <w:t xml:space="preserve">      </w:t>
            </w:r>
            <w:r>
              <w:rPr>
                <w:rFonts w:hint="eastAsia"/>
                <w:color w:val="auto"/>
                <w:highlight w:val="none"/>
              </w:rPr>
              <w:t xml:space="preserve"> </w:t>
            </w:r>
          </w:p>
          <w:p w14:paraId="4E4B4336">
            <w:pPr>
              <w:pStyle w:val="21"/>
              <w:jc w:val="both"/>
              <w:rPr>
                <w:color w:val="auto"/>
                <w:highlight w:val="none"/>
              </w:rPr>
            </w:pPr>
          </w:p>
        </w:tc>
      </w:tr>
      <w:tr w14:paraId="7A590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vAlign w:val="center"/>
          </w:tcPr>
          <w:p w14:paraId="5DAF14FF">
            <w:pPr>
              <w:rPr>
                <w:rFonts w:ascii="宋体" w:hAnsi="宋体" w:eastAsia="宋体" w:cs="宋体"/>
                <w:color w:val="auto"/>
                <w:highlight w:val="none"/>
              </w:rPr>
            </w:pPr>
            <w:r>
              <w:rPr>
                <w:rFonts w:hint="eastAsia" w:ascii="宋体" w:hAnsi="宋体" w:eastAsia="宋体" w:cs="宋体"/>
                <w:color w:val="auto"/>
                <w:highlight w:val="none"/>
              </w:rPr>
              <w:t>交付时间：</w:t>
            </w:r>
          </w:p>
        </w:tc>
      </w:tr>
      <w:tr w14:paraId="770B8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vAlign w:val="center"/>
          </w:tcPr>
          <w:p w14:paraId="62E68506">
            <w:pPr>
              <w:rPr>
                <w:rFonts w:ascii="宋体" w:hAnsi="宋体" w:eastAsia="宋体" w:cs="宋体"/>
                <w:color w:val="auto"/>
                <w:highlight w:val="none"/>
              </w:rPr>
            </w:pPr>
            <w:r>
              <w:rPr>
                <w:rFonts w:hint="eastAsia" w:ascii="宋体" w:hAnsi="宋体" w:eastAsia="宋体" w:cs="宋体"/>
                <w:color w:val="auto"/>
                <w:highlight w:val="none"/>
              </w:rPr>
              <w:t>优惠及其它：</w:t>
            </w:r>
            <w:r>
              <w:rPr>
                <w:rFonts w:hint="eastAsia" w:ascii="宋体" w:hAnsi="宋体" w:eastAsia="宋体" w:cs="宋体"/>
                <w:i/>
                <w:iCs/>
                <w:color w:val="auto"/>
                <w:highlight w:val="none"/>
              </w:rPr>
              <w:t>（如没有填写无）</w:t>
            </w:r>
          </w:p>
        </w:tc>
      </w:tr>
    </w:tbl>
    <w:p w14:paraId="39AAA032">
      <w:pPr>
        <w:snapToGrid w:val="0"/>
        <w:spacing w:before="50" w:after="50" w:line="360" w:lineRule="auto"/>
        <w:ind w:firstLine="640" w:firstLineChars="200"/>
        <w:jc w:val="left"/>
        <w:rPr>
          <w:rFonts w:ascii="宋体" w:hAnsi="宋体" w:eastAsia="宋体" w:cs="宋体"/>
          <w:i/>
          <w:iCs/>
          <w:color w:val="auto"/>
          <w:kern w:val="0"/>
          <w:sz w:val="32"/>
          <w:szCs w:val="32"/>
          <w:highlight w:val="none"/>
          <w:lang w:val="zh-CN"/>
        </w:rPr>
      </w:pPr>
    </w:p>
    <w:p w14:paraId="2376D77B">
      <w:pPr>
        <w:autoSpaceDE w:val="0"/>
        <w:autoSpaceDN w:val="0"/>
        <w:spacing w:line="360" w:lineRule="auto"/>
        <w:rPr>
          <w:rFonts w:ascii="宋体" w:hAnsi="宋体" w:eastAsia="宋体" w:cs="宋体"/>
          <w:i/>
          <w:iCs/>
          <w:color w:val="auto"/>
          <w:kern w:val="0"/>
          <w:sz w:val="32"/>
          <w:szCs w:val="32"/>
          <w:highlight w:val="none"/>
          <w:lang w:val="zh-CN"/>
        </w:rPr>
      </w:pPr>
    </w:p>
    <w:p w14:paraId="6B429984">
      <w:pPr>
        <w:autoSpaceDE w:val="0"/>
        <w:autoSpaceDN w:val="0"/>
        <w:spacing w:line="360" w:lineRule="auto"/>
        <w:rPr>
          <w:rFonts w:ascii="宋体" w:hAnsi="宋体" w:eastAsia="宋体" w:cs="宋体"/>
          <w:i/>
          <w:iCs/>
          <w:color w:val="auto"/>
          <w:kern w:val="0"/>
          <w:sz w:val="32"/>
          <w:szCs w:val="32"/>
          <w:highlight w:val="none"/>
          <w:lang w:val="zh-CN"/>
        </w:rPr>
      </w:pPr>
    </w:p>
    <w:p w14:paraId="43607CEA">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719FB8E4">
      <w:pPr>
        <w:autoSpaceDE w:val="0"/>
        <w:autoSpaceDN w:val="0"/>
        <w:spacing w:line="360" w:lineRule="auto"/>
        <w:ind w:firstLine="6480" w:firstLineChars="270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14:paraId="153C3385">
      <w:pPr>
        <w:pStyle w:val="21"/>
        <w:rPr>
          <w:color w:val="auto"/>
          <w:highlight w:val="none"/>
        </w:rPr>
      </w:pPr>
    </w:p>
    <w:p w14:paraId="0FFC8147">
      <w:pPr>
        <w:keepNext/>
        <w:keepLines/>
        <w:spacing w:before="260" w:after="260" w:line="416" w:lineRule="auto"/>
        <w:jc w:val="center"/>
        <w:outlineLvl w:val="1"/>
        <w:rPr>
          <w:rFonts w:ascii="宋体" w:hAnsi="宋体" w:eastAsia="宋体" w:cs="Times New Roman"/>
          <w:bCs/>
          <w:color w:val="auto"/>
          <w:sz w:val="32"/>
          <w:szCs w:val="32"/>
          <w:highlight w:val="none"/>
          <w:lang w:val="zh-CN"/>
        </w:rPr>
      </w:pPr>
      <w:r>
        <w:rPr>
          <w:rFonts w:ascii="宋体" w:hAnsi="宋体" w:eastAsia="宋体" w:cs="Times New Roman"/>
          <w:color w:val="auto"/>
          <w:sz w:val="24"/>
          <w:szCs w:val="32"/>
          <w:highlight w:val="none"/>
          <w:lang w:val="zh-CN"/>
        </w:rPr>
        <w:br w:type="page"/>
      </w:r>
      <w:bookmarkStart w:id="158" w:name="_Toc13939"/>
      <w:bookmarkStart w:id="159" w:name="_Toc80205942"/>
      <w:bookmarkStart w:id="160" w:name="_Toc23320"/>
      <w:r>
        <w:rPr>
          <w:rFonts w:hint="eastAsia" w:ascii="宋体" w:hAnsi="宋体" w:eastAsia="宋体" w:cs="Times New Roman"/>
          <w:b/>
          <w:bCs/>
          <w:color w:val="auto"/>
          <w:sz w:val="32"/>
          <w:szCs w:val="32"/>
          <w:highlight w:val="none"/>
          <w:lang w:val="zh-CN"/>
        </w:rPr>
        <w:t>第四节 其他文书、文件格式</w:t>
      </w:r>
      <w:bookmarkEnd w:id="158"/>
      <w:bookmarkEnd w:id="159"/>
      <w:bookmarkEnd w:id="160"/>
    </w:p>
    <w:p w14:paraId="41BCC2F3">
      <w:pPr>
        <w:spacing w:line="500" w:lineRule="exact"/>
        <w:rPr>
          <w:rFonts w:ascii="宋体" w:hAnsi="宋体" w:eastAsia="宋体" w:cs="宋体"/>
          <w:b/>
          <w:color w:val="auto"/>
          <w:sz w:val="30"/>
          <w:szCs w:val="30"/>
          <w:highlight w:val="none"/>
          <w:lang w:val="zh-CN"/>
        </w:rPr>
      </w:pPr>
      <w:r>
        <w:rPr>
          <w:rFonts w:hint="eastAsia" w:ascii="宋体" w:hAnsi="宋体" w:eastAsia="宋体" w:cs="宋体"/>
          <w:b/>
          <w:color w:val="auto"/>
          <w:sz w:val="30"/>
          <w:szCs w:val="30"/>
          <w:highlight w:val="none"/>
        </w:rPr>
        <w:t>1.</w:t>
      </w:r>
      <w:r>
        <w:rPr>
          <w:rFonts w:hint="eastAsia" w:ascii="宋体" w:hAnsi="宋体" w:eastAsia="宋体" w:cs="宋体"/>
          <w:b/>
          <w:color w:val="auto"/>
          <w:sz w:val="30"/>
          <w:szCs w:val="30"/>
          <w:highlight w:val="none"/>
          <w:lang w:val="zh-CN"/>
        </w:rPr>
        <w:t>中小企业声明函的格式：</w:t>
      </w:r>
    </w:p>
    <w:p w14:paraId="259C712F">
      <w:pPr>
        <w:pStyle w:val="13"/>
        <w:rPr>
          <w:rFonts w:ascii="宋体" w:hAnsi="宋体" w:cs="宋体"/>
          <w:color w:val="auto"/>
          <w:highlight w:val="none"/>
        </w:rPr>
      </w:pPr>
    </w:p>
    <w:p w14:paraId="202A0FAB">
      <w:pPr>
        <w:spacing w:line="300" w:lineRule="auto"/>
        <w:ind w:firstLine="3534" w:firstLineChars="1100"/>
        <w:rPr>
          <w:rFonts w:ascii="宋体" w:hAnsi="宋体" w:eastAsia="宋体" w:cs="宋体"/>
          <w:color w:val="auto"/>
          <w:sz w:val="44"/>
          <w:szCs w:val="44"/>
          <w:highlight w:val="none"/>
        </w:rPr>
      </w:pPr>
      <w:r>
        <w:rPr>
          <w:rFonts w:hint="eastAsia" w:ascii="宋体" w:hAnsi="宋体" w:eastAsia="宋体" w:cs="宋体"/>
          <w:b/>
          <w:bCs/>
          <w:color w:val="auto"/>
          <w:sz w:val="32"/>
          <w:szCs w:val="32"/>
          <w:highlight w:val="none"/>
        </w:rPr>
        <w:t>中小企业声明函</w:t>
      </w:r>
    </w:p>
    <w:p w14:paraId="4A8F8AC6">
      <w:pPr>
        <w:spacing w:line="360" w:lineRule="auto"/>
        <w:ind w:left="-426" w:right="142" w:firstLine="640"/>
        <w:contextualSpacing/>
        <w:rPr>
          <w:rFonts w:ascii="宋体" w:hAnsi="宋体" w:eastAsia="宋体" w:cs="宋体"/>
          <w:color w:val="auto"/>
          <w:sz w:val="24"/>
          <w:szCs w:val="24"/>
          <w:highlight w:val="none"/>
          <w:lang w:val="zh-CN"/>
        </w:rPr>
      </w:pPr>
    </w:p>
    <w:p w14:paraId="129AE723">
      <w:pPr>
        <w:spacing w:line="360" w:lineRule="auto"/>
        <w:ind w:left="-426" w:right="142" w:firstLine="640"/>
        <w:contextualSpacing/>
        <w:rPr>
          <w:rFonts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本公司（联合体）郑重声明，根据《政府采购促进中小企业发展管理办法》（财库﹝2020﹞46号）的规定，本公司（联合体）参加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u w:val="single"/>
        </w:rPr>
        <w:t>（单位名称）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的</w:t>
      </w:r>
      <w:r>
        <w:rPr>
          <w:rFonts w:hint="eastAsia" w:ascii="宋体" w:hAnsi="宋体" w:eastAsia="宋体" w:cs="宋体"/>
          <w:i/>
          <w:iCs/>
          <w:color w:val="auto"/>
          <w:sz w:val="24"/>
          <w:szCs w:val="24"/>
          <w:highlight w:val="none"/>
          <w:u w:val="single"/>
        </w:rPr>
        <w:t>（项目名称）</w:t>
      </w:r>
      <w:r>
        <w:rPr>
          <w:rFonts w:hint="eastAsia" w:ascii="宋体" w:hAnsi="宋体" w:eastAsia="宋体" w:cs="宋体"/>
          <w:color w:val="auto"/>
          <w:sz w:val="24"/>
          <w:szCs w:val="24"/>
          <w:highlight w:val="none"/>
          <w:lang w:val="zh-CN"/>
        </w:rPr>
        <w:t>采购活动，提供的货物全部由符合政策要求的中小企业制造。相关企业（含联合体中的中小企业、签订分包意向协议的中小企业）的具体情况如下：</w:t>
      </w:r>
    </w:p>
    <w:p w14:paraId="790EC760">
      <w:pPr>
        <w:tabs>
          <w:tab w:val="left" w:pos="1384"/>
          <w:tab w:val="left" w:pos="4562"/>
          <w:tab w:val="left" w:pos="6803"/>
        </w:tabs>
        <w:spacing w:line="360" w:lineRule="auto"/>
        <w:ind w:left="-426" w:right="-58" w:firstLine="655"/>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i/>
          <w:iCs/>
          <w:color w:val="auto"/>
          <w:sz w:val="24"/>
          <w:szCs w:val="24"/>
          <w:highlight w:val="none"/>
          <w:u w:val="single"/>
        </w:rPr>
        <w:t>（标的名称）</w:t>
      </w:r>
      <w:r>
        <w:rPr>
          <w:rFonts w:hint="eastAsia" w:ascii="宋体" w:hAnsi="宋体" w:eastAsia="宋体" w:cs="宋体"/>
          <w:color w:val="auto"/>
          <w:sz w:val="24"/>
          <w:szCs w:val="24"/>
          <w:highlight w:val="none"/>
        </w:rPr>
        <w:t>，属于</w:t>
      </w:r>
      <w:r>
        <w:rPr>
          <w:rFonts w:hint="eastAsia" w:ascii="宋体" w:hAnsi="宋体" w:eastAsia="宋体" w:cs="宋体"/>
          <w:i/>
          <w:iCs/>
          <w:color w:val="auto"/>
          <w:sz w:val="24"/>
          <w:szCs w:val="24"/>
          <w:highlight w:val="none"/>
          <w:u w:val="single"/>
        </w:rPr>
        <w:t>（采购文件中明确的所属行业）行业</w:t>
      </w:r>
      <w:r>
        <w:rPr>
          <w:rFonts w:hint="eastAsia" w:ascii="宋体" w:hAnsi="宋体" w:eastAsia="宋体" w:cs="宋体"/>
          <w:color w:val="auto"/>
          <w:sz w:val="24"/>
          <w:szCs w:val="24"/>
          <w:highlight w:val="none"/>
        </w:rPr>
        <w:t>；制造商为</w:t>
      </w:r>
      <w:r>
        <w:rPr>
          <w:rFonts w:hint="eastAsia" w:ascii="宋体" w:hAnsi="宋体" w:eastAsia="宋体" w:cs="宋体"/>
          <w:i/>
          <w:iCs/>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i/>
          <w:iCs/>
          <w:color w:val="auto"/>
          <w:sz w:val="24"/>
          <w:szCs w:val="24"/>
          <w:highlight w:val="none"/>
          <w:u w:val="single"/>
        </w:rPr>
        <w:t>（中型企业、小型企业、微型企业</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w:t>
      </w:r>
    </w:p>
    <w:p w14:paraId="3C436F6E">
      <w:pPr>
        <w:tabs>
          <w:tab w:val="left" w:pos="1065"/>
          <w:tab w:val="left" w:pos="6477"/>
        </w:tabs>
        <w:spacing w:line="360" w:lineRule="auto"/>
        <w:ind w:left="-426" w:right="-58" w:firstLine="655"/>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i/>
          <w:iCs/>
          <w:color w:val="auto"/>
          <w:sz w:val="24"/>
          <w:szCs w:val="24"/>
          <w:highlight w:val="none"/>
          <w:u w:val="single"/>
        </w:rPr>
        <w:t>（标的名称）</w:t>
      </w:r>
      <w:r>
        <w:rPr>
          <w:rFonts w:hint="eastAsia" w:ascii="宋体" w:hAnsi="宋体" w:eastAsia="宋体" w:cs="宋体"/>
          <w:color w:val="auto"/>
          <w:sz w:val="24"/>
          <w:szCs w:val="24"/>
          <w:highlight w:val="none"/>
        </w:rPr>
        <w:t>，属于</w:t>
      </w:r>
      <w:r>
        <w:rPr>
          <w:rFonts w:hint="eastAsia" w:ascii="宋体" w:hAnsi="宋体" w:eastAsia="宋体" w:cs="宋体"/>
          <w:i/>
          <w:iCs/>
          <w:color w:val="auto"/>
          <w:sz w:val="24"/>
          <w:szCs w:val="24"/>
          <w:highlight w:val="none"/>
          <w:u w:val="single"/>
        </w:rPr>
        <w:t>（采购文件中明确的所属行业）行业</w:t>
      </w:r>
      <w:r>
        <w:rPr>
          <w:rFonts w:hint="eastAsia" w:ascii="宋体" w:hAnsi="宋体" w:eastAsia="宋体" w:cs="宋体"/>
          <w:color w:val="auto"/>
          <w:sz w:val="24"/>
          <w:szCs w:val="24"/>
          <w:highlight w:val="none"/>
        </w:rPr>
        <w:t>；制造商为</w:t>
      </w:r>
      <w:r>
        <w:rPr>
          <w:rFonts w:hint="eastAsia" w:ascii="宋体" w:hAnsi="宋体" w:eastAsia="宋体" w:cs="宋体"/>
          <w:i/>
          <w:iCs/>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i/>
          <w:iCs/>
          <w:color w:val="auto"/>
          <w:sz w:val="24"/>
          <w:szCs w:val="24"/>
          <w:highlight w:val="none"/>
          <w:u w:val="single"/>
        </w:rPr>
        <w:t>（中型企业、小型企业、微型企业）</w:t>
      </w:r>
      <w:r>
        <w:rPr>
          <w:rFonts w:hint="eastAsia" w:ascii="宋体" w:hAnsi="宋体" w:eastAsia="宋体" w:cs="宋体"/>
          <w:color w:val="auto"/>
          <w:sz w:val="24"/>
          <w:szCs w:val="24"/>
          <w:highlight w:val="none"/>
        </w:rPr>
        <w:t>；</w:t>
      </w:r>
    </w:p>
    <w:p w14:paraId="35F63512">
      <w:pPr>
        <w:spacing w:line="360" w:lineRule="auto"/>
        <w:ind w:left="142" w:right="142"/>
        <w:contextualSpacing/>
        <w:rPr>
          <w:rFonts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 </w:t>
      </w:r>
    </w:p>
    <w:p w14:paraId="25B3DA4B">
      <w:pPr>
        <w:spacing w:line="360" w:lineRule="auto"/>
        <w:ind w:left="-405" w:leftChars="-193" w:right="142" w:firstLine="453" w:firstLineChars="189"/>
        <w:contextualSpacing/>
        <w:rPr>
          <w:rFonts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以上企业，不属于大企业的分支机构，不存在控股股东为大企业的情形，也不存在与大企业的负责人为同一人的情形。</w:t>
      </w:r>
    </w:p>
    <w:p w14:paraId="3078C086">
      <w:pPr>
        <w:spacing w:line="360" w:lineRule="auto"/>
        <w:ind w:left="-426" w:right="142" w:firstLine="567"/>
        <w:contextualSpacing/>
        <w:rPr>
          <w:rFonts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本企业对上述声明内容的真实性负责。如有虚假，将依法承担相应责任。</w:t>
      </w:r>
    </w:p>
    <w:p w14:paraId="14C1D747">
      <w:pPr>
        <w:spacing w:line="360" w:lineRule="auto"/>
        <w:ind w:left="3960" w:right="1808"/>
        <w:contextualSpacing/>
        <w:rPr>
          <w:rFonts w:ascii="宋体" w:hAnsi="宋体" w:eastAsia="宋体" w:cs="宋体"/>
          <w:color w:val="auto"/>
          <w:sz w:val="24"/>
          <w:szCs w:val="24"/>
          <w:highlight w:val="none"/>
          <w:lang w:val="zh-CN"/>
        </w:rPr>
      </w:pPr>
    </w:p>
    <w:p w14:paraId="16A301E0">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0A5E2CAE">
      <w:pPr>
        <w:autoSpaceDE w:val="0"/>
        <w:autoSpaceDN w:val="0"/>
        <w:spacing w:line="360" w:lineRule="auto"/>
        <w:ind w:firstLine="6480" w:firstLineChars="270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14:paraId="088100E9">
      <w:pPr>
        <w:spacing w:line="360" w:lineRule="auto"/>
        <w:ind w:left="3960" w:right="1808"/>
        <w:contextualSpacing/>
        <w:rPr>
          <w:rFonts w:ascii="宋体" w:hAnsi="宋体" w:eastAsia="宋体" w:cs="宋体"/>
          <w:color w:val="auto"/>
          <w:szCs w:val="24"/>
          <w:highlight w:val="none"/>
          <w:lang w:val="zh-CN"/>
        </w:rPr>
      </w:pPr>
    </w:p>
    <w:p w14:paraId="07899FC4">
      <w:pPr>
        <w:spacing w:line="360" w:lineRule="auto"/>
        <w:contextualSpacing/>
        <w:jc w:val="left"/>
        <w:rPr>
          <w:rFonts w:ascii="宋体" w:hAnsi="宋体" w:eastAsia="宋体" w:cs="宋体"/>
          <w:color w:val="auto"/>
          <w:szCs w:val="21"/>
          <w:highlight w:val="none"/>
        </w:rPr>
      </w:pPr>
    </w:p>
    <w:p w14:paraId="0D0F18F9">
      <w:pPr>
        <w:spacing w:line="400" w:lineRule="exact"/>
        <w:ind w:firstLine="480" w:firstLineChars="200"/>
        <w:contextualSpacing/>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享受《政府采购促进中小企业发展管理办法》（财库〔2020〕46号）规定的中小企业扶持政策的，采购人或者采购代理机构应当随成交结果公开成交供应商的《中小企业声明函》，接受社会监督。从业人员、营业收入、资产总额填报上一年度数据，无上一年度数据的新成立企业可不填报。</w:t>
      </w:r>
    </w:p>
    <w:p w14:paraId="0A84ACFB">
      <w:pPr>
        <w:pStyle w:val="21"/>
        <w:rPr>
          <w:rFonts w:ascii="宋体" w:hAnsi="宋体" w:cs="仿宋_GB2312"/>
          <w:color w:val="auto"/>
          <w:sz w:val="24"/>
          <w:szCs w:val="24"/>
          <w:highlight w:val="none"/>
        </w:rPr>
      </w:pPr>
    </w:p>
    <w:p w14:paraId="03415DBB">
      <w:pPr>
        <w:spacing w:line="520" w:lineRule="exact"/>
        <w:rPr>
          <w:rFonts w:ascii="宋体" w:hAnsi="宋体" w:eastAsia="宋体" w:cs="仿宋_GB2312"/>
          <w:color w:val="auto"/>
          <w:sz w:val="24"/>
          <w:szCs w:val="24"/>
          <w:highlight w:val="none"/>
        </w:rPr>
      </w:pPr>
    </w:p>
    <w:p w14:paraId="28CD1F2C">
      <w:pPr>
        <w:numPr>
          <w:ilvl w:val="255"/>
          <w:numId w:val="0"/>
        </w:numPr>
        <w:spacing w:line="520" w:lineRule="exact"/>
        <w:rPr>
          <w:rFonts w:hAnsi="宋体" w:cs="宋体"/>
          <w:b/>
          <w:color w:val="auto"/>
          <w:sz w:val="28"/>
          <w:szCs w:val="28"/>
          <w:highlight w:val="none"/>
        </w:rPr>
      </w:pPr>
      <w:r>
        <w:rPr>
          <w:rFonts w:hint="eastAsia" w:ascii="宋体" w:hAnsi="宋体" w:eastAsia="宋体" w:cs="宋体"/>
          <w:b/>
          <w:color w:val="auto"/>
          <w:sz w:val="28"/>
          <w:szCs w:val="28"/>
          <w:highlight w:val="none"/>
        </w:rPr>
        <w:t>2.</w:t>
      </w:r>
      <w:r>
        <w:rPr>
          <w:rFonts w:hint="eastAsia" w:hAnsi="宋体" w:cs="宋体"/>
          <w:b/>
          <w:color w:val="auto"/>
          <w:sz w:val="28"/>
          <w:szCs w:val="28"/>
          <w:highlight w:val="none"/>
        </w:rPr>
        <w:t>残疾人福利性单位声明函的格式：</w:t>
      </w:r>
    </w:p>
    <w:p w14:paraId="1B707F62">
      <w:pPr>
        <w:numPr>
          <w:ilvl w:val="255"/>
          <w:numId w:val="0"/>
        </w:numPr>
        <w:spacing w:line="520" w:lineRule="exact"/>
        <w:rPr>
          <w:rFonts w:hAnsi="宋体" w:cs="宋体"/>
          <w:b/>
          <w:color w:val="auto"/>
          <w:sz w:val="28"/>
          <w:szCs w:val="28"/>
          <w:highlight w:val="none"/>
        </w:rPr>
      </w:pPr>
    </w:p>
    <w:p w14:paraId="19CCC616">
      <w:pPr>
        <w:spacing w:line="520" w:lineRule="exact"/>
        <w:jc w:val="center"/>
        <w:rPr>
          <w:rFonts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残疾人福利性单位声明函</w:t>
      </w:r>
    </w:p>
    <w:p w14:paraId="4652EB98">
      <w:pPr>
        <w:spacing w:line="520" w:lineRule="exact"/>
        <w:rPr>
          <w:rFonts w:ascii="仿宋_GB2312" w:hAnsi="仿宋_GB2312" w:eastAsia="仿宋_GB2312" w:cs="仿宋_GB2312"/>
          <w:color w:val="auto"/>
          <w:sz w:val="32"/>
          <w:szCs w:val="32"/>
          <w:highlight w:val="none"/>
        </w:rPr>
      </w:pPr>
    </w:p>
    <w:p w14:paraId="795CCF86">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项目采购活动提供本单位制造的货物（由本单位承担工程/提供服务），或者提供其他残疾人福利性单位制造的货物（不包括使用非残疾人福利性单位注册商标的货物）。</w:t>
      </w:r>
    </w:p>
    <w:p w14:paraId="69E7733B">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本单位对上述声明的真实性负责。如有虚假，将依法承担相应责任。</w:t>
      </w:r>
    </w:p>
    <w:p w14:paraId="0E8BF9FB">
      <w:pPr>
        <w:spacing w:line="360" w:lineRule="auto"/>
        <w:contextualSpacing/>
        <w:rPr>
          <w:rFonts w:ascii="宋体" w:hAnsi="宋体" w:eastAsia="宋体" w:cs="宋体"/>
          <w:color w:val="auto"/>
          <w:sz w:val="24"/>
          <w:szCs w:val="24"/>
          <w:highlight w:val="none"/>
        </w:rPr>
      </w:pPr>
    </w:p>
    <w:p w14:paraId="6A1A64C6">
      <w:pPr>
        <w:spacing w:line="360" w:lineRule="auto"/>
        <w:contextualSpacing/>
        <w:rPr>
          <w:rFonts w:ascii="宋体" w:hAnsi="宋体" w:eastAsia="宋体" w:cs="宋体"/>
          <w:color w:val="auto"/>
          <w:sz w:val="24"/>
          <w:szCs w:val="24"/>
          <w:highlight w:val="none"/>
        </w:rPr>
      </w:pPr>
    </w:p>
    <w:p w14:paraId="6AF4836F">
      <w:pPr>
        <w:spacing w:line="360" w:lineRule="auto"/>
        <w:contextualSpacing/>
        <w:rPr>
          <w:rFonts w:ascii="宋体" w:hAnsi="宋体" w:eastAsia="宋体" w:cs="宋体"/>
          <w:color w:val="auto"/>
          <w:sz w:val="24"/>
          <w:szCs w:val="24"/>
          <w:highlight w:val="none"/>
        </w:rPr>
      </w:pPr>
    </w:p>
    <w:p w14:paraId="27712C65">
      <w:pPr>
        <w:spacing w:line="360" w:lineRule="auto"/>
        <w:ind w:firstLine="2400" w:firstLineChars="10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供应商名称（盖公章）：</w:t>
      </w:r>
    </w:p>
    <w:p w14:paraId="5BA5CD65">
      <w:pPr>
        <w:spacing w:line="360" w:lineRule="auto"/>
        <w:ind w:firstLine="4320" w:firstLineChars="18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14:paraId="237E0EDE">
      <w:pPr>
        <w:spacing w:line="360" w:lineRule="auto"/>
        <w:contextualSpacing/>
        <w:rPr>
          <w:rFonts w:ascii="宋体" w:hAnsi="宋体" w:eastAsia="宋体" w:cs="宋体"/>
          <w:color w:val="auto"/>
          <w:sz w:val="24"/>
          <w:szCs w:val="24"/>
          <w:highlight w:val="none"/>
        </w:rPr>
      </w:pPr>
    </w:p>
    <w:p w14:paraId="2C36713A">
      <w:pPr>
        <w:spacing w:line="360" w:lineRule="auto"/>
        <w:contextualSpacing/>
        <w:rPr>
          <w:rFonts w:ascii="宋体" w:hAnsi="宋体" w:eastAsia="宋体" w:cs="宋体"/>
          <w:color w:val="auto"/>
          <w:sz w:val="24"/>
          <w:szCs w:val="24"/>
          <w:highlight w:val="none"/>
        </w:rPr>
      </w:pPr>
    </w:p>
    <w:p w14:paraId="258196E3">
      <w:pPr>
        <w:spacing w:line="360" w:lineRule="auto"/>
        <w:contextualSpacing/>
        <w:rPr>
          <w:rFonts w:ascii="宋体" w:hAnsi="宋体" w:eastAsia="宋体" w:cs="宋体"/>
          <w:color w:val="auto"/>
          <w:sz w:val="24"/>
          <w:szCs w:val="24"/>
          <w:highlight w:val="none"/>
        </w:rPr>
      </w:pPr>
    </w:p>
    <w:p w14:paraId="04DB0F50">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注：请根据自己的真实情况出具《残疾人福利性单位声明函》。依法享受中小企业扶持政策的，采购人或者采购代理机构在公告成交结果时，同时公告其《残疾人福利性单位声明函》，接受社会监督。</w:t>
      </w:r>
    </w:p>
    <w:p w14:paraId="509A33A5">
      <w:pPr>
        <w:pStyle w:val="21"/>
        <w:rPr>
          <w:rFonts w:ascii="宋体" w:hAnsi="宋体" w:cs="仿宋_GB2312"/>
          <w:color w:val="auto"/>
          <w:sz w:val="24"/>
          <w:szCs w:val="24"/>
          <w:highlight w:val="none"/>
        </w:rPr>
      </w:pPr>
    </w:p>
    <w:p w14:paraId="74F7420C">
      <w:pPr>
        <w:pStyle w:val="21"/>
        <w:rPr>
          <w:rFonts w:ascii="宋体" w:hAnsi="宋体" w:cs="仿宋_GB2312"/>
          <w:color w:val="auto"/>
          <w:sz w:val="24"/>
          <w:szCs w:val="24"/>
          <w:highlight w:val="none"/>
        </w:rPr>
      </w:pPr>
    </w:p>
    <w:p w14:paraId="49B15FF6">
      <w:pPr>
        <w:pStyle w:val="21"/>
        <w:rPr>
          <w:rFonts w:ascii="宋体" w:hAnsi="宋体" w:cs="仿宋_GB2312"/>
          <w:color w:val="auto"/>
          <w:sz w:val="24"/>
          <w:szCs w:val="24"/>
          <w:highlight w:val="none"/>
        </w:rPr>
      </w:pPr>
    </w:p>
    <w:p w14:paraId="4B7B8A0A">
      <w:pPr>
        <w:pStyle w:val="21"/>
        <w:rPr>
          <w:rFonts w:ascii="宋体" w:hAnsi="宋体" w:cs="仿宋_GB2312"/>
          <w:color w:val="auto"/>
          <w:sz w:val="24"/>
          <w:szCs w:val="24"/>
          <w:highlight w:val="none"/>
        </w:rPr>
      </w:pPr>
    </w:p>
    <w:p w14:paraId="03B4084E">
      <w:pPr>
        <w:pStyle w:val="21"/>
        <w:rPr>
          <w:rFonts w:ascii="宋体" w:hAnsi="宋体" w:cs="仿宋_GB2312"/>
          <w:color w:val="auto"/>
          <w:sz w:val="24"/>
          <w:szCs w:val="24"/>
          <w:highlight w:val="none"/>
        </w:rPr>
      </w:pPr>
    </w:p>
    <w:p w14:paraId="19DE046E">
      <w:pPr>
        <w:pStyle w:val="21"/>
        <w:rPr>
          <w:rFonts w:ascii="宋体" w:hAnsi="宋体" w:cs="仿宋_GB2312"/>
          <w:color w:val="auto"/>
          <w:sz w:val="24"/>
          <w:szCs w:val="24"/>
          <w:highlight w:val="none"/>
        </w:rPr>
      </w:pPr>
    </w:p>
    <w:p w14:paraId="4783E177">
      <w:pPr>
        <w:pStyle w:val="21"/>
        <w:rPr>
          <w:rFonts w:ascii="宋体" w:hAnsi="宋体" w:cs="仿宋_GB2312"/>
          <w:color w:val="auto"/>
          <w:sz w:val="24"/>
          <w:szCs w:val="24"/>
          <w:highlight w:val="none"/>
        </w:rPr>
      </w:pPr>
    </w:p>
    <w:p w14:paraId="194F18AB">
      <w:pPr>
        <w:pStyle w:val="21"/>
        <w:rPr>
          <w:rFonts w:ascii="宋体" w:hAnsi="宋体" w:cs="仿宋_GB2312"/>
          <w:color w:val="auto"/>
          <w:sz w:val="24"/>
          <w:szCs w:val="24"/>
          <w:highlight w:val="none"/>
        </w:rPr>
      </w:pPr>
    </w:p>
    <w:p w14:paraId="7C5EE5C0">
      <w:pPr>
        <w:pStyle w:val="21"/>
        <w:rPr>
          <w:rFonts w:ascii="宋体" w:hAnsi="宋体" w:cs="仿宋_GB2312"/>
          <w:color w:val="auto"/>
          <w:sz w:val="24"/>
          <w:szCs w:val="24"/>
          <w:highlight w:val="none"/>
        </w:rPr>
      </w:pPr>
    </w:p>
    <w:p w14:paraId="2BE9C41B">
      <w:pPr>
        <w:pStyle w:val="21"/>
        <w:rPr>
          <w:rFonts w:ascii="宋体" w:hAnsi="宋体" w:cs="仿宋_GB2312"/>
          <w:color w:val="auto"/>
          <w:sz w:val="24"/>
          <w:szCs w:val="24"/>
          <w:highlight w:val="none"/>
        </w:rPr>
      </w:pPr>
    </w:p>
    <w:p w14:paraId="319F9D63">
      <w:pPr>
        <w:pStyle w:val="21"/>
        <w:rPr>
          <w:rFonts w:ascii="宋体" w:hAnsi="宋体" w:cs="仿宋_GB2312"/>
          <w:color w:val="auto"/>
          <w:sz w:val="24"/>
          <w:szCs w:val="24"/>
          <w:highlight w:val="none"/>
        </w:rPr>
      </w:pPr>
    </w:p>
    <w:p w14:paraId="1C3CE01C">
      <w:pPr>
        <w:pStyle w:val="21"/>
        <w:rPr>
          <w:rFonts w:ascii="宋体" w:hAnsi="宋体" w:cs="仿宋_GB2312"/>
          <w:color w:val="auto"/>
          <w:sz w:val="24"/>
          <w:szCs w:val="24"/>
          <w:highlight w:val="none"/>
        </w:rPr>
      </w:pPr>
    </w:p>
    <w:p w14:paraId="0E66FE3A">
      <w:pPr>
        <w:pStyle w:val="21"/>
        <w:rPr>
          <w:rFonts w:ascii="宋体" w:hAnsi="宋体" w:cs="仿宋_GB2312"/>
          <w:color w:val="auto"/>
          <w:sz w:val="24"/>
          <w:szCs w:val="24"/>
          <w:highlight w:val="none"/>
        </w:rPr>
      </w:pPr>
    </w:p>
    <w:p w14:paraId="0B884615">
      <w:pPr>
        <w:pStyle w:val="21"/>
        <w:rPr>
          <w:rFonts w:ascii="宋体" w:hAnsi="宋体" w:cs="仿宋_GB2312"/>
          <w:color w:val="auto"/>
          <w:sz w:val="24"/>
          <w:szCs w:val="24"/>
          <w:highlight w:val="none"/>
        </w:rPr>
      </w:pPr>
    </w:p>
    <w:p w14:paraId="7220FD59">
      <w:pPr>
        <w:widowControl/>
        <w:shd w:val="clear" w:color="auto" w:fill="FFFFFF"/>
        <w:spacing w:line="480" w:lineRule="atLeast"/>
        <w:rPr>
          <w:rFonts w:ascii="宋体" w:hAnsi="宋体" w:eastAsia="宋体" w:cs="宋体"/>
          <w:color w:val="auto"/>
          <w:kern w:val="0"/>
          <w:sz w:val="28"/>
          <w:szCs w:val="28"/>
          <w:highlight w:val="none"/>
        </w:rPr>
      </w:pPr>
      <w:r>
        <w:rPr>
          <w:rFonts w:hint="eastAsia" w:ascii="宋体" w:hAnsi="宋体" w:cs="宋体"/>
          <w:color w:val="auto"/>
          <w:sz w:val="28"/>
          <w:szCs w:val="28"/>
          <w:highlight w:val="none"/>
        </w:rPr>
        <w:t>3.</w:t>
      </w:r>
      <w:r>
        <w:rPr>
          <w:rFonts w:hint="eastAsia" w:ascii="宋体" w:hAnsi="宋体" w:eastAsia="宋体" w:cs="宋体"/>
          <w:color w:val="auto"/>
          <w:kern w:val="0"/>
          <w:sz w:val="28"/>
          <w:szCs w:val="28"/>
          <w:highlight w:val="none"/>
        </w:rPr>
        <w:t>广西壮族自治区政府采购项目合同验收书的格式：</w:t>
      </w:r>
    </w:p>
    <w:p w14:paraId="5EC636CC">
      <w:pPr>
        <w:widowControl/>
        <w:jc w:val="left"/>
        <w:rPr>
          <w:rFonts w:ascii="宋体" w:hAnsi="宋体" w:eastAsia="宋体" w:cs="宋体"/>
          <w:color w:val="auto"/>
          <w:kern w:val="0"/>
          <w:sz w:val="28"/>
          <w:szCs w:val="28"/>
          <w:highlight w:val="none"/>
        </w:rPr>
      </w:pPr>
    </w:p>
    <w:p w14:paraId="0093E551">
      <w:pPr>
        <w:widowControl/>
        <w:shd w:val="clear" w:color="auto" w:fill="FFFFFF"/>
        <w:spacing w:line="480" w:lineRule="atLeast"/>
        <w:jc w:val="center"/>
        <w:rPr>
          <w:rFonts w:ascii="仿宋" w:hAnsi="仿宋" w:eastAsia="仿宋" w:cs="宋体"/>
          <w:color w:val="auto"/>
          <w:kern w:val="0"/>
          <w:sz w:val="32"/>
          <w:szCs w:val="32"/>
          <w:highlight w:val="none"/>
        </w:rPr>
      </w:pPr>
      <w:r>
        <w:rPr>
          <w:rFonts w:hint="eastAsia" w:ascii="宋体" w:hAnsi="宋体" w:cs="宋体"/>
          <w:b/>
          <w:bCs/>
          <w:color w:val="auto"/>
          <w:kern w:val="0"/>
          <w:sz w:val="32"/>
          <w:szCs w:val="32"/>
          <w:highlight w:val="none"/>
        </w:rPr>
        <w:t>广西壮族自治区政府采购项目合同验收书</w:t>
      </w:r>
    </w:p>
    <w:p w14:paraId="331EA856">
      <w:pPr>
        <w:widowControl/>
        <w:shd w:val="clear" w:color="auto" w:fill="FFFFFF"/>
        <w:spacing w:line="480" w:lineRule="atLeast"/>
        <w:jc w:val="center"/>
        <w:rPr>
          <w:rFonts w:ascii="仿宋" w:hAnsi="仿宋" w:eastAsia="仿宋" w:cs="宋体"/>
          <w:color w:val="auto"/>
          <w:kern w:val="0"/>
          <w:sz w:val="32"/>
          <w:szCs w:val="32"/>
          <w:highlight w:val="none"/>
        </w:rPr>
      </w:pPr>
    </w:p>
    <w:p w14:paraId="29D5CF04">
      <w:pPr>
        <w:widowControl/>
        <w:shd w:val="clear" w:color="auto" w:fill="FFFFFF"/>
        <w:snapToGrid w:val="0"/>
        <w:spacing w:line="320" w:lineRule="atLeast"/>
        <w:ind w:firstLine="480"/>
        <w:jc w:val="left"/>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根据政府采购项目（</w:t>
      </w:r>
      <w:r>
        <w:rPr>
          <w:rFonts w:hint="eastAsia" w:ascii="仿宋" w:hAnsi="仿宋" w:eastAsia="仿宋" w:cs="宋体"/>
          <w:color w:val="auto"/>
          <w:kern w:val="0"/>
          <w:szCs w:val="21"/>
          <w:highlight w:val="none"/>
          <w:u w:val="single"/>
        </w:rPr>
        <w:t>采购合同编号：</w:t>
      </w:r>
      <w:r>
        <w:rPr>
          <w:rFonts w:hint="eastAsia" w:ascii="仿宋" w:hAnsi="仿宋" w:eastAsia="仿宋" w:cs="宋体"/>
          <w:color w:val="auto"/>
          <w:kern w:val="0"/>
          <w:szCs w:val="21"/>
          <w:highlight w:val="none"/>
          <w:u w:val="single"/>
        </w:rPr>
        <w:softHyphen/>
      </w:r>
      <w:r>
        <w:rPr>
          <w:rFonts w:hint="eastAsia" w:ascii="仿宋" w:hAnsi="仿宋" w:eastAsia="仿宋" w:cs="宋体"/>
          <w:color w:val="auto"/>
          <w:kern w:val="0"/>
          <w:szCs w:val="21"/>
          <w:highlight w:val="none"/>
          <w:u w:val="single"/>
        </w:rPr>
        <w:t xml:space="preserve"> </w:t>
      </w:r>
      <w:r>
        <w:rPr>
          <w:rFonts w:hint="eastAsia" w:ascii="仿宋" w:hAnsi="仿宋" w:eastAsia="仿宋" w:cs="宋体"/>
          <w:color w:val="auto"/>
          <w:kern w:val="0"/>
          <w:szCs w:val="21"/>
          <w:highlight w:val="none"/>
        </w:rPr>
        <w:t>）的约定，我单位对（</w:t>
      </w:r>
      <w:r>
        <w:rPr>
          <w:rFonts w:hint="eastAsia" w:ascii="仿宋" w:hAnsi="仿宋" w:eastAsia="仿宋" w:cs="宋体"/>
          <w:color w:val="auto"/>
          <w:kern w:val="0"/>
          <w:szCs w:val="21"/>
          <w:highlight w:val="none"/>
          <w:u w:val="single"/>
        </w:rPr>
        <w:t xml:space="preserve"> 项目名称 </w:t>
      </w:r>
      <w:r>
        <w:rPr>
          <w:rFonts w:hint="eastAsia" w:ascii="仿宋" w:hAnsi="仿宋" w:eastAsia="仿宋" w:cs="宋体"/>
          <w:color w:val="auto"/>
          <w:kern w:val="0"/>
          <w:szCs w:val="21"/>
          <w:highlight w:val="none"/>
        </w:rPr>
        <w:t>） 政府采购项目成交供应商（</w:t>
      </w:r>
      <w:r>
        <w:rPr>
          <w:rFonts w:hint="eastAsia" w:ascii="仿宋" w:hAnsi="仿宋" w:eastAsia="仿宋" w:cs="宋体"/>
          <w:color w:val="auto"/>
          <w:kern w:val="0"/>
          <w:szCs w:val="21"/>
          <w:highlight w:val="none"/>
          <w:u w:val="single"/>
        </w:rPr>
        <w:t xml:space="preserve"> 公司名称 </w:t>
      </w:r>
      <w:r>
        <w:rPr>
          <w:rFonts w:hint="eastAsia" w:ascii="仿宋" w:hAnsi="仿宋" w:eastAsia="仿宋" w:cs="宋体"/>
          <w:color w:val="auto"/>
          <w:kern w:val="0"/>
          <w:szCs w:val="21"/>
          <w:highlight w:val="none"/>
        </w:rPr>
        <w:t>） 提供的货物（或者工程、服务）进行了验收，验收情况如下：</w:t>
      </w:r>
    </w:p>
    <w:tbl>
      <w:tblPr>
        <w:tblStyle w:val="29"/>
        <w:tblW w:w="8445" w:type="dxa"/>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14:paraId="29BAB02A">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vAlign w:val="center"/>
          </w:tcPr>
          <w:p w14:paraId="29903B44">
            <w:pPr>
              <w:widowControl/>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验收方式：</w:t>
            </w:r>
          </w:p>
        </w:tc>
        <w:tc>
          <w:tcPr>
            <w:tcW w:w="5193" w:type="dxa"/>
            <w:gridSpan w:val="6"/>
            <w:tcBorders>
              <w:top w:val="single" w:color="auto" w:sz="8" w:space="0"/>
              <w:left w:val="nil"/>
              <w:bottom w:val="single" w:color="auto" w:sz="8" w:space="0"/>
              <w:right w:val="single" w:color="auto" w:sz="8" w:space="0"/>
            </w:tcBorders>
            <w:vAlign w:val="center"/>
          </w:tcPr>
          <w:p w14:paraId="2ADCF4FD">
            <w:pPr>
              <w:widowControl/>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□自行验收 □委托验收</w:t>
            </w:r>
          </w:p>
        </w:tc>
      </w:tr>
      <w:tr w14:paraId="100DE7A4">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vAlign w:val="center"/>
          </w:tcPr>
          <w:p w14:paraId="0767E2A5">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序号</w:t>
            </w:r>
          </w:p>
        </w:tc>
        <w:tc>
          <w:tcPr>
            <w:tcW w:w="2448" w:type="dxa"/>
            <w:gridSpan w:val="2"/>
            <w:tcBorders>
              <w:top w:val="nil"/>
              <w:left w:val="nil"/>
              <w:bottom w:val="single" w:color="auto" w:sz="8" w:space="0"/>
              <w:right w:val="single" w:color="auto" w:sz="8" w:space="0"/>
            </w:tcBorders>
            <w:vAlign w:val="center"/>
          </w:tcPr>
          <w:p w14:paraId="236EF4A1">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名称</w:t>
            </w:r>
          </w:p>
        </w:tc>
        <w:tc>
          <w:tcPr>
            <w:tcW w:w="2902" w:type="dxa"/>
            <w:gridSpan w:val="3"/>
            <w:tcBorders>
              <w:top w:val="nil"/>
              <w:left w:val="nil"/>
              <w:bottom w:val="single" w:color="auto" w:sz="8" w:space="0"/>
              <w:right w:val="single" w:color="auto" w:sz="8" w:space="0"/>
            </w:tcBorders>
            <w:vAlign w:val="center"/>
          </w:tcPr>
          <w:p w14:paraId="11938127">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vAlign w:val="center"/>
          </w:tcPr>
          <w:p w14:paraId="3935562B">
            <w:pPr>
              <w:widowControl/>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数量</w:t>
            </w:r>
          </w:p>
        </w:tc>
        <w:tc>
          <w:tcPr>
            <w:tcW w:w="1428" w:type="dxa"/>
            <w:tcBorders>
              <w:top w:val="nil"/>
              <w:left w:val="nil"/>
              <w:bottom w:val="single" w:color="auto" w:sz="8" w:space="0"/>
              <w:right w:val="single" w:color="auto" w:sz="8" w:space="0"/>
            </w:tcBorders>
            <w:vAlign w:val="center"/>
          </w:tcPr>
          <w:p w14:paraId="2E2C34EB">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金额</w:t>
            </w:r>
          </w:p>
        </w:tc>
      </w:tr>
      <w:tr w14:paraId="0601B5EF">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16DFF34F">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339B07D3">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2FCA6601">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54CC429F">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0A4B6CA4">
            <w:pPr>
              <w:widowControl/>
              <w:spacing w:before="100" w:beforeAutospacing="1" w:after="100" w:afterAutospacing="1" w:line="240" w:lineRule="atLeast"/>
              <w:jc w:val="center"/>
              <w:rPr>
                <w:rFonts w:ascii="Verdana" w:hAnsi="Verdana" w:cs="宋体"/>
                <w:color w:val="auto"/>
                <w:kern w:val="0"/>
                <w:szCs w:val="21"/>
                <w:highlight w:val="none"/>
              </w:rPr>
            </w:pPr>
          </w:p>
        </w:tc>
      </w:tr>
      <w:tr w14:paraId="73188D85">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1518C7AF">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2AD6420C">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63814897">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70C33178">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479D1D1F">
            <w:pPr>
              <w:widowControl/>
              <w:spacing w:before="100" w:beforeAutospacing="1" w:after="100" w:afterAutospacing="1" w:line="240" w:lineRule="atLeast"/>
              <w:jc w:val="center"/>
              <w:rPr>
                <w:rFonts w:ascii="Verdana" w:hAnsi="Verdana" w:cs="宋体"/>
                <w:color w:val="auto"/>
                <w:kern w:val="0"/>
                <w:szCs w:val="21"/>
                <w:highlight w:val="none"/>
              </w:rPr>
            </w:pPr>
          </w:p>
        </w:tc>
      </w:tr>
      <w:tr w14:paraId="06B7984E">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68591C4C">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6D690420">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0AF3E1C5">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39216B07">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2A01FB27">
            <w:pPr>
              <w:widowControl/>
              <w:spacing w:before="100" w:beforeAutospacing="1" w:after="100" w:afterAutospacing="1" w:line="240" w:lineRule="atLeast"/>
              <w:jc w:val="center"/>
              <w:rPr>
                <w:rFonts w:ascii="Verdana" w:hAnsi="Verdana" w:cs="宋体"/>
                <w:color w:val="auto"/>
                <w:kern w:val="0"/>
                <w:szCs w:val="21"/>
                <w:highlight w:val="none"/>
              </w:rPr>
            </w:pPr>
          </w:p>
        </w:tc>
      </w:tr>
      <w:tr w14:paraId="2929D9B3">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vAlign w:val="center"/>
          </w:tcPr>
          <w:p w14:paraId="7090E23B">
            <w:pPr>
              <w:widowControl/>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vAlign w:val="center"/>
          </w:tcPr>
          <w:p w14:paraId="0027151C">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08CC24DB">
            <w:pPr>
              <w:widowControl/>
              <w:spacing w:before="100" w:beforeAutospacing="1" w:after="100" w:afterAutospacing="1" w:line="240" w:lineRule="atLeast"/>
              <w:jc w:val="center"/>
              <w:rPr>
                <w:rFonts w:ascii="Verdana" w:hAnsi="Verdana" w:cs="宋体"/>
                <w:color w:val="auto"/>
                <w:kern w:val="0"/>
                <w:szCs w:val="21"/>
                <w:highlight w:val="none"/>
              </w:rPr>
            </w:pPr>
          </w:p>
        </w:tc>
      </w:tr>
      <w:tr w14:paraId="5B55BEC5">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vAlign w:val="center"/>
          </w:tcPr>
          <w:p w14:paraId="755C8CB1">
            <w:pPr>
              <w:widowControl/>
              <w:snapToGrid w:val="0"/>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 xml:space="preserve">合计大写金额：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仟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佰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拾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万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仟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佰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拾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元</w:t>
            </w:r>
          </w:p>
        </w:tc>
      </w:tr>
      <w:tr w14:paraId="71894EA5">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384FF865">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实际供货日期</w:t>
            </w:r>
          </w:p>
        </w:tc>
        <w:tc>
          <w:tcPr>
            <w:tcW w:w="2421" w:type="dxa"/>
            <w:gridSpan w:val="2"/>
            <w:tcBorders>
              <w:top w:val="nil"/>
              <w:left w:val="nil"/>
              <w:bottom w:val="single" w:color="auto" w:sz="8" w:space="0"/>
              <w:right w:val="single" w:color="auto" w:sz="8" w:space="0"/>
            </w:tcBorders>
            <w:vAlign w:val="center"/>
          </w:tcPr>
          <w:p w14:paraId="3A18DA43">
            <w:pPr>
              <w:widowControl/>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vAlign w:val="center"/>
          </w:tcPr>
          <w:p w14:paraId="701A34B0">
            <w:pPr>
              <w:widowControl/>
              <w:snapToGrid w:val="0"/>
              <w:spacing w:before="100" w:beforeAutospacing="1" w:after="100" w:afterAutospacing="1" w:line="320" w:lineRule="atLeast"/>
              <w:ind w:firstLine="46"/>
              <w:jc w:val="center"/>
              <w:rPr>
                <w:rFonts w:ascii="Verdana" w:hAnsi="Verdana" w:cs="宋体"/>
                <w:color w:val="auto"/>
                <w:kern w:val="0"/>
                <w:szCs w:val="21"/>
                <w:highlight w:val="none"/>
              </w:rPr>
            </w:pPr>
            <w:r>
              <w:rPr>
                <w:rFonts w:ascii="Verdana" w:hAnsi="Verdana" w:cs="宋体"/>
                <w:color w:val="auto"/>
                <w:kern w:val="0"/>
                <w:szCs w:val="21"/>
                <w:highlight w:val="none"/>
              </w:rPr>
              <w:t>合同交货验收日期</w:t>
            </w:r>
          </w:p>
        </w:tc>
        <w:tc>
          <w:tcPr>
            <w:tcW w:w="2113" w:type="dxa"/>
            <w:gridSpan w:val="2"/>
            <w:tcBorders>
              <w:top w:val="nil"/>
              <w:left w:val="nil"/>
              <w:bottom w:val="single" w:color="auto" w:sz="8" w:space="0"/>
              <w:right w:val="single" w:color="auto" w:sz="8" w:space="0"/>
            </w:tcBorders>
            <w:vAlign w:val="center"/>
          </w:tcPr>
          <w:p w14:paraId="0FCFBBCF">
            <w:pPr>
              <w:widowControl/>
              <w:spacing w:before="100" w:beforeAutospacing="1" w:after="100" w:afterAutospacing="1" w:line="240" w:lineRule="atLeast"/>
              <w:jc w:val="center"/>
              <w:rPr>
                <w:rFonts w:ascii="Verdana" w:hAnsi="Verdana" w:cs="宋体"/>
                <w:color w:val="auto"/>
                <w:kern w:val="0"/>
                <w:szCs w:val="21"/>
                <w:highlight w:val="none"/>
              </w:rPr>
            </w:pPr>
          </w:p>
        </w:tc>
      </w:tr>
      <w:tr w14:paraId="14AE6F63">
        <w:tblPrEx>
          <w:tblCellMar>
            <w:top w:w="0" w:type="dxa"/>
            <w:left w:w="0" w:type="dxa"/>
            <w:bottom w:w="0" w:type="dxa"/>
            <w:right w:w="0" w:type="dxa"/>
          </w:tblCellMar>
        </w:tblPrEx>
        <w:trPr>
          <w:trHeight w:val="394"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433A0B91">
            <w:pPr>
              <w:widowControl/>
              <w:spacing w:before="100" w:beforeAutospacing="1" w:after="100" w:afterAutospacing="1" w:line="240" w:lineRule="atLeast"/>
              <w:jc w:val="center"/>
              <w:rPr>
                <w:rFonts w:ascii="Verdana" w:hAnsi="Verdana" w:cs="宋体"/>
                <w:color w:val="auto"/>
                <w:kern w:val="0"/>
                <w:szCs w:val="21"/>
                <w:highlight w:val="none"/>
              </w:rPr>
            </w:pPr>
          </w:p>
        </w:tc>
        <w:tc>
          <w:tcPr>
            <w:tcW w:w="2421" w:type="dxa"/>
            <w:gridSpan w:val="2"/>
            <w:tcBorders>
              <w:top w:val="nil"/>
              <w:left w:val="nil"/>
              <w:bottom w:val="single" w:color="auto" w:sz="8" w:space="0"/>
              <w:right w:val="single" w:color="auto" w:sz="8" w:space="0"/>
            </w:tcBorders>
            <w:vAlign w:val="center"/>
          </w:tcPr>
          <w:p w14:paraId="6E38F72B">
            <w:pPr>
              <w:widowControl/>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vAlign w:val="center"/>
          </w:tcPr>
          <w:p w14:paraId="266127DC">
            <w:pPr>
              <w:widowControl/>
              <w:spacing w:before="100" w:beforeAutospacing="1" w:after="100" w:afterAutospacing="1" w:line="240" w:lineRule="atLeast"/>
              <w:jc w:val="center"/>
              <w:rPr>
                <w:rFonts w:ascii="Verdana" w:hAnsi="Verdana" w:cs="宋体"/>
                <w:color w:val="auto"/>
                <w:kern w:val="0"/>
                <w:szCs w:val="21"/>
                <w:highlight w:val="none"/>
              </w:rPr>
            </w:pPr>
          </w:p>
        </w:tc>
        <w:tc>
          <w:tcPr>
            <w:tcW w:w="2113" w:type="dxa"/>
            <w:gridSpan w:val="2"/>
            <w:tcBorders>
              <w:top w:val="nil"/>
              <w:left w:val="nil"/>
              <w:bottom w:val="single" w:color="auto" w:sz="8" w:space="0"/>
              <w:right w:val="single" w:color="auto" w:sz="8" w:space="0"/>
            </w:tcBorders>
            <w:vAlign w:val="center"/>
          </w:tcPr>
          <w:p w14:paraId="5A8F2C54">
            <w:pPr>
              <w:widowControl/>
              <w:spacing w:before="100" w:beforeAutospacing="1" w:after="100" w:afterAutospacing="1" w:line="240" w:lineRule="atLeast"/>
              <w:jc w:val="center"/>
              <w:rPr>
                <w:rFonts w:ascii="Verdana" w:hAnsi="Verdana" w:cs="宋体"/>
                <w:color w:val="auto"/>
                <w:kern w:val="0"/>
                <w:szCs w:val="21"/>
                <w:highlight w:val="none"/>
              </w:rPr>
            </w:pPr>
          </w:p>
        </w:tc>
      </w:tr>
      <w:tr w14:paraId="23E75ECB">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B28B89">
            <w:pPr>
              <w:widowControl/>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验收具体内容</w:t>
            </w:r>
          </w:p>
        </w:tc>
        <w:tc>
          <w:tcPr>
            <w:tcW w:w="6816"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14:paraId="1C98B67E">
            <w:pPr>
              <w:widowControl/>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应按采购合同、竞争性谈判文件、竞标响应文件及验收方案等进行验收；并核对成交供应商在安装调试等方面是否违反合同约定或者服务规范要求、提供的质量保证证明材料是否齐全、应有的配件及附件是否达到合同约定等。可附件)</w:t>
            </w:r>
          </w:p>
        </w:tc>
      </w:tr>
      <w:tr w14:paraId="1828154C">
        <w:tblPrEx>
          <w:tblCellMar>
            <w:top w:w="0" w:type="dxa"/>
            <w:left w:w="0" w:type="dxa"/>
            <w:bottom w:w="0" w:type="dxa"/>
            <w:right w:w="0"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337A46A">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验收小组意见</w:t>
            </w:r>
          </w:p>
        </w:tc>
        <w:tc>
          <w:tcPr>
            <w:tcW w:w="6816" w:type="dxa"/>
            <w:gridSpan w:val="7"/>
            <w:tcBorders>
              <w:top w:val="nil"/>
              <w:left w:val="nil"/>
              <w:bottom w:val="single" w:color="auto" w:sz="8" w:space="0"/>
              <w:right w:val="single" w:color="auto" w:sz="8" w:space="0"/>
            </w:tcBorders>
            <w:vAlign w:val="center"/>
          </w:tcPr>
          <w:p w14:paraId="0C911FEC">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验收结论性意见：</w:t>
            </w:r>
          </w:p>
        </w:tc>
      </w:tr>
      <w:tr w14:paraId="2A918010">
        <w:tblPrEx>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vAlign w:val="center"/>
          </w:tcPr>
          <w:p w14:paraId="751E0838">
            <w:pPr>
              <w:widowControl/>
              <w:jc w:val="left"/>
              <w:rPr>
                <w:rFonts w:ascii="Verdana" w:hAnsi="Verdana" w:cs="宋体"/>
                <w:color w:val="auto"/>
                <w:kern w:val="0"/>
                <w:szCs w:val="21"/>
                <w:highlight w:val="none"/>
              </w:rPr>
            </w:pPr>
          </w:p>
        </w:tc>
        <w:tc>
          <w:tcPr>
            <w:tcW w:w="6816" w:type="dxa"/>
            <w:gridSpan w:val="7"/>
            <w:tcBorders>
              <w:top w:val="nil"/>
              <w:left w:val="nil"/>
              <w:bottom w:val="single" w:color="auto" w:sz="8" w:space="0"/>
              <w:right w:val="single" w:color="auto" w:sz="8" w:space="0"/>
            </w:tcBorders>
            <w:vAlign w:val="center"/>
          </w:tcPr>
          <w:p w14:paraId="0EBE47A7">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有异议的意见和说明理由：</w:t>
            </w:r>
          </w:p>
          <w:p w14:paraId="6D0A3442">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签字：</w:t>
            </w:r>
          </w:p>
        </w:tc>
      </w:tr>
      <w:tr w14:paraId="75B5D241">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84ED59">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验收小组成员签字：</w:t>
            </w:r>
          </w:p>
        </w:tc>
      </w:tr>
      <w:tr w14:paraId="3DEC553C">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6FC1EFB">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监督人员或者</w:t>
            </w:r>
            <w:r>
              <w:rPr>
                <w:rFonts w:hint="eastAsia" w:ascii="Verdana" w:hAnsi="Verdana" w:cs="宋体"/>
                <w:color w:val="auto"/>
                <w:kern w:val="0"/>
                <w:szCs w:val="21"/>
                <w:highlight w:val="none"/>
              </w:rPr>
              <w:t>其他</w:t>
            </w:r>
            <w:r>
              <w:rPr>
                <w:rFonts w:ascii="Verdana" w:hAnsi="Verdana" w:cs="宋体"/>
                <w:color w:val="auto"/>
                <w:kern w:val="0"/>
                <w:szCs w:val="21"/>
                <w:highlight w:val="none"/>
              </w:rPr>
              <w:t>相关人员签字：</w:t>
            </w:r>
          </w:p>
          <w:p w14:paraId="2F4BBAC8">
            <w:pPr>
              <w:widowControl/>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或者受邀机构的意见（盖章）：</w:t>
            </w:r>
          </w:p>
        </w:tc>
      </w:tr>
      <w:tr w14:paraId="7AC16F7C">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single" w:color="auto" w:sz="4" w:space="0"/>
            </w:tcBorders>
            <w:tcMar>
              <w:top w:w="0" w:type="dxa"/>
              <w:left w:w="108" w:type="dxa"/>
              <w:bottom w:w="0" w:type="dxa"/>
              <w:right w:w="108" w:type="dxa"/>
            </w:tcMar>
            <w:vAlign w:val="center"/>
          </w:tcPr>
          <w:p w14:paraId="0CAAB8A4">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成交供应商负责人签字或者盖章：</w:t>
            </w:r>
          </w:p>
          <w:p w14:paraId="20F0A204">
            <w:pPr>
              <w:widowControl/>
              <w:spacing w:before="100" w:beforeAutospacing="1" w:after="100" w:afterAutospacing="1" w:line="320" w:lineRule="atLeast"/>
              <w:jc w:val="left"/>
              <w:rPr>
                <w:rFonts w:ascii="Verdana" w:hAnsi="Verdana" w:cs="宋体"/>
                <w:color w:val="auto"/>
                <w:kern w:val="0"/>
                <w:szCs w:val="21"/>
                <w:highlight w:val="none"/>
              </w:rPr>
            </w:pPr>
          </w:p>
          <w:p w14:paraId="1D0CD715">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w:t>
            </w:r>
          </w:p>
          <w:p w14:paraId="23B91E07">
            <w:pPr>
              <w:widowControl/>
              <w:spacing w:before="100" w:beforeAutospacing="1" w:after="100" w:afterAutospacing="1" w:line="320" w:lineRule="atLeast"/>
              <w:ind w:firstLine="2730" w:firstLineChars="1300"/>
              <w:jc w:val="left"/>
              <w:rPr>
                <w:rFonts w:ascii="Verdana" w:hAnsi="Verdana" w:cs="宋体"/>
                <w:color w:val="auto"/>
                <w:kern w:val="0"/>
                <w:szCs w:val="21"/>
                <w:highlight w:val="none"/>
              </w:rPr>
            </w:pPr>
            <w:r>
              <w:rPr>
                <w:rFonts w:ascii="Verdana" w:hAnsi="Verdana" w:cs="宋体"/>
                <w:color w:val="auto"/>
                <w:kern w:val="0"/>
                <w:szCs w:val="21"/>
                <w:highlight w:val="none"/>
              </w:rPr>
              <w:t>年</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月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日</w:t>
            </w:r>
          </w:p>
        </w:tc>
        <w:tc>
          <w:tcPr>
            <w:tcW w:w="4293" w:type="dxa"/>
            <w:gridSpan w:val="4"/>
            <w:tcBorders>
              <w:top w:val="nil"/>
              <w:left w:val="single" w:color="auto" w:sz="4" w:space="0"/>
              <w:bottom w:val="single" w:color="auto" w:sz="8" w:space="0"/>
              <w:right w:val="single" w:color="auto" w:sz="8" w:space="0"/>
            </w:tcBorders>
            <w:vAlign w:val="center"/>
          </w:tcPr>
          <w:p w14:paraId="2C4DD596">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采购人或者受托机构的意见（盖章）：</w:t>
            </w:r>
          </w:p>
          <w:p w14:paraId="481C8F12">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p>
          <w:p w14:paraId="364AF5F6">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联系电话：</w:t>
            </w:r>
            <w:r>
              <w:rPr>
                <w:rFonts w:hint="eastAsia" w:ascii="Verdana" w:hAnsi="Verdana" w:cs="宋体"/>
                <w:color w:val="auto"/>
                <w:kern w:val="0"/>
                <w:szCs w:val="21"/>
                <w:highlight w:val="none"/>
              </w:rPr>
              <w:t xml:space="preserve">          </w:t>
            </w:r>
          </w:p>
          <w:p w14:paraId="68ECD31D">
            <w:pPr>
              <w:widowControl/>
              <w:spacing w:before="100" w:beforeAutospacing="1" w:after="100" w:afterAutospacing="1" w:line="320" w:lineRule="atLeast"/>
              <w:ind w:firstLine="2100" w:firstLineChars="1000"/>
              <w:jc w:val="left"/>
              <w:rPr>
                <w:rFonts w:ascii="Verdana" w:hAnsi="Verdana" w:cs="宋体"/>
                <w:color w:val="auto"/>
                <w:kern w:val="0"/>
                <w:szCs w:val="21"/>
                <w:highlight w:val="none"/>
              </w:rPr>
            </w:pP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年</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月</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日</w:t>
            </w:r>
          </w:p>
        </w:tc>
      </w:tr>
    </w:tbl>
    <w:p w14:paraId="67A32521">
      <w:pPr>
        <w:pStyle w:val="18"/>
        <w:snapToGrid w:val="0"/>
        <w:rPr>
          <w:rFonts w:hAnsi="宋体"/>
          <w:color w:val="auto"/>
          <w:highlight w:val="none"/>
        </w:rPr>
      </w:pPr>
      <w:r>
        <w:rPr>
          <w:rFonts w:hAnsi="宋体"/>
          <w:color w:val="auto"/>
          <w:highlight w:val="none"/>
        </w:rPr>
        <w:br w:type="page"/>
      </w:r>
    </w:p>
    <w:p w14:paraId="374187ED">
      <w:pPr>
        <w:rPr>
          <w:rFonts w:ascii="宋体" w:hAnsi="宋体" w:cs="宋体"/>
          <w:color w:val="auto"/>
          <w:sz w:val="28"/>
          <w:szCs w:val="28"/>
          <w:highlight w:val="none"/>
        </w:rPr>
      </w:pPr>
      <w:r>
        <w:rPr>
          <w:rFonts w:hint="eastAsia" w:ascii="宋体" w:hAnsi="宋体" w:cs="宋体"/>
          <w:color w:val="auto"/>
          <w:sz w:val="28"/>
          <w:szCs w:val="28"/>
          <w:highlight w:val="none"/>
        </w:rPr>
        <w:t>4.政府采购项目履约保证金退付意见书的格式：</w:t>
      </w:r>
    </w:p>
    <w:p w14:paraId="539244A8">
      <w:pPr>
        <w:rPr>
          <w:rFonts w:ascii="宋体" w:hAnsi="宋体" w:cs="宋体"/>
          <w:color w:val="auto"/>
          <w:sz w:val="28"/>
          <w:szCs w:val="28"/>
          <w:highlight w:val="none"/>
        </w:rPr>
      </w:pPr>
    </w:p>
    <w:p w14:paraId="4AD69382">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政府采购项目履约保证金退付意见书（参考）</w:t>
      </w:r>
    </w:p>
    <w:p w14:paraId="0AC87F28">
      <w:pPr>
        <w:jc w:val="center"/>
        <w:rPr>
          <w:rFonts w:ascii="黑体" w:hAnsi="黑体" w:eastAsia="黑体"/>
          <w:color w:val="auto"/>
          <w:sz w:val="36"/>
          <w:szCs w:val="36"/>
          <w:highlight w:val="none"/>
        </w:rPr>
      </w:pPr>
    </w:p>
    <w:tbl>
      <w:tblPr>
        <w:tblStyle w:val="29"/>
        <w:tblW w:w="88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009"/>
      </w:tblGrid>
      <w:tr w14:paraId="1E38E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817" w:type="dxa"/>
            <w:vMerge w:val="restart"/>
            <w:vAlign w:val="center"/>
          </w:tcPr>
          <w:p w14:paraId="7C062824">
            <w:pPr>
              <w:jc w:val="center"/>
              <w:rPr>
                <w:color w:val="auto"/>
                <w:sz w:val="24"/>
                <w:highlight w:val="none"/>
              </w:rPr>
            </w:pPr>
            <w:r>
              <w:rPr>
                <w:rFonts w:hint="eastAsia"/>
                <w:color w:val="auto"/>
                <w:sz w:val="24"/>
                <w:highlight w:val="none"/>
              </w:rPr>
              <w:t>供</w:t>
            </w:r>
          </w:p>
          <w:p w14:paraId="29035416">
            <w:pPr>
              <w:jc w:val="center"/>
              <w:rPr>
                <w:color w:val="auto"/>
                <w:sz w:val="24"/>
                <w:highlight w:val="none"/>
              </w:rPr>
            </w:pPr>
            <w:r>
              <w:rPr>
                <w:rFonts w:hint="eastAsia"/>
                <w:color w:val="auto"/>
                <w:sz w:val="24"/>
                <w:highlight w:val="none"/>
              </w:rPr>
              <w:t>应</w:t>
            </w:r>
          </w:p>
          <w:p w14:paraId="7313BD6D">
            <w:pPr>
              <w:jc w:val="center"/>
              <w:rPr>
                <w:color w:val="auto"/>
                <w:sz w:val="24"/>
                <w:highlight w:val="none"/>
              </w:rPr>
            </w:pPr>
            <w:r>
              <w:rPr>
                <w:rFonts w:hint="eastAsia"/>
                <w:color w:val="auto"/>
                <w:sz w:val="24"/>
                <w:highlight w:val="none"/>
              </w:rPr>
              <w:t>商</w:t>
            </w:r>
          </w:p>
          <w:p w14:paraId="1025A74D">
            <w:pPr>
              <w:jc w:val="center"/>
              <w:rPr>
                <w:color w:val="auto"/>
                <w:sz w:val="24"/>
                <w:highlight w:val="none"/>
              </w:rPr>
            </w:pPr>
            <w:r>
              <w:rPr>
                <w:rFonts w:hint="eastAsia"/>
                <w:color w:val="auto"/>
                <w:sz w:val="24"/>
                <w:highlight w:val="none"/>
              </w:rPr>
              <w:t>申</w:t>
            </w:r>
          </w:p>
          <w:p w14:paraId="39B20926">
            <w:pPr>
              <w:jc w:val="center"/>
              <w:rPr>
                <w:color w:val="auto"/>
                <w:sz w:val="24"/>
                <w:highlight w:val="none"/>
              </w:rPr>
            </w:pPr>
            <w:r>
              <w:rPr>
                <w:rFonts w:hint="eastAsia"/>
                <w:color w:val="auto"/>
                <w:sz w:val="24"/>
                <w:highlight w:val="none"/>
              </w:rPr>
              <w:t>请</w:t>
            </w:r>
          </w:p>
        </w:tc>
        <w:tc>
          <w:tcPr>
            <w:tcW w:w="8009" w:type="dxa"/>
            <w:vAlign w:val="center"/>
          </w:tcPr>
          <w:p w14:paraId="14469932">
            <w:pPr>
              <w:rPr>
                <w:color w:val="auto"/>
                <w:sz w:val="24"/>
                <w:highlight w:val="none"/>
              </w:rPr>
            </w:pPr>
            <w:r>
              <w:rPr>
                <w:rFonts w:hint="eastAsia"/>
                <w:color w:val="auto"/>
                <w:sz w:val="24"/>
                <w:highlight w:val="none"/>
              </w:rPr>
              <w:t>项目编号：</w:t>
            </w:r>
          </w:p>
        </w:tc>
      </w:tr>
      <w:tr w14:paraId="425AA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817" w:type="dxa"/>
            <w:vMerge w:val="continue"/>
            <w:vAlign w:val="center"/>
          </w:tcPr>
          <w:p w14:paraId="07BB7342">
            <w:pPr>
              <w:rPr>
                <w:color w:val="auto"/>
                <w:sz w:val="24"/>
                <w:highlight w:val="none"/>
              </w:rPr>
            </w:pPr>
          </w:p>
        </w:tc>
        <w:tc>
          <w:tcPr>
            <w:tcW w:w="8009" w:type="dxa"/>
            <w:vAlign w:val="center"/>
          </w:tcPr>
          <w:p w14:paraId="617CD813">
            <w:pPr>
              <w:rPr>
                <w:color w:val="auto"/>
                <w:sz w:val="24"/>
                <w:highlight w:val="none"/>
              </w:rPr>
            </w:pPr>
            <w:r>
              <w:rPr>
                <w:rFonts w:hint="eastAsia"/>
                <w:color w:val="auto"/>
                <w:sz w:val="24"/>
                <w:highlight w:val="none"/>
              </w:rPr>
              <w:t>项目名称：</w:t>
            </w:r>
          </w:p>
        </w:tc>
      </w:tr>
      <w:tr w14:paraId="5AEC0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17" w:type="dxa"/>
            <w:vMerge w:val="continue"/>
          </w:tcPr>
          <w:p w14:paraId="5F17773C">
            <w:pPr>
              <w:rPr>
                <w:color w:val="auto"/>
                <w:sz w:val="24"/>
                <w:highlight w:val="none"/>
              </w:rPr>
            </w:pPr>
          </w:p>
        </w:tc>
        <w:tc>
          <w:tcPr>
            <w:tcW w:w="8009" w:type="dxa"/>
          </w:tcPr>
          <w:p w14:paraId="5B5DC883">
            <w:pPr>
              <w:rPr>
                <w:color w:val="auto"/>
                <w:sz w:val="24"/>
                <w:highlight w:val="none"/>
              </w:rPr>
            </w:pPr>
            <w:r>
              <w:rPr>
                <w:rFonts w:hint="eastAsia"/>
                <w:color w:val="auto"/>
                <w:sz w:val="24"/>
                <w:highlight w:val="none"/>
              </w:rPr>
              <w:t xml:space="preserve">  </w:t>
            </w:r>
          </w:p>
          <w:p w14:paraId="4634F503">
            <w:pPr>
              <w:ind w:firstLine="480" w:firstLineChars="200"/>
              <w:rPr>
                <w:color w:val="auto"/>
                <w:sz w:val="24"/>
                <w:highlight w:val="none"/>
              </w:rPr>
            </w:pPr>
            <w:r>
              <w:rPr>
                <w:rFonts w:hint="eastAsia"/>
                <w:color w:val="auto"/>
                <w:sz w:val="24"/>
                <w:highlight w:val="none"/>
              </w:rPr>
              <w:t>该项目已于</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日验收并交付使用。根据合同规定，该项目的履约保证金期限于</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日已满，请将履约保证金</w:t>
            </w:r>
          </w:p>
          <w:p w14:paraId="2A044191">
            <w:pPr>
              <w:rPr>
                <w:color w:val="auto"/>
                <w:sz w:val="24"/>
                <w:highlight w:val="none"/>
              </w:rPr>
            </w:pPr>
            <w:r>
              <w:rPr>
                <w:rFonts w:hint="eastAsia"/>
                <w:color w:val="auto"/>
                <w:sz w:val="24"/>
                <w:highlight w:val="none"/>
              </w:rPr>
              <w:t>（大写）人民币</w:t>
            </w:r>
            <w:r>
              <w:rPr>
                <w:rFonts w:hint="eastAsia"/>
                <w:color w:val="auto"/>
                <w:sz w:val="24"/>
                <w:highlight w:val="none"/>
                <w:u w:val="single"/>
              </w:rPr>
              <w:t xml:space="preserve">                              </w:t>
            </w:r>
            <w:r>
              <w:rPr>
                <w:rFonts w:hint="eastAsia"/>
                <w:color w:val="auto"/>
                <w:sz w:val="24"/>
                <w:highlight w:val="none"/>
              </w:rPr>
              <w:t>（小写）¥</w:t>
            </w:r>
            <w:r>
              <w:rPr>
                <w:rFonts w:hint="eastAsia"/>
                <w:color w:val="auto"/>
                <w:sz w:val="24"/>
                <w:highlight w:val="none"/>
                <w:u w:val="single"/>
              </w:rPr>
              <w:t xml:space="preserve">          </w:t>
            </w:r>
            <w:r>
              <w:rPr>
                <w:rFonts w:hint="eastAsia"/>
                <w:color w:val="auto"/>
                <w:sz w:val="24"/>
                <w:highlight w:val="none"/>
              </w:rPr>
              <w:t>退付到达以下账户。</w:t>
            </w:r>
          </w:p>
          <w:p w14:paraId="38294F1E">
            <w:pPr>
              <w:rPr>
                <w:color w:val="auto"/>
                <w:sz w:val="24"/>
                <w:highlight w:val="none"/>
              </w:rPr>
            </w:pPr>
            <w:r>
              <w:rPr>
                <w:rFonts w:hint="eastAsia"/>
                <w:color w:val="auto"/>
                <w:sz w:val="24"/>
                <w:highlight w:val="none"/>
              </w:rPr>
              <w:t>单位名称：</w:t>
            </w:r>
          </w:p>
          <w:p w14:paraId="45FCE875">
            <w:pPr>
              <w:rPr>
                <w:color w:val="auto"/>
                <w:sz w:val="24"/>
                <w:highlight w:val="none"/>
              </w:rPr>
            </w:pPr>
            <w:r>
              <w:rPr>
                <w:rFonts w:hint="eastAsia"/>
                <w:color w:val="auto"/>
                <w:sz w:val="24"/>
                <w:highlight w:val="none"/>
              </w:rPr>
              <w:t>开户银行：</w:t>
            </w:r>
          </w:p>
          <w:p w14:paraId="2E6FAC8E">
            <w:pPr>
              <w:rPr>
                <w:color w:val="auto"/>
                <w:sz w:val="24"/>
                <w:highlight w:val="none"/>
              </w:rPr>
            </w:pPr>
            <w:r>
              <w:rPr>
                <w:rFonts w:hint="eastAsia"/>
                <w:color w:val="auto"/>
                <w:sz w:val="24"/>
                <w:highlight w:val="none"/>
              </w:rPr>
              <w:t>账    号：</w:t>
            </w:r>
          </w:p>
          <w:p w14:paraId="2644DCA5">
            <w:pPr>
              <w:rPr>
                <w:color w:val="auto"/>
                <w:sz w:val="24"/>
                <w:highlight w:val="none"/>
              </w:rPr>
            </w:pPr>
            <w:r>
              <w:rPr>
                <w:rFonts w:hint="eastAsia"/>
                <w:color w:val="auto"/>
                <w:sz w:val="24"/>
                <w:highlight w:val="none"/>
              </w:rPr>
              <w:t>联系人及电话：</w:t>
            </w:r>
          </w:p>
          <w:p w14:paraId="7E802BBB">
            <w:pPr>
              <w:rPr>
                <w:color w:val="auto"/>
                <w:sz w:val="24"/>
                <w:highlight w:val="none"/>
              </w:rPr>
            </w:pPr>
          </w:p>
          <w:p w14:paraId="34CCC7EE">
            <w:pPr>
              <w:jc w:val="center"/>
              <w:rPr>
                <w:color w:val="auto"/>
                <w:sz w:val="24"/>
                <w:highlight w:val="none"/>
              </w:rPr>
            </w:pPr>
            <w:r>
              <w:rPr>
                <w:rFonts w:hint="eastAsia"/>
                <w:color w:val="auto"/>
                <w:sz w:val="24"/>
                <w:highlight w:val="none"/>
              </w:rPr>
              <w:t xml:space="preserve">                           供应商签章：</w:t>
            </w:r>
          </w:p>
          <w:p w14:paraId="2B7035AE">
            <w:pPr>
              <w:jc w:val="center"/>
              <w:rPr>
                <w:color w:val="auto"/>
                <w:sz w:val="24"/>
                <w:highlight w:val="none"/>
              </w:rPr>
            </w:pPr>
            <w:r>
              <w:rPr>
                <w:rFonts w:hint="eastAsia"/>
                <w:color w:val="auto"/>
                <w:sz w:val="24"/>
                <w:highlight w:val="none"/>
              </w:rPr>
              <w:t xml:space="preserve">                                                年    月    日</w:t>
            </w:r>
          </w:p>
        </w:tc>
      </w:tr>
      <w:tr w14:paraId="1961A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817" w:type="dxa"/>
            <w:vAlign w:val="center"/>
          </w:tcPr>
          <w:p w14:paraId="5D295F65">
            <w:pPr>
              <w:jc w:val="center"/>
              <w:rPr>
                <w:color w:val="auto"/>
                <w:sz w:val="24"/>
                <w:highlight w:val="none"/>
              </w:rPr>
            </w:pPr>
            <w:r>
              <w:rPr>
                <w:rFonts w:hint="eastAsia"/>
                <w:color w:val="auto"/>
                <w:sz w:val="24"/>
                <w:highlight w:val="none"/>
              </w:rPr>
              <w:t>采</w:t>
            </w:r>
          </w:p>
          <w:p w14:paraId="2FBD0D7B">
            <w:pPr>
              <w:jc w:val="center"/>
              <w:rPr>
                <w:color w:val="auto"/>
                <w:sz w:val="24"/>
                <w:highlight w:val="none"/>
              </w:rPr>
            </w:pPr>
            <w:r>
              <w:rPr>
                <w:rFonts w:hint="eastAsia"/>
                <w:color w:val="auto"/>
                <w:sz w:val="24"/>
                <w:highlight w:val="none"/>
              </w:rPr>
              <w:t>购</w:t>
            </w:r>
          </w:p>
          <w:p w14:paraId="1CA02DDD">
            <w:pPr>
              <w:jc w:val="center"/>
              <w:rPr>
                <w:color w:val="auto"/>
                <w:sz w:val="24"/>
                <w:highlight w:val="none"/>
              </w:rPr>
            </w:pPr>
            <w:r>
              <w:rPr>
                <w:rFonts w:hint="eastAsia"/>
                <w:color w:val="auto"/>
                <w:sz w:val="24"/>
                <w:highlight w:val="none"/>
              </w:rPr>
              <w:t>单</w:t>
            </w:r>
          </w:p>
          <w:p w14:paraId="07C0EAB7">
            <w:pPr>
              <w:jc w:val="center"/>
              <w:rPr>
                <w:color w:val="auto"/>
                <w:sz w:val="24"/>
                <w:highlight w:val="none"/>
              </w:rPr>
            </w:pPr>
            <w:r>
              <w:rPr>
                <w:rFonts w:hint="eastAsia"/>
                <w:color w:val="auto"/>
                <w:sz w:val="24"/>
                <w:highlight w:val="none"/>
              </w:rPr>
              <w:t>位</w:t>
            </w:r>
          </w:p>
          <w:p w14:paraId="5E4C9519">
            <w:pPr>
              <w:jc w:val="center"/>
              <w:rPr>
                <w:color w:val="auto"/>
                <w:sz w:val="24"/>
                <w:highlight w:val="none"/>
              </w:rPr>
            </w:pPr>
            <w:r>
              <w:rPr>
                <w:rFonts w:hint="eastAsia"/>
                <w:color w:val="auto"/>
                <w:sz w:val="24"/>
                <w:highlight w:val="none"/>
              </w:rPr>
              <w:t>意</w:t>
            </w:r>
          </w:p>
          <w:p w14:paraId="188E9393">
            <w:pPr>
              <w:jc w:val="center"/>
              <w:rPr>
                <w:color w:val="auto"/>
                <w:sz w:val="24"/>
                <w:highlight w:val="none"/>
              </w:rPr>
            </w:pPr>
            <w:r>
              <w:rPr>
                <w:rFonts w:hint="eastAsia"/>
                <w:color w:val="auto"/>
                <w:sz w:val="24"/>
                <w:highlight w:val="none"/>
              </w:rPr>
              <w:t>见</w:t>
            </w:r>
          </w:p>
        </w:tc>
        <w:tc>
          <w:tcPr>
            <w:tcW w:w="8009" w:type="dxa"/>
          </w:tcPr>
          <w:p w14:paraId="0B6009E1">
            <w:pPr>
              <w:rPr>
                <w:color w:val="auto"/>
                <w:sz w:val="24"/>
                <w:highlight w:val="none"/>
              </w:rPr>
            </w:pPr>
          </w:p>
          <w:p w14:paraId="4F163B57">
            <w:pPr>
              <w:rPr>
                <w:color w:val="auto"/>
                <w:sz w:val="24"/>
                <w:highlight w:val="none"/>
              </w:rPr>
            </w:pPr>
            <w:r>
              <w:rPr>
                <w:rFonts w:hint="eastAsia"/>
                <w:color w:val="auto"/>
                <w:sz w:val="24"/>
                <w:highlight w:val="none"/>
              </w:rPr>
              <w:t>退付意见：是否同意退付履约保证金及退付金额：</w:t>
            </w:r>
          </w:p>
          <w:p w14:paraId="71F1A419">
            <w:pPr>
              <w:rPr>
                <w:color w:val="auto"/>
                <w:sz w:val="24"/>
                <w:highlight w:val="none"/>
              </w:rPr>
            </w:pPr>
          </w:p>
          <w:p w14:paraId="0E56A75F">
            <w:pPr>
              <w:rPr>
                <w:color w:val="auto"/>
                <w:sz w:val="24"/>
                <w:highlight w:val="none"/>
              </w:rPr>
            </w:pPr>
          </w:p>
          <w:p w14:paraId="6018CA12">
            <w:pPr>
              <w:rPr>
                <w:color w:val="auto"/>
                <w:sz w:val="24"/>
                <w:highlight w:val="none"/>
              </w:rPr>
            </w:pPr>
            <w:r>
              <w:rPr>
                <w:rFonts w:hint="eastAsia"/>
                <w:color w:val="auto"/>
                <w:sz w:val="24"/>
                <w:highlight w:val="none"/>
              </w:rPr>
              <w:t xml:space="preserve">联系人及电话：                                </w:t>
            </w:r>
          </w:p>
          <w:p w14:paraId="31C77A22">
            <w:pPr>
              <w:rPr>
                <w:color w:val="auto"/>
                <w:sz w:val="24"/>
                <w:highlight w:val="none"/>
              </w:rPr>
            </w:pPr>
          </w:p>
          <w:p w14:paraId="514099F2">
            <w:pPr>
              <w:ind w:firstLine="4560" w:firstLineChars="1900"/>
              <w:rPr>
                <w:color w:val="auto"/>
                <w:sz w:val="24"/>
                <w:highlight w:val="none"/>
              </w:rPr>
            </w:pPr>
            <w:r>
              <w:rPr>
                <w:rFonts w:hint="eastAsia"/>
                <w:color w:val="auto"/>
                <w:sz w:val="24"/>
                <w:highlight w:val="none"/>
              </w:rPr>
              <w:t xml:space="preserve"> 采购单位签章：</w:t>
            </w:r>
          </w:p>
          <w:p w14:paraId="5786D16A">
            <w:pPr>
              <w:jc w:val="center"/>
              <w:rPr>
                <w:color w:val="auto"/>
                <w:sz w:val="24"/>
                <w:highlight w:val="none"/>
              </w:rPr>
            </w:pPr>
            <w:r>
              <w:rPr>
                <w:rFonts w:hint="eastAsia"/>
                <w:color w:val="auto"/>
                <w:sz w:val="24"/>
                <w:highlight w:val="none"/>
              </w:rPr>
              <w:t xml:space="preserve">                                                年    月    日</w:t>
            </w:r>
          </w:p>
        </w:tc>
      </w:tr>
      <w:tr w14:paraId="0533A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817" w:type="dxa"/>
            <w:vAlign w:val="center"/>
          </w:tcPr>
          <w:p w14:paraId="4F14DFDA">
            <w:pPr>
              <w:jc w:val="center"/>
              <w:rPr>
                <w:color w:val="auto"/>
                <w:sz w:val="24"/>
                <w:highlight w:val="none"/>
              </w:rPr>
            </w:pPr>
            <w:r>
              <w:rPr>
                <w:rFonts w:hint="eastAsia"/>
                <w:color w:val="auto"/>
                <w:sz w:val="24"/>
                <w:highlight w:val="none"/>
              </w:rPr>
              <w:t>财</w:t>
            </w:r>
          </w:p>
          <w:p w14:paraId="2D5CBF72">
            <w:pPr>
              <w:jc w:val="center"/>
              <w:rPr>
                <w:color w:val="auto"/>
                <w:sz w:val="24"/>
                <w:highlight w:val="none"/>
              </w:rPr>
            </w:pPr>
            <w:r>
              <w:rPr>
                <w:rFonts w:hint="eastAsia"/>
                <w:color w:val="auto"/>
                <w:sz w:val="24"/>
                <w:highlight w:val="none"/>
              </w:rPr>
              <w:t>务</w:t>
            </w:r>
          </w:p>
          <w:p w14:paraId="5D190ABE">
            <w:pPr>
              <w:jc w:val="center"/>
              <w:rPr>
                <w:color w:val="auto"/>
                <w:sz w:val="24"/>
                <w:highlight w:val="none"/>
              </w:rPr>
            </w:pPr>
            <w:r>
              <w:rPr>
                <w:rFonts w:hint="eastAsia"/>
                <w:color w:val="auto"/>
                <w:sz w:val="24"/>
                <w:highlight w:val="none"/>
              </w:rPr>
              <w:t>部</w:t>
            </w:r>
          </w:p>
          <w:p w14:paraId="691B8496">
            <w:pPr>
              <w:jc w:val="center"/>
              <w:rPr>
                <w:color w:val="auto"/>
                <w:sz w:val="24"/>
                <w:highlight w:val="none"/>
              </w:rPr>
            </w:pPr>
            <w:r>
              <w:rPr>
                <w:rFonts w:hint="eastAsia"/>
                <w:color w:val="auto"/>
                <w:sz w:val="24"/>
                <w:highlight w:val="none"/>
              </w:rPr>
              <w:t>门</w:t>
            </w:r>
          </w:p>
          <w:p w14:paraId="62D6A985">
            <w:pPr>
              <w:jc w:val="center"/>
              <w:rPr>
                <w:color w:val="auto"/>
                <w:sz w:val="24"/>
                <w:highlight w:val="none"/>
              </w:rPr>
            </w:pPr>
            <w:r>
              <w:rPr>
                <w:rFonts w:hint="eastAsia"/>
                <w:color w:val="auto"/>
                <w:sz w:val="24"/>
                <w:highlight w:val="none"/>
              </w:rPr>
              <w:t>意</w:t>
            </w:r>
          </w:p>
          <w:p w14:paraId="2D8A6DC2">
            <w:pPr>
              <w:jc w:val="center"/>
              <w:rPr>
                <w:color w:val="auto"/>
                <w:sz w:val="24"/>
                <w:highlight w:val="none"/>
              </w:rPr>
            </w:pPr>
            <w:r>
              <w:rPr>
                <w:rFonts w:hint="eastAsia"/>
                <w:color w:val="auto"/>
                <w:sz w:val="24"/>
                <w:highlight w:val="none"/>
              </w:rPr>
              <w:t>见</w:t>
            </w:r>
          </w:p>
        </w:tc>
        <w:tc>
          <w:tcPr>
            <w:tcW w:w="8009" w:type="dxa"/>
          </w:tcPr>
          <w:p w14:paraId="27D5FE78">
            <w:pPr>
              <w:rPr>
                <w:color w:val="auto"/>
                <w:sz w:val="24"/>
                <w:highlight w:val="none"/>
              </w:rPr>
            </w:pPr>
            <w:r>
              <w:rPr>
                <w:rFonts w:hint="eastAsia"/>
                <w:color w:val="auto"/>
                <w:sz w:val="24"/>
                <w:highlight w:val="none"/>
              </w:rPr>
              <w:t>此表于</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日收到。</w:t>
            </w:r>
          </w:p>
          <w:p w14:paraId="09A8F5CA">
            <w:pPr>
              <w:rPr>
                <w:color w:val="auto"/>
                <w:sz w:val="24"/>
                <w:highlight w:val="none"/>
              </w:rPr>
            </w:pPr>
          </w:p>
          <w:p w14:paraId="06B4406F">
            <w:pPr>
              <w:rPr>
                <w:color w:val="auto"/>
                <w:sz w:val="24"/>
                <w:highlight w:val="none"/>
              </w:rPr>
            </w:pPr>
            <w:r>
              <w:rPr>
                <w:rFonts w:hint="eastAsia"/>
                <w:color w:val="auto"/>
                <w:sz w:val="24"/>
                <w:highlight w:val="none"/>
              </w:rPr>
              <w:t>会计审核：</w:t>
            </w:r>
          </w:p>
          <w:p w14:paraId="0F5394C9">
            <w:pPr>
              <w:rPr>
                <w:color w:val="auto"/>
                <w:sz w:val="24"/>
                <w:highlight w:val="none"/>
              </w:rPr>
            </w:pPr>
          </w:p>
          <w:p w14:paraId="1F74A38A">
            <w:pPr>
              <w:rPr>
                <w:color w:val="auto"/>
                <w:sz w:val="24"/>
                <w:highlight w:val="none"/>
              </w:rPr>
            </w:pPr>
            <w:r>
              <w:rPr>
                <w:rFonts w:hint="eastAsia"/>
                <w:color w:val="auto"/>
                <w:sz w:val="24"/>
                <w:highlight w:val="none"/>
              </w:rPr>
              <w:t>财务负责人审核：</w:t>
            </w:r>
          </w:p>
          <w:p w14:paraId="07263269">
            <w:pPr>
              <w:rPr>
                <w:color w:val="auto"/>
                <w:sz w:val="24"/>
                <w:highlight w:val="none"/>
              </w:rPr>
            </w:pPr>
          </w:p>
          <w:p w14:paraId="776C5D36">
            <w:pPr>
              <w:rPr>
                <w:color w:val="auto"/>
                <w:sz w:val="24"/>
                <w:highlight w:val="none"/>
              </w:rPr>
            </w:pPr>
            <w:r>
              <w:rPr>
                <w:rFonts w:hint="eastAsia"/>
                <w:color w:val="auto"/>
                <w:sz w:val="24"/>
                <w:highlight w:val="none"/>
              </w:rPr>
              <w:t>单位负责人签字：</w:t>
            </w:r>
          </w:p>
          <w:p w14:paraId="224C1676">
            <w:pPr>
              <w:rPr>
                <w:color w:val="auto"/>
                <w:sz w:val="24"/>
                <w:highlight w:val="none"/>
              </w:rPr>
            </w:pPr>
          </w:p>
          <w:p w14:paraId="5B438745">
            <w:pPr>
              <w:rPr>
                <w:color w:val="auto"/>
                <w:sz w:val="24"/>
                <w:highlight w:val="none"/>
              </w:rPr>
            </w:pPr>
            <w:r>
              <w:rPr>
                <w:rFonts w:hint="eastAsia"/>
                <w:color w:val="auto"/>
                <w:sz w:val="24"/>
                <w:highlight w:val="none"/>
              </w:rPr>
              <w:t>出纳办理转账日期：</w:t>
            </w:r>
          </w:p>
        </w:tc>
      </w:tr>
    </w:tbl>
    <w:p w14:paraId="1DB5CFA3">
      <w:pPr>
        <w:pStyle w:val="13"/>
        <w:ind w:left="1" w:firstLine="2" w:firstLineChars="1"/>
        <w:rPr>
          <w:rFonts w:ascii="宋体"/>
          <w:b/>
          <w:bCs/>
          <w:color w:val="auto"/>
          <w:sz w:val="18"/>
          <w:szCs w:val="18"/>
          <w:highlight w:val="none"/>
        </w:rPr>
      </w:pPr>
    </w:p>
    <w:p w14:paraId="2D5662E3">
      <w:pPr>
        <w:pStyle w:val="13"/>
        <w:ind w:left="1" w:firstLine="2" w:firstLineChars="1"/>
        <w:rPr>
          <w:rFonts w:ascii="宋体"/>
          <w:b/>
          <w:bCs/>
          <w:color w:val="auto"/>
          <w:sz w:val="18"/>
          <w:szCs w:val="18"/>
          <w:highlight w:val="none"/>
        </w:rPr>
      </w:pPr>
      <w:r>
        <w:rPr>
          <w:rFonts w:hint="eastAsia" w:ascii="宋体"/>
          <w:b/>
          <w:bCs/>
          <w:color w:val="auto"/>
          <w:sz w:val="18"/>
          <w:szCs w:val="18"/>
          <w:highlight w:val="none"/>
        </w:rPr>
        <w:t>注：供应商凭经采购人审批的退付意见书到履约保证金收取单位财务部门办理履约保证金退付事宜。</w:t>
      </w:r>
    </w:p>
    <w:p w14:paraId="142A7E81">
      <w:pPr>
        <w:pStyle w:val="21"/>
        <w:rPr>
          <w:rFonts w:ascii="宋体" w:hAnsi="宋体" w:cs="仿宋_GB2312"/>
          <w:color w:val="auto"/>
          <w:sz w:val="24"/>
          <w:szCs w:val="24"/>
          <w:highlight w:val="none"/>
        </w:rPr>
      </w:pPr>
    </w:p>
    <w:p w14:paraId="6AD6A224">
      <w:pPr>
        <w:spacing w:line="520" w:lineRule="exact"/>
        <w:jc w:val="center"/>
        <w:rPr>
          <w:rFonts w:ascii="宋体" w:hAnsi="宋体" w:eastAsia="宋体" w:cs="Times New Roman"/>
          <w:color w:val="auto"/>
          <w:sz w:val="24"/>
          <w:szCs w:val="24"/>
          <w:highlight w:val="none"/>
        </w:rPr>
      </w:pPr>
    </w:p>
    <w:p w14:paraId="6B14BB66">
      <w:pPr>
        <w:spacing w:line="520" w:lineRule="exact"/>
        <w:jc w:val="center"/>
        <w:rPr>
          <w:rFonts w:ascii="宋体" w:hAnsi="宋体" w:eastAsia="宋体" w:cs="Times New Roman"/>
          <w:color w:val="auto"/>
          <w:sz w:val="24"/>
          <w:szCs w:val="24"/>
          <w:highlight w:val="none"/>
        </w:rPr>
      </w:pPr>
    </w:p>
    <w:p w14:paraId="7F2B820F">
      <w:pPr>
        <w:spacing w:line="360" w:lineRule="auto"/>
        <w:jc w:val="center"/>
        <w:rPr>
          <w:rFonts w:ascii="宋体" w:hAnsi="宋体" w:eastAsia="宋体" w:cs="Times New Roman"/>
          <w:b/>
          <w:bCs/>
          <w:color w:val="auto"/>
          <w:sz w:val="44"/>
          <w:szCs w:val="44"/>
          <w:highlight w:val="none"/>
        </w:rPr>
      </w:pPr>
    </w:p>
    <w:p w14:paraId="01B8E842">
      <w:pPr>
        <w:spacing w:line="360" w:lineRule="auto"/>
        <w:jc w:val="center"/>
        <w:rPr>
          <w:rFonts w:ascii="宋体" w:hAnsi="宋体" w:eastAsia="宋体" w:cs="Times New Roman"/>
          <w:b/>
          <w:bCs/>
          <w:color w:val="auto"/>
          <w:sz w:val="44"/>
          <w:szCs w:val="44"/>
          <w:highlight w:val="none"/>
        </w:rPr>
      </w:pPr>
    </w:p>
    <w:p w14:paraId="3B7B3007">
      <w:pPr>
        <w:keepNext/>
        <w:keepLines/>
        <w:spacing w:before="340" w:after="330" w:line="578" w:lineRule="auto"/>
        <w:jc w:val="center"/>
        <w:outlineLvl w:val="0"/>
        <w:rPr>
          <w:rFonts w:ascii="宋体" w:hAnsi="宋体" w:eastAsia="宋体" w:cs="Times New Roman"/>
          <w:color w:val="auto"/>
          <w:kern w:val="44"/>
          <w:sz w:val="44"/>
          <w:szCs w:val="44"/>
          <w:highlight w:val="none"/>
          <w:lang w:val="zh-CN"/>
        </w:rPr>
      </w:pPr>
      <w:bookmarkStart w:id="161" w:name="_Toc10008"/>
      <w:bookmarkStart w:id="162" w:name="_Toc4631"/>
      <w:bookmarkStart w:id="163" w:name="_Toc15382"/>
      <w:bookmarkStart w:id="164" w:name="_Toc20554"/>
      <w:bookmarkStart w:id="165" w:name="_Toc22077"/>
      <w:bookmarkStart w:id="166" w:name="_Toc23849"/>
      <w:bookmarkStart w:id="167" w:name="_Toc80205943"/>
      <w:bookmarkStart w:id="168" w:name="_Toc21248"/>
      <w:bookmarkStart w:id="169" w:name="_Toc19175"/>
      <w:r>
        <w:rPr>
          <w:rFonts w:hint="eastAsia" w:ascii="宋体" w:hAnsi="宋体" w:eastAsia="宋体" w:cs="Times New Roman"/>
          <w:color w:val="auto"/>
          <w:kern w:val="44"/>
          <w:sz w:val="44"/>
          <w:szCs w:val="44"/>
          <w:highlight w:val="none"/>
          <w:lang w:val="zh-CN"/>
        </w:rPr>
        <w:t>第六章 合同文本</w:t>
      </w:r>
      <w:bookmarkEnd w:id="161"/>
      <w:bookmarkEnd w:id="162"/>
      <w:bookmarkEnd w:id="163"/>
      <w:bookmarkEnd w:id="164"/>
      <w:bookmarkEnd w:id="165"/>
      <w:bookmarkEnd w:id="166"/>
      <w:bookmarkEnd w:id="167"/>
      <w:bookmarkEnd w:id="168"/>
    </w:p>
    <w:bookmarkEnd w:id="169"/>
    <w:p w14:paraId="1960EE5B">
      <w:pPr>
        <w:keepNext/>
        <w:keepLines/>
        <w:spacing w:before="340" w:after="330" w:line="578" w:lineRule="auto"/>
        <w:jc w:val="center"/>
        <w:outlineLvl w:val="0"/>
        <w:rPr>
          <w:rFonts w:ascii="仿宋_GB2312" w:hAnsi="楷体" w:eastAsia="仿宋_GB2312" w:cs="Times New Roman"/>
          <w:b/>
          <w:bCs/>
          <w:color w:val="auto"/>
          <w:kern w:val="44"/>
          <w:sz w:val="24"/>
          <w:szCs w:val="44"/>
          <w:highlight w:val="none"/>
          <w:u w:val="single"/>
          <w:lang w:val="zh-CN"/>
        </w:rPr>
      </w:pPr>
    </w:p>
    <w:p w14:paraId="4B556B92">
      <w:pPr>
        <w:jc w:val="left"/>
        <w:rPr>
          <w:rFonts w:ascii="宋体" w:hAnsi="宋体"/>
          <w:b/>
          <w:color w:val="auto"/>
          <w:sz w:val="24"/>
          <w:szCs w:val="24"/>
          <w:highlight w:val="none"/>
        </w:rPr>
      </w:pPr>
      <w:r>
        <w:rPr>
          <w:rFonts w:hint="eastAsia" w:ascii="宋体" w:hAnsi="宋体"/>
          <w:b/>
          <w:color w:val="auto"/>
          <w:sz w:val="24"/>
          <w:szCs w:val="24"/>
          <w:highlight w:val="none"/>
        </w:rPr>
        <w:br w:type="page"/>
      </w:r>
    </w:p>
    <w:p w14:paraId="01478CC3">
      <w:pPr>
        <w:snapToGrid w:val="0"/>
        <w:spacing w:line="400" w:lineRule="exact"/>
        <w:jc w:val="center"/>
        <w:rPr>
          <w:rFonts w:ascii="宋体" w:hAnsi="宋体"/>
          <w:b/>
          <w:bCs/>
          <w:color w:val="auto"/>
          <w:sz w:val="32"/>
          <w:szCs w:val="32"/>
          <w:highlight w:val="none"/>
        </w:rPr>
      </w:pPr>
      <w:r>
        <w:rPr>
          <w:rFonts w:hint="eastAsia" w:ascii="宋体" w:hAnsi="宋体"/>
          <w:b/>
          <w:bCs/>
          <w:color w:val="auto"/>
          <w:sz w:val="32"/>
          <w:szCs w:val="32"/>
          <w:highlight w:val="none"/>
        </w:rPr>
        <w:t>《广西壮族自治区政府采购合同》</w:t>
      </w:r>
      <w:r>
        <w:rPr>
          <w:rFonts w:hint="eastAsia" w:ascii="宋体" w:hAnsi="宋体"/>
          <w:b/>
          <w:color w:val="auto"/>
          <w:sz w:val="32"/>
          <w:szCs w:val="32"/>
          <w:highlight w:val="none"/>
        </w:rPr>
        <w:t>文本</w:t>
      </w:r>
    </w:p>
    <w:p w14:paraId="5FEC1DE6">
      <w:pPr>
        <w:snapToGrid w:val="0"/>
        <w:spacing w:line="400" w:lineRule="exact"/>
        <w:ind w:right="480" w:firstLine="5250" w:firstLineChars="2500"/>
        <w:rPr>
          <w:rFonts w:ascii="宋体" w:hAnsi="宋体"/>
          <w:bCs/>
          <w:color w:val="auto"/>
          <w:szCs w:val="21"/>
          <w:highlight w:val="none"/>
        </w:rPr>
      </w:pPr>
    </w:p>
    <w:p w14:paraId="6862E60D">
      <w:pPr>
        <w:snapToGrid w:val="0"/>
        <w:spacing w:line="360" w:lineRule="auto"/>
        <w:ind w:right="480" w:firstLine="4410" w:firstLineChars="2100"/>
        <w:rPr>
          <w:rFonts w:asciiTheme="minorEastAsia" w:hAnsiTheme="minorEastAsia" w:cstheme="minorEastAsia"/>
          <w:bCs/>
          <w:color w:val="auto"/>
          <w:szCs w:val="21"/>
          <w:highlight w:val="none"/>
        </w:rPr>
      </w:pPr>
      <w:r>
        <w:rPr>
          <w:rFonts w:hint="eastAsia" w:asciiTheme="minorEastAsia" w:hAnsiTheme="minorEastAsia" w:cstheme="minorEastAsia"/>
          <w:bCs/>
          <w:color w:val="auto"/>
          <w:szCs w:val="21"/>
          <w:highlight w:val="none"/>
        </w:rPr>
        <w:t>合同编号：</w:t>
      </w:r>
      <w:r>
        <w:rPr>
          <w:rFonts w:hint="eastAsia" w:asciiTheme="minorEastAsia" w:hAnsiTheme="minorEastAsia" w:cstheme="minorEastAsia"/>
          <w:color w:val="auto"/>
          <w:szCs w:val="21"/>
          <w:highlight w:val="none"/>
          <w:u w:val="single"/>
        </w:rPr>
        <w:t xml:space="preserve">                 </w:t>
      </w:r>
    </w:p>
    <w:p w14:paraId="43AFC2CA">
      <w:pPr>
        <w:pStyle w:val="21"/>
        <w:spacing w:line="360" w:lineRule="auto"/>
        <w:ind w:firstLine="4410" w:firstLineChars="210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采购计划号：</w:t>
      </w:r>
      <w:r>
        <w:rPr>
          <w:rFonts w:hint="eastAsia" w:asciiTheme="minorEastAsia" w:hAnsiTheme="minorEastAsia" w:eastAsiaTheme="minorEastAsia" w:cstheme="minorEastAsia"/>
          <w:color w:val="auto"/>
          <w:sz w:val="21"/>
          <w:szCs w:val="21"/>
          <w:highlight w:val="none"/>
          <w:u w:val="single"/>
        </w:rPr>
        <w:t xml:space="preserve">               </w:t>
      </w:r>
    </w:p>
    <w:p w14:paraId="7BF247EC">
      <w:pPr>
        <w:snapToGrid w:val="0"/>
        <w:spacing w:line="400" w:lineRule="exact"/>
        <w:rPr>
          <w:rFonts w:asciiTheme="minorEastAsia" w:hAnsiTheme="minorEastAsia" w:cstheme="minorEastAsia"/>
          <w:color w:val="auto"/>
          <w:szCs w:val="21"/>
          <w:highlight w:val="none"/>
        </w:rPr>
      </w:pPr>
    </w:p>
    <w:p w14:paraId="6CBE4386">
      <w:pPr>
        <w:snapToGrid w:val="0"/>
        <w:spacing w:line="360" w:lineRule="auto"/>
        <w:rPr>
          <w:rFonts w:asciiTheme="minorEastAsia" w:hAnsiTheme="minorEastAsia" w:cstheme="minorEastAsia"/>
          <w:color w:val="auto"/>
          <w:szCs w:val="21"/>
          <w:highlight w:val="none"/>
        </w:rPr>
      </w:pPr>
      <w:r>
        <w:rPr>
          <w:rFonts w:hint="eastAsia" w:asciiTheme="minorEastAsia" w:hAnsiTheme="minorEastAsia" w:cstheme="minorEastAsia"/>
          <w:color w:val="auto"/>
          <w:szCs w:val="21"/>
          <w:highlight w:val="none"/>
        </w:rPr>
        <w:t>甲方：</w:t>
      </w:r>
      <w:r>
        <w:rPr>
          <w:rFonts w:hint="eastAsia" w:asciiTheme="minorEastAsia" w:hAnsiTheme="minorEastAsia" w:cstheme="minorEastAsia"/>
          <w:color w:val="auto"/>
          <w:szCs w:val="21"/>
          <w:highlight w:val="none"/>
          <w:u w:val="single"/>
        </w:rPr>
        <w:t xml:space="preserve">                          </w:t>
      </w:r>
    </w:p>
    <w:p w14:paraId="7C67FE36">
      <w:pPr>
        <w:snapToGrid w:val="0"/>
        <w:spacing w:line="360" w:lineRule="auto"/>
        <w:rPr>
          <w:rFonts w:asciiTheme="minorEastAsia" w:hAnsiTheme="minorEastAsia" w:cstheme="minorEastAsia"/>
          <w:color w:val="auto"/>
          <w:szCs w:val="21"/>
          <w:highlight w:val="none"/>
        </w:rPr>
      </w:pPr>
      <w:r>
        <w:rPr>
          <w:rFonts w:hint="eastAsia" w:asciiTheme="minorEastAsia" w:hAnsiTheme="minorEastAsia" w:cstheme="minorEastAsia"/>
          <w:color w:val="auto"/>
          <w:szCs w:val="21"/>
          <w:highlight w:val="none"/>
        </w:rPr>
        <w:t>乙方：</w:t>
      </w:r>
      <w:r>
        <w:rPr>
          <w:rFonts w:hint="eastAsia" w:asciiTheme="minorEastAsia" w:hAnsiTheme="minorEastAsia" w:cstheme="minorEastAsia"/>
          <w:color w:val="auto"/>
          <w:szCs w:val="21"/>
          <w:highlight w:val="none"/>
          <w:u w:val="single"/>
        </w:rPr>
        <w:t xml:space="preserve">                          </w:t>
      </w:r>
    </w:p>
    <w:p w14:paraId="730B1DB5">
      <w:pPr>
        <w:snapToGrid w:val="0"/>
        <w:spacing w:line="360" w:lineRule="auto"/>
        <w:rPr>
          <w:rFonts w:asciiTheme="minorEastAsia" w:hAnsiTheme="minorEastAsia" w:cstheme="minorEastAsia"/>
          <w:color w:val="auto"/>
          <w:szCs w:val="21"/>
          <w:highlight w:val="none"/>
        </w:rPr>
      </w:pPr>
      <w:r>
        <w:rPr>
          <w:rFonts w:hint="eastAsia" w:asciiTheme="minorEastAsia" w:hAnsiTheme="minorEastAsia" w:cstheme="minorEastAsia"/>
          <w:color w:val="auto"/>
          <w:szCs w:val="21"/>
          <w:highlight w:val="none"/>
        </w:rPr>
        <w:t>项目名称：</w:t>
      </w:r>
      <w:r>
        <w:rPr>
          <w:rFonts w:hint="eastAsia" w:asciiTheme="minorEastAsia" w:hAnsiTheme="minorEastAsia" w:cstheme="minorEastAsia"/>
          <w:color w:val="auto"/>
          <w:szCs w:val="21"/>
          <w:highlight w:val="none"/>
          <w:u w:val="single"/>
        </w:rPr>
        <w:t xml:space="preserve">                               </w:t>
      </w:r>
    </w:p>
    <w:p w14:paraId="4284765E">
      <w:pPr>
        <w:snapToGrid w:val="0"/>
        <w:spacing w:line="360" w:lineRule="auto"/>
        <w:rPr>
          <w:rFonts w:asciiTheme="minorEastAsia" w:hAnsiTheme="minorEastAsia" w:cstheme="minorEastAsia"/>
          <w:color w:val="auto"/>
          <w:szCs w:val="21"/>
          <w:highlight w:val="none"/>
          <w:u w:val="single"/>
        </w:rPr>
      </w:pPr>
      <w:r>
        <w:rPr>
          <w:rFonts w:hint="eastAsia" w:asciiTheme="minorEastAsia" w:hAnsiTheme="minorEastAsia" w:cstheme="minorEastAsia"/>
          <w:color w:val="auto"/>
          <w:szCs w:val="21"/>
          <w:highlight w:val="none"/>
        </w:rPr>
        <w:t>项目编号：</w:t>
      </w:r>
      <w:r>
        <w:rPr>
          <w:rFonts w:hint="eastAsia" w:asciiTheme="minorEastAsia" w:hAnsiTheme="minorEastAsia" w:cstheme="minorEastAsia"/>
          <w:color w:val="auto"/>
          <w:szCs w:val="21"/>
          <w:highlight w:val="none"/>
          <w:u w:val="single"/>
        </w:rPr>
        <w:t xml:space="preserve">                               </w:t>
      </w:r>
    </w:p>
    <w:p w14:paraId="427B0C07">
      <w:pPr>
        <w:snapToGrid w:val="0"/>
        <w:spacing w:line="360" w:lineRule="auto"/>
        <w:ind w:firstLine="420" w:firstLineChars="200"/>
        <w:rPr>
          <w:rFonts w:asciiTheme="minorEastAsia" w:hAnsiTheme="minorEastAsia" w:cstheme="minorEastAsia"/>
          <w:color w:val="auto"/>
          <w:szCs w:val="21"/>
          <w:highlight w:val="none"/>
        </w:rPr>
      </w:pPr>
    </w:p>
    <w:p w14:paraId="1AD17685">
      <w:pPr>
        <w:snapToGrid w:val="0"/>
        <w:spacing w:line="360" w:lineRule="auto"/>
        <w:ind w:firstLine="420" w:firstLineChars="200"/>
        <w:rPr>
          <w:rFonts w:asciiTheme="minorEastAsia" w:hAnsiTheme="minorEastAsia" w:cstheme="minorEastAsia"/>
          <w:color w:val="auto"/>
          <w:szCs w:val="21"/>
          <w:highlight w:val="none"/>
        </w:rPr>
      </w:pPr>
      <w:r>
        <w:rPr>
          <w:rFonts w:hint="eastAsia" w:asciiTheme="minorEastAsia" w:hAnsiTheme="minorEastAsia" w:cstheme="minorEastAsia"/>
          <w:color w:val="auto"/>
          <w:szCs w:val="21"/>
          <w:highlight w:val="none"/>
        </w:rPr>
        <w:t>根据《中华人民共和国政府采购法》《中华人民共和国民法典》等法律、法规规定，按照竞争性谈判文件规定条款和成交供应商承诺，甲乙双方签订本合同。</w:t>
      </w:r>
    </w:p>
    <w:p w14:paraId="6FEFE200">
      <w:pPr>
        <w:snapToGrid w:val="0"/>
        <w:spacing w:line="360" w:lineRule="auto"/>
        <w:ind w:firstLine="422" w:firstLineChars="200"/>
        <w:rPr>
          <w:rFonts w:asciiTheme="minorEastAsia" w:hAnsiTheme="minorEastAsia" w:cstheme="minorEastAsia"/>
          <w:b/>
          <w:color w:val="auto"/>
          <w:szCs w:val="21"/>
          <w:highlight w:val="none"/>
        </w:rPr>
      </w:pPr>
      <w:r>
        <w:rPr>
          <w:rFonts w:hint="eastAsia" w:asciiTheme="minorEastAsia" w:hAnsiTheme="minorEastAsia" w:cstheme="minorEastAsia"/>
          <w:b/>
          <w:color w:val="auto"/>
          <w:szCs w:val="21"/>
          <w:highlight w:val="none"/>
        </w:rPr>
        <w:t>第一条　合同标的</w:t>
      </w:r>
    </w:p>
    <w:p w14:paraId="139E834E">
      <w:pPr>
        <w:snapToGrid w:val="0"/>
        <w:spacing w:line="360" w:lineRule="auto"/>
        <w:ind w:firstLine="420" w:firstLineChars="200"/>
        <w:rPr>
          <w:rFonts w:asciiTheme="minorEastAsia" w:hAnsiTheme="minorEastAsia" w:cstheme="minorEastAsia"/>
          <w:color w:val="auto"/>
          <w:szCs w:val="21"/>
          <w:highlight w:val="none"/>
        </w:rPr>
      </w:pPr>
      <w:r>
        <w:rPr>
          <w:rFonts w:hint="eastAsia" w:asciiTheme="minorEastAsia" w:hAnsiTheme="minorEastAsia" w:cstheme="minorEastAsia"/>
          <w:color w:val="auto"/>
          <w:szCs w:val="21"/>
          <w:highlight w:val="none"/>
        </w:rPr>
        <w:t>1.合同总金额：</w:t>
      </w:r>
      <w:r>
        <w:rPr>
          <w:rFonts w:hint="eastAsia" w:asciiTheme="minorEastAsia" w:hAnsiTheme="minorEastAsia" w:cstheme="minorEastAsia"/>
          <w:color w:val="auto"/>
          <w:szCs w:val="21"/>
          <w:highlight w:val="none"/>
          <w:u w:val="single"/>
        </w:rPr>
        <w:t xml:space="preserve">                          </w:t>
      </w:r>
      <w:r>
        <w:rPr>
          <w:rFonts w:hint="eastAsia" w:asciiTheme="minorEastAsia" w:hAnsiTheme="minorEastAsia" w:cstheme="minorEastAsia"/>
          <w:color w:val="auto"/>
          <w:szCs w:val="21"/>
          <w:highlight w:val="none"/>
        </w:rPr>
        <w:t>。</w:t>
      </w:r>
    </w:p>
    <w:p w14:paraId="4D4AC569">
      <w:pPr>
        <w:snapToGrid w:val="0"/>
        <w:spacing w:line="360" w:lineRule="auto"/>
        <w:ind w:firstLine="420" w:firstLineChars="200"/>
        <w:rPr>
          <w:rFonts w:asciiTheme="minorEastAsia" w:hAnsiTheme="minorEastAsia" w:cstheme="minorEastAsia"/>
          <w:color w:val="auto"/>
          <w:szCs w:val="21"/>
          <w:highlight w:val="none"/>
        </w:rPr>
      </w:pPr>
      <w:r>
        <w:rPr>
          <w:rFonts w:hint="eastAsia" w:asciiTheme="minorEastAsia" w:hAnsiTheme="minorEastAsia" w:cstheme="minorEastAsia"/>
          <w:color w:val="auto"/>
          <w:szCs w:val="21"/>
          <w:highlight w:val="none"/>
        </w:rPr>
        <w:t>2.供货一览表</w:t>
      </w:r>
    </w:p>
    <w:tbl>
      <w:tblPr>
        <w:tblStyle w:val="29"/>
        <w:tblW w:w="9701"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33"/>
        <w:gridCol w:w="1059"/>
        <w:gridCol w:w="1233"/>
        <w:gridCol w:w="1210"/>
        <w:gridCol w:w="737"/>
        <w:gridCol w:w="735"/>
        <w:gridCol w:w="1285"/>
        <w:gridCol w:w="1500"/>
      </w:tblGrid>
      <w:tr w14:paraId="3CA70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709" w:type="dxa"/>
            <w:vAlign w:val="center"/>
          </w:tcPr>
          <w:p w14:paraId="3269DDC3">
            <w:pPr>
              <w:snapToGrid w:val="0"/>
              <w:spacing w:line="360" w:lineRule="auto"/>
              <w:jc w:val="center"/>
              <w:rPr>
                <w:rFonts w:asciiTheme="minorEastAsia" w:hAnsiTheme="minorEastAsia" w:cstheme="minorEastAsia"/>
                <w:color w:val="auto"/>
                <w:szCs w:val="21"/>
                <w:highlight w:val="none"/>
              </w:rPr>
            </w:pPr>
            <w:r>
              <w:rPr>
                <w:rFonts w:hint="eastAsia" w:asciiTheme="minorEastAsia" w:hAnsiTheme="minorEastAsia" w:cstheme="minorEastAsia"/>
                <w:color w:val="auto"/>
                <w:szCs w:val="21"/>
                <w:highlight w:val="none"/>
              </w:rPr>
              <w:t>序号</w:t>
            </w:r>
          </w:p>
        </w:tc>
        <w:tc>
          <w:tcPr>
            <w:tcW w:w="1233" w:type="dxa"/>
            <w:vAlign w:val="center"/>
          </w:tcPr>
          <w:p w14:paraId="5A946DD7">
            <w:pPr>
              <w:snapToGrid w:val="0"/>
              <w:spacing w:line="360" w:lineRule="auto"/>
              <w:jc w:val="center"/>
              <w:rPr>
                <w:rFonts w:asciiTheme="minorEastAsia" w:hAnsiTheme="minorEastAsia" w:cstheme="minorEastAsia"/>
                <w:color w:val="auto"/>
                <w:szCs w:val="21"/>
                <w:highlight w:val="none"/>
              </w:rPr>
            </w:pPr>
            <w:r>
              <w:rPr>
                <w:rFonts w:hint="eastAsia" w:asciiTheme="minorEastAsia" w:hAnsiTheme="minorEastAsia" w:cstheme="minorEastAsia"/>
                <w:color w:val="auto"/>
                <w:szCs w:val="21"/>
                <w:highlight w:val="none"/>
              </w:rPr>
              <w:t>标的名称</w:t>
            </w:r>
          </w:p>
        </w:tc>
        <w:tc>
          <w:tcPr>
            <w:tcW w:w="1059" w:type="dxa"/>
            <w:vAlign w:val="center"/>
          </w:tcPr>
          <w:p w14:paraId="547E154B">
            <w:pPr>
              <w:snapToGrid w:val="0"/>
              <w:spacing w:line="360" w:lineRule="auto"/>
              <w:jc w:val="center"/>
              <w:rPr>
                <w:rFonts w:asciiTheme="minorEastAsia" w:hAnsiTheme="minorEastAsia" w:cstheme="minorEastAsia"/>
                <w:color w:val="auto"/>
                <w:szCs w:val="21"/>
                <w:highlight w:val="none"/>
              </w:rPr>
            </w:pPr>
            <w:r>
              <w:rPr>
                <w:rFonts w:hint="eastAsia" w:asciiTheme="minorEastAsia" w:hAnsiTheme="minorEastAsia" w:cstheme="minorEastAsia"/>
                <w:color w:val="auto"/>
                <w:szCs w:val="21"/>
                <w:highlight w:val="none"/>
              </w:rPr>
              <w:t>品牌</w:t>
            </w:r>
          </w:p>
          <w:p w14:paraId="15D246AA">
            <w:pPr>
              <w:snapToGrid w:val="0"/>
              <w:spacing w:line="360" w:lineRule="auto"/>
              <w:jc w:val="center"/>
              <w:rPr>
                <w:rFonts w:asciiTheme="minorEastAsia" w:hAnsiTheme="minorEastAsia" w:cstheme="minorEastAsia"/>
                <w:color w:val="auto"/>
                <w:szCs w:val="21"/>
                <w:highlight w:val="none"/>
              </w:rPr>
            </w:pPr>
            <w:r>
              <w:rPr>
                <w:rFonts w:hint="eastAsia" w:asciiTheme="minorEastAsia" w:hAnsiTheme="minorEastAsia" w:cstheme="minorEastAsia"/>
                <w:color w:val="auto"/>
                <w:szCs w:val="21"/>
                <w:highlight w:val="none"/>
              </w:rPr>
              <w:t>（如有）</w:t>
            </w:r>
          </w:p>
        </w:tc>
        <w:tc>
          <w:tcPr>
            <w:tcW w:w="1233" w:type="dxa"/>
            <w:vAlign w:val="center"/>
          </w:tcPr>
          <w:p w14:paraId="7995F187">
            <w:pPr>
              <w:snapToGrid w:val="0"/>
              <w:spacing w:line="360" w:lineRule="auto"/>
              <w:jc w:val="center"/>
              <w:rPr>
                <w:rFonts w:asciiTheme="minorEastAsia" w:hAnsiTheme="minorEastAsia" w:cstheme="minorEastAsia"/>
                <w:color w:val="auto"/>
                <w:szCs w:val="21"/>
                <w:highlight w:val="none"/>
              </w:rPr>
            </w:pPr>
            <w:r>
              <w:rPr>
                <w:rFonts w:hint="eastAsia" w:asciiTheme="minorEastAsia" w:hAnsiTheme="minorEastAsia" w:cstheme="minorEastAsia"/>
                <w:color w:val="auto"/>
                <w:szCs w:val="21"/>
                <w:highlight w:val="none"/>
              </w:rPr>
              <w:t>规格型号</w:t>
            </w:r>
          </w:p>
        </w:tc>
        <w:tc>
          <w:tcPr>
            <w:tcW w:w="1210" w:type="dxa"/>
            <w:vAlign w:val="center"/>
          </w:tcPr>
          <w:p w14:paraId="59F431CF">
            <w:pPr>
              <w:snapToGrid w:val="0"/>
              <w:spacing w:line="360" w:lineRule="auto"/>
              <w:jc w:val="center"/>
              <w:rPr>
                <w:rFonts w:asciiTheme="minorEastAsia" w:hAnsiTheme="minorEastAsia" w:cstheme="minorEastAsia"/>
                <w:color w:val="auto"/>
                <w:szCs w:val="21"/>
                <w:highlight w:val="none"/>
              </w:rPr>
            </w:pPr>
            <w:r>
              <w:rPr>
                <w:rFonts w:hint="eastAsia" w:asciiTheme="minorEastAsia" w:hAnsiTheme="minorEastAsia" w:cstheme="minorEastAsia"/>
                <w:color w:val="auto"/>
                <w:szCs w:val="21"/>
                <w:highlight w:val="none"/>
              </w:rPr>
              <w:t>生产厂家</w:t>
            </w:r>
          </w:p>
        </w:tc>
        <w:tc>
          <w:tcPr>
            <w:tcW w:w="737" w:type="dxa"/>
            <w:vAlign w:val="center"/>
          </w:tcPr>
          <w:p w14:paraId="47B4294A">
            <w:pPr>
              <w:snapToGrid w:val="0"/>
              <w:spacing w:line="360" w:lineRule="auto"/>
              <w:jc w:val="center"/>
              <w:rPr>
                <w:rFonts w:asciiTheme="minorEastAsia" w:hAnsiTheme="minorEastAsia" w:cstheme="minorEastAsia"/>
                <w:color w:val="auto"/>
                <w:szCs w:val="21"/>
                <w:highlight w:val="none"/>
              </w:rPr>
            </w:pPr>
            <w:r>
              <w:rPr>
                <w:rFonts w:hint="eastAsia" w:asciiTheme="minorEastAsia" w:hAnsiTheme="minorEastAsia" w:cstheme="minorEastAsia"/>
                <w:color w:val="auto"/>
                <w:szCs w:val="21"/>
                <w:highlight w:val="none"/>
              </w:rPr>
              <w:t>单位</w:t>
            </w:r>
          </w:p>
        </w:tc>
        <w:tc>
          <w:tcPr>
            <w:tcW w:w="735" w:type="dxa"/>
            <w:vAlign w:val="center"/>
          </w:tcPr>
          <w:p w14:paraId="7720BA2E">
            <w:pPr>
              <w:snapToGrid w:val="0"/>
              <w:spacing w:line="360" w:lineRule="auto"/>
              <w:jc w:val="center"/>
              <w:rPr>
                <w:rFonts w:asciiTheme="minorEastAsia" w:hAnsiTheme="minorEastAsia" w:cstheme="minorEastAsia"/>
                <w:color w:val="auto"/>
                <w:szCs w:val="21"/>
                <w:highlight w:val="none"/>
              </w:rPr>
            </w:pPr>
            <w:r>
              <w:rPr>
                <w:rFonts w:hint="eastAsia" w:asciiTheme="minorEastAsia" w:hAnsiTheme="minorEastAsia" w:cstheme="minorEastAsia"/>
                <w:color w:val="auto"/>
                <w:szCs w:val="21"/>
                <w:highlight w:val="none"/>
              </w:rPr>
              <w:t>数量①</w:t>
            </w:r>
          </w:p>
        </w:tc>
        <w:tc>
          <w:tcPr>
            <w:tcW w:w="1285" w:type="dxa"/>
            <w:vAlign w:val="center"/>
          </w:tcPr>
          <w:p w14:paraId="702AD5DB">
            <w:pPr>
              <w:snapToGrid w:val="0"/>
              <w:spacing w:line="360" w:lineRule="auto"/>
              <w:jc w:val="center"/>
              <w:rPr>
                <w:rFonts w:asciiTheme="minorEastAsia" w:hAnsiTheme="minorEastAsia" w:cstheme="minorEastAsia"/>
                <w:color w:val="auto"/>
                <w:szCs w:val="21"/>
                <w:highlight w:val="none"/>
              </w:rPr>
            </w:pPr>
            <w:r>
              <w:rPr>
                <w:rFonts w:hint="eastAsia" w:asciiTheme="minorEastAsia" w:hAnsiTheme="minorEastAsia" w:cstheme="minorEastAsia"/>
                <w:color w:val="auto"/>
                <w:szCs w:val="21"/>
                <w:highlight w:val="none"/>
              </w:rPr>
              <w:t>单价（元）②</w:t>
            </w:r>
          </w:p>
        </w:tc>
        <w:tc>
          <w:tcPr>
            <w:tcW w:w="1500" w:type="dxa"/>
            <w:vAlign w:val="center"/>
          </w:tcPr>
          <w:p w14:paraId="69AD9F57">
            <w:pPr>
              <w:snapToGrid w:val="0"/>
              <w:spacing w:line="360" w:lineRule="auto"/>
              <w:jc w:val="center"/>
              <w:rPr>
                <w:rFonts w:asciiTheme="minorEastAsia" w:hAnsiTheme="minorEastAsia" w:cstheme="minorEastAsia"/>
                <w:color w:val="auto"/>
                <w:szCs w:val="21"/>
                <w:highlight w:val="none"/>
              </w:rPr>
            </w:pPr>
            <w:r>
              <w:rPr>
                <w:rFonts w:hint="eastAsia" w:asciiTheme="minorEastAsia" w:hAnsiTheme="minorEastAsia" w:cstheme="minorEastAsia"/>
                <w:color w:val="auto"/>
                <w:szCs w:val="21"/>
                <w:highlight w:val="none"/>
              </w:rPr>
              <w:t>单项合计（元）</w:t>
            </w:r>
          </w:p>
          <w:p w14:paraId="7CB6116C">
            <w:pPr>
              <w:snapToGrid w:val="0"/>
              <w:spacing w:line="360" w:lineRule="auto"/>
              <w:jc w:val="center"/>
              <w:rPr>
                <w:rFonts w:asciiTheme="minorEastAsia" w:hAnsiTheme="minorEastAsia" w:cstheme="minorEastAsia"/>
                <w:color w:val="auto"/>
                <w:szCs w:val="21"/>
                <w:highlight w:val="none"/>
              </w:rPr>
            </w:pPr>
            <w:r>
              <w:rPr>
                <w:rFonts w:hint="eastAsia" w:asciiTheme="minorEastAsia" w:hAnsiTheme="minorEastAsia" w:cstheme="minorEastAsia"/>
                <w:color w:val="auto"/>
                <w:szCs w:val="21"/>
                <w:highlight w:val="none"/>
              </w:rPr>
              <w:t>③＝①X②</w:t>
            </w:r>
          </w:p>
        </w:tc>
      </w:tr>
      <w:tr w14:paraId="4E8D6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vAlign w:val="center"/>
          </w:tcPr>
          <w:p w14:paraId="1034B0D9">
            <w:pPr>
              <w:snapToGrid w:val="0"/>
              <w:spacing w:line="360" w:lineRule="auto"/>
              <w:jc w:val="center"/>
              <w:rPr>
                <w:rFonts w:asciiTheme="minorEastAsia" w:hAnsiTheme="minorEastAsia" w:cstheme="minorEastAsia"/>
                <w:color w:val="auto"/>
                <w:szCs w:val="21"/>
                <w:highlight w:val="none"/>
              </w:rPr>
            </w:pPr>
            <w:r>
              <w:rPr>
                <w:rFonts w:hint="eastAsia" w:asciiTheme="minorEastAsia" w:hAnsiTheme="minorEastAsia" w:cstheme="minorEastAsia"/>
                <w:color w:val="auto"/>
                <w:szCs w:val="21"/>
                <w:highlight w:val="none"/>
              </w:rPr>
              <w:t>1</w:t>
            </w:r>
          </w:p>
        </w:tc>
        <w:tc>
          <w:tcPr>
            <w:tcW w:w="1233" w:type="dxa"/>
            <w:vAlign w:val="center"/>
          </w:tcPr>
          <w:p w14:paraId="20B92BEE">
            <w:pPr>
              <w:snapToGrid w:val="0"/>
              <w:spacing w:line="360" w:lineRule="auto"/>
              <w:jc w:val="center"/>
              <w:rPr>
                <w:rFonts w:asciiTheme="minorEastAsia" w:hAnsiTheme="minorEastAsia" w:cstheme="minorEastAsia"/>
                <w:color w:val="auto"/>
                <w:szCs w:val="21"/>
                <w:highlight w:val="none"/>
              </w:rPr>
            </w:pPr>
          </w:p>
        </w:tc>
        <w:tc>
          <w:tcPr>
            <w:tcW w:w="1059" w:type="dxa"/>
            <w:vAlign w:val="center"/>
          </w:tcPr>
          <w:p w14:paraId="6AB1A4A4">
            <w:pPr>
              <w:snapToGrid w:val="0"/>
              <w:spacing w:line="360" w:lineRule="auto"/>
              <w:jc w:val="center"/>
              <w:rPr>
                <w:rFonts w:asciiTheme="minorEastAsia" w:hAnsiTheme="minorEastAsia" w:cstheme="minorEastAsia"/>
                <w:color w:val="auto"/>
                <w:szCs w:val="21"/>
                <w:highlight w:val="none"/>
              </w:rPr>
            </w:pPr>
          </w:p>
        </w:tc>
        <w:tc>
          <w:tcPr>
            <w:tcW w:w="1233" w:type="dxa"/>
            <w:vAlign w:val="center"/>
          </w:tcPr>
          <w:p w14:paraId="6DF38BC4">
            <w:pPr>
              <w:snapToGrid w:val="0"/>
              <w:spacing w:line="360" w:lineRule="auto"/>
              <w:jc w:val="center"/>
              <w:rPr>
                <w:rFonts w:asciiTheme="minorEastAsia" w:hAnsiTheme="minorEastAsia" w:cstheme="minorEastAsia"/>
                <w:color w:val="auto"/>
                <w:szCs w:val="21"/>
                <w:highlight w:val="none"/>
              </w:rPr>
            </w:pPr>
          </w:p>
        </w:tc>
        <w:tc>
          <w:tcPr>
            <w:tcW w:w="1210" w:type="dxa"/>
          </w:tcPr>
          <w:p w14:paraId="06B2E2FA">
            <w:pPr>
              <w:snapToGrid w:val="0"/>
              <w:spacing w:line="360" w:lineRule="auto"/>
              <w:jc w:val="center"/>
              <w:rPr>
                <w:rFonts w:asciiTheme="minorEastAsia" w:hAnsiTheme="minorEastAsia" w:cstheme="minorEastAsia"/>
                <w:color w:val="auto"/>
                <w:szCs w:val="21"/>
                <w:highlight w:val="none"/>
              </w:rPr>
            </w:pPr>
          </w:p>
        </w:tc>
        <w:tc>
          <w:tcPr>
            <w:tcW w:w="737" w:type="dxa"/>
          </w:tcPr>
          <w:p w14:paraId="4D7A9524">
            <w:pPr>
              <w:snapToGrid w:val="0"/>
              <w:spacing w:line="360" w:lineRule="auto"/>
              <w:jc w:val="center"/>
              <w:rPr>
                <w:rFonts w:asciiTheme="minorEastAsia" w:hAnsiTheme="minorEastAsia" w:cstheme="minorEastAsia"/>
                <w:color w:val="auto"/>
                <w:szCs w:val="21"/>
                <w:highlight w:val="none"/>
              </w:rPr>
            </w:pPr>
          </w:p>
        </w:tc>
        <w:tc>
          <w:tcPr>
            <w:tcW w:w="735" w:type="dxa"/>
          </w:tcPr>
          <w:p w14:paraId="732149BA">
            <w:pPr>
              <w:snapToGrid w:val="0"/>
              <w:spacing w:line="360" w:lineRule="auto"/>
              <w:jc w:val="center"/>
              <w:rPr>
                <w:rFonts w:asciiTheme="minorEastAsia" w:hAnsiTheme="minorEastAsia" w:cstheme="minorEastAsia"/>
                <w:color w:val="auto"/>
                <w:szCs w:val="21"/>
                <w:highlight w:val="none"/>
              </w:rPr>
            </w:pPr>
          </w:p>
        </w:tc>
        <w:tc>
          <w:tcPr>
            <w:tcW w:w="1285" w:type="dxa"/>
            <w:vAlign w:val="center"/>
          </w:tcPr>
          <w:p w14:paraId="026B35DF">
            <w:pPr>
              <w:snapToGrid w:val="0"/>
              <w:spacing w:line="360" w:lineRule="auto"/>
              <w:jc w:val="center"/>
              <w:rPr>
                <w:rFonts w:asciiTheme="minorEastAsia" w:hAnsiTheme="minorEastAsia" w:cstheme="minorEastAsia"/>
                <w:color w:val="auto"/>
                <w:szCs w:val="21"/>
                <w:highlight w:val="none"/>
              </w:rPr>
            </w:pPr>
          </w:p>
        </w:tc>
        <w:tc>
          <w:tcPr>
            <w:tcW w:w="1500" w:type="dxa"/>
            <w:vAlign w:val="center"/>
          </w:tcPr>
          <w:p w14:paraId="07940924">
            <w:pPr>
              <w:snapToGrid w:val="0"/>
              <w:spacing w:line="360" w:lineRule="auto"/>
              <w:jc w:val="center"/>
              <w:rPr>
                <w:rFonts w:asciiTheme="minorEastAsia" w:hAnsiTheme="minorEastAsia" w:cstheme="minorEastAsia"/>
                <w:color w:val="auto"/>
                <w:szCs w:val="21"/>
                <w:highlight w:val="none"/>
              </w:rPr>
            </w:pPr>
          </w:p>
        </w:tc>
      </w:tr>
      <w:tr w14:paraId="23A58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vAlign w:val="center"/>
          </w:tcPr>
          <w:p w14:paraId="130DFA69">
            <w:pPr>
              <w:snapToGrid w:val="0"/>
              <w:spacing w:line="360" w:lineRule="auto"/>
              <w:jc w:val="center"/>
              <w:rPr>
                <w:rFonts w:asciiTheme="minorEastAsia" w:hAnsiTheme="minorEastAsia" w:cstheme="minorEastAsia"/>
                <w:color w:val="auto"/>
                <w:szCs w:val="21"/>
                <w:highlight w:val="none"/>
              </w:rPr>
            </w:pPr>
            <w:r>
              <w:rPr>
                <w:rFonts w:hint="eastAsia" w:asciiTheme="minorEastAsia" w:hAnsiTheme="minorEastAsia" w:cstheme="minorEastAsia"/>
                <w:color w:val="auto"/>
                <w:szCs w:val="21"/>
                <w:highlight w:val="none"/>
              </w:rPr>
              <w:t>2</w:t>
            </w:r>
          </w:p>
        </w:tc>
        <w:tc>
          <w:tcPr>
            <w:tcW w:w="1233" w:type="dxa"/>
            <w:vAlign w:val="center"/>
          </w:tcPr>
          <w:p w14:paraId="010CF86C">
            <w:pPr>
              <w:snapToGrid w:val="0"/>
              <w:spacing w:line="360" w:lineRule="auto"/>
              <w:jc w:val="center"/>
              <w:rPr>
                <w:rFonts w:asciiTheme="minorEastAsia" w:hAnsiTheme="minorEastAsia" w:cstheme="minorEastAsia"/>
                <w:color w:val="auto"/>
                <w:szCs w:val="21"/>
                <w:highlight w:val="none"/>
              </w:rPr>
            </w:pPr>
          </w:p>
        </w:tc>
        <w:tc>
          <w:tcPr>
            <w:tcW w:w="1059" w:type="dxa"/>
            <w:vAlign w:val="center"/>
          </w:tcPr>
          <w:p w14:paraId="3877F9D6">
            <w:pPr>
              <w:snapToGrid w:val="0"/>
              <w:spacing w:line="360" w:lineRule="auto"/>
              <w:jc w:val="center"/>
              <w:rPr>
                <w:rFonts w:asciiTheme="minorEastAsia" w:hAnsiTheme="minorEastAsia" w:cstheme="minorEastAsia"/>
                <w:color w:val="auto"/>
                <w:szCs w:val="21"/>
                <w:highlight w:val="none"/>
              </w:rPr>
            </w:pPr>
          </w:p>
        </w:tc>
        <w:tc>
          <w:tcPr>
            <w:tcW w:w="1233" w:type="dxa"/>
            <w:vAlign w:val="center"/>
          </w:tcPr>
          <w:p w14:paraId="10D1A4DC">
            <w:pPr>
              <w:snapToGrid w:val="0"/>
              <w:spacing w:line="360" w:lineRule="auto"/>
              <w:jc w:val="center"/>
              <w:rPr>
                <w:rFonts w:asciiTheme="minorEastAsia" w:hAnsiTheme="minorEastAsia" w:cstheme="minorEastAsia"/>
                <w:color w:val="auto"/>
                <w:szCs w:val="21"/>
                <w:highlight w:val="none"/>
              </w:rPr>
            </w:pPr>
          </w:p>
        </w:tc>
        <w:tc>
          <w:tcPr>
            <w:tcW w:w="1210" w:type="dxa"/>
          </w:tcPr>
          <w:p w14:paraId="5DE06185">
            <w:pPr>
              <w:snapToGrid w:val="0"/>
              <w:spacing w:line="360" w:lineRule="auto"/>
              <w:jc w:val="center"/>
              <w:rPr>
                <w:rFonts w:asciiTheme="minorEastAsia" w:hAnsiTheme="minorEastAsia" w:cstheme="minorEastAsia"/>
                <w:color w:val="auto"/>
                <w:szCs w:val="21"/>
                <w:highlight w:val="none"/>
              </w:rPr>
            </w:pPr>
          </w:p>
        </w:tc>
        <w:tc>
          <w:tcPr>
            <w:tcW w:w="737" w:type="dxa"/>
          </w:tcPr>
          <w:p w14:paraId="6E13B319">
            <w:pPr>
              <w:snapToGrid w:val="0"/>
              <w:spacing w:line="360" w:lineRule="auto"/>
              <w:jc w:val="center"/>
              <w:rPr>
                <w:rFonts w:asciiTheme="minorEastAsia" w:hAnsiTheme="minorEastAsia" w:cstheme="minorEastAsia"/>
                <w:color w:val="auto"/>
                <w:szCs w:val="21"/>
                <w:highlight w:val="none"/>
              </w:rPr>
            </w:pPr>
          </w:p>
        </w:tc>
        <w:tc>
          <w:tcPr>
            <w:tcW w:w="735" w:type="dxa"/>
          </w:tcPr>
          <w:p w14:paraId="633808C8">
            <w:pPr>
              <w:snapToGrid w:val="0"/>
              <w:spacing w:line="360" w:lineRule="auto"/>
              <w:jc w:val="center"/>
              <w:rPr>
                <w:rFonts w:asciiTheme="minorEastAsia" w:hAnsiTheme="minorEastAsia" w:cstheme="minorEastAsia"/>
                <w:color w:val="auto"/>
                <w:szCs w:val="21"/>
                <w:highlight w:val="none"/>
              </w:rPr>
            </w:pPr>
          </w:p>
        </w:tc>
        <w:tc>
          <w:tcPr>
            <w:tcW w:w="1285" w:type="dxa"/>
            <w:vAlign w:val="center"/>
          </w:tcPr>
          <w:p w14:paraId="3C0F2172">
            <w:pPr>
              <w:snapToGrid w:val="0"/>
              <w:spacing w:line="360" w:lineRule="auto"/>
              <w:jc w:val="center"/>
              <w:rPr>
                <w:rFonts w:asciiTheme="minorEastAsia" w:hAnsiTheme="minorEastAsia" w:cstheme="minorEastAsia"/>
                <w:color w:val="auto"/>
                <w:szCs w:val="21"/>
                <w:highlight w:val="none"/>
              </w:rPr>
            </w:pPr>
          </w:p>
        </w:tc>
        <w:tc>
          <w:tcPr>
            <w:tcW w:w="1500" w:type="dxa"/>
            <w:vAlign w:val="center"/>
          </w:tcPr>
          <w:p w14:paraId="480344BD">
            <w:pPr>
              <w:snapToGrid w:val="0"/>
              <w:spacing w:line="360" w:lineRule="auto"/>
              <w:jc w:val="center"/>
              <w:rPr>
                <w:rFonts w:asciiTheme="minorEastAsia" w:hAnsiTheme="minorEastAsia" w:cstheme="minorEastAsia"/>
                <w:color w:val="auto"/>
                <w:szCs w:val="21"/>
                <w:highlight w:val="none"/>
              </w:rPr>
            </w:pPr>
          </w:p>
        </w:tc>
      </w:tr>
      <w:tr w14:paraId="1A3F0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vAlign w:val="center"/>
          </w:tcPr>
          <w:p w14:paraId="7877C8C2">
            <w:pPr>
              <w:snapToGrid w:val="0"/>
              <w:spacing w:line="360" w:lineRule="auto"/>
              <w:jc w:val="center"/>
              <w:rPr>
                <w:rFonts w:asciiTheme="minorEastAsia" w:hAnsiTheme="minorEastAsia" w:cstheme="minorEastAsia"/>
                <w:color w:val="auto"/>
                <w:szCs w:val="21"/>
                <w:highlight w:val="none"/>
              </w:rPr>
            </w:pPr>
            <w:r>
              <w:rPr>
                <w:rFonts w:hint="eastAsia" w:asciiTheme="minorEastAsia" w:hAnsiTheme="minorEastAsia" w:cstheme="minorEastAsia"/>
                <w:color w:val="auto"/>
                <w:szCs w:val="21"/>
                <w:highlight w:val="none"/>
              </w:rPr>
              <w:t>……</w:t>
            </w:r>
          </w:p>
        </w:tc>
        <w:tc>
          <w:tcPr>
            <w:tcW w:w="1233" w:type="dxa"/>
            <w:vAlign w:val="center"/>
          </w:tcPr>
          <w:p w14:paraId="643D483C">
            <w:pPr>
              <w:snapToGrid w:val="0"/>
              <w:spacing w:line="360" w:lineRule="auto"/>
              <w:jc w:val="center"/>
              <w:rPr>
                <w:rFonts w:asciiTheme="minorEastAsia" w:hAnsiTheme="minorEastAsia" w:cstheme="minorEastAsia"/>
                <w:color w:val="auto"/>
                <w:szCs w:val="21"/>
                <w:highlight w:val="none"/>
              </w:rPr>
            </w:pPr>
          </w:p>
        </w:tc>
        <w:tc>
          <w:tcPr>
            <w:tcW w:w="1059" w:type="dxa"/>
            <w:vAlign w:val="center"/>
          </w:tcPr>
          <w:p w14:paraId="54852713">
            <w:pPr>
              <w:snapToGrid w:val="0"/>
              <w:spacing w:line="360" w:lineRule="auto"/>
              <w:jc w:val="center"/>
              <w:rPr>
                <w:rFonts w:asciiTheme="minorEastAsia" w:hAnsiTheme="minorEastAsia" w:cstheme="minorEastAsia"/>
                <w:color w:val="auto"/>
                <w:szCs w:val="21"/>
                <w:highlight w:val="none"/>
              </w:rPr>
            </w:pPr>
          </w:p>
        </w:tc>
        <w:tc>
          <w:tcPr>
            <w:tcW w:w="1233" w:type="dxa"/>
            <w:vAlign w:val="center"/>
          </w:tcPr>
          <w:p w14:paraId="5EEC8AF1">
            <w:pPr>
              <w:snapToGrid w:val="0"/>
              <w:spacing w:line="360" w:lineRule="auto"/>
              <w:jc w:val="center"/>
              <w:rPr>
                <w:rFonts w:asciiTheme="minorEastAsia" w:hAnsiTheme="minorEastAsia" w:cstheme="minorEastAsia"/>
                <w:color w:val="auto"/>
                <w:szCs w:val="21"/>
                <w:highlight w:val="none"/>
              </w:rPr>
            </w:pPr>
          </w:p>
        </w:tc>
        <w:tc>
          <w:tcPr>
            <w:tcW w:w="1210" w:type="dxa"/>
          </w:tcPr>
          <w:p w14:paraId="251729F0">
            <w:pPr>
              <w:snapToGrid w:val="0"/>
              <w:spacing w:line="360" w:lineRule="auto"/>
              <w:jc w:val="center"/>
              <w:rPr>
                <w:rFonts w:asciiTheme="minorEastAsia" w:hAnsiTheme="minorEastAsia" w:cstheme="minorEastAsia"/>
                <w:color w:val="auto"/>
                <w:szCs w:val="21"/>
                <w:highlight w:val="none"/>
              </w:rPr>
            </w:pPr>
          </w:p>
        </w:tc>
        <w:tc>
          <w:tcPr>
            <w:tcW w:w="737" w:type="dxa"/>
          </w:tcPr>
          <w:p w14:paraId="675BB240">
            <w:pPr>
              <w:snapToGrid w:val="0"/>
              <w:spacing w:line="360" w:lineRule="auto"/>
              <w:jc w:val="center"/>
              <w:rPr>
                <w:rFonts w:asciiTheme="minorEastAsia" w:hAnsiTheme="minorEastAsia" w:cstheme="minorEastAsia"/>
                <w:color w:val="auto"/>
                <w:szCs w:val="21"/>
                <w:highlight w:val="none"/>
              </w:rPr>
            </w:pPr>
          </w:p>
        </w:tc>
        <w:tc>
          <w:tcPr>
            <w:tcW w:w="735" w:type="dxa"/>
          </w:tcPr>
          <w:p w14:paraId="47CA6F5C">
            <w:pPr>
              <w:snapToGrid w:val="0"/>
              <w:spacing w:line="360" w:lineRule="auto"/>
              <w:jc w:val="center"/>
              <w:rPr>
                <w:rFonts w:asciiTheme="minorEastAsia" w:hAnsiTheme="minorEastAsia" w:cstheme="minorEastAsia"/>
                <w:color w:val="auto"/>
                <w:szCs w:val="21"/>
                <w:highlight w:val="none"/>
              </w:rPr>
            </w:pPr>
          </w:p>
        </w:tc>
        <w:tc>
          <w:tcPr>
            <w:tcW w:w="1285" w:type="dxa"/>
            <w:vAlign w:val="center"/>
          </w:tcPr>
          <w:p w14:paraId="76112A14">
            <w:pPr>
              <w:snapToGrid w:val="0"/>
              <w:spacing w:line="360" w:lineRule="auto"/>
              <w:jc w:val="center"/>
              <w:rPr>
                <w:rFonts w:asciiTheme="minorEastAsia" w:hAnsiTheme="minorEastAsia" w:cstheme="minorEastAsia"/>
                <w:color w:val="auto"/>
                <w:szCs w:val="21"/>
                <w:highlight w:val="none"/>
              </w:rPr>
            </w:pPr>
          </w:p>
        </w:tc>
        <w:tc>
          <w:tcPr>
            <w:tcW w:w="1500" w:type="dxa"/>
            <w:vAlign w:val="center"/>
          </w:tcPr>
          <w:p w14:paraId="7453D167">
            <w:pPr>
              <w:snapToGrid w:val="0"/>
              <w:spacing w:line="360" w:lineRule="auto"/>
              <w:jc w:val="center"/>
              <w:rPr>
                <w:rFonts w:asciiTheme="minorEastAsia" w:hAnsiTheme="minorEastAsia" w:cstheme="minorEastAsia"/>
                <w:color w:val="auto"/>
                <w:szCs w:val="21"/>
                <w:highlight w:val="none"/>
              </w:rPr>
            </w:pPr>
          </w:p>
        </w:tc>
      </w:tr>
      <w:tr w14:paraId="01434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701" w:type="dxa"/>
            <w:gridSpan w:val="9"/>
            <w:vAlign w:val="center"/>
          </w:tcPr>
          <w:p w14:paraId="0287AB7E">
            <w:pPr>
              <w:snapToGrid w:val="0"/>
              <w:spacing w:line="360" w:lineRule="auto"/>
              <w:rPr>
                <w:rFonts w:asciiTheme="minorEastAsia" w:hAnsiTheme="minorEastAsia" w:cstheme="minorEastAsia"/>
                <w:color w:val="auto"/>
                <w:szCs w:val="21"/>
                <w:highlight w:val="none"/>
              </w:rPr>
            </w:pPr>
            <w:r>
              <w:rPr>
                <w:rFonts w:hint="eastAsia" w:asciiTheme="minorEastAsia" w:hAnsiTheme="minorEastAsia" w:cstheme="minorEastAsia"/>
                <w:color w:val="auto"/>
                <w:szCs w:val="21"/>
                <w:highlight w:val="none"/>
              </w:rPr>
              <w:t>合同总金额：（大写）</w:t>
            </w:r>
            <w:r>
              <w:rPr>
                <w:rFonts w:hint="eastAsia" w:asciiTheme="minorEastAsia" w:hAnsiTheme="minorEastAsia" w:cstheme="minorEastAsia"/>
                <w:color w:val="auto"/>
                <w:szCs w:val="21"/>
                <w:highlight w:val="none"/>
                <w:u w:val="single"/>
              </w:rPr>
              <w:t xml:space="preserve">人民币           </w:t>
            </w:r>
            <w:r>
              <w:rPr>
                <w:rFonts w:hint="eastAsia" w:asciiTheme="minorEastAsia" w:hAnsiTheme="minorEastAsia" w:cstheme="minorEastAsia"/>
                <w:color w:val="auto"/>
                <w:szCs w:val="21"/>
                <w:highlight w:val="none"/>
              </w:rPr>
              <w:t>（小写）¥</w:t>
            </w:r>
            <w:r>
              <w:rPr>
                <w:rFonts w:hint="eastAsia" w:asciiTheme="minorEastAsia" w:hAnsiTheme="minorEastAsia" w:cstheme="minorEastAsia"/>
                <w:color w:val="auto"/>
                <w:szCs w:val="21"/>
                <w:highlight w:val="none"/>
                <w:u w:val="single"/>
              </w:rPr>
              <w:t xml:space="preserve">         </w:t>
            </w:r>
            <w:r>
              <w:rPr>
                <w:rFonts w:hint="eastAsia" w:asciiTheme="minorEastAsia" w:hAnsiTheme="minorEastAsia" w:cstheme="minorEastAsia"/>
                <w:color w:val="auto"/>
                <w:szCs w:val="21"/>
                <w:highlight w:val="none"/>
              </w:rPr>
              <w:t xml:space="preserve">                  </w:t>
            </w:r>
          </w:p>
        </w:tc>
      </w:tr>
    </w:tbl>
    <w:p w14:paraId="3C3FE2BA">
      <w:pPr>
        <w:widowControl/>
        <w:numPr>
          <w:ilvl w:val="0"/>
          <w:numId w:val="0"/>
        </w:numPr>
        <w:adjustRightInd w:val="0"/>
        <w:snapToGrid w:val="0"/>
        <w:spacing w:line="360" w:lineRule="exact"/>
        <w:ind w:right="0" w:rightChars="0" w:firstLine="420" w:firstLineChars="200"/>
        <w:jc w:val="left"/>
        <w:textAlignment w:val="center"/>
        <w:rPr>
          <w:rFonts w:hint="eastAsia" w:asciiTheme="minorEastAsia" w:hAnsiTheme="minorEastAsia" w:cstheme="minorEastAsia"/>
          <w:b/>
          <w:color w:val="auto"/>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本项目按总价包干，为交钥匙项目，</w:t>
      </w:r>
      <w:r>
        <w:rPr>
          <w:rFonts w:hint="eastAsia" w:asciiTheme="minorEastAsia" w:hAnsiTheme="minorEastAsia" w:cstheme="minorEastAsia"/>
          <w:color w:val="auto"/>
          <w:szCs w:val="21"/>
          <w:highlight w:val="none"/>
        </w:rPr>
        <w:t>合同总金额包括</w:t>
      </w:r>
      <w:r>
        <w:rPr>
          <w:rFonts w:hint="eastAsia" w:ascii="宋体" w:hAnsi="宋体" w:eastAsia="宋体" w:cs="宋体"/>
          <w:color w:val="auto"/>
          <w:sz w:val="21"/>
          <w:szCs w:val="21"/>
          <w:highlight w:val="none"/>
          <w:lang w:val="en-US" w:eastAsia="zh-CN"/>
        </w:rPr>
        <w:t>采购标的</w:t>
      </w:r>
      <w:r>
        <w:rPr>
          <w:rFonts w:hint="eastAsia" w:ascii="宋体" w:hAnsi="宋体" w:eastAsia="宋体" w:cs="宋体"/>
          <w:color w:val="auto"/>
          <w:sz w:val="21"/>
          <w:szCs w:val="21"/>
          <w:highlight w:val="none"/>
        </w:rPr>
        <w:t>、备品备件、材料、消耗品、工具的采购和运输（装卸），项目安装、调试、检测、试验及验收、配合服务费、售后服务、税金、利润及其他成本等费用，若有与其他项目承包商配合服务费由</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自行与其他承包方按照市场规则进行协商，</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予以积极配合。</w:t>
      </w:r>
    </w:p>
    <w:p w14:paraId="1911B67B">
      <w:pPr>
        <w:snapToGrid w:val="0"/>
        <w:spacing w:line="360" w:lineRule="auto"/>
        <w:ind w:firstLine="422" w:firstLineChars="200"/>
        <w:rPr>
          <w:rFonts w:hint="eastAsia" w:asciiTheme="minorEastAsia" w:hAnsiTheme="minorEastAsia" w:cstheme="minorEastAsia"/>
          <w:color w:val="auto"/>
          <w:szCs w:val="21"/>
          <w:highlight w:val="none"/>
        </w:rPr>
      </w:pPr>
      <w:r>
        <w:rPr>
          <w:rFonts w:hint="eastAsia" w:asciiTheme="minorEastAsia" w:hAnsiTheme="minorEastAsia" w:cstheme="minorEastAsia"/>
          <w:b/>
          <w:color w:val="auto"/>
          <w:szCs w:val="21"/>
          <w:highlight w:val="none"/>
        </w:rPr>
        <w:t>第二条　质量要求</w:t>
      </w:r>
    </w:p>
    <w:p w14:paraId="447C4473">
      <w:pPr>
        <w:widowControl/>
        <w:numPr>
          <w:ilvl w:val="0"/>
          <w:numId w:val="0"/>
        </w:numPr>
        <w:autoSpaceDE/>
        <w:adjustRightInd w:val="0"/>
        <w:snapToGrid w:val="0"/>
        <w:spacing w:line="360" w:lineRule="exact"/>
        <w:ind w:firstLine="420" w:firstLineChars="200"/>
        <w:jc w:val="left"/>
        <w:textAlignment w:val="center"/>
        <w:rPr>
          <w:rFonts w:hint="eastAsia" w:asciiTheme="minorEastAsia" w:hAnsiTheme="minorEastAsia" w:cstheme="minorEastAsia"/>
          <w:color w:val="auto"/>
          <w:szCs w:val="21"/>
          <w:highlight w:val="none"/>
        </w:rPr>
      </w:pPr>
      <w:r>
        <w:rPr>
          <w:rFonts w:hint="eastAsia" w:asciiTheme="minorEastAsia" w:hAnsiTheme="minorEastAsia" w:cstheme="minorEastAsia"/>
          <w:color w:val="auto"/>
          <w:szCs w:val="21"/>
          <w:highlight w:val="none"/>
        </w:rPr>
        <w:t>1.乙方所提供的产品名称、商标品牌、生产厂家、规格型号、技术参数等质量必须与竞争性谈判文件规定及响应文件承诺相一致。乙方提供的节能和环保产品必须是列入政府采购品目清单的产品</w:t>
      </w:r>
      <w:r>
        <w:rPr>
          <w:rFonts w:hint="eastAsia" w:asciiTheme="minorEastAsia" w:hAnsiTheme="minorEastAsia" w:cstheme="minorEastAsia"/>
          <w:color w:val="auto"/>
          <w:szCs w:val="21"/>
          <w:highlight w:val="none"/>
          <w:lang w:eastAsia="zh-CN"/>
        </w:rPr>
        <w:t>，</w:t>
      </w:r>
      <w:r>
        <w:rPr>
          <w:rFonts w:hint="eastAsia" w:asciiTheme="minorEastAsia" w:hAnsiTheme="minorEastAsia" w:cstheme="minorEastAsia"/>
          <w:color w:val="auto"/>
          <w:sz w:val="21"/>
          <w:szCs w:val="21"/>
          <w:highlight w:val="none"/>
        </w:rPr>
        <w:t>否则甲方有权解除本合同。</w:t>
      </w:r>
    </w:p>
    <w:p w14:paraId="73D908A5">
      <w:pPr>
        <w:widowControl/>
        <w:numPr>
          <w:ilvl w:val="0"/>
          <w:numId w:val="0"/>
        </w:numPr>
        <w:adjustRightInd w:val="0"/>
        <w:snapToGrid w:val="0"/>
        <w:spacing w:line="360" w:lineRule="exact"/>
        <w:ind w:firstLine="420" w:firstLineChars="200"/>
        <w:jc w:val="left"/>
        <w:textAlignment w:val="center"/>
        <w:rPr>
          <w:rFonts w:hint="eastAsia" w:asciiTheme="minorEastAsia" w:hAnsiTheme="minorEastAsia" w:cstheme="minorEastAsia"/>
          <w:color w:val="auto"/>
          <w:sz w:val="21"/>
          <w:szCs w:val="21"/>
          <w:highlight w:val="none"/>
        </w:rPr>
      </w:pPr>
      <w:r>
        <w:rPr>
          <w:rFonts w:hint="eastAsia" w:asciiTheme="minorEastAsia" w:hAnsiTheme="minorEastAsia" w:cstheme="minorEastAsia"/>
          <w:color w:val="auto"/>
          <w:szCs w:val="21"/>
          <w:highlight w:val="none"/>
        </w:rPr>
        <w:t>2.乙方所提供的货物必须是全新、未使用的原装产品，且在正常安装、使用和保养条件下，其使用寿命期内各项指标均达到竞争性谈判文件规定或者响应文件承诺的质量要求</w:t>
      </w:r>
      <w:r>
        <w:rPr>
          <w:rFonts w:hint="eastAsia" w:asciiTheme="minorEastAsia" w:hAnsiTheme="minorEastAsia" w:cstheme="minorEastAsia"/>
          <w:color w:val="auto"/>
          <w:szCs w:val="21"/>
          <w:highlight w:val="none"/>
          <w:lang w:eastAsia="zh-CN"/>
        </w:rPr>
        <w:t>，</w:t>
      </w:r>
      <w:r>
        <w:rPr>
          <w:rFonts w:hint="eastAsia" w:asciiTheme="minorEastAsia" w:hAnsiTheme="minorEastAsia" w:cstheme="minorEastAsia"/>
          <w:color w:val="auto"/>
          <w:sz w:val="21"/>
          <w:szCs w:val="21"/>
          <w:highlight w:val="none"/>
        </w:rPr>
        <w:t>否则甲方有权解除本合同。</w:t>
      </w:r>
    </w:p>
    <w:p w14:paraId="398FD089">
      <w:pPr>
        <w:widowControl/>
        <w:numPr>
          <w:ilvl w:val="0"/>
          <w:numId w:val="0"/>
        </w:numPr>
        <w:autoSpaceDE/>
        <w:adjustRightInd w:val="0"/>
        <w:snapToGrid w:val="0"/>
        <w:spacing w:line="360" w:lineRule="exact"/>
        <w:ind w:firstLine="420" w:firstLineChars="200"/>
        <w:jc w:val="left"/>
        <w:textAlignment w:val="center"/>
        <w:rPr>
          <w:rFonts w:hint="eastAsia" w:asciiTheme="minorEastAsia" w:hAnsiTheme="minorEastAsia" w:cstheme="minorEastAsia"/>
          <w:color w:val="auto"/>
          <w:sz w:val="21"/>
          <w:szCs w:val="21"/>
          <w:highlight w:val="none"/>
          <w:lang w:eastAsia="zh-CN"/>
        </w:rPr>
      </w:pPr>
      <w:r>
        <w:rPr>
          <w:rFonts w:hint="eastAsia" w:asciiTheme="minorEastAsia" w:hAnsiTheme="minorEastAsia" w:cstheme="minorEastAsia"/>
          <w:color w:val="auto"/>
          <w:sz w:val="21"/>
          <w:szCs w:val="21"/>
          <w:highlight w:val="none"/>
        </w:rPr>
        <w:t>3</w:t>
      </w:r>
      <w:r>
        <w:rPr>
          <w:rFonts w:hint="eastAsia" w:asciiTheme="minorEastAsia" w:hAnsiTheme="minorEastAsia" w:cstheme="minorEastAsia"/>
          <w:color w:val="auto"/>
          <w:sz w:val="21"/>
          <w:szCs w:val="21"/>
          <w:highlight w:val="none"/>
          <w:lang w:eastAsia="zh-CN"/>
        </w:rPr>
        <w:t>.</w:t>
      </w:r>
      <w:r>
        <w:rPr>
          <w:rFonts w:hint="eastAsia" w:asciiTheme="minorEastAsia" w:hAnsiTheme="minorEastAsia" w:cstheme="minorEastAsia"/>
          <w:color w:val="auto"/>
          <w:sz w:val="21"/>
          <w:szCs w:val="21"/>
          <w:highlight w:val="none"/>
        </w:rPr>
        <w:t>乙方提供的零配件必须是全新原厂商出产的设备配件，不允许使用第三方配件及二手配件进行更换。</w:t>
      </w:r>
    </w:p>
    <w:p w14:paraId="619AE0AD">
      <w:pPr>
        <w:snapToGrid w:val="0"/>
        <w:spacing w:line="360" w:lineRule="auto"/>
        <w:ind w:firstLine="422" w:firstLineChars="200"/>
        <w:rPr>
          <w:rFonts w:hint="eastAsia" w:asciiTheme="minorEastAsia" w:hAnsiTheme="minorEastAsia" w:cstheme="minorEastAsia"/>
          <w:b/>
          <w:color w:val="auto"/>
          <w:szCs w:val="21"/>
          <w:highlight w:val="none"/>
        </w:rPr>
      </w:pPr>
      <w:r>
        <w:rPr>
          <w:rFonts w:hint="eastAsia" w:asciiTheme="minorEastAsia" w:hAnsiTheme="minorEastAsia" w:cstheme="minorEastAsia"/>
          <w:b/>
          <w:color w:val="auto"/>
          <w:szCs w:val="21"/>
          <w:highlight w:val="none"/>
        </w:rPr>
        <w:t>第三条　权利保证</w:t>
      </w:r>
    </w:p>
    <w:p w14:paraId="1D0F9FED">
      <w:pPr>
        <w:numPr>
          <w:ilvl w:val="0"/>
          <w:numId w:val="0"/>
        </w:numPr>
        <w:snapToGrid w:val="0"/>
        <w:spacing w:line="360" w:lineRule="auto"/>
        <w:ind w:right="42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1.乙方应保证所提供货物在使用时不会侵犯任何第三方的专利权、商标权、工业设计权或者其他权利。</w:t>
      </w:r>
    </w:p>
    <w:p w14:paraId="48C56044">
      <w:pPr>
        <w:numPr>
          <w:ilvl w:val="0"/>
          <w:numId w:val="0"/>
        </w:numPr>
        <w:snapToGrid w:val="0"/>
        <w:spacing w:line="360" w:lineRule="auto"/>
        <w:ind w:right="420" w:firstLine="422"/>
        <w:rPr>
          <w:rFonts w:hint="eastAsia" w:ascii="宋体" w:hAnsi="宋体" w:cs="宋体"/>
          <w:color w:val="auto"/>
          <w:szCs w:val="21"/>
          <w:highlight w:val="none"/>
        </w:rPr>
      </w:pPr>
      <w:r>
        <w:rPr>
          <w:rFonts w:hint="eastAsia" w:ascii="宋体" w:hAnsi="宋体" w:cs="宋体"/>
          <w:color w:val="auto"/>
          <w:szCs w:val="21"/>
          <w:highlight w:val="none"/>
        </w:rPr>
        <w:t>2.乙方应按竞争性谈判文件规定或者响应文件承诺的时间向甲方提供使用货物的有关技术资料。</w:t>
      </w:r>
    </w:p>
    <w:p w14:paraId="542785DE">
      <w:pPr>
        <w:numPr>
          <w:ilvl w:val="0"/>
          <w:numId w:val="0"/>
        </w:numPr>
        <w:snapToGrid w:val="0"/>
        <w:spacing w:line="360" w:lineRule="auto"/>
        <w:ind w:right="420" w:rightChars="0" w:firstLine="422" w:firstLineChars="0"/>
        <w:rPr>
          <w:rFonts w:hint="eastAsia" w:ascii="宋体" w:hAnsi="宋体" w:cs="宋体"/>
          <w:color w:val="auto"/>
          <w:szCs w:val="21"/>
          <w:highlight w:val="none"/>
        </w:rPr>
      </w:pPr>
      <w:r>
        <w:rPr>
          <w:rFonts w:hint="eastAsia" w:ascii="宋体" w:hAnsi="宋体" w:cs="宋体"/>
          <w:color w:val="auto"/>
          <w:szCs w:val="21"/>
          <w:highlight w:val="none"/>
        </w:rPr>
        <w:t>3.没有甲方事先书面同意，乙方不得将由甲方提供的有关合同或者任何合同条文、规格、计划、图纸、样品或者资料提供给与履行本合同无关的任何其他人。即使向履行本合同有关的人员提供，也应注意保密并限于履行合同的必需范围。</w:t>
      </w:r>
      <w:r>
        <w:rPr>
          <w:rFonts w:hint="eastAsia" w:ascii="宋体" w:hAnsi="宋体" w:cs="宋体"/>
          <w:color w:val="auto"/>
          <w:sz w:val="21"/>
          <w:szCs w:val="21"/>
        </w:rPr>
        <w:t>如违反本条，甲方有权解除本合同，乙方应向甲方支付合同总价款的30%作为违约金。</w:t>
      </w:r>
    </w:p>
    <w:p w14:paraId="70634EE5">
      <w:pPr>
        <w:numPr>
          <w:ilvl w:val="0"/>
          <w:numId w:val="0"/>
        </w:numPr>
        <w:snapToGrid w:val="0"/>
        <w:spacing w:line="360" w:lineRule="auto"/>
        <w:ind w:right="420" w:rightChars="0" w:firstLine="422" w:firstLineChars="0"/>
        <w:rPr>
          <w:rFonts w:hint="eastAsia" w:ascii="宋体" w:hAnsi="宋体" w:cs="宋体"/>
          <w:color w:val="auto"/>
          <w:szCs w:val="21"/>
          <w:highlight w:val="none"/>
        </w:rPr>
      </w:pPr>
      <w:r>
        <w:rPr>
          <w:rFonts w:hint="eastAsia" w:ascii="宋体" w:hAnsi="宋体" w:cs="宋体"/>
          <w:color w:val="auto"/>
          <w:szCs w:val="21"/>
          <w:highlight w:val="none"/>
        </w:rPr>
        <w:t>4.乙方保证将要交付的货物的所有权完全属于乙方且无任何抵押、质押、查封等产权瑕疵。</w:t>
      </w:r>
      <w:r>
        <w:rPr>
          <w:rFonts w:hint="eastAsia"/>
          <w:color w:val="auto"/>
        </w:rPr>
        <w:t>如违反本条，甲方有权解除本合同，甲方因此受到损失的，乙方应赔偿甲方的所有损失。</w:t>
      </w:r>
    </w:p>
    <w:p w14:paraId="09FAB9FC">
      <w:pPr>
        <w:snapToGrid w:val="0"/>
        <w:spacing w:line="360" w:lineRule="auto"/>
        <w:ind w:firstLine="422" w:firstLineChars="200"/>
        <w:rPr>
          <w:rFonts w:hint="eastAsia" w:ascii="宋体" w:hAnsi="宋体" w:cs="宋体"/>
          <w:b/>
          <w:color w:val="auto"/>
          <w:szCs w:val="21"/>
          <w:highlight w:val="none"/>
        </w:rPr>
      </w:pPr>
      <w:r>
        <w:rPr>
          <w:rFonts w:hint="eastAsia" w:asciiTheme="minorEastAsia" w:hAnsiTheme="minorEastAsia" w:cstheme="minorEastAsia"/>
          <w:b/>
          <w:color w:val="auto"/>
          <w:szCs w:val="21"/>
          <w:highlight w:val="none"/>
        </w:rPr>
        <w:t>第四条　交付</w:t>
      </w:r>
    </w:p>
    <w:p w14:paraId="42FBB8A9">
      <w:pPr>
        <w:numPr>
          <w:ilvl w:val="0"/>
          <w:numId w:val="0"/>
        </w:numPr>
        <w:snapToGrid w:val="0"/>
        <w:spacing w:line="360" w:lineRule="auto"/>
        <w:ind w:right="42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1.交付时间：</w:t>
      </w:r>
      <w:r>
        <w:rPr>
          <w:rFonts w:hint="eastAsia" w:ascii="宋体" w:hAnsi="宋体" w:cs="宋体"/>
          <w:color w:val="auto"/>
          <w:szCs w:val="21"/>
          <w:highlight w:val="none"/>
          <w:u w:val="single"/>
        </w:rPr>
        <w:t xml:space="preserve">自合同签订之日起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个</w:t>
      </w:r>
      <w:r>
        <w:rPr>
          <w:rFonts w:hint="eastAsia" w:ascii="宋体" w:hAnsi="宋体" w:cs="宋体"/>
          <w:color w:val="auto"/>
          <w:szCs w:val="21"/>
          <w:highlight w:val="none"/>
          <w:u w:val="single"/>
          <w:lang w:val="en-US" w:eastAsia="zh-CN"/>
        </w:rPr>
        <w:t>日历</w:t>
      </w:r>
      <w:r>
        <w:rPr>
          <w:rFonts w:hint="eastAsia" w:ascii="宋体" w:hAnsi="宋体" w:cs="宋体"/>
          <w:color w:val="auto"/>
          <w:szCs w:val="21"/>
          <w:highlight w:val="none"/>
          <w:u w:val="single"/>
        </w:rPr>
        <w:t>日内交付并完成所有的安装及调试</w:t>
      </w:r>
      <w:r>
        <w:rPr>
          <w:rFonts w:hint="eastAsia" w:ascii="宋体" w:hAnsi="宋体" w:cs="宋体"/>
          <w:color w:val="auto"/>
          <w:szCs w:val="21"/>
          <w:highlight w:val="none"/>
        </w:rPr>
        <w:t>。</w:t>
      </w:r>
    </w:p>
    <w:p w14:paraId="01FF4352">
      <w:pPr>
        <w:numPr>
          <w:ilvl w:val="0"/>
          <w:numId w:val="0"/>
        </w:numPr>
        <w:snapToGrid w:val="0"/>
        <w:spacing w:line="360" w:lineRule="auto"/>
        <w:ind w:right="420" w:rightChars="0" w:firstLine="630" w:firstLineChars="300"/>
        <w:rPr>
          <w:rFonts w:hint="eastAsia" w:ascii="宋体" w:hAnsi="宋体"/>
          <w:color w:val="auto"/>
          <w:szCs w:val="21"/>
          <w:highlight w:val="none"/>
        </w:rPr>
      </w:pPr>
      <w:r>
        <w:rPr>
          <w:rFonts w:hint="eastAsia" w:ascii="宋体" w:hAnsi="宋体" w:cs="宋体"/>
          <w:color w:val="auto"/>
          <w:szCs w:val="21"/>
          <w:highlight w:val="none"/>
        </w:rPr>
        <w:t>交付地点：</w:t>
      </w:r>
      <w:r>
        <w:rPr>
          <w:rFonts w:hint="eastAsia" w:ascii="宋体" w:hAnsi="宋体" w:cs="宋体"/>
          <w:color w:val="auto"/>
          <w:szCs w:val="21"/>
          <w:highlight w:val="none"/>
          <w:u w:val="single"/>
          <w:lang w:val="en-US" w:eastAsia="zh-CN"/>
        </w:rPr>
        <w:t>甲方指定地点</w:t>
      </w:r>
      <w:r>
        <w:rPr>
          <w:rFonts w:hint="eastAsia" w:ascii="宋体" w:hAnsi="宋体"/>
          <w:color w:val="auto"/>
          <w:szCs w:val="21"/>
          <w:highlight w:val="none"/>
        </w:rPr>
        <w:t>。</w:t>
      </w:r>
    </w:p>
    <w:p w14:paraId="25C9C5B9">
      <w:pPr>
        <w:numPr>
          <w:ilvl w:val="0"/>
          <w:numId w:val="0"/>
        </w:numPr>
        <w:snapToGrid w:val="0"/>
        <w:spacing w:line="360" w:lineRule="auto"/>
        <w:ind w:right="420" w:rightChars="0" w:firstLine="420" w:firstLineChars="200"/>
        <w:rPr>
          <w:rFonts w:hint="eastAsia" w:ascii="宋体" w:hAnsi="宋体" w:cs="宋体"/>
          <w:color w:val="auto"/>
          <w:szCs w:val="21"/>
          <w:highlight w:val="none"/>
        </w:rPr>
      </w:pPr>
      <w:r>
        <w:rPr>
          <w:rFonts w:hint="eastAsia" w:ascii="宋体" w:hAnsi="宋体" w:cs="宋体" w:eastAsiaTheme="minorEastAsia"/>
          <w:color w:val="auto"/>
          <w:kern w:val="2"/>
          <w:sz w:val="21"/>
          <w:szCs w:val="21"/>
          <w:lang w:val="en-US" w:eastAsia="zh-CN" w:bidi="ar-SA"/>
        </w:rPr>
        <w:t>2.</w:t>
      </w:r>
      <w:r>
        <w:rPr>
          <w:rFonts w:hint="eastAsia" w:ascii="宋体" w:hAnsi="宋体" w:cs="宋体"/>
          <w:color w:val="auto"/>
          <w:szCs w:val="21"/>
          <w:highlight w:val="none"/>
        </w:rPr>
        <w:t>乙方提供不符合竞争性谈判文件规定或者响应文件承诺的和本合同规定的货物，甲方有权拒绝接受。</w:t>
      </w:r>
    </w:p>
    <w:p w14:paraId="425FE557">
      <w:pPr>
        <w:numPr>
          <w:ilvl w:val="0"/>
          <w:numId w:val="0"/>
        </w:numPr>
        <w:snapToGrid w:val="0"/>
        <w:spacing w:line="360" w:lineRule="auto"/>
        <w:ind w:right="420" w:rightChars="0" w:firstLine="420" w:firstLineChars="200"/>
        <w:rPr>
          <w:rFonts w:hint="eastAsia" w:ascii="宋体" w:hAnsi="宋体"/>
          <w:color w:val="auto"/>
          <w:szCs w:val="21"/>
          <w:highlight w:val="none"/>
        </w:rPr>
      </w:pPr>
      <w:r>
        <w:rPr>
          <w:rFonts w:hint="eastAsia" w:ascii="宋体" w:hAnsi="宋体" w:cs="宋体"/>
          <w:color w:val="auto"/>
          <w:szCs w:val="21"/>
          <w:highlight w:val="none"/>
        </w:rPr>
        <w:t>3.乙方应将所提供货物的装箱清单、用户手册、原厂保修卡、随机资料、工具和备品、备件等交付给甲方，如有缺失应在2日内补齐，否则视为逾期交货。</w:t>
      </w:r>
    </w:p>
    <w:p w14:paraId="01B860C9">
      <w:pPr>
        <w:numPr>
          <w:ilvl w:val="0"/>
          <w:numId w:val="0"/>
        </w:numPr>
        <w:snapToGrid w:val="0"/>
        <w:spacing w:line="360" w:lineRule="auto"/>
        <w:ind w:right="420" w:rightChars="0" w:firstLine="420" w:firstLineChars="200"/>
        <w:rPr>
          <w:rFonts w:hint="eastAsia" w:ascii="宋体" w:hAnsi="宋体" w:eastAsia="宋体" w:cs="宋体"/>
          <w:color w:val="auto"/>
          <w:sz w:val="21"/>
          <w:szCs w:val="21"/>
          <w:highlight w:val="yellow"/>
          <w:lang w:val="en-US" w:eastAsia="zh-CN"/>
        </w:rPr>
      </w:pPr>
      <w:r>
        <w:rPr>
          <w:rFonts w:hint="eastAsia" w:ascii="宋体" w:hAnsi="宋体"/>
          <w:color w:val="auto"/>
          <w:szCs w:val="21"/>
          <w:highlight w:val="none"/>
        </w:rPr>
        <w:t>4.</w:t>
      </w:r>
      <w:r>
        <w:rPr>
          <w:rFonts w:hint="eastAsia" w:ascii="宋体" w:hAnsi="宋体" w:cs="宋体"/>
          <w:color w:val="auto"/>
          <w:szCs w:val="21"/>
          <w:highlight w:val="none"/>
        </w:rPr>
        <w:t>乙方在首次供货时，必须随货提供生产厂家针对供货产品的售后保证声明原件，否则甲方不予签收。</w:t>
      </w:r>
      <w:r>
        <w:rPr>
          <w:rFonts w:hint="eastAsia" w:ascii="宋体" w:hAnsi="宋体" w:cs="宋体"/>
          <w:color w:val="auto"/>
          <w:szCs w:val="21"/>
          <w:highlight w:val="none"/>
        </w:rPr>
        <w:t>如7天内不能按要求提供售后保证声明原件，</w:t>
      </w:r>
      <w:r>
        <w:rPr>
          <w:rFonts w:hint="eastAsia"/>
          <w:color w:val="auto"/>
          <w:highlight w:val="none"/>
        </w:rPr>
        <w:t>甲方有权单方面终止合同，乙方已收取的合同款项退还甲方；并且甲方保留追究乙方虚假应标的法律责任</w:t>
      </w:r>
      <w:r>
        <w:rPr>
          <w:rFonts w:hint="eastAsia" w:ascii="宋体" w:hAnsi="宋体"/>
          <w:color w:val="auto"/>
          <w:szCs w:val="21"/>
          <w:highlight w:val="none"/>
        </w:rPr>
        <w:t>。</w:t>
      </w:r>
    </w:p>
    <w:p w14:paraId="0F60169A">
      <w:pPr>
        <w:numPr>
          <w:ilvl w:val="0"/>
          <w:numId w:val="0"/>
        </w:numPr>
        <w:snapToGrid w:val="0"/>
        <w:spacing w:line="360" w:lineRule="auto"/>
        <w:ind w:right="420" w:rightChars="0"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5.为有效防止虚假应标，签订合同后，采购人在货物安装过程中，可进行测试，若测试达不到响应指标，乙方应按要求整改，乙方整改后仍未能证明达到要求的，按虚假应标进行处理，甲方有权解约合同及上报监督管理部门，并追究其相关法律责任及要求赔偿相应的经济损失。</w:t>
      </w:r>
    </w:p>
    <w:p w14:paraId="3DE62CE3">
      <w:pPr>
        <w:snapToGrid w:val="0"/>
        <w:spacing w:line="360" w:lineRule="auto"/>
        <w:ind w:firstLine="422" w:firstLineChars="200"/>
        <w:rPr>
          <w:rFonts w:hint="eastAsia" w:asciiTheme="minorEastAsia" w:hAnsiTheme="minorEastAsia" w:cstheme="minorEastAsia"/>
          <w:b/>
          <w:color w:val="auto"/>
          <w:szCs w:val="21"/>
          <w:highlight w:val="none"/>
        </w:rPr>
      </w:pPr>
      <w:r>
        <w:rPr>
          <w:rFonts w:hint="eastAsia" w:asciiTheme="minorEastAsia" w:hAnsiTheme="minorEastAsia" w:cstheme="minorEastAsia"/>
          <w:b/>
          <w:color w:val="auto"/>
          <w:szCs w:val="21"/>
          <w:highlight w:val="none"/>
        </w:rPr>
        <w:t>第五条　安装和培训</w:t>
      </w:r>
    </w:p>
    <w:p w14:paraId="75258F05">
      <w:pPr>
        <w:numPr>
          <w:ilvl w:val="0"/>
          <w:numId w:val="0"/>
        </w:numPr>
        <w:snapToGrid w:val="0"/>
        <w:spacing w:line="360" w:lineRule="auto"/>
        <w:ind w:right="42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1.甲方应提供必要安装条件（如场地、电源、水源等）。</w:t>
      </w:r>
    </w:p>
    <w:p w14:paraId="6D79F78D">
      <w:pPr>
        <w:numPr>
          <w:ilvl w:val="0"/>
          <w:numId w:val="0"/>
        </w:numPr>
        <w:snapToGrid w:val="0"/>
        <w:spacing w:line="360" w:lineRule="auto"/>
        <w:ind w:right="42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2.乙方响应文件承诺负责甲方有关人员的培训。培训时间、地点：</w:t>
      </w:r>
      <w:r>
        <w:rPr>
          <w:rFonts w:hint="eastAsia" w:ascii="宋体" w:hAnsi="宋体" w:cs="宋体"/>
          <w:color w:val="auto"/>
          <w:szCs w:val="21"/>
          <w:highlight w:val="none"/>
          <w:u w:val="single"/>
        </w:rPr>
        <w:t>由甲方指定</w:t>
      </w:r>
      <w:r>
        <w:rPr>
          <w:rFonts w:hint="eastAsia" w:ascii="宋体" w:hAnsi="宋体" w:cs="宋体"/>
          <w:color w:val="auto"/>
          <w:szCs w:val="21"/>
          <w:highlight w:val="none"/>
        </w:rPr>
        <w:t>。</w:t>
      </w:r>
    </w:p>
    <w:p w14:paraId="300D98C5">
      <w:pPr>
        <w:snapToGrid w:val="0"/>
        <w:spacing w:line="360" w:lineRule="auto"/>
        <w:ind w:firstLine="422" w:firstLineChars="200"/>
        <w:rPr>
          <w:rFonts w:hint="eastAsia" w:asciiTheme="minorEastAsia" w:hAnsiTheme="minorEastAsia" w:cstheme="minorEastAsia"/>
          <w:b/>
          <w:color w:val="auto"/>
          <w:szCs w:val="21"/>
          <w:highlight w:val="none"/>
        </w:rPr>
      </w:pPr>
      <w:r>
        <w:rPr>
          <w:rFonts w:hint="eastAsia" w:asciiTheme="minorEastAsia" w:hAnsiTheme="minorEastAsia" w:cstheme="minorEastAsia"/>
          <w:b/>
          <w:color w:val="auto"/>
          <w:szCs w:val="21"/>
          <w:highlight w:val="none"/>
        </w:rPr>
        <w:t>第六条  售后服务</w:t>
      </w:r>
    </w:p>
    <w:p w14:paraId="2CC11A7E">
      <w:pPr>
        <w:numPr>
          <w:ilvl w:val="0"/>
          <w:numId w:val="0"/>
        </w:numPr>
        <w:snapToGrid w:val="0"/>
        <w:spacing w:line="360" w:lineRule="auto"/>
        <w:ind w:right="42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1.乙方应按照国家有关法律法规和“三包”规定以及本合同所附的《服务承诺》，为甲方提供售后服务。</w:t>
      </w:r>
    </w:p>
    <w:p w14:paraId="36974DEE">
      <w:pPr>
        <w:numPr>
          <w:ilvl w:val="0"/>
          <w:numId w:val="0"/>
        </w:numPr>
        <w:snapToGrid w:val="0"/>
        <w:spacing w:line="360" w:lineRule="auto"/>
        <w:ind w:right="420" w:rightChars="0" w:firstLine="420" w:firstLineChars="200"/>
        <w:rPr>
          <w:rFonts w:hint="eastAsia" w:ascii="宋体" w:hAnsi="宋体" w:cs="宋体" w:eastAsiaTheme="minorEastAsia"/>
          <w:color w:val="auto"/>
          <w:kern w:val="2"/>
          <w:sz w:val="21"/>
          <w:szCs w:val="21"/>
          <w:lang w:val="en-US" w:eastAsia="zh-CN" w:bidi="ar-SA"/>
        </w:rPr>
      </w:pPr>
      <w:r>
        <w:rPr>
          <w:rFonts w:hint="eastAsia" w:ascii="宋体" w:hAnsi="宋体" w:cs="宋体" w:eastAsiaTheme="minorEastAsia"/>
          <w:color w:val="auto"/>
          <w:kern w:val="2"/>
          <w:sz w:val="21"/>
          <w:szCs w:val="21"/>
          <w:lang w:val="en-US" w:eastAsia="zh-CN" w:bidi="ar-SA"/>
        </w:rPr>
        <w:t>2.</w:t>
      </w:r>
      <w:r>
        <w:rPr>
          <w:rFonts w:hint="eastAsia" w:ascii="宋体" w:hAnsi="宋体" w:cs="宋体"/>
          <w:color w:val="auto"/>
          <w:kern w:val="2"/>
          <w:sz w:val="21"/>
          <w:szCs w:val="21"/>
          <w:lang w:val="en-US" w:eastAsia="zh-CN" w:bidi="ar-SA"/>
        </w:rPr>
        <w:t>乙方</w:t>
      </w:r>
      <w:r>
        <w:rPr>
          <w:rFonts w:hint="eastAsia" w:ascii="宋体" w:hAnsi="宋体" w:cs="宋体" w:eastAsiaTheme="minorEastAsia"/>
          <w:color w:val="auto"/>
          <w:kern w:val="2"/>
          <w:sz w:val="21"/>
          <w:szCs w:val="21"/>
          <w:lang w:val="en-US" w:eastAsia="zh-CN" w:bidi="ar-SA"/>
        </w:rPr>
        <w:t>在质保期内应当为</w:t>
      </w:r>
      <w:r>
        <w:rPr>
          <w:rFonts w:hint="eastAsia" w:ascii="宋体" w:hAnsi="宋体" w:cs="宋体"/>
          <w:color w:val="auto"/>
          <w:kern w:val="2"/>
          <w:sz w:val="21"/>
          <w:szCs w:val="21"/>
          <w:lang w:val="en-US" w:eastAsia="zh-CN" w:bidi="ar-SA"/>
        </w:rPr>
        <w:t>甲方</w:t>
      </w:r>
      <w:r>
        <w:rPr>
          <w:rFonts w:hint="eastAsia" w:ascii="宋体" w:hAnsi="宋体" w:cs="宋体" w:eastAsiaTheme="minorEastAsia"/>
          <w:color w:val="auto"/>
          <w:kern w:val="2"/>
          <w:sz w:val="21"/>
          <w:szCs w:val="21"/>
          <w:lang w:val="en-US" w:eastAsia="zh-CN" w:bidi="ar-SA"/>
        </w:rPr>
        <w:t>提供以下技术支持和服务：</w:t>
      </w:r>
    </w:p>
    <w:p w14:paraId="383CCBA1">
      <w:pPr>
        <w:numPr>
          <w:ilvl w:val="0"/>
          <w:numId w:val="0"/>
        </w:numPr>
        <w:snapToGrid w:val="0"/>
        <w:spacing w:line="360" w:lineRule="auto"/>
        <w:ind w:right="420" w:rightChars="0" w:firstLine="420" w:firstLineChars="200"/>
        <w:rPr>
          <w:rFonts w:hint="eastAsia" w:ascii="宋体" w:hAnsi="宋体" w:cs="宋体" w:eastAsiaTheme="minorEastAsia"/>
          <w:color w:val="auto"/>
          <w:kern w:val="2"/>
          <w:sz w:val="21"/>
          <w:szCs w:val="21"/>
          <w:lang w:val="en-US" w:eastAsia="zh-CN" w:bidi="ar-SA"/>
        </w:rPr>
      </w:pPr>
      <w:r>
        <w:rPr>
          <w:rFonts w:hint="eastAsia" w:ascii="宋体" w:hAnsi="宋体" w:cs="宋体" w:eastAsiaTheme="minorEastAsia"/>
          <w:color w:val="auto"/>
          <w:kern w:val="2"/>
          <w:sz w:val="21"/>
          <w:szCs w:val="21"/>
          <w:lang w:val="en-US" w:eastAsia="zh-CN" w:bidi="ar-SA"/>
        </w:rPr>
        <w:t>（1）电话咨询</w:t>
      </w:r>
    </w:p>
    <w:p w14:paraId="49DE63A3">
      <w:pPr>
        <w:numPr>
          <w:ilvl w:val="0"/>
          <w:numId w:val="0"/>
        </w:numPr>
        <w:snapToGrid w:val="0"/>
        <w:spacing w:line="360" w:lineRule="auto"/>
        <w:ind w:right="420" w:rightChars="0" w:firstLine="420" w:firstLineChars="200"/>
        <w:rPr>
          <w:rFonts w:hint="eastAsia" w:ascii="宋体" w:hAnsi="宋体" w:cs="宋体" w:eastAsiaTheme="minorEastAsia"/>
          <w:color w:val="auto"/>
          <w:kern w:val="2"/>
          <w:sz w:val="21"/>
          <w:szCs w:val="21"/>
          <w:lang w:val="en-US" w:eastAsia="zh-CN" w:bidi="ar-SA"/>
        </w:rPr>
      </w:pPr>
      <w:r>
        <w:rPr>
          <w:rFonts w:hint="eastAsia" w:ascii="宋体" w:hAnsi="宋体" w:cs="宋体"/>
          <w:color w:val="auto"/>
          <w:kern w:val="2"/>
          <w:sz w:val="21"/>
          <w:szCs w:val="21"/>
          <w:lang w:val="en-US" w:eastAsia="zh-CN" w:bidi="ar-SA"/>
        </w:rPr>
        <w:t>乙方</w:t>
      </w:r>
      <w:r>
        <w:rPr>
          <w:rFonts w:hint="eastAsia" w:ascii="宋体" w:hAnsi="宋体" w:cs="宋体" w:eastAsiaTheme="minorEastAsia"/>
          <w:color w:val="auto"/>
          <w:kern w:val="2"/>
          <w:sz w:val="21"/>
          <w:szCs w:val="21"/>
          <w:lang w:val="en-US" w:eastAsia="zh-CN" w:bidi="ar-SA"/>
        </w:rPr>
        <w:t>应当为</w:t>
      </w:r>
      <w:r>
        <w:rPr>
          <w:rFonts w:hint="eastAsia" w:ascii="宋体" w:hAnsi="宋体" w:cs="宋体"/>
          <w:color w:val="auto"/>
          <w:kern w:val="2"/>
          <w:sz w:val="21"/>
          <w:szCs w:val="21"/>
          <w:lang w:val="en-US" w:eastAsia="zh-CN" w:bidi="ar-SA"/>
        </w:rPr>
        <w:t>甲方</w:t>
      </w:r>
      <w:r>
        <w:rPr>
          <w:rFonts w:hint="eastAsia" w:ascii="宋体" w:hAnsi="宋体" w:cs="宋体" w:eastAsiaTheme="minorEastAsia"/>
          <w:color w:val="auto"/>
          <w:kern w:val="2"/>
          <w:sz w:val="21"/>
          <w:szCs w:val="21"/>
          <w:lang w:val="en-US" w:eastAsia="zh-CN" w:bidi="ar-SA"/>
        </w:rPr>
        <w:t>提供技术援助电话，解答</w:t>
      </w:r>
      <w:r>
        <w:rPr>
          <w:rFonts w:hint="eastAsia" w:ascii="宋体" w:hAnsi="宋体" w:cs="宋体"/>
          <w:color w:val="auto"/>
          <w:kern w:val="2"/>
          <w:sz w:val="21"/>
          <w:szCs w:val="21"/>
          <w:lang w:val="en-US" w:eastAsia="zh-CN" w:bidi="ar-SA"/>
        </w:rPr>
        <w:t>甲方</w:t>
      </w:r>
      <w:r>
        <w:rPr>
          <w:rFonts w:hint="eastAsia" w:ascii="宋体" w:hAnsi="宋体" w:cs="宋体" w:eastAsiaTheme="minorEastAsia"/>
          <w:color w:val="auto"/>
          <w:kern w:val="2"/>
          <w:sz w:val="21"/>
          <w:szCs w:val="21"/>
          <w:lang w:val="en-US" w:eastAsia="zh-CN" w:bidi="ar-SA"/>
        </w:rPr>
        <w:t>在使用中遇到的问题，2个小时内为</w:t>
      </w:r>
      <w:r>
        <w:rPr>
          <w:rFonts w:hint="eastAsia" w:ascii="宋体" w:hAnsi="宋体" w:cs="宋体"/>
          <w:color w:val="auto"/>
          <w:kern w:val="2"/>
          <w:sz w:val="21"/>
          <w:szCs w:val="21"/>
          <w:lang w:val="en-US" w:eastAsia="zh-CN" w:bidi="ar-SA"/>
        </w:rPr>
        <w:t>甲方</w:t>
      </w:r>
      <w:r>
        <w:rPr>
          <w:rFonts w:hint="eastAsia" w:ascii="宋体" w:hAnsi="宋体" w:cs="宋体" w:eastAsiaTheme="minorEastAsia"/>
          <w:color w:val="auto"/>
          <w:kern w:val="2"/>
          <w:sz w:val="21"/>
          <w:szCs w:val="21"/>
          <w:lang w:val="en-US" w:eastAsia="zh-CN" w:bidi="ar-SA"/>
        </w:rPr>
        <w:t>提出解决问题的建议。</w:t>
      </w:r>
    </w:p>
    <w:p w14:paraId="0E54E872">
      <w:pPr>
        <w:numPr>
          <w:ilvl w:val="0"/>
          <w:numId w:val="0"/>
        </w:numPr>
        <w:snapToGrid w:val="0"/>
        <w:spacing w:line="360" w:lineRule="auto"/>
        <w:ind w:right="420" w:rightChars="0" w:firstLine="420" w:firstLineChars="200"/>
        <w:rPr>
          <w:rFonts w:hint="eastAsia" w:ascii="宋体" w:hAnsi="宋体" w:cs="宋体" w:eastAsiaTheme="minorEastAsia"/>
          <w:color w:val="auto"/>
          <w:kern w:val="2"/>
          <w:sz w:val="21"/>
          <w:szCs w:val="21"/>
          <w:lang w:val="en-US" w:eastAsia="zh-CN" w:bidi="ar-SA"/>
        </w:rPr>
      </w:pPr>
      <w:r>
        <w:rPr>
          <w:rFonts w:hint="eastAsia" w:ascii="宋体" w:hAnsi="宋体" w:cs="宋体" w:eastAsiaTheme="minorEastAsia"/>
          <w:color w:val="auto"/>
          <w:kern w:val="2"/>
          <w:sz w:val="21"/>
          <w:szCs w:val="21"/>
          <w:lang w:val="en-US" w:eastAsia="zh-CN" w:bidi="ar-SA"/>
        </w:rPr>
        <w:t>（2）服务响应时间</w:t>
      </w:r>
    </w:p>
    <w:p w14:paraId="2B5E0A2D">
      <w:pPr>
        <w:numPr>
          <w:ilvl w:val="0"/>
          <w:numId w:val="0"/>
        </w:numPr>
        <w:snapToGrid w:val="0"/>
        <w:spacing w:line="360" w:lineRule="auto"/>
        <w:ind w:right="420" w:rightChars="0" w:firstLine="420" w:firstLineChars="200"/>
        <w:rPr>
          <w:rFonts w:hint="eastAsia" w:ascii="宋体" w:hAnsi="宋体" w:cs="宋体" w:eastAsiaTheme="minorEastAsia"/>
          <w:color w:val="auto"/>
          <w:kern w:val="2"/>
          <w:sz w:val="21"/>
          <w:szCs w:val="21"/>
          <w:lang w:val="en-US" w:eastAsia="zh-CN" w:bidi="ar-SA"/>
        </w:rPr>
      </w:pPr>
      <w:r>
        <w:rPr>
          <w:rFonts w:hint="eastAsia" w:ascii="宋体" w:hAnsi="宋体" w:cs="宋体" w:eastAsiaTheme="minorEastAsia"/>
          <w:color w:val="auto"/>
          <w:kern w:val="2"/>
          <w:sz w:val="21"/>
          <w:szCs w:val="21"/>
          <w:lang w:val="en-US" w:eastAsia="zh-CN" w:bidi="ar-SA"/>
        </w:rPr>
        <w:t>质保期内，</w:t>
      </w:r>
      <w:r>
        <w:rPr>
          <w:rFonts w:hint="eastAsia" w:ascii="宋体" w:hAnsi="宋体" w:cs="宋体"/>
          <w:color w:val="auto"/>
          <w:kern w:val="2"/>
          <w:sz w:val="21"/>
          <w:szCs w:val="21"/>
          <w:lang w:val="en-US" w:eastAsia="zh-CN" w:bidi="ar-SA"/>
        </w:rPr>
        <w:t>甲方</w:t>
      </w:r>
      <w:r>
        <w:rPr>
          <w:rFonts w:hint="eastAsia" w:ascii="宋体" w:hAnsi="宋体" w:cs="宋体" w:eastAsiaTheme="minorEastAsia"/>
          <w:color w:val="auto"/>
          <w:kern w:val="2"/>
          <w:sz w:val="21"/>
          <w:szCs w:val="21"/>
          <w:lang w:val="en-US" w:eastAsia="zh-CN" w:bidi="ar-SA"/>
        </w:rPr>
        <w:t>遇到使用或技术问题，电话咨询不能解决的，</w:t>
      </w:r>
      <w:r>
        <w:rPr>
          <w:rFonts w:hint="eastAsia" w:ascii="宋体" w:hAnsi="宋体" w:cs="宋体"/>
          <w:color w:val="auto"/>
          <w:kern w:val="2"/>
          <w:sz w:val="21"/>
          <w:szCs w:val="21"/>
          <w:lang w:val="en-US" w:eastAsia="zh-CN" w:bidi="ar-SA"/>
        </w:rPr>
        <w:t>乙方</w:t>
      </w:r>
      <w:r>
        <w:rPr>
          <w:rFonts w:hint="eastAsia" w:ascii="宋体" w:hAnsi="宋体" w:cs="宋体" w:eastAsiaTheme="minorEastAsia"/>
          <w:color w:val="auto"/>
          <w:kern w:val="2"/>
          <w:sz w:val="21"/>
          <w:szCs w:val="21"/>
          <w:lang w:val="en-US" w:eastAsia="zh-CN" w:bidi="ar-SA"/>
        </w:rPr>
        <w:t>应在48小时内到达现场进行处理，到达现场后24小时内排除故障，恢复正常使用。未能修复的直接更换，保证</w:t>
      </w:r>
      <w:r>
        <w:rPr>
          <w:rFonts w:hint="eastAsia" w:ascii="宋体" w:hAnsi="宋体" w:cs="宋体"/>
          <w:color w:val="auto"/>
          <w:kern w:val="2"/>
          <w:sz w:val="21"/>
          <w:szCs w:val="21"/>
          <w:lang w:val="en-US" w:eastAsia="zh-CN" w:bidi="ar-SA"/>
        </w:rPr>
        <w:t>甲方</w:t>
      </w:r>
      <w:r>
        <w:rPr>
          <w:rFonts w:hint="eastAsia" w:ascii="宋体" w:hAnsi="宋体" w:cs="宋体" w:eastAsiaTheme="minorEastAsia"/>
          <w:color w:val="auto"/>
          <w:kern w:val="2"/>
          <w:sz w:val="21"/>
          <w:szCs w:val="21"/>
          <w:lang w:val="en-US" w:eastAsia="zh-CN" w:bidi="ar-SA"/>
        </w:rPr>
        <w:t>正常使用，产生的一切费用由</w:t>
      </w:r>
      <w:r>
        <w:rPr>
          <w:rFonts w:hint="eastAsia" w:ascii="宋体" w:hAnsi="宋体" w:cs="宋体"/>
          <w:color w:val="auto"/>
          <w:kern w:val="2"/>
          <w:sz w:val="21"/>
          <w:szCs w:val="21"/>
          <w:lang w:val="en-US" w:eastAsia="zh-CN" w:bidi="ar-SA"/>
        </w:rPr>
        <w:t>乙方</w:t>
      </w:r>
      <w:r>
        <w:rPr>
          <w:rFonts w:hint="eastAsia" w:ascii="宋体" w:hAnsi="宋体" w:cs="宋体" w:eastAsiaTheme="minorEastAsia"/>
          <w:color w:val="auto"/>
          <w:kern w:val="2"/>
          <w:sz w:val="21"/>
          <w:szCs w:val="21"/>
          <w:lang w:val="en-US" w:eastAsia="zh-CN" w:bidi="ar-SA"/>
        </w:rPr>
        <w:t>承担。</w:t>
      </w:r>
    </w:p>
    <w:p w14:paraId="787A6128">
      <w:pPr>
        <w:numPr>
          <w:ilvl w:val="0"/>
          <w:numId w:val="0"/>
        </w:numPr>
        <w:snapToGrid w:val="0"/>
        <w:spacing w:line="360" w:lineRule="auto"/>
        <w:ind w:right="420" w:rightChars="0" w:firstLine="420" w:firstLineChars="200"/>
        <w:rPr>
          <w:rFonts w:hint="eastAsia" w:ascii="宋体" w:hAnsi="宋体" w:cs="宋体" w:eastAsiaTheme="minorEastAsia"/>
          <w:color w:val="auto"/>
          <w:kern w:val="2"/>
          <w:sz w:val="21"/>
          <w:szCs w:val="21"/>
          <w:lang w:val="en-US" w:eastAsia="zh-CN" w:bidi="ar-SA"/>
        </w:rPr>
      </w:pPr>
      <w:r>
        <w:rPr>
          <w:rFonts w:hint="eastAsia" w:ascii="宋体" w:hAnsi="宋体" w:cs="宋体" w:eastAsiaTheme="minorEastAsia"/>
          <w:color w:val="auto"/>
          <w:kern w:val="2"/>
          <w:sz w:val="21"/>
          <w:szCs w:val="21"/>
          <w:lang w:val="en-US" w:eastAsia="zh-CN" w:bidi="ar-SA"/>
        </w:rPr>
        <w:t>（3）技术升级</w:t>
      </w:r>
    </w:p>
    <w:p w14:paraId="5B0ACA9C">
      <w:pPr>
        <w:numPr>
          <w:ilvl w:val="0"/>
          <w:numId w:val="0"/>
        </w:numPr>
        <w:snapToGrid w:val="0"/>
        <w:spacing w:line="360" w:lineRule="auto"/>
        <w:ind w:right="420" w:rightChars="0" w:firstLine="420" w:firstLineChars="200"/>
        <w:rPr>
          <w:rFonts w:hint="eastAsia" w:ascii="宋体" w:hAnsi="宋体" w:cs="宋体" w:eastAsiaTheme="minorEastAsia"/>
          <w:color w:val="auto"/>
          <w:kern w:val="2"/>
          <w:sz w:val="21"/>
          <w:szCs w:val="21"/>
          <w:lang w:val="en-US" w:eastAsia="zh-CN" w:bidi="ar-SA"/>
        </w:rPr>
      </w:pPr>
      <w:r>
        <w:rPr>
          <w:rFonts w:hint="eastAsia" w:ascii="宋体" w:hAnsi="宋体" w:cs="宋体" w:eastAsiaTheme="minorEastAsia"/>
          <w:color w:val="auto"/>
          <w:kern w:val="2"/>
          <w:sz w:val="21"/>
          <w:szCs w:val="21"/>
          <w:lang w:val="en-US" w:eastAsia="zh-CN" w:bidi="ar-SA"/>
        </w:rPr>
        <w:t>在质保期内，如果</w:t>
      </w:r>
      <w:r>
        <w:rPr>
          <w:rFonts w:hint="eastAsia" w:ascii="宋体" w:hAnsi="宋体" w:cs="宋体"/>
          <w:color w:val="auto"/>
          <w:kern w:val="2"/>
          <w:sz w:val="21"/>
          <w:szCs w:val="21"/>
          <w:lang w:val="en-US" w:eastAsia="zh-CN" w:bidi="ar-SA"/>
        </w:rPr>
        <w:t>乙方</w:t>
      </w:r>
      <w:r>
        <w:rPr>
          <w:rFonts w:hint="eastAsia" w:ascii="宋体" w:hAnsi="宋体" w:cs="宋体" w:eastAsiaTheme="minorEastAsia"/>
          <w:color w:val="auto"/>
          <w:kern w:val="2"/>
          <w:sz w:val="21"/>
          <w:szCs w:val="21"/>
          <w:lang w:val="en-US" w:eastAsia="zh-CN" w:bidi="ar-SA"/>
        </w:rPr>
        <w:t>的产品或服务升级，</w:t>
      </w:r>
      <w:r>
        <w:rPr>
          <w:rFonts w:hint="eastAsia" w:ascii="宋体" w:hAnsi="宋体" w:cs="宋体"/>
          <w:color w:val="auto"/>
          <w:kern w:val="2"/>
          <w:sz w:val="21"/>
          <w:szCs w:val="21"/>
          <w:lang w:val="en-US" w:eastAsia="zh-CN" w:bidi="ar-SA"/>
        </w:rPr>
        <w:t>乙方</w:t>
      </w:r>
      <w:r>
        <w:rPr>
          <w:rFonts w:hint="eastAsia" w:ascii="宋体" w:hAnsi="宋体" w:cs="宋体" w:eastAsiaTheme="minorEastAsia"/>
          <w:color w:val="auto"/>
          <w:kern w:val="2"/>
          <w:sz w:val="21"/>
          <w:szCs w:val="21"/>
          <w:lang w:val="en-US" w:eastAsia="zh-CN" w:bidi="ar-SA"/>
        </w:rPr>
        <w:t>应及时通知</w:t>
      </w:r>
      <w:r>
        <w:rPr>
          <w:rFonts w:hint="eastAsia" w:ascii="宋体" w:hAnsi="宋体" w:cs="宋体"/>
          <w:color w:val="auto"/>
          <w:kern w:val="2"/>
          <w:sz w:val="21"/>
          <w:szCs w:val="21"/>
          <w:lang w:val="en-US" w:eastAsia="zh-CN" w:bidi="ar-SA"/>
        </w:rPr>
        <w:t>甲方</w:t>
      </w:r>
      <w:r>
        <w:rPr>
          <w:rFonts w:hint="eastAsia" w:ascii="宋体" w:hAnsi="宋体" w:cs="宋体" w:eastAsiaTheme="minorEastAsia"/>
          <w:color w:val="auto"/>
          <w:kern w:val="2"/>
          <w:sz w:val="21"/>
          <w:szCs w:val="21"/>
          <w:lang w:val="en-US" w:eastAsia="zh-CN" w:bidi="ar-SA"/>
        </w:rPr>
        <w:t>，如</w:t>
      </w:r>
      <w:r>
        <w:rPr>
          <w:rFonts w:hint="eastAsia" w:ascii="宋体" w:hAnsi="宋体" w:cs="宋体"/>
          <w:color w:val="auto"/>
          <w:kern w:val="2"/>
          <w:sz w:val="21"/>
          <w:szCs w:val="21"/>
          <w:lang w:val="en-US" w:eastAsia="zh-CN" w:bidi="ar-SA"/>
        </w:rPr>
        <w:t>甲方</w:t>
      </w:r>
      <w:r>
        <w:rPr>
          <w:rFonts w:hint="eastAsia" w:ascii="宋体" w:hAnsi="宋体" w:cs="宋体" w:eastAsiaTheme="minorEastAsia"/>
          <w:color w:val="auto"/>
          <w:kern w:val="2"/>
          <w:sz w:val="21"/>
          <w:szCs w:val="21"/>
          <w:lang w:val="en-US" w:eastAsia="zh-CN" w:bidi="ar-SA"/>
        </w:rPr>
        <w:t>有相应要求，</w:t>
      </w:r>
      <w:r>
        <w:rPr>
          <w:rFonts w:hint="eastAsia" w:ascii="宋体" w:hAnsi="宋体" w:cs="宋体"/>
          <w:color w:val="auto"/>
          <w:kern w:val="2"/>
          <w:sz w:val="21"/>
          <w:szCs w:val="21"/>
          <w:lang w:val="en-US" w:eastAsia="zh-CN" w:bidi="ar-SA"/>
        </w:rPr>
        <w:t>乙方</w:t>
      </w:r>
      <w:r>
        <w:rPr>
          <w:rFonts w:hint="eastAsia" w:ascii="宋体" w:hAnsi="宋体" w:cs="宋体" w:eastAsiaTheme="minorEastAsia"/>
          <w:color w:val="auto"/>
          <w:kern w:val="2"/>
          <w:sz w:val="21"/>
          <w:szCs w:val="21"/>
          <w:lang w:val="en-US" w:eastAsia="zh-CN" w:bidi="ar-SA"/>
        </w:rPr>
        <w:t>对</w:t>
      </w:r>
      <w:r>
        <w:rPr>
          <w:rFonts w:hint="eastAsia" w:ascii="宋体" w:hAnsi="宋体" w:cs="宋体"/>
          <w:color w:val="auto"/>
          <w:kern w:val="2"/>
          <w:sz w:val="21"/>
          <w:szCs w:val="21"/>
          <w:lang w:val="en-US" w:eastAsia="zh-CN" w:bidi="ar-SA"/>
        </w:rPr>
        <w:t>甲方</w:t>
      </w:r>
      <w:r>
        <w:rPr>
          <w:rFonts w:hint="eastAsia" w:ascii="宋体" w:hAnsi="宋体" w:cs="宋体" w:eastAsiaTheme="minorEastAsia"/>
          <w:color w:val="auto"/>
          <w:kern w:val="2"/>
          <w:sz w:val="21"/>
          <w:szCs w:val="21"/>
          <w:lang w:val="en-US" w:eastAsia="zh-CN" w:bidi="ar-SA"/>
        </w:rPr>
        <w:t>购买的产品或服务进行升级。</w:t>
      </w:r>
    </w:p>
    <w:p w14:paraId="41FCBA89">
      <w:pPr>
        <w:numPr>
          <w:ilvl w:val="0"/>
          <w:numId w:val="0"/>
        </w:numPr>
        <w:snapToGrid w:val="0"/>
        <w:spacing w:line="360" w:lineRule="auto"/>
        <w:ind w:right="420" w:rightChars="0" w:firstLine="420" w:firstLineChars="200"/>
        <w:rPr>
          <w:rFonts w:hint="eastAsia" w:ascii="宋体" w:hAnsi="宋体" w:cs="宋体" w:eastAsiaTheme="minorEastAsia"/>
          <w:color w:val="auto"/>
          <w:kern w:val="2"/>
          <w:sz w:val="21"/>
          <w:szCs w:val="21"/>
          <w:lang w:val="en-US" w:eastAsia="zh-CN" w:bidi="ar-SA"/>
        </w:rPr>
      </w:pPr>
      <w:r>
        <w:rPr>
          <w:rFonts w:hint="eastAsia" w:ascii="宋体" w:hAnsi="宋体" w:cs="宋体" w:eastAsiaTheme="minorEastAsia"/>
          <w:color w:val="auto"/>
          <w:kern w:val="2"/>
          <w:sz w:val="21"/>
          <w:szCs w:val="21"/>
          <w:lang w:val="en-US" w:eastAsia="zh-CN" w:bidi="ar-SA"/>
        </w:rPr>
        <w:t>3.质保期外服务要求</w:t>
      </w:r>
    </w:p>
    <w:p w14:paraId="6AE9FDD2">
      <w:pPr>
        <w:numPr>
          <w:ilvl w:val="0"/>
          <w:numId w:val="0"/>
        </w:numPr>
        <w:snapToGrid w:val="0"/>
        <w:spacing w:line="360" w:lineRule="auto"/>
        <w:ind w:right="420" w:rightChars="0" w:firstLine="420" w:firstLineChars="200"/>
        <w:rPr>
          <w:rFonts w:hint="eastAsia" w:ascii="宋体" w:hAnsi="宋体" w:cs="宋体" w:eastAsiaTheme="minorEastAsia"/>
          <w:color w:val="auto"/>
          <w:kern w:val="2"/>
          <w:sz w:val="21"/>
          <w:szCs w:val="21"/>
          <w:lang w:val="en-US" w:eastAsia="zh-CN" w:bidi="ar-SA"/>
        </w:rPr>
      </w:pPr>
      <w:r>
        <w:rPr>
          <w:rFonts w:hint="eastAsia" w:ascii="宋体" w:hAnsi="宋体" w:cs="宋体" w:eastAsiaTheme="minorEastAsia"/>
          <w:color w:val="auto"/>
          <w:kern w:val="2"/>
          <w:sz w:val="21"/>
          <w:szCs w:val="21"/>
          <w:lang w:val="en-US" w:eastAsia="zh-CN" w:bidi="ar-SA"/>
        </w:rPr>
        <w:t>质保期过后，</w:t>
      </w:r>
      <w:r>
        <w:rPr>
          <w:rFonts w:hint="eastAsia" w:ascii="宋体" w:hAnsi="宋体" w:cs="宋体"/>
          <w:color w:val="auto"/>
          <w:kern w:val="2"/>
          <w:sz w:val="21"/>
          <w:szCs w:val="21"/>
          <w:lang w:val="en-US" w:eastAsia="zh-CN" w:bidi="ar-SA"/>
        </w:rPr>
        <w:t>乙方</w:t>
      </w:r>
      <w:r>
        <w:rPr>
          <w:rFonts w:hint="eastAsia" w:ascii="宋体" w:hAnsi="宋体" w:cs="宋体" w:eastAsiaTheme="minorEastAsia"/>
          <w:color w:val="auto"/>
          <w:kern w:val="2"/>
          <w:sz w:val="21"/>
          <w:szCs w:val="21"/>
          <w:lang w:val="en-US" w:eastAsia="zh-CN" w:bidi="ar-SA"/>
        </w:rPr>
        <w:t>应同样无偿提供电话咨询服务，并应承诺提供产品或服务上门维护。</w:t>
      </w:r>
    </w:p>
    <w:p w14:paraId="1532C465">
      <w:pPr>
        <w:numPr>
          <w:ilvl w:val="0"/>
          <w:numId w:val="0"/>
        </w:numPr>
        <w:snapToGrid w:val="0"/>
        <w:spacing w:line="360" w:lineRule="auto"/>
        <w:ind w:right="42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.乙方提供的服务承诺和售后服务及保修期责任等其他具体约定事项。（见合同附件）</w:t>
      </w:r>
    </w:p>
    <w:p w14:paraId="4A1ADEB4">
      <w:pPr>
        <w:snapToGrid w:val="0"/>
        <w:spacing w:line="360" w:lineRule="auto"/>
        <w:ind w:firstLine="422" w:firstLineChars="200"/>
        <w:rPr>
          <w:rFonts w:hint="eastAsia" w:asciiTheme="minorEastAsia" w:hAnsiTheme="minorEastAsia" w:cstheme="minorEastAsia"/>
          <w:b/>
          <w:color w:val="auto"/>
          <w:szCs w:val="21"/>
          <w:highlight w:val="none"/>
          <w:lang w:val="zh-CN" w:eastAsia="zh-CN"/>
        </w:rPr>
      </w:pPr>
      <w:r>
        <w:rPr>
          <w:rFonts w:hint="eastAsia" w:asciiTheme="minorEastAsia" w:hAnsiTheme="minorEastAsia" w:cstheme="minorEastAsia"/>
          <w:b/>
          <w:color w:val="auto"/>
          <w:szCs w:val="21"/>
          <w:highlight w:val="none"/>
        </w:rPr>
        <w:t>第七条　付款方式</w:t>
      </w:r>
    </w:p>
    <w:p w14:paraId="17785031">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rightChars="0" w:firstLine="420" w:firstLineChars="200"/>
        <w:textAlignment w:val="auto"/>
        <w:rPr>
          <w:rFonts w:hint="eastAsia" w:ascii="宋体" w:hAnsi="宋体" w:cs="宋体" w:eastAsiaTheme="minorEastAsia"/>
          <w:color w:val="auto"/>
          <w:kern w:val="2"/>
          <w:sz w:val="21"/>
          <w:szCs w:val="21"/>
          <w:highlight w:val="none"/>
          <w:lang w:val="zh-CN" w:eastAsia="zh-CN" w:bidi="ar-SA"/>
        </w:rPr>
      </w:pPr>
      <w:r>
        <w:rPr>
          <w:rFonts w:hint="eastAsia" w:ascii="宋体" w:hAnsi="宋体" w:cs="宋体" w:eastAsiaTheme="minorEastAsia"/>
          <w:color w:val="auto"/>
          <w:kern w:val="2"/>
          <w:sz w:val="21"/>
          <w:szCs w:val="21"/>
          <w:highlight w:val="none"/>
          <w:lang w:val="zh-CN" w:eastAsia="zh-CN" w:bidi="ar-SA"/>
        </w:rPr>
        <w:t>（1）</w:t>
      </w:r>
      <w:r>
        <w:rPr>
          <w:rFonts w:hint="eastAsia" w:ascii="宋体" w:hAnsi="宋体" w:cs="宋体" w:eastAsiaTheme="minorEastAsia"/>
          <w:color w:val="auto"/>
          <w:kern w:val="2"/>
          <w:sz w:val="21"/>
          <w:szCs w:val="21"/>
          <w:highlight w:val="none"/>
          <w:lang w:val="en-US" w:eastAsia="zh-CN" w:bidi="ar-SA"/>
        </w:rPr>
        <w:t>本项目采用分期付款方式支付货款，全部货物到达指定地点、安装调试并验收合格，成交供应商凭双方签署验收合格文件，开具合法有效的全额增值税发票给采购人，采购人收到完整、有效请款材料后3个月内一次性支付总合同金额的50%；验收合格满12个月内支付至总合同金额100%。（不计利息）。</w:t>
      </w:r>
    </w:p>
    <w:p w14:paraId="4799C524">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rightChars="0" w:firstLine="420" w:firstLineChars="200"/>
        <w:textAlignment w:val="auto"/>
        <w:rPr>
          <w:rFonts w:hint="eastAsia" w:ascii="宋体" w:hAnsi="宋体" w:eastAsia="宋体" w:cs="宋体"/>
          <w:color w:val="auto"/>
          <w:kern w:val="0"/>
          <w:szCs w:val="21"/>
          <w:highlight w:val="none"/>
          <w:lang w:val="zh-CN"/>
        </w:rPr>
      </w:pPr>
      <w:r>
        <w:rPr>
          <w:rFonts w:hint="eastAsia" w:ascii="宋体" w:hAnsi="宋体" w:cs="宋体" w:eastAsiaTheme="minorEastAsia"/>
          <w:color w:val="auto"/>
          <w:kern w:val="2"/>
          <w:sz w:val="21"/>
          <w:szCs w:val="21"/>
          <w:highlight w:val="none"/>
          <w:lang w:val="zh-CN" w:eastAsia="zh-CN" w:bidi="ar-SA"/>
        </w:rPr>
        <w:t>（2）</w:t>
      </w:r>
      <w:r>
        <w:rPr>
          <w:rFonts w:hint="eastAsia" w:ascii="宋体" w:hAnsi="宋体" w:cs="宋体" w:eastAsiaTheme="minorEastAsia"/>
          <w:color w:val="auto"/>
          <w:kern w:val="2"/>
          <w:sz w:val="21"/>
          <w:szCs w:val="21"/>
          <w:highlight w:val="none"/>
          <w:lang w:val="en-US" w:eastAsia="zh-CN" w:bidi="ar-SA"/>
        </w:rPr>
        <w:t>甲方</w:t>
      </w:r>
      <w:r>
        <w:rPr>
          <w:rFonts w:hint="eastAsia" w:ascii="宋体" w:hAnsi="宋体" w:cs="宋体" w:eastAsiaTheme="minorEastAsia"/>
          <w:color w:val="auto"/>
          <w:kern w:val="2"/>
          <w:sz w:val="21"/>
          <w:szCs w:val="21"/>
          <w:highlight w:val="none"/>
          <w:lang w:val="zh-CN" w:eastAsia="zh-CN" w:bidi="ar-SA"/>
        </w:rPr>
        <w:t>付款前，</w:t>
      </w:r>
      <w:r>
        <w:rPr>
          <w:rFonts w:hint="eastAsia" w:ascii="宋体" w:hAnsi="宋体" w:cs="宋体" w:eastAsiaTheme="minorEastAsia"/>
          <w:color w:val="auto"/>
          <w:kern w:val="2"/>
          <w:sz w:val="21"/>
          <w:szCs w:val="21"/>
          <w:highlight w:val="none"/>
          <w:lang w:val="en-US" w:eastAsia="zh-CN" w:bidi="ar-SA"/>
        </w:rPr>
        <w:t>乙方</w:t>
      </w:r>
      <w:r>
        <w:rPr>
          <w:rFonts w:hint="eastAsia" w:ascii="宋体" w:hAnsi="宋体" w:cs="宋体" w:eastAsiaTheme="minorEastAsia"/>
          <w:color w:val="auto"/>
          <w:kern w:val="2"/>
          <w:sz w:val="21"/>
          <w:szCs w:val="21"/>
          <w:highlight w:val="none"/>
          <w:lang w:val="zh-CN" w:eastAsia="zh-CN" w:bidi="ar-SA"/>
        </w:rPr>
        <w:t>应向甲方开具</w:t>
      </w:r>
      <w:r>
        <w:rPr>
          <w:rFonts w:hint="eastAsia" w:ascii="宋体" w:hAnsi="宋体" w:cs="宋体"/>
          <w:color w:val="auto"/>
          <w:kern w:val="2"/>
          <w:sz w:val="21"/>
          <w:szCs w:val="21"/>
          <w:highlight w:val="none"/>
          <w:lang w:val="en-US" w:eastAsia="zh-CN" w:bidi="ar-SA"/>
        </w:rPr>
        <w:t>全</w:t>
      </w:r>
      <w:r>
        <w:rPr>
          <w:rFonts w:hint="eastAsia" w:ascii="宋体" w:hAnsi="宋体" w:cs="宋体" w:eastAsiaTheme="minorEastAsia"/>
          <w:color w:val="auto"/>
          <w:kern w:val="2"/>
          <w:sz w:val="21"/>
          <w:szCs w:val="21"/>
          <w:highlight w:val="none"/>
          <w:lang w:val="zh-CN" w:eastAsia="zh-CN" w:bidi="ar-SA"/>
        </w:rPr>
        <w:t>额有效的增值税发票，甲方未收到合格有效发票的，有权不予支付相应款项直至乙方提供合格发票，并不承担延迟付款责任。发票认证通过是付款的必要前提之一。</w:t>
      </w:r>
    </w:p>
    <w:p w14:paraId="1E9C33F3">
      <w:pPr>
        <w:widowControl/>
        <w:numPr>
          <w:ilvl w:val="0"/>
          <w:numId w:val="0"/>
        </w:numPr>
        <w:snapToGrid w:val="0"/>
        <w:spacing w:line="360" w:lineRule="auto"/>
        <w:ind w:right="420" w:rightChars="0" w:firstLine="420" w:firstLineChars="200"/>
        <w:rPr>
          <w:rFonts w:hint="eastAsia" w:ascii="宋体" w:hAnsi="宋体" w:eastAsia="宋体" w:cs="宋体"/>
          <w:b/>
          <w:color w:val="auto"/>
          <w:kern w:val="0"/>
          <w:sz w:val="20"/>
          <w:szCs w:val="21"/>
          <w:highlight w:val="none"/>
          <w:lang w:val="zh-CN"/>
        </w:rPr>
      </w:pPr>
      <w:r>
        <w:rPr>
          <w:rFonts w:hint="eastAsia" w:ascii="宋体" w:hAnsi="宋体" w:eastAsia="宋体" w:cs="宋体"/>
          <w:color w:val="auto"/>
          <w:kern w:val="0"/>
          <w:szCs w:val="21"/>
          <w:highlight w:val="none"/>
          <w:lang w:val="zh-CN"/>
        </w:rPr>
        <w:t>（3）付款方式：银行转账。</w:t>
      </w:r>
    </w:p>
    <w:p w14:paraId="3C3FC7F8">
      <w:pPr>
        <w:snapToGrid w:val="0"/>
        <w:spacing w:line="360" w:lineRule="auto"/>
        <w:ind w:firstLine="422" w:firstLineChars="200"/>
        <w:rPr>
          <w:rFonts w:hint="eastAsia" w:asciiTheme="minorEastAsia" w:hAnsiTheme="minorEastAsia" w:cstheme="minorEastAsia"/>
          <w:b/>
          <w:color w:val="auto"/>
          <w:szCs w:val="21"/>
          <w:highlight w:val="none"/>
          <w:lang w:val="en-US" w:eastAsia="zh-CN"/>
        </w:rPr>
      </w:pPr>
      <w:r>
        <w:rPr>
          <w:rFonts w:hint="eastAsia" w:asciiTheme="minorEastAsia" w:hAnsiTheme="minorEastAsia" w:cstheme="minorEastAsia"/>
          <w:b/>
          <w:color w:val="auto"/>
          <w:szCs w:val="21"/>
          <w:highlight w:val="none"/>
          <w:lang w:val="zh-CN"/>
        </w:rPr>
        <w:t>第八条　履约保证金</w:t>
      </w:r>
    </w:p>
    <w:p w14:paraId="6A21B811">
      <w:pPr>
        <w:widowControl/>
        <w:numPr>
          <w:ilvl w:val="0"/>
          <w:numId w:val="0"/>
        </w:numPr>
        <w:snapToGrid w:val="0"/>
        <w:spacing w:line="360" w:lineRule="auto"/>
        <w:ind w:right="420" w:rightChars="0" w:firstLine="420" w:firstLineChars="200"/>
        <w:rPr>
          <w:rFonts w:hint="eastAsia" w:ascii="宋体" w:hAnsi="宋体" w:cs="宋体"/>
          <w:b/>
          <w:color w:val="auto"/>
          <w:szCs w:val="21"/>
          <w:highlight w:val="none"/>
        </w:rPr>
      </w:pPr>
      <w:r>
        <w:rPr>
          <w:rFonts w:hint="eastAsia" w:ascii="宋体" w:hAnsi="宋体" w:cs="宋体"/>
          <w:color w:val="auto"/>
          <w:szCs w:val="21"/>
          <w:highlight w:val="none"/>
          <w:lang w:val="en-US" w:eastAsia="zh-CN"/>
        </w:rPr>
        <w:t>本项目不收取履约保证金。</w:t>
      </w:r>
    </w:p>
    <w:p w14:paraId="38B93F81">
      <w:pPr>
        <w:snapToGrid w:val="0"/>
        <w:spacing w:line="360" w:lineRule="auto"/>
        <w:ind w:firstLine="422" w:firstLineChars="200"/>
        <w:rPr>
          <w:rFonts w:hint="eastAsia" w:asciiTheme="minorEastAsia" w:hAnsiTheme="minorEastAsia" w:cstheme="minorEastAsia"/>
          <w:b/>
          <w:color w:val="auto"/>
          <w:szCs w:val="21"/>
          <w:highlight w:val="none"/>
        </w:rPr>
      </w:pPr>
      <w:r>
        <w:rPr>
          <w:rFonts w:hint="eastAsia" w:asciiTheme="minorEastAsia" w:hAnsiTheme="minorEastAsia" w:cstheme="minorEastAsia"/>
          <w:b/>
          <w:color w:val="auto"/>
          <w:szCs w:val="21"/>
          <w:highlight w:val="none"/>
          <w:lang w:val="zh-CN"/>
        </w:rPr>
        <w:t>第</w:t>
      </w:r>
      <w:r>
        <w:rPr>
          <w:rFonts w:hint="eastAsia" w:asciiTheme="minorEastAsia" w:hAnsiTheme="minorEastAsia" w:cstheme="minorEastAsia"/>
          <w:b/>
          <w:color w:val="auto"/>
          <w:szCs w:val="21"/>
          <w:highlight w:val="none"/>
          <w:lang w:val="en-US" w:eastAsia="zh-CN"/>
        </w:rPr>
        <w:t>九</w:t>
      </w:r>
      <w:r>
        <w:rPr>
          <w:rFonts w:hint="eastAsia" w:asciiTheme="minorEastAsia" w:hAnsiTheme="minorEastAsia" w:cstheme="minorEastAsia"/>
          <w:b/>
          <w:color w:val="auto"/>
          <w:szCs w:val="21"/>
          <w:highlight w:val="none"/>
          <w:lang w:val="zh-CN"/>
        </w:rPr>
        <w:t>条　</w:t>
      </w:r>
      <w:r>
        <w:rPr>
          <w:rFonts w:hint="eastAsia" w:asciiTheme="minorEastAsia" w:hAnsiTheme="minorEastAsia" w:cstheme="minorEastAsia"/>
          <w:b/>
          <w:color w:val="auto"/>
          <w:szCs w:val="21"/>
          <w:highlight w:val="none"/>
        </w:rPr>
        <w:t>税费</w:t>
      </w:r>
    </w:p>
    <w:p w14:paraId="18D3B1EA">
      <w:pPr>
        <w:widowControl/>
        <w:numPr>
          <w:ilvl w:val="0"/>
          <w:numId w:val="0"/>
        </w:numPr>
        <w:snapToGrid w:val="0"/>
        <w:spacing w:line="360" w:lineRule="auto"/>
        <w:ind w:right="420" w:rightChars="0" w:firstLine="420" w:firstLineChars="200"/>
        <w:rPr>
          <w:rFonts w:hint="eastAsia" w:ascii="宋体" w:hAnsi="宋体"/>
          <w:color w:val="auto"/>
          <w:sz w:val="22"/>
          <w:szCs w:val="22"/>
        </w:rPr>
      </w:pPr>
      <w:r>
        <w:rPr>
          <w:rFonts w:hint="eastAsia" w:ascii="宋体" w:hAnsi="宋体" w:cs="宋体"/>
          <w:color w:val="auto"/>
          <w:sz w:val="21"/>
          <w:szCs w:val="21"/>
          <w:highlight w:val="none"/>
        </w:rPr>
        <w:t>本合同执行中相关的一切税费均由乙方负担（印花税按国家规定执行）。</w:t>
      </w:r>
    </w:p>
    <w:p w14:paraId="5316F366">
      <w:pPr>
        <w:snapToGrid w:val="0"/>
        <w:spacing w:line="360" w:lineRule="auto"/>
        <w:ind w:firstLine="422" w:firstLineChars="200"/>
        <w:rPr>
          <w:rFonts w:hint="eastAsia" w:ascii="宋体" w:hAnsi="宋体" w:cs="宋体"/>
          <w:b/>
          <w:color w:val="auto"/>
          <w:szCs w:val="21"/>
          <w:highlight w:val="none"/>
        </w:rPr>
      </w:pPr>
      <w:r>
        <w:rPr>
          <w:rFonts w:hint="eastAsia" w:asciiTheme="minorEastAsia" w:hAnsiTheme="minorEastAsia" w:cstheme="minorEastAsia"/>
          <w:b/>
          <w:color w:val="auto"/>
          <w:szCs w:val="21"/>
          <w:highlight w:val="none"/>
          <w:lang w:val="en-US" w:eastAsia="zh-CN"/>
        </w:rPr>
        <w:t>第十条</w:t>
      </w:r>
      <w:r>
        <w:rPr>
          <w:rFonts w:hint="eastAsia" w:asciiTheme="minorEastAsia" w:hAnsiTheme="minorEastAsia" w:cstheme="minorEastAsia"/>
          <w:b/>
          <w:color w:val="auto"/>
          <w:szCs w:val="21"/>
          <w:highlight w:val="none"/>
        </w:rPr>
        <w:t xml:space="preserve"> 质量保证及售后服务</w:t>
      </w:r>
    </w:p>
    <w:p w14:paraId="4CDD0FFB">
      <w:pPr>
        <w:numPr>
          <w:ilvl w:val="0"/>
          <w:numId w:val="0"/>
        </w:numPr>
        <w:snapToGrid w:val="0"/>
        <w:spacing w:line="360" w:lineRule="auto"/>
        <w:ind w:right="420" w:rightChars="0"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bCs/>
          <w:color w:val="auto"/>
          <w:kern w:val="0"/>
          <w:szCs w:val="21"/>
          <w:highlight w:val="none"/>
          <w:lang w:val="zh-CN"/>
        </w:rPr>
        <w:t>1.</w:t>
      </w:r>
      <w:r>
        <w:rPr>
          <w:rFonts w:hint="eastAsia" w:ascii="宋体" w:hAnsi="宋体" w:eastAsia="宋体" w:cs="宋体"/>
          <w:color w:val="auto"/>
          <w:kern w:val="0"/>
          <w:szCs w:val="21"/>
          <w:highlight w:val="none"/>
          <w:lang w:val="zh-CN"/>
        </w:rPr>
        <w:t>乙方应按响应文件承诺的产品名称、商标品牌、生产厂家、规格型号、技术参数、质量标准向甲方提供未经使用的全新产品。不符合要求的，根据实际情况，经双方协商，可按以下办法处理：</w:t>
      </w:r>
    </w:p>
    <w:p w14:paraId="4AD75A40">
      <w:pPr>
        <w:numPr>
          <w:ilvl w:val="0"/>
          <w:numId w:val="0"/>
        </w:numPr>
        <w:snapToGrid w:val="0"/>
        <w:spacing w:line="360" w:lineRule="auto"/>
        <w:ind w:right="420" w:rightChars="0"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⑴更换：由乙方承担所发生的全部费用。</w:t>
      </w:r>
    </w:p>
    <w:p w14:paraId="1BF155FD">
      <w:pPr>
        <w:numPr>
          <w:ilvl w:val="0"/>
          <w:numId w:val="0"/>
        </w:numPr>
        <w:snapToGrid w:val="0"/>
        <w:spacing w:line="360" w:lineRule="auto"/>
        <w:ind w:right="420" w:rightChars="0"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⑵贬值处理：由甲乙双方合议定价。</w:t>
      </w:r>
    </w:p>
    <w:p w14:paraId="0C9C4563">
      <w:pPr>
        <w:numPr>
          <w:ilvl w:val="0"/>
          <w:numId w:val="0"/>
        </w:numPr>
        <w:snapToGrid w:val="0"/>
        <w:spacing w:line="360" w:lineRule="auto"/>
        <w:ind w:right="420" w:rightChars="0"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⑶退货处理：如甲乙双方无法就贬值合议定价或者货物需要退货的，乙方应退还甲方支付的合同款，同时应承担该货物的直接费用（运输、保险、检验、货款利息及银行手续费等）。按退货款额的10%向甲方交付违约金并赔偿经济损失。</w:t>
      </w:r>
    </w:p>
    <w:p w14:paraId="4D1CDE1D">
      <w:pPr>
        <w:numPr>
          <w:ilvl w:val="0"/>
          <w:numId w:val="0"/>
        </w:numPr>
        <w:snapToGrid w:val="0"/>
        <w:spacing w:line="360" w:lineRule="auto"/>
        <w:ind w:right="420" w:rightChars="0"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 w:val="21"/>
          <w:szCs w:val="21"/>
          <w:lang w:val="zh-CN" w:eastAsia="zh-CN" w:bidi="ar-SA"/>
        </w:rPr>
        <w:t>2.</w:t>
      </w:r>
      <w:r>
        <w:rPr>
          <w:rFonts w:hint="eastAsia" w:ascii="宋体" w:hAnsi="宋体" w:eastAsia="宋体" w:cs="Times New Roman"/>
          <w:color w:val="auto"/>
          <w:kern w:val="0"/>
          <w:szCs w:val="21"/>
          <w:highlight w:val="none"/>
          <w:lang w:val="zh-CN"/>
        </w:rPr>
        <w:t>如在使用过程中发生质量问题，乙方在接到甲方通知后</w:t>
      </w:r>
      <w:r>
        <w:rPr>
          <w:rFonts w:hint="eastAsia" w:ascii="宋体" w:hAnsi="宋体" w:eastAsia="宋体" w:cs="Times New Roman"/>
          <w:color w:val="auto"/>
          <w:kern w:val="0"/>
          <w:szCs w:val="21"/>
          <w:highlight w:val="none"/>
          <w:u w:val="single"/>
          <w:lang w:val="zh-CN"/>
        </w:rPr>
        <w:t>按乙方响应文件承诺时间</w:t>
      </w:r>
      <w:r>
        <w:rPr>
          <w:rFonts w:hint="eastAsia" w:ascii="宋体" w:hAnsi="宋体" w:eastAsia="宋体" w:cs="Times New Roman"/>
          <w:color w:val="auto"/>
          <w:kern w:val="0"/>
          <w:szCs w:val="21"/>
          <w:highlight w:val="none"/>
          <w:lang w:val="zh-CN"/>
        </w:rPr>
        <w:t>到达甲方现场处理</w:t>
      </w:r>
      <w:r>
        <w:rPr>
          <w:rFonts w:hint="eastAsia" w:ascii="宋体" w:hAnsi="宋体" w:eastAsia="宋体" w:cs="宋体"/>
          <w:color w:val="auto"/>
          <w:kern w:val="0"/>
          <w:szCs w:val="21"/>
          <w:highlight w:val="none"/>
          <w:lang w:val="zh-CN"/>
        </w:rPr>
        <w:t>。</w:t>
      </w:r>
    </w:p>
    <w:p w14:paraId="72F62EF9">
      <w:pPr>
        <w:numPr>
          <w:ilvl w:val="0"/>
          <w:numId w:val="0"/>
        </w:numPr>
        <w:snapToGrid w:val="0"/>
        <w:spacing w:line="360" w:lineRule="auto"/>
        <w:ind w:right="420" w:rightChars="0" w:firstLine="420" w:firstLineChars="200"/>
        <w:rPr>
          <w:rFonts w:hint="eastAsia" w:ascii="宋体" w:hAnsi="宋体" w:cs="宋体"/>
          <w:b/>
          <w:color w:val="auto"/>
          <w:szCs w:val="21"/>
          <w:highlight w:val="none"/>
        </w:rPr>
      </w:pPr>
      <w:r>
        <w:rPr>
          <w:rFonts w:ascii="宋体" w:hAnsi="宋体" w:eastAsia="宋体" w:cs="宋体"/>
          <w:color w:val="auto"/>
          <w:kern w:val="0"/>
          <w:sz w:val="21"/>
          <w:szCs w:val="21"/>
          <w:lang w:val="zh-CN" w:eastAsia="zh-CN" w:bidi="ar-SA"/>
        </w:rPr>
        <w:t>3</w:t>
      </w:r>
      <w:r>
        <w:rPr>
          <w:rFonts w:hint="eastAsia" w:ascii="宋体" w:hAnsi="宋体" w:eastAsia="宋体" w:cs="宋体"/>
          <w:color w:val="auto"/>
          <w:kern w:val="0"/>
          <w:szCs w:val="21"/>
          <w:highlight w:val="none"/>
          <w:lang w:val="zh-CN"/>
        </w:rPr>
        <w:t>.在质保期内，乙方应对货物出现的质量及安全问题负责处理解决并承担一切费用。</w:t>
      </w:r>
    </w:p>
    <w:p w14:paraId="7F5F51C6">
      <w:pPr>
        <w:snapToGrid w:val="0"/>
        <w:spacing w:line="360" w:lineRule="auto"/>
        <w:ind w:firstLine="422" w:firstLineChars="200"/>
        <w:rPr>
          <w:rFonts w:hint="eastAsia" w:ascii="宋体" w:hAnsi="宋体"/>
          <w:color w:val="auto"/>
          <w:kern w:val="0"/>
          <w:szCs w:val="21"/>
          <w:highlight w:val="none"/>
        </w:rPr>
      </w:pPr>
      <w:r>
        <w:rPr>
          <w:rFonts w:hint="eastAsia" w:asciiTheme="minorEastAsia" w:hAnsiTheme="minorEastAsia" w:cstheme="minorEastAsia"/>
          <w:b/>
          <w:color w:val="auto"/>
          <w:szCs w:val="21"/>
          <w:highlight w:val="none"/>
        </w:rPr>
        <w:t>第十一条  调试和验收</w:t>
      </w:r>
    </w:p>
    <w:p w14:paraId="5BAF61EE">
      <w:pPr>
        <w:numPr>
          <w:ilvl w:val="0"/>
          <w:numId w:val="0"/>
        </w:numPr>
        <w:autoSpaceDE/>
        <w:snapToGrid w:val="0"/>
        <w:spacing w:line="360" w:lineRule="auto"/>
        <w:ind w:right="420" w:firstLine="420" w:firstLineChars="200"/>
        <w:rPr>
          <w:rFonts w:hint="eastAsia" w:ascii="宋体" w:hAnsi="宋体"/>
          <w:color w:val="auto"/>
          <w:sz w:val="22"/>
          <w:szCs w:val="22"/>
        </w:rPr>
      </w:pPr>
      <w:r>
        <w:rPr>
          <w:rFonts w:hint="eastAsia" w:ascii="宋体" w:hAnsi="宋体"/>
          <w:color w:val="auto"/>
          <w:kern w:val="0"/>
          <w:szCs w:val="21"/>
          <w:highlight w:val="none"/>
        </w:rPr>
        <w:t>1.甲方对乙方提交的货物依据谈判文件上的技术规格要求和国家有关质量标准进行现场初步验收，外观、说明书符合谈判文件技术要求的，给予签收，初步验收不合格的不予签收。</w:t>
      </w:r>
      <w:r>
        <w:rPr>
          <w:rFonts w:hint="eastAsia" w:ascii="宋体" w:hAnsi="宋体"/>
          <w:color w:val="auto"/>
          <w:kern w:val="0"/>
          <w:sz w:val="21"/>
          <w:szCs w:val="21"/>
          <w:highlight w:val="none"/>
        </w:rPr>
        <w:t xml:space="preserve">乙方完成项目所要求的所有服务内容、设备正常运行两周后，以书面形式提前至少7个工作日向甲方提出验收申请，由甲方组织院内相关部门进行验收。 </w:t>
      </w:r>
    </w:p>
    <w:p w14:paraId="48367B26">
      <w:pPr>
        <w:numPr>
          <w:ilvl w:val="0"/>
          <w:numId w:val="0"/>
        </w:numPr>
        <w:snapToGrid w:val="0"/>
        <w:spacing w:line="360" w:lineRule="auto"/>
        <w:ind w:right="420" w:rightChars="0"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2.乙方交货前应对产品作出全面检查和对验收文件进行整理，并列出清单，作为甲方收货验收和使用的技术条件依据，检验的结果应随货物交甲方。</w:t>
      </w:r>
    </w:p>
    <w:p w14:paraId="58A6FAD3">
      <w:pPr>
        <w:numPr>
          <w:ilvl w:val="0"/>
          <w:numId w:val="0"/>
        </w:numPr>
        <w:snapToGrid w:val="0"/>
        <w:spacing w:line="360" w:lineRule="auto"/>
        <w:ind w:right="420" w:rightChars="0"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3.对技术复杂的货物，甲方应请国家认可的专业检测机构参与初步验收及最终验收，并由其出具质量检测报告。</w:t>
      </w:r>
    </w:p>
    <w:p w14:paraId="27C292CC">
      <w:pPr>
        <w:numPr>
          <w:ilvl w:val="0"/>
          <w:numId w:val="0"/>
        </w:numPr>
        <w:snapToGrid w:val="0"/>
        <w:spacing w:line="360" w:lineRule="auto"/>
        <w:ind w:right="420" w:rightChars="0" w:firstLine="420" w:firstLineChars="200"/>
        <w:rPr>
          <w:rFonts w:hint="eastAsia" w:ascii="宋体" w:hAnsi="宋体" w:cs="宋体"/>
          <w:color w:val="auto"/>
          <w:highlight w:val="none"/>
        </w:rPr>
      </w:pPr>
      <w:r>
        <w:rPr>
          <w:rFonts w:hint="eastAsia" w:ascii="宋体" w:hAnsi="宋体"/>
          <w:color w:val="auto"/>
          <w:kern w:val="0"/>
          <w:szCs w:val="21"/>
          <w:highlight w:val="none"/>
        </w:rPr>
        <w:t>4.验收时乙方必须在场，验收完毕后作出验收结果报告，乙方不在场的，视为同意验收结果；</w:t>
      </w:r>
      <w:r>
        <w:rPr>
          <w:rFonts w:hint="eastAsia" w:ascii="宋体" w:hAnsi="宋体" w:cs="宋体"/>
          <w:color w:val="auto"/>
          <w:highlight w:val="none"/>
        </w:rPr>
        <w:t>验收费用由乙方负责。</w:t>
      </w:r>
    </w:p>
    <w:p w14:paraId="1256A1E4">
      <w:pPr>
        <w:numPr>
          <w:ilvl w:val="0"/>
          <w:numId w:val="0"/>
        </w:numPr>
        <w:snapToGrid w:val="0"/>
        <w:spacing w:line="360" w:lineRule="auto"/>
        <w:ind w:right="420" w:rightChars="0" w:firstLine="420" w:firstLineChars="200"/>
        <w:rPr>
          <w:rFonts w:hint="eastAsia" w:ascii="宋体" w:hAnsi="宋体"/>
          <w:color w:val="auto"/>
          <w:szCs w:val="21"/>
          <w:highlight w:val="none"/>
        </w:rPr>
      </w:pPr>
      <w:r>
        <w:rPr>
          <w:rFonts w:hint="eastAsia" w:ascii="宋体" w:hAnsi="宋体"/>
          <w:color w:val="auto"/>
          <w:szCs w:val="21"/>
          <w:highlight w:val="none"/>
        </w:rPr>
        <w:t>5.甲方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0353CB1E">
      <w:pPr>
        <w:numPr>
          <w:ilvl w:val="0"/>
          <w:numId w:val="0"/>
        </w:numPr>
        <w:snapToGrid w:val="0"/>
        <w:spacing w:line="360" w:lineRule="auto"/>
        <w:ind w:right="420" w:rightChars="0" w:firstLine="420" w:firstLineChars="200"/>
        <w:rPr>
          <w:rFonts w:hint="eastAsia" w:ascii="宋体" w:hAnsi="宋体"/>
          <w:color w:val="auto"/>
          <w:szCs w:val="21"/>
          <w:highlight w:val="none"/>
        </w:rPr>
      </w:pPr>
      <w:r>
        <w:rPr>
          <w:rFonts w:hint="eastAsia" w:ascii="宋体" w:hAnsi="宋体"/>
          <w:color w:val="auto"/>
          <w:szCs w:val="21"/>
          <w:highlight w:val="none"/>
        </w:rPr>
        <w:t>6.甲方对验收有异议的，在验收后五个工作日内以书面形式向乙方提出，乙方应自收到甲方书面异议后</w:t>
      </w:r>
      <w:r>
        <w:rPr>
          <w:rFonts w:hint="eastAsia" w:ascii="宋体" w:hAnsi="宋体"/>
          <w:color w:val="auto"/>
          <w:szCs w:val="21"/>
          <w:highlight w:val="none"/>
          <w:u w:val="single"/>
        </w:rPr>
        <w:t xml:space="preserve"> 3 </w:t>
      </w:r>
      <w:r>
        <w:rPr>
          <w:rFonts w:hint="eastAsia" w:ascii="宋体" w:hAnsi="宋体"/>
          <w:color w:val="auto"/>
          <w:szCs w:val="21"/>
          <w:highlight w:val="none"/>
        </w:rPr>
        <w:t>日内及时予以解决。</w:t>
      </w:r>
    </w:p>
    <w:p w14:paraId="6E42358D">
      <w:pPr>
        <w:numPr>
          <w:ilvl w:val="0"/>
          <w:numId w:val="0"/>
        </w:numPr>
        <w:snapToGrid w:val="0"/>
        <w:spacing w:line="360" w:lineRule="auto"/>
        <w:ind w:right="420" w:rightChars="0" w:firstLine="420" w:firstLineChars="200"/>
        <w:rPr>
          <w:rFonts w:hint="eastAsia" w:ascii="宋体" w:hAnsi="宋体"/>
          <w:color w:val="auto"/>
          <w:szCs w:val="21"/>
          <w:highlight w:val="none"/>
        </w:rPr>
      </w:pPr>
      <w:r>
        <w:rPr>
          <w:rFonts w:hint="eastAsia" w:ascii="宋体" w:hAnsi="宋体"/>
          <w:color w:val="auto"/>
          <w:szCs w:val="21"/>
          <w:highlight w:val="none"/>
        </w:rPr>
        <w:t>7.具体验收条款详见采购需求的商务条款。</w:t>
      </w:r>
    </w:p>
    <w:p w14:paraId="7C04170E">
      <w:pPr>
        <w:snapToGrid w:val="0"/>
        <w:spacing w:line="360" w:lineRule="auto"/>
        <w:ind w:firstLine="422" w:firstLineChars="200"/>
        <w:rPr>
          <w:rFonts w:hint="eastAsia" w:ascii="宋体" w:hAnsi="宋体" w:eastAsia="宋体" w:cs="宋体"/>
          <w:b/>
          <w:color w:val="auto"/>
          <w:kern w:val="0"/>
          <w:szCs w:val="21"/>
          <w:highlight w:val="none"/>
          <w:lang w:val="zh-CN"/>
        </w:rPr>
      </w:pPr>
      <w:r>
        <w:rPr>
          <w:rFonts w:hint="eastAsia" w:asciiTheme="minorEastAsia" w:hAnsiTheme="minorEastAsia" w:cstheme="minorEastAsia"/>
          <w:b/>
          <w:color w:val="auto"/>
          <w:szCs w:val="21"/>
          <w:highlight w:val="none"/>
          <w:lang w:val="zh-CN"/>
        </w:rPr>
        <w:t>第十</w:t>
      </w:r>
      <w:r>
        <w:rPr>
          <w:rFonts w:hint="eastAsia" w:asciiTheme="minorEastAsia" w:hAnsiTheme="minorEastAsia" w:cstheme="minorEastAsia"/>
          <w:b/>
          <w:color w:val="auto"/>
          <w:szCs w:val="21"/>
          <w:highlight w:val="none"/>
        </w:rPr>
        <w:t>二</w:t>
      </w:r>
      <w:r>
        <w:rPr>
          <w:rFonts w:hint="eastAsia" w:asciiTheme="minorEastAsia" w:hAnsiTheme="minorEastAsia" w:cstheme="minorEastAsia"/>
          <w:b/>
          <w:color w:val="auto"/>
          <w:szCs w:val="21"/>
          <w:highlight w:val="none"/>
          <w:lang w:val="zh-CN"/>
        </w:rPr>
        <w:t>条  货物包装、发运及运输</w:t>
      </w:r>
    </w:p>
    <w:p w14:paraId="4DE70D6F">
      <w:pPr>
        <w:numPr>
          <w:ilvl w:val="0"/>
          <w:numId w:val="0"/>
        </w:numPr>
        <w:snapToGrid w:val="0"/>
        <w:spacing w:line="360" w:lineRule="auto"/>
        <w:ind w:right="420" w:rightChars="0"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1.乙方提供的货物均应按谈判文件要求的包装材料、包装标准、包装方式进行包装，每一包装单元内应附详细的装箱单和质量合格证。货物的运输方式：不计。</w:t>
      </w:r>
    </w:p>
    <w:p w14:paraId="1B36A74A">
      <w:pPr>
        <w:numPr>
          <w:ilvl w:val="0"/>
          <w:numId w:val="0"/>
        </w:numPr>
        <w:snapToGrid w:val="0"/>
        <w:spacing w:line="360" w:lineRule="auto"/>
        <w:ind w:right="420" w:rightChars="0"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2.乙方负责货物运输，货物运输合理损耗及计算方法：损耗由乙方承担。</w:t>
      </w:r>
    </w:p>
    <w:p w14:paraId="4191FF41">
      <w:pPr>
        <w:numPr>
          <w:ilvl w:val="0"/>
          <w:numId w:val="0"/>
        </w:numPr>
        <w:snapToGrid w:val="0"/>
        <w:spacing w:line="360" w:lineRule="auto"/>
        <w:ind w:right="420" w:rightChars="0"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3.乙方应在货物发运前对其进行满足运输距离、防潮、防震、防锈和防破损装卸等要求包装，以保证货物安全运达甲方指定地点。</w:t>
      </w:r>
    </w:p>
    <w:p w14:paraId="2EFF68BA">
      <w:pPr>
        <w:numPr>
          <w:ilvl w:val="0"/>
          <w:numId w:val="0"/>
        </w:numPr>
        <w:snapToGrid w:val="0"/>
        <w:spacing w:line="360" w:lineRule="auto"/>
        <w:ind w:right="420" w:rightChars="0"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4.使用说明书、质量检验证明书、随配附件和工具以及清单一并附于货物内。</w:t>
      </w:r>
    </w:p>
    <w:p w14:paraId="3B346F0B">
      <w:pPr>
        <w:numPr>
          <w:ilvl w:val="0"/>
          <w:numId w:val="0"/>
        </w:numPr>
        <w:snapToGrid w:val="0"/>
        <w:spacing w:line="360" w:lineRule="auto"/>
        <w:ind w:right="420" w:rightChars="0"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5.乙方在货物发运手续办理完毕后二十四小时内或货到甲方四十八小时前通知甲方，以准备接货。</w:t>
      </w:r>
    </w:p>
    <w:p w14:paraId="50C58E9E">
      <w:pPr>
        <w:numPr>
          <w:ilvl w:val="0"/>
          <w:numId w:val="0"/>
        </w:numPr>
        <w:snapToGrid w:val="0"/>
        <w:spacing w:line="360" w:lineRule="auto"/>
        <w:ind w:right="420" w:rightChars="0"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6.货物在交付甲方前发生的风险均由乙方负责。</w:t>
      </w:r>
    </w:p>
    <w:p w14:paraId="04404E19">
      <w:pPr>
        <w:numPr>
          <w:ilvl w:val="0"/>
          <w:numId w:val="0"/>
        </w:numPr>
        <w:snapToGrid w:val="0"/>
        <w:spacing w:line="360" w:lineRule="auto"/>
        <w:ind w:right="420" w:rightChars="0" w:firstLine="420" w:firstLineChars="200"/>
        <w:rPr>
          <w:rFonts w:hint="eastAsia" w:ascii="宋体" w:hAnsi="宋体" w:eastAsia="宋体" w:cs="宋体"/>
          <w:color w:val="auto"/>
          <w:kern w:val="0"/>
          <w:szCs w:val="21"/>
          <w:highlight w:val="none"/>
          <w:lang w:val="zh-CN" w:eastAsia="zh-CN"/>
        </w:rPr>
      </w:pPr>
      <w:r>
        <w:rPr>
          <w:rFonts w:hint="eastAsia" w:ascii="宋体" w:hAnsi="宋体" w:eastAsia="宋体" w:cs="宋体"/>
          <w:color w:val="auto"/>
          <w:kern w:val="0"/>
          <w:szCs w:val="21"/>
          <w:highlight w:val="none"/>
          <w:lang w:val="zh-CN"/>
        </w:rPr>
        <w:t>7.</w:t>
      </w:r>
      <w:r>
        <w:rPr>
          <w:rFonts w:hint="eastAsia" w:ascii="宋体" w:hAnsi="宋体" w:eastAsia="宋体" w:cs="宋体"/>
          <w:color w:val="auto"/>
          <w:sz w:val="21"/>
          <w:szCs w:val="21"/>
          <w:highlight w:val="none"/>
        </w:rPr>
        <w:t>货物在规定的交付期限内由乙方送达甲方指定的地点</w:t>
      </w:r>
      <w:r>
        <w:rPr>
          <w:rFonts w:hint="eastAsia" w:ascii="宋体" w:hAnsi="宋体" w:eastAsia="宋体" w:cs="宋体"/>
          <w:color w:val="auto"/>
          <w:sz w:val="21"/>
          <w:szCs w:val="21"/>
          <w:highlight w:val="none"/>
          <w:lang w:val="en-US" w:eastAsia="zh-CN"/>
        </w:rPr>
        <w:t>并通过装机验收</w:t>
      </w:r>
      <w:r>
        <w:rPr>
          <w:rFonts w:hint="eastAsia" w:ascii="宋体" w:hAnsi="宋体" w:eastAsia="宋体" w:cs="宋体"/>
          <w:color w:val="auto"/>
          <w:sz w:val="21"/>
          <w:szCs w:val="21"/>
          <w:highlight w:val="none"/>
        </w:rPr>
        <w:t>视为交付</w:t>
      </w:r>
      <w:r>
        <w:rPr>
          <w:rFonts w:hint="eastAsia" w:ascii="宋体" w:hAnsi="宋体" w:eastAsia="宋体" w:cs="宋体"/>
          <w:color w:val="auto"/>
          <w:sz w:val="21"/>
          <w:szCs w:val="21"/>
          <w:highlight w:val="none"/>
          <w:lang w:eastAsia="zh-CN"/>
        </w:rPr>
        <w:t>。</w:t>
      </w:r>
    </w:p>
    <w:p w14:paraId="0AF0B711">
      <w:pPr>
        <w:snapToGrid w:val="0"/>
        <w:spacing w:line="360" w:lineRule="auto"/>
        <w:ind w:firstLine="422" w:firstLineChars="200"/>
        <w:rPr>
          <w:rFonts w:hint="eastAsia" w:asciiTheme="minorEastAsia" w:hAnsiTheme="minorEastAsia" w:cstheme="minorEastAsia"/>
          <w:b/>
          <w:color w:val="auto"/>
          <w:szCs w:val="21"/>
          <w:highlight w:val="none"/>
        </w:rPr>
      </w:pPr>
      <w:r>
        <w:rPr>
          <w:rFonts w:hint="eastAsia" w:asciiTheme="minorEastAsia" w:hAnsiTheme="minorEastAsia" w:cstheme="minorEastAsia"/>
          <w:b/>
          <w:color w:val="auto"/>
          <w:szCs w:val="21"/>
          <w:highlight w:val="none"/>
        </w:rPr>
        <w:t>第十三条　保密义务</w:t>
      </w:r>
    </w:p>
    <w:p w14:paraId="05693FC4">
      <w:pPr>
        <w:numPr>
          <w:ilvl w:val="0"/>
          <w:numId w:val="0"/>
        </w:numPr>
        <w:snapToGrid w:val="0"/>
        <w:spacing w:line="360" w:lineRule="auto"/>
        <w:ind w:right="420" w:rightChars="0" w:firstLine="420" w:firstLineChars="200"/>
        <w:rPr>
          <w:rFonts w:hint="eastAsia" w:ascii="宋体" w:hAnsi="宋体" w:cs="宋体" w:eastAsiaTheme="minorEastAsia"/>
          <w:b/>
          <w:color w:val="auto"/>
          <w:kern w:val="2"/>
          <w:sz w:val="21"/>
          <w:szCs w:val="21"/>
          <w:lang w:val="en-US" w:eastAsia="zh-CN" w:bidi="ar-SA"/>
        </w:rPr>
      </w:pPr>
      <w:r>
        <w:rPr>
          <w:rFonts w:hint="eastAsia" w:ascii="宋体" w:hAnsi="宋体"/>
          <w:color w:val="auto"/>
          <w:szCs w:val="21"/>
          <w:highlight w:val="none"/>
        </w:rPr>
        <w:t>乙方应对因签署本合同或在本合同履行期间获得的或收到甲方的商务、财务、技术、产品的信息、用户资料或其他标明保密的文件或信息的内容保守秘密，未经甲方书面同意，不得向本合同以外的任何第三方披露。保密资料接受方可仅为本合同目的向其确有知悉必要的工作人员披露甲方提供的保密资料，但同时须告知其工作人员遵守本条规定的保密及非经对方书面同意不得擅自披露的义务。乙方应仅为本合同目的而复制和使用保密资料。</w:t>
      </w:r>
    </w:p>
    <w:p w14:paraId="4E917F29">
      <w:pPr>
        <w:snapToGrid w:val="0"/>
        <w:spacing w:line="360" w:lineRule="auto"/>
        <w:ind w:firstLine="422" w:firstLineChars="200"/>
        <w:rPr>
          <w:rFonts w:hint="eastAsia" w:ascii="宋体" w:hAnsi="宋体"/>
          <w:color w:val="auto"/>
          <w:sz w:val="22"/>
          <w:szCs w:val="22"/>
        </w:rPr>
      </w:pPr>
      <w:r>
        <w:rPr>
          <w:rFonts w:hint="eastAsia" w:asciiTheme="minorEastAsia" w:hAnsiTheme="minorEastAsia" w:cstheme="minorEastAsia"/>
          <w:b/>
          <w:color w:val="auto"/>
          <w:szCs w:val="21"/>
          <w:highlight w:val="none"/>
          <w:lang w:val="en-US" w:eastAsia="zh-CN"/>
        </w:rPr>
        <w:t>第十四条</w:t>
      </w:r>
      <w:r>
        <w:rPr>
          <w:rFonts w:hint="eastAsia" w:asciiTheme="minorEastAsia" w:hAnsiTheme="minorEastAsia" w:cstheme="minorEastAsia"/>
          <w:b/>
          <w:color w:val="auto"/>
          <w:szCs w:val="21"/>
          <w:highlight w:val="none"/>
        </w:rPr>
        <w:t>　违约责任</w:t>
      </w:r>
    </w:p>
    <w:p w14:paraId="6AEF6A6D">
      <w:pPr>
        <w:numPr>
          <w:ilvl w:val="0"/>
          <w:numId w:val="0"/>
        </w:numPr>
        <w:autoSpaceDE/>
        <w:snapToGrid w:val="0"/>
        <w:spacing w:line="360" w:lineRule="auto"/>
        <w:ind w:right="420"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1</w:t>
      </w:r>
      <w:r>
        <w:rPr>
          <w:rFonts w:hint="eastAsia" w:ascii="宋体" w:hAnsi="宋体"/>
          <w:color w:val="auto"/>
          <w:sz w:val="21"/>
          <w:szCs w:val="21"/>
          <w:highlight w:val="none"/>
          <w:lang w:eastAsia="zh-CN"/>
        </w:rPr>
        <w:t>.</w:t>
      </w:r>
      <w:r>
        <w:rPr>
          <w:rFonts w:hint="eastAsia" w:ascii="宋体" w:hAnsi="宋体"/>
          <w:color w:val="auto"/>
          <w:sz w:val="21"/>
          <w:szCs w:val="21"/>
          <w:highlight w:val="none"/>
        </w:rPr>
        <w:t>乙方所提供的货物规格、技术标准、材料等质量不合格的，应在15日内更换，并且乙方应向甲方支付违约货款额10%违约金并赔偿甲方经济损失；逾期不更换的甲方有权退货，如甲方退货的，乙方应按原价退回货款、支付违约货款额10%违约金并赔偿甲方经济损失。</w:t>
      </w:r>
    </w:p>
    <w:p w14:paraId="357B8632">
      <w:pPr>
        <w:numPr>
          <w:ilvl w:val="0"/>
          <w:numId w:val="0"/>
        </w:numPr>
        <w:autoSpaceDE/>
        <w:snapToGrid w:val="0"/>
        <w:spacing w:line="360" w:lineRule="auto"/>
        <w:ind w:right="420"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2</w:t>
      </w:r>
      <w:r>
        <w:rPr>
          <w:rFonts w:hint="eastAsia" w:ascii="宋体" w:hAnsi="宋体"/>
          <w:color w:val="auto"/>
          <w:sz w:val="21"/>
          <w:szCs w:val="21"/>
          <w:highlight w:val="none"/>
          <w:lang w:eastAsia="zh-CN"/>
        </w:rPr>
        <w:t>.</w:t>
      </w:r>
      <w:r>
        <w:rPr>
          <w:rFonts w:hint="eastAsia" w:ascii="宋体" w:hAnsi="宋体"/>
          <w:color w:val="auto"/>
          <w:sz w:val="21"/>
          <w:szCs w:val="21"/>
          <w:highlight w:val="none"/>
        </w:rPr>
        <w:t>乙方提供的货物如侵犯了第三方合法权益而引发的任何纠纷或诉讼，均由乙方负责交涉并承担全部责任</w:t>
      </w:r>
      <w:r>
        <w:rPr>
          <w:rFonts w:hint="eastAsia" w:ascii="宋体" w:hAnsi="宋体"/>
          <w:color w:val="auto"/>
          <w:sz w:val="21"/>
          <w:szCs w:val="21"/>
          <w:highlight w:val="none"/>
          <w:u w:val="none"/>
          <w:lang w:eastAsia="zh-CN"/>
        </w:rPr>
        <w:t>（</w:t>
      </w:r>
      <w:r>
        <w:rPr>
          <w:rFonts w:hint="eastAsia" w:ascii="宋体" w:hAnsi="宋体"/>
          <w:color w:val="auto"/>
          <w:sz w:val="21"/>
          <w:szCs w:val="21"/>
          <w:highlight w:val="none"/>
          <w:u w:val="none"/>
          <w:lang w:val="en-US" w:eastAsia="zh-CN"/>
        </w:rPr>
        <w:t>包括但不限于直接损失、间接损失、诉讼费、律师费等）</w:t>
      </w:r>
      <w:r>
        <w:rPr>
          <w:rFonts w:hint="eastAsia" w:ascii="宋体" w:hAnsi="宋体"/>
          <w:color w:val="auto"/>
          <w:sz w:val="21"/>
          <w:szCs w:val="21"/>
          <w:highlight w:val="none"/>
        </w:rPr>
        <w:t>，甲方有权解除本合同。</w:t>
      </w:r>
    </w:p>
    <w:p w14:paraId="2257AF72">
      <w:pPr>
        <w:numPr>
          <w:ilvl w:val="0"/>
          <w:numId w:val="0"/>
        </w:numPr>
        <w:autoSpaceDE/>
        <w:snapToGrid w:val="0"/>
        <w:spacing w:line="360" w:lineRule="auto"/>
        <w:ind w:right="420"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3</w:t>
      </w:r>
      <w:r>
        <w:rPr>
          <w:rFonts w:hint="eastAsia" w:ascii="宋体" w:hAnsi="宋体"/>
          <w:color w:val="auto"/>
          <w:sz w:val="21"/>
          <w:szCs w:val="21"/>
          <w:highlight w:val="none"/>
          <w:lang w:eastAsia="zh-CN"/>
        </w:rPr>
        <w:t>.</w:t>
      </w:r>
      <w:r>
        <w:rPr>
          <w:rFonts w:hint="eastAsia" w:ascii="宋体" w:hAnsi="宋体"/>
          <w:color w:val="auto"/>
          <w:sz w:val="21"/>
          <w:szCs w:val="21"/>
          <w:highlight w:val="none"/>
        </w:rPr>
        <w:t>因包装、运输引起的货物损坏，按质量不合格处罚。</w:t>
      </w:r>
    </w:p>
    <w:p w14:paraId="62D497A2">
      <w:pPr>
        <w:numPr>
          <w:ilvl w:val="0"/>
          <w:numId w:val="0"/>
        </w:numPr>
        <w:autoSpaceDE/>
        <w:snapToGrid w:val="0"/>
        <w:spacing w:line="360" w:lineRule="auto"/>
        <w:ind w:right="420" w:firstLine="420" w:firstLineChars="200"/>
        <w:rPr>
          <w:rFonts w:hint="eastAsia" w:ascii="宋体" w:hAnsi="宋体"/>
          <w:color w:val="auto"/>
          <w:sz w:val="21"/>
          <w:szCs w:val="21"/>
          <w:highlight w:val="none"/>
          <w:u w:val="none"/>
        </w:rPr>
      </w:pPr>
      <w:r>
        <w:rPr>
          <w:rFonts w:hint="eastAsia" w:ascii="宋体" w:hAnsi="宋体"/>
          <w:color w:val="auto"/>
          <w:sz w:val="21"/>
          <w:szCs w:val="21"/>
          <w:highlight w:val="none"/>
        </w:rPr>
        <w:t>4</w:t>
      </w:r>
      <w:r>
        <w:rPr>
          <w:rFonts w:hint="eastAsia" w:ascii="宋体" w:hAnsi="宋体"/>
          <w:color w:val="auto"/>
          <w:sz w:val="21"/>
          <w:szCs w:val="21"/>
          <w:highlight w:val="none"/>
          <w:lang w:eastAsia="zh-CN"/>
        </w:rPr>
        <w:t>.</w:t>
      </w:r>
      <w:r>
        <w:rPr>
          <w:rFonts w:hint="eastAsia" w:ascii="宋体" w:hAnsi="宋体"/>
          <w:color w:val="auto"/>
          <w:sz w:val="21"/>
          <w:szCs w:val="21"/>
          <w:highlight w:val="none"/>
        </w:rPr>
        <w:t>乙方逾期交货的，每天向甲方偿付违约货款额4‰违约金，</w:t>
      </w:r>
      <w:r>
        <w:rPr>
          <w:rFonts w:hint="eastAsia" w:ascii="宋体" w:hAnsi="宋体"/>
          <w:color w:val="auto"/>
          <w:sz w:val="21"/>
          <w:szCs w:val="21"/>
          <w:highlight w:val="none"/>
          <w:u w:val="none"/>
        </w:rPr>
        <w:t>超过10天对方有权解除合同，无论是否解除本合同，乙方应向甲方支付合同价款的10%作为违约金，造成甲方损失的，乙方应予以赔偿，违约金不计入赔偿。</w:t>
      </w:r>
    </w:p>
    <w:p w14:paraId="33301E22">
      <w:pPr>
        <w:numPr>
          <w:ilvl w:val="0"/>
          <w:numId w:val="0"/>
        </w:numPr>
        <w:autoSpaceDE/>
        <w:snapToGrid w:val="0"/>
        <w:spacing w:line="360" w:lineRule="auto"/>
        <w:ind w:right="420" w:firstLine="420" w:firstLineChars="200"/>
        <w:rPr>
          <w:rFonts w:hint="eastAsia" w:ascii="宋体" w:hAnsi="宋体" w:eastAsiaTheme="minorEastAsia"/>
          <w:color w:val="auto"/>
          <w:sz w:val="21"/>
          <w:szCs w:val="21"/>
          <w:highlight w:val="none"/>
          <w:u w:val="none"/>
          <w:lang w:eastAsia="zh-CN"/>
        </w:rPr>
      </w:pPr>
      <w:r>
        <w:rPr>
          <w:rFonts w:hint="eastAsia" w:ascii="宋体" w:hAnsi="宋体"/>
          <w:color w:val="auto"/>
          <w:sz w:val="21"/>
          <w:szCs w:val="21"/>
          <w:highlight w:val="none"/>
        </w:rPr>
        <w:t>5</w:t>
      </w:r>
      <w:r>
        <w:rPr>
          <w:rFonts w:hint="eastAsia" w:ascii="宋体" w:hAnsi="宋体"/>
          <w:color w:val="auto"/>
          <w:sz w:val="21"/>
          <w:szCs w:val="21"/>
          <w:highlight w:val="none"/>
          <w:lang w:val="en-US" w:eastAsia="zh-CN"/>
        </w:rPr>
        <w:t>.</w:t>
      </w:r>
      <w:r>
        <w:rPr>
          <w:rFonts w:hint="eastAsia" w:ascii="宋体" w:hAnsi="宋体"/>
          <w:color w:val="auto"/>
          <w:sz w:val="21"/>
          <w:szCs w:val="21"/>
          <w:highlight w:val="none"/>
        </w:rPr>
        <w:t>乙方未按本合同和响应文件中规定的服务承诺提供售后服务的，乙方</w:t>
      </w:r>
      <w:r>
        <w:rPr>
          <w:rFonts w:hint="eastAsia" w:ascii="宋体" w:hAnsi="宋体"/>
          <w:color w:val="auto"/>
          <w:sz w:val="21"/>
          <w:szCs w:val="21"/>
          <w:highlight w:val="none"/>
          <w:lang w:val="en-US" w:eastAsia="zh-CN"/>
        </w:rPr>
        <w:t>每次</w:t>
      </w:r>
      <w:r>
        <w:rPr>
          <w:rFonts w:hint="eastAsia" w:ascii="宋体" w:hAnsi="宋体"/>
          <w:color w:val="auto"/>
          <w:sz w:val="21"/>
          <w:szCs w:val="21"/>
          <w:highlight w:val="none"/>
        </w:rPr>
        <w:t>应按本合同合计金额 5%向甲方支付违约金</w:t>
      </w:r>
      <w:r>
        <w:rPr>
          <w:rFonts w:hint="eastAsia" w:ascii="宋体" w:hAnsi="宋体"/>
          <w:color w:val="auto"/>
          <w:sz w:val="21"/>
          <w:szCs w:val="21"/>
          <w:highlight w:val="none"/>
          <w:lang w:eastAsia="zh-CN"/>
        </w:rPr>
        <w:t>，</w:t>
      </w:r>
      <w:r>
        <w:rPr>
          <w:rFonts w:hint="eastAsia" w:ascii="宋体" w:hAnsi="宋体"/>
          <w:color w:val="auto"/>
          <w:sz w:val="21"/>
          <w:szCs w:val="21"/>
          <w:highlight w:val="none"/>
          <w:u w:val="none"/>
        </w:rPr>
        <w:t>累计超过3次，甲方有权解除合同，无论是否解除本合同，乙方均应按本合同合计金额10%向甲方支付违约金。</w:t>
      </w:r>
    </w:p>
    <w:p w14:paraId="251E19FD">
      <w:pPr>
        <w:numPr>
          <w:ilvl w:val="0"/>
          <w:numId w:val="0"/>
        </w:numPr>
        <w:autoSpaceDE/>
        <w:snapToGrid w:val="0"/>
        <w:spacing w:line="360" w:lineRule="auto"/>
        <w:ind w:right="420"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6</w:t>
      </w:r>
      <w:r>
        <w:rPr>
          <w:rFonts w:hint="eastAsia" w:ascii="宋体" w:hAnsi="宋体"/>
          <w:color w:val="auto"/>
          <w:sz w:val="21"/>
          <w:szCs w:val="21"/>
          <w:highlight w:val="none"/>
          <w:lang w:eastAsia="zh-CN"/>
        </w:rPr>
        <w:t>.</w:t>
      </w:r>
      <w:r>
        <w:rPr>
          <w:rFonts w:hint="eastAsia" w:ascii="宋体" w:hAnsi="宋体"/>
          <w:color w:val="auto"/>
          <w:sz w:val="21"/>
          <w:szCs w:val="21"/>
          <w:highlight w:val="none"/>
        </w:rPr>
        <w:t>乙方提供的货物在质量保证期内，因设计、工艺或材料的缺陷和其它质量原因造成的问题，由乙方负责。</w:t>
      </w:r>
    </w:p>
    <w:p w14:paraId="50DC3340">
      <w:pPr>
        <w:numPr>
          <w:ilvl w:val="0"/>
          <w:numId w:val="0"/>
        </w:numPr>
        <w:autoSpaceDE/>
        <w:snapToGrid w:val="0"/>
        <w:spacing w:line="360" w:lineRule="auto"/>
        <w:ind w:right="420" w:firstLine="420" w:firstLineChars="200"/>
        <w:rPr>
          <w:rFonts w:hint="eastAsia" w:ascii="宋体" w:hAnsi="宋体"/>
          <w:color w:val="auto"/>
          <w:sz w:val="21"/>
          <w:szCs w:val="21"/>
          <w:highlight w:val="none"/>
          <w:u w:val="none"/>
        </w:rPr>
      </w:pPr>
      <w:r>
        <w:rPr>
          <w:rFonts w:hint="eastAsia" w:ascii="宋体" w:hAnsi="宋体"/>
          <w:color w:val="auto"/>
          <w:sz w:val="21"/>
          <w:szCs w:val="21"/>
          <w:highlight w:val="none"/>
        </w:rPr>
        <w:t>7</w:t>
      </w:r>
      <w:r>
        <w:rPr>
          <w:rFonts w:hint="eastAsia" w:ascii="宋体" w:hAnsi="宋体"/>
          <w:color w:val="auto"/>
          <w:sz w:val="21"/>
          <w:szCs w:val="21"/>
          <w:highlight w:val="none"/>
          <w:lang w:eastAsia="zh-CN"/>
        </w:rPr>
        <w:t>.</w:t>
      </w:r>
      <w:r>
        <w:rPr>
          <w:rFonts w:hint="eastAsia" w:ascii="宋体" w:hAnsi="宋体"/>
          <w:color w:val="auto"/>
          <w:sz w:val="21"/>
          <w:szCs w:val="21"/>
          <w:highlight w:val="none"/>
          <w:u w:val="none"/>
        </w:rPr>
        <w:t>乙方其它违约行为按违约服务成果款额5%收取违约金并赔偿经济损失，且甲方有权选择解除合同。</w:t>
      </w:r>
    </w:p>
    <w:p w14:paraId="322CBA0E">
      <w:pPr>
        <w:numPr>
          <w:ilvl w:val="0"/>
          <w:numId w:val="0"/>
        </w:numPr>
        <w:autoSpaceDE/>
        <w:snapToGrid w:val="0"/>
        <w:spacing w:line="360" w:lineRule="auto"/>
        <w:ind w:right="420" w:firstLine="420" w:firstLineChars="200"/>
        <w:rPr>
          <w:rFonts w:hint="eastAsia" w:ascii="宋体" w:hAnsi="宋体"/>
          <w:color w:val="auto"/>
          <w:sz w:val="21"/>
          <w:szCs w:val="21"/>
          <w:highlight w:val="none"/>
          <w:lang w:val="en-US" w:eastAsia="zh-CN"/>
        </w:rPr>
      </w:pPr>
      <w:r>
        <w:rPr>
          <w:rFonts w:hint="eastAsia" w:ascii="宋体" w:hAnsi="宋体"/>
          <w:color w:val="auto"/>
          <w:sz w:val="21"/>
          <w:szCs w:val="21"/>
          <w:highlight w:val="none"/>
        </w:rPr>
        <w:t>8</w:t>
      </w:r>
      <w:r>
        <w:rPr>
          <w:rFonts w:hint="eastAsia" w:ascii="宋体" w:hAnsi="宋体"/>
          <w:color w:val="auto"/>
          <w:sz w:val="21"/>
          <w:szCs w:val="21"/>
          <w:highlight w:val="none"/>
          <w:lang w:eastAsia="zh-CN"/>
        </w:rPr>
        <w:t>.</w:t>
      </w:r>
      <w:r>
        <w:rPr>
          <w:rFonts w:hint="eastAsia" w:ascii="宋体" w:hAnsi="宋体"/>
          <w:color w:val="auto"/>
          <w:sz w:val="21"/>
          <w:szCs w:val="21"/>
          <w:highlight w:val="none"/>
        </w:rPr>
        <w:t>乙方支付的违约金不足以弥补甲方损失的，还应承担赔偿责任。</w:t>
      </w:r>
    </w:p>
    <w:p w14:paraId="642E2D9F">
      <w:pPr>
        <w:numPr>
          <w:ilvl w:val="0"/>
          <w:numId w:val="0"/>
        </w:numPr>
        <w:autoSpaceDE/>
        <w:snapToGrid w:val="0"/>
        <w:spacing w:line="360" w:lineRule="auto"/>
        <w:ind w:right="420" w:firstLine="420" w:firstLineChars="200"/>
        <w:rPr>
          <w:rFonts w:hint="eastAsia" w:ascii="宋体" w:hAnsi="宋体"/>
          <w:color w:val="auto"/>
          <w:sz w:val="21"/>
          <w:szCs w:val="21"/>
          <w:highlight w:val="none"/>
          <w:lang w:val="zh-CN"/>
        </w:rPr>
      </w:pPr>
      <w:r>
        <w:rPr>
          <w:rFonts w:hint="eastAsia" w:ascii="宋体" w:hAnsi="宋体"/>
          <w:color w:val="auto"/>
          <w:sz w:val="21"/>
          <w:szCs w:val="21"/>
          <w:highlight w:val="none"/>
          <w:lang w:val="en-US" w:eastAsia="zh-CN"/>
        </w:rPr>
        <w:t>9.</w:t>
      </w:r>
      <w:r>
        <w:rPr>
          <w:rFonts w:hint="eastAsia" w:ascii="宋体" w:hAnsi="宋体"/>
          <w:color w:val="auto"/>
          <w:sz w:val="21"/>
          <w:szCs w:val="21"/>
          <w:highlight w:val="none"/>
        </w:rPr>
        <w:t>乙方存在任何违约行为的，除按合同约定承担责任外，还应赔偿甲方的一切损失（包括但不限于赔偿金、补偿金、违约金、为实现债权而支付的律师费、</w:t>
      </w:r>
      <w:r>
        <w:rPr>
          <w:rFonts w:hint="eastAsia" w:ascii="宋体" w:hAnsi="宋体"/>
          <w:color w:val="auto"/>
          <w:sz w:val="21"/>
          <w:szCs w:val="21"/>
          <w:highlight w:val="none"/>
          <w:lang w:eastAsia="zh-Hans"/>
        </w:rPr>
        <w:t>公证费、鉴定费、</w:t>
      </w:r>
      <w:r>
        <w:rPr>
          <w:rFonts w:hint="eastAsia" w:ascii="宋体" w:hAnsi="宋体"/>
          <w:color w:val="auto"/>
          <w:sz w:val="21"/>
          <w:szCs w:val="21"/>
          <w:highlight w:val="none"/>
        </w:rPr>
        <w:t>诉讼费、保全费、公证费、</w:t>
      </w:r>
      <w:r>
        <w:rPr>
          <w:rFonts w:hint="eastAsia" w:ascii="宋体" w:hAnsi="宋体"/>
          <w:color w:val="auto"/>
          <w:sz w:val="21"/>
          <w:szCs w:val="21"/>
          <w:highlight w:val="none"/>
          <w:lang w:eastAsia="zh-Hans"/>
        </w:rPr>
        <w:t>公告费、诉讼财产</w:t>
      </w:r>
      <w:r>
        <w:rPr>
          <w:rFonts w:hint="eastAsia" w:ascii="宋体" w:hAnsi="宋体"/>
          <w:color w:val="auto"/>
          <w:sz w:val="21"/>
          <w:szCs w:val="21"/>
          <w:highlight w:val="none"/>
        </w:rPr>
        <w:t>保全责任险保费等一切费用）。</w:t>
      </w:r>
    </w:p>
    <w:p w14:paraId="21B6E54E">
      <w:pPr>
        <w:snapToGrid w:val="0"/>
        <w:spacing w:line="360" w:lineRule="auto"/>
        <w:ind w:firstLine="422" w:firstLineChars="200"/>
        <w:rPr>
          <w:rFonts w:hint="eastAsia" w:ascii="宋体" w:hAnsi="宋体"/>
          <w:color w:val="auto"/>
          <w:sz w:val="22"/>
          <w:szCs w:val="22"/>
        </w:rPr>
      </w:pPr>
      <w:r>
        <w:rPr>
          <w:rFonts w:hint="eastAsia" w:asciiTheme="minorEastAsia" w:hAnsiTheme="minorEastAsia" w:cstheme="minorEastAsia"/>
          <w:b/>
          <w:color w:val="auto"/>
          <w:szCs w:val="21"/>
          <w:highlight w:val="none"/>
          <w:lang w:val="zh-CN"/>
        </w:rPr>
        <w:t>第十</w:t>
      </w:r>
      <w:r>
        <w:rPr>
          <w:rFonts w:hint="eastAsia" w:asciiTheme="minorEastAsia" w:hAnsiTheme="minorEastAsia" w:cstheme="minorEastAsia"/>
          <w:b/>
          <w:color w:val="auto"/>
          <w:szCs w:val="21"/>
          <w:highlight w:val="none"/>
        </w:rPr>
        <w:t>五</w:t>
      </w:r>
      <w:r>
        <w:rPr>
          <w:rFonts w:hint="eastAsia" w:asciiTheme="minorEastAsia" w:hAnsiTheme="minorEastAsia" w:cstheme="minorEastAsia"/>
          <w:b/>
          <w:color w:val="auto"/>
          <w:szCs w:val="21"/>
          <w:highlight w:val="none"/>
          <w:lang w:val="zh-CN"/>
        </w:rPr>
        <w:t>条  不可抗力事件处理</w:t>
      </w:r>
    </w:p>
    <w:p w14:paraId="62EB5B82">
      <w:pPr>
        <w:numPr>
          <w:ilvl w:val="0"/>
          <w:numId w:val="0"/>
        </w:numPr>
        <w:autoSpaceDE/>
        <w:snapToGrid w:val="0"/>
        <w:spacing w:line="360" w:lineRule="auto"/>
        <w:ind w:right="420"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1</w:t>
      </w:r>
      <w:r>
        <w:rPr>
          <w:rFonts w:hint="eastAsia" w:ascii="宋体" w:hAnsi="宋体"/>
          <w:color w:val="auto"/>
          <w:sz w:val="21"/>
          <w:szCs w:val="21"/>
          <w:highlight w:val="none"/>
          <w:lang w:val="en-US" w:eastAsia="zh-CN"/>
        </w:rPr>
        <w:t>.</w:t>
      </w:r>
      <w:r>
        <w:rPr>
          <w:rFonts w:hint="eastAsia" w:ascii="宋体" w:hAnsi="宋体"/>
          <w:color w:val="auto"/>
          <w:sz w:val="21"/>
          <w:szCs w:val="21"/>
          <w:highlight w:val="none"/>
        </w:rPr>
        <w:t>在合同有效期内，任何一方因不可抗力事件导致不能履行合同，则合同履行期可延长，其延长期与不可抗力影响期相同。</w:t>
      </w:r>
    </w:p>
    <w:p w14:paraId="0621ED8F">
      <w:pPr>
        <w:numPr>
          <w:ilvl w:val="0"/>
          <w:numId w:val="0"/>
        </w:numPr>
        <w:autoSpaceDE/>
        <w:snapToGrid w:val="0"/>
        <w:spacing w:line="360" w:lineRule="auto"/>
        <w:ind w:right="420"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2</w:t>
      </w:r>
      <w:r>
        <w:rPr>
          <w:rFonts w:hint="eastAsia" w:ascii="宋体" w:hAnsi="宋体"/>
          <w:color w:val="auto"/>
          <w:sz w:val="21"/>
          <w:szCs w:val="21"/>
          <w:highlight w:val="none"/>
          <w:lang w:val="en-US" w:eastAsia="zh-CN"/>
        </w:rPr>
        <w:t>.</w:t>
      </w:r>
      <w:r>
        <w:rPr>
          <w:rFonts w:hint="eastAsia" w:ascii="宋体" w:hAnsi="宋体"/>
          <w:color w:val="auto"/>
          <w:sz w:val="21"/>
          <w:szCs w:val="21"/>
          <w:highlight w:val="none"/>
        </w:rPr>
        <w:t>不可抗力事件发生后，应立即通知对方，并寄送有关权威机构出具的证明。</w:t>
      </w:r>
    </w:p>
    <w:p w14:paraId="43D93B61">
      <w:pPr>
        <w:numPr>
          <w:ilvl w:val="0"/>
          <w:numId w:val="0"/>
        </w:numPr>
        <w:autoSpaceDE/>
        <w:snapToGrid w:val="0"/>
        <w:spacing w:line="360" w:lineRule="auto"/>
        <w:ind w:right="420"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3</w:t>
      </w:r>
      <w:r>
        <w:rPr>
          <w:rFonts w:hint="eastAsia" w:ascii="宋体" w:hAnsi="宋体"/>
          <w:color w:val="auto"/>
          <w:sz w:val="21"/>
          <w:szCs w:val="21"/>
          <w:highlight w:val="none"/>
          <w:lang w:val="en-US" w:eastAsia="zh-CN"/>
        </w:rPr>
        <w:t>.</w:t>
      </w:r>
      <w:r>
        <w:rPr>
          <w:rFonts w:hint="eastAsia" w:ascii="宋体" w:hAnsi="宋体"/>
          <w:color w:val="auto"/>
          <w:sz w:val="21"/>
          <w:szCs w:val="21"/>
          <w:highlight w:val="none"/>
        </w:rPr>
        <w:t>不可抗力事件延续一百二十天以上，双方应通过友好协商，确定是否继续履行合同。</w:t>
      </w:r>
    </w:p>
    <w:p w14:paraId="1E475508">
      <w:pPr>
        <w:numPr>
          <w:ilvl w:val="0"/>
          <w:numId w:val="0"/>
        </w:numPr>
        <w:autoSpaceDE/>
        <w:snapToGrid w:val="0"/>
        <w:spacing w:line="360" w:lineRule="auto"/>
        <w:ind w:right="420"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4</w:t>
      </w:r>
      <w:r>
        <w:rPr>
          <w:rFonts w:hint="eastAsia" w:ascii="宋体" w:hAnsi="宋体"/>
          <w:color w:val="auto"/>
          <w:sz w:val="21"/>
          <w:szCs w:val="21"/>
          <w:highlight w:val="none"/>
          <w:lang w:val="en-US" w:eastAsia="zh-CN"/>
        </w:rPr>
        <w:t>.</w:t>
      </w:r>
      <w:r>
        <w:rPr>
          <w:rFonts w:hint="eastAsia" w:ascii="宋体" w:hAnsi="宋体"/>
          <w:color w:val="auto"/>
          <w:sz w:val="21"/>
          <w:szCs w:val="21"/>
          <w:highlight w:val="none"/>
        </w:rPr>
        <w:t>不可抗力是指合同生效后，发生甲乙双方无法预见、无法预防、无法避免和无法控制的事件，致使无法履行或不能按约定履行合同。主要包括台风、冰雹、地震、海啸、洪水、火山爆发、山体滑坡、政府征收、政府征用、战争、武装冲突、罢工、骚乱、暴动、突发公共卫生事件等情形。</w:t>
      </w:r>
    </w:p>
    <w:p w14:paraId="0D369900">
      <w:pPr>
        <w:snapToGrid w:val="0"/>
        <w:spacing w:line="360" w:lineRule="auto"/>
        <w:ind w:firstLine="422" w:firstLineChars="200"/>
        <w:rPr>
          <w:rFonts w:hint="eastAsia" w:ascii="宋体" w:hAnsi="宋体"/>
          <w:b/>
          <w:color w:val="auto"/>
          <w:szCs w:val="21"/>
          <w:highlight w:val="none"/>
        </w:rPr>
      </w:pPr>
      <w:r>
        <w:rPr>
          <w:rFonts w:hint="eastAsia" w:asciiTheme="minorEastAsia" w:hAnsiTheme="minorEastAsia" w:cstheme="minorEastAsia"/>
          <w:b/>
          <w:color w:val="auto"/>
          <w:szCs w:val="21"/>
          <w:highlight w:val="none"/>
        </w:rPr>
        <w:t>第十六条  通知</w:t>
      </w:r>
    </w:p>
    <w:p w14:paraId="490FB4CF">
      <w:pPr>
        <w:numPr>
          <w:ilvl w:val="0"/>
          <w:numId w:val="0"/>
        </w:numPr>
        <w:snapToGrid w:val="0"/>
        <w:spacing w:line="360" w:lineRule="auto"/>
        <w:ind w:right="420" w:rightChars="0" w:firstLine="420" w:firstLineChars="200"/>
        <w:rPr>
          <w:rFonts w:hint="eastAsia" w:ascii="宋体"/>
          <w:color w:val="auto"/>
          <w:szCs w:val="21"/>
          <w:highlight w:val="none"/>
        </w:rPr>
      </w:pPr>
      <w:r>
        <w:rPr>
          <w:rFonts w:hint="eastAsia" w:ascii="宋体"/>
          <w:color w:val="auto"/>
          <w:szCs w:val="21"/>
          <w:highlight w:val="none"/>
        </w:rPr>
        <w:t>双方确认本合同落款通讯地址作为文书送达地址，该通讯地址适用于包括双方合同履行过程中的各类通知、协议等文件以及就合同发生争议进入诉讼、仲裁程序阶段法律文书的送达。通讯地址需要变更时应当提前15个工作日书面通知对方。因提供或者确认的通讯地址不准确、通讯地址变更后未及时依程序告知对方或受送达方拒绝签收等原因，导致文书未能被实际接收的，邮寄送达的，以文书退回之日视为送达之日。</w:t>
      </w:r>
    </w:p>
    <w:p w14:paraId="4BD337D2">
      <w:pPr>
        <w:snapToGrid w:val="0"/>
        <w:spacing w:line="360" w:lineRule="auto"/>
        <w:ind w:firstLine="422" w:firstLineChars="200"/>
        <w:rPr>
          <w:rFonts w:hint="eastAsia" w:ascii="宋体" w:hAnsi="宋体" w:cs="宋体"/>
          <w:b/>
          <w:color w:val="auto"/>
          <w:szCs w:val="21"/>
          <w:highlight w:val="none"/>
        </w:rPr>
      </w:pPr>
      <w:r>
        <w:rPr>
          <w:rFonts w:hint="eastAsia" w:asciiTheme="minorEastAsia" w:hAnsiTheme="minorEastAsia" w:cstheme="minorEastAsia"/>
          <w:b/>
          <w:color w:val="auto"/>
          <w:szCs w:val="21"/>
          <w:highlight w:val="none"/>
          <w:lang w:val="en-US" w:eastAsia="zh-CN"/>
        </w:rPr>
        <w:t>第十七条</w:t>
      </w:r>
      <w:r>
        <w:rPr>
          <w:rFonts w:hint="eastAsia" w:asciiTheme="minorEastAsia" w:hAnsiTheme="minorEastAsia" w:cstheme="minorEastAsia"/>
          <w:b/>
          <w:color w:val="auto"/>
          <w:szCs w:val="21"/>
          <w:highlight w:val="none"/>
        </w:rPr>
        <w:t xml:space="preserve">  合同争议解决</w:t>
      </w:r>
    </w:p>
    <w:p w14:paraId="34D50ECD">
      <w:pPr>
        <w:numPr>
          <w:ilvl w:val="0"/>
          <w:numId w:val="0"/>
        </w:numPr>
        <w:snapToGrid w:val="0"/>
        <w:spacing w:line="360" w:lineRule="auto"/>
        <w:ind w:right="42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1.因货物质量问题发生争议的，应邀请国家认可的质量检测机构对货物质量进行鉴定。货物符合标准的，鉴定费由甲方承担；货物不符合标准的，鉴定费由乙方承担。</w:t>
      </w:r>
    </w:p>
    <w:p w14:paraId="2517C5CD">
      <w:pPr>
        <w:numPr>
          <w:ilvl w:val="0"/>
          <w:numId w:val="0"/>
        </w:numPr>
        <w:snapToGrid w:val="0"/>
        <w:spacing w:line="360" w:lineRule="auto"/>
        <w:ind w:right="42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2.因履行本合同引起的或者与本合同有关的争议，甲乙双方应首先通过友好协商解决，如果协商不能解决，可向甲方</w:t>
      </w:r>
      <w:r>
        <w:rPr>
          <w:rFonts w:hint="eastAsia" w:ascii="宋体" w:hAnsi="宋体" w:cs="宋体"/>
          <w:color w:val="auto"/>
          <w:szCs w:val="21"/>
          <w:highlight w:val="none"/>
          <w:lang w:eastAsia="zh-Hans"/>
        </w:rPr>
        <w:t>所在地</w:t>
      </w:r>
      <w:r>
        <w:rPr>
          <w:rFonts w:hint="eastAsia" w:ascii="宋体" w:hAnsi="宋体" w:cs="宋体"/>
          <w:color w:val="auto"/>
          <w:szCs w:val="21"/>
          <w:highlight w:val="none"/>
        </w:rPr>
        <w:t>有管辖权的人民法院提起诉讼。</w:t>
      </w:r>
    </w:p>
    <w:p w14:paraId="06484ABD">
      <w:pPr>
        <w:numPr>
          <w:ilvl w:val="0"/>
          <w:numId w:val="0"/>
        </w:numPr>
        <w:snapToGrid w:val="0"/>
        <w:spacing w:line="360" w:lineRule="auto"/>
        <w:ind w:right="420" w:rightChars="0" w:firstLine="420" w:firstLineChars="200"/>
        <w:rPr>
          <w:rFonts w:hint="eastAsia" w:ascii="宋体" w:hAnsi="宋体" w:cs="宋体"/>
          <w:color w:val="auto"/>
          <w:szCs w:val="21"/>
          <w:highlight w:val="none"/>
          <w:lang w:val="zh-CN"/>
        </w:rPr>
      </w:pPr>
      <w:r>
        <w:rPr>
          <w:rFonts w:hint="eastAsia" w:ascii="宋体" w:hAnsi="宋体" w:cs="宋体"/>
          <w:color w:val="auto"/>
          <w:szCs w:val="21"/>
          <w:highlight w:val="none"/>
        </w:rPr>
        <w:t>3.诉讼期间，本合同是否继续履行，由甲方决定。甲方因诉讼支付的律师费、差旅费、交通费、鉴定费、保全担保费等费用均由乙方承担</w:t>
      </w:r>
      <w:r>
        <w:rPr>
          <w:rFonts w:hint="eastAsia" w:ascii="宋体" w:hAnsi="宋体" w:cs="宋体"/>
          <w:color w:val="auto"/>
          <w:szCs w:val="21"/>
          <w:highlight w:val="none"/>
          <w:lang w:eastAsia="zh-CN"/>
        </w:rPr>
        <w:t>。</w:t>
      </w:r>
    </w:p>
    <w:p w14:paraId="060BF26E">
      <w:pPr>
        <w:snapToGrid w:val="0"/>
        <w:spacing w:line="360" w:lineRule="auto"/>
        <w:ind w:firstLine="422" w:firstLineChars="200"/>
        <w:rPr>
          <w:rFonts w:hint="eastAsia" w:ascii="宋体" w:hAnsi="宋体"/>
          <w:color w:val="auto"/>
          <w:sz w:val="22"/>
          <w:szCs w:val="22"/>
        </w:rPr>
      </w:pPr>
      <w:r>
        <w:rPr>
          <w:rFonts w:hint="eastAsia" w:asciiTheme="minorEastAsia" w:hAnsiTheme="minorEastAsia" w:cstheme="minorEastAsia"/>
          <w:b/>
          <w:color w:val="auto"/>
          <w:szCs w:val="21"/>
          <w:highlight w:val="none"/>
          <w:lang w:val="zh-CN"/>
        </w:rPr>
        <w:t>第十</w:t>
      </w:r>
      <w:r>
        <w:rPr>
          <w:rFonts w:hint="eastAsia" w:asciiTheme="minorEastAsia" w:hAnsiTheme="minorEastAsia" w:cstheme="minorEastAsia"/>
          <w:b/>
          <w:color w:val="auto"/>
          <w:szCs w:val="21"/>
          <w:highlight w:val="none"/>
        </w:rPr>
        <w:t>八</w:t>
      </w:r>
      <w:r>
        <w:rPr>
          <w:rFonts w:hint="eastAsia" w:asciiTheme="minorEastAsia" w:hAnsiTheme="minorEastAsia" w:cstheme="minorEastAsia"/>
          <w:b/>
          <w:color w:val="auto"/>
          <w:szCs w:val="21"/>
          <w:highlight w:val="none"/>
          <w:lang w:val="zh-CN"/>
        </w:rPr>
        <w:t>条  合同生效及其他</w:t>
      </w:r>
    </w:p>
    <w:p w14:paraId="0AAE5876">
      <w:pPr>
        <w:numPr>
          <w:ilvl w:val="0"/>
          <w:numId w:val="0"/>
        </w:numPr>
        <w:snapToGrid w:val="0"/>
        <w:spacing w:line="360" w:lineRule="auto"/>
        <w:ind w:right="42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eastAsia="zh-CN"/>
        </w:rPr>
        <w:t>.</w:t>
      </w:r>
      <w:r>
        <w:rPr>
          <w:rFonts w:hint="eastAsia" w:ascii="宋体" w:hAnsi="宋体" w:cs="宋体"/>
          <w:color w:val="auto"/>
          <w:szCs w:val="21"/>
          <w:highlight w:val="none"/>
        </w:rPr>
        <w:t>本合同自双方法定代表人或委托代理人签字或盖章并加盖单位公章或合同章之日起生效。</w:t>
      </w:r>
    </w:p>
    <w:p w14:paraId="6194C88E">
      <w:pPr>
        <w:numPr>
          <w:ilvl w:val="0"/>
          <w:numId w:val="0"/>
        </w:numPr>
        <w:snapToGrid w:val="0"/>
        <w:spacing w:line="360" w:lineRule="auto"/>
        <w:ind w:right="42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w:t>
      </w:r>
      <w:r>
        <w:rPr>
          <w:rFonts w:hint="eastAsia" w:ascii="宋体" w:hAnsi="宋体" w:cs="宋体"/>
          <w:color w:val="auto"/>
          <w:szCs w:val="21"/>
          <w:highlight w:val="none"/>
        </w:rPr>
        <w:t>合同执行中涉及采购资金和采购内容修改或补充的，须签书面补充协议报财政部门备案，方可作为主合同不可分割的一部分。</w:t>
      </w:r>
    </w:p>
    <w:p w14:paraId="4147BB8B">
      <w:pPr>
        <w:numPr>
          <w:ilvl w:val="0"/>
          <w:numId w:val="0"/>
        </w:numPr>
        <w:snapToGrid w:val="0"/>
        <w:spacing w:line="360" w:lineRule="auto"/>
        <w:ind w:right="420" w:rightChars="0"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rPr>
        <w:t>3</w:t>
      </w:r>
      <w:r>
        <w:rPr>
          <w:rFonts w:hint="eastAsia" w:ascii="宋体" w:hAnsi="宋体" w:cs="宋体"/>
          <w:color w:val="auto"/>
          <w:szCs w:val="21"/>
          <w:highlight w:val="none"/>
          <w:lang w:eastAsia="zh-CN"/>
        </w:rPr>
        <w:t>.</w:t>
      </w:r>
      <w:r>
        <w:rPr>
          <w:rFonts w:hint="eastAsia" w:ascii="宋体" w:hAnsi="宋体" w:cs="宋体"/>
          <w:color w:val="auto"/>
          <w:szCs w:val="21"/>
          <w:highlight w:val="none"/>
        </w:rPr>
        <w:t>双方的权力和义务以本合同打印内容为准，除签名和日期以外，任何以手写、口头或者其他形式对本合同进行的修改或者补充均视为无效，双方经友好协商共同签订的补充协议除外。</w:t>
      </w:r>
    </w:p>
    <w:p w14:paraId="60373337">
      <w:pPr>
        <w:numPr>
          <w:ilvl w:val="0"/>
          <w:numId w:val="0"/>
        </w:numPr>
        <w:snapToGrid w:val="0"/>
        <w:spacing w:line="360" w:lineRule="auto"/>
        <w:ind w:right="420" w:rightChars="0" w:firstLine="420" w:firstLineChars="200"/>
        <w:rPr>
          <w:rFonts w:hint="eastAsia" w:ascii="宋体" w:hAnsi="宋体" w:cs="宋体"/>
          <w:color w:val="auto"/>
          <w:szCs w:val="21"/>
          <w:highlight w:val="none"/>
          <w:lang w:val="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val="zh-CN"/>
        </w:rPr>
        <w:t>本合同未尽事宜，遵照《中华人民共和国民法典》有关条文执行。</w:t>
      </w:r>
    </w:p>
    <w:p w14:paraId="3EC73430">
      <w:pPr>
        <w:snapToGrid w:val="0"/>
        <w:spacing w:line="360" w:lineRule="auto"/>
        <w:ind w:firstLine="422" w:firstLineChars="200"/>
        <w:rPr>
          <w:rFonts w:hint="eastAsia" w:asciiTheme="minorEastAsia" w:hAnsiTheme="minorEastAsia" w:cstheme="minorEastAsia"/>
          <w:b/>
          <w:color w:val="auto"/>
          <w:szCs w:val="21"/>
          <w:highlight w:val="none"/>
        </w:rPr>
      </w:pPr>
      <w:r>
        <w:rPr>
          <w:rFonts w:hint="eastAsia" w:asciiTheme="minorEastAsia" w:hAnsiTheme="minorEastAsia" w:cstheme="minorEastAsia"/>
          <w:b/>
          <w:color w:val="auto"/>
          <w:szCs w:val="21"/>
          <w:highlight w:val="none"/>
        </w:rPr>
        <w:t>第十九条　合同的变更、终止与转让</w:t>
      </w:r>
    </w:p>
    <w:p w14:paraId="4FCAD7D2">
      <w:pPr>
        <w:numPr>
          <w:ilvl w:val="0"/>
          <w:numId w:val="0"/>
        </w:numPr>
        <w:snapToGrid w:val="0"/>
        <w:spacing w:line="360" w:lineRule="auto"/>
        <w:ind w:right="42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1.除《中华人民共和国政府采购法》第五十条规定的情形外，本合同一经签订，甲乙双方不得擅自变更、中止或者终止。</w:t>
      </w:r>
    </w:p>
    <w:p w14:paraId="2E5A9E04">
      <w:pPr>
        <w:numPr>
          <w:ilvl w:val="0"/>
          <w:numId w:val="0"/>
        </w:numPr>
        <w:snapToGrid w:val="0"/>
        <w:spacing w:line="360" w:lineRule="auto"/>
        <w:ind w:right="42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2.乙方不得擅自转让其应履行的合同义务。</w:t>
      </w:r>
    </w:p>
    <w:p w14:paraId="0012D4DA">
      <w:pPr>
        <w:snapToGrid w:val="0"/>
        <w:spacing w:line="360" w:lineRule="auto"/>
        <w:ind w:firstLine="422" w:firstLineChars="200"/>
        <w:rPr>
          <w:rFonts w:hint="eastAsia" w:ascii="宋体" w:hAnsi="宋体" w:cs="宋体"/>
          <w:b/>
          <w:bCs/>
          <w:color w:val="auto"/>
          <w:kern w:val="0"/>
          <w:szCs w:val="21"/>
          <w:highlight w:val="none"/>
        </w:rPr>
      </w:pPr>
      <w:r>
        <w:rPr>
          <w:rFonts w:hint="eastAsia" w:asciiTheme="minorEastAsia" w:hAnsiTheme="minorEastAsia" w:cstheme="minorEastAsia"/>
          <w:b/>
          <w:color w:val="auto"/>
          <w:szCs w:val="21"/>
          <w:highlight w:val="none"/>
        </w:rPr>
        <w:t>第二十条　本合同书与下列文件一起构成合同文件</w:t>
      </w:r>
    </w:p>
    <w:p w14:paraId="6DDBB2C6">
      <w:pPr>
        <w:numPr>
          <w:ilvl w:val="0"/>
          <w:numId w:val="0"/>
        </w:numPr>
        <w:snapToGrid w:val="0"/>
        <w:spacing w:line="360" w:lineRule="auto"/>
        <w:ind w:right="420" w:rightChars="0"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 w:val="21"/>
          <w:szCs w:val="21"/>
          <w:lang w:val="zh-CN" w:eastAsia="zh-CN" w:bidi="ar-SA"/>
        </w:rPr>
        <w:t>1.</w:t>
      </w:r>
      <w:r>
        <w:rPr>
          <w:rFonts w:hint="eastAsia" w:ascii="宋体" w:hAnsi="宋体" w:eastAsia="宋体" w:cs="宋体"/>
          <w:color w:val="auto"/>
          <w:kern w:val="0"/>
          <w:szCs w:val="21"/>
          <w:highlight w:val="none"/>
          <w:lang w:val="zh-CN"/>
        </w:rPr>
        <w:t>成交通知书；</w:t>
      </w:r>
    </w:p>
    <w:p w14:paraId="1DE96F99">
      <w:pPr>
        <w:numPr>
          <w:ilvl w:val="0"/>
          <w:numId w:val="0"/>
        </w:numPr>
        <w:snapToGrid w:val="0"/>
        <w:spacing w:line="360" w:lineRule="auto"/>
        <w:ind w:right="420" w:rightChars="0" w:firstLine="420" w:firstLineChars="200"/>
        <w:rPr>
          <w:rFonts w:hint="eastAsia" w:ascii="宋体" w:hAnsi="宋体" w:eastAsia="宋体" w:cs="宋体"/>
          <w:color w:val="auto"/>
          <w:kern w:val="0"/>
          <w:szCs w:val="21"/>
          <w:highlight w:val="none"/>
          <w:lang w:val="zh-CN"/>
        </w:rPr>
      </w:pPr>
      <w:r>
        <w:rPr>
          <w:rFonts w:ascii="宋体" w:hAnsi="宋体" w:eastAsia="宋体" w:cs="宋体"/>
          <w:color w:val="auto"/>
          <w:kern w:val="0"/>
          <w:sz w:val="21"/>
          <w:szCs w:val="21"/>
          <w:lang w:val="zh-CN" w:eastAsia="zh-CN" w:bidi="ar-SA"/>
        </w:rPr>
        <w:t>2.</w:t>
      </w:r>
      <w:r>
        <w:rPr>
          <w:rFonts w:hint="eastAsia" w:ascii="宋体" w:hAnsi="宋体" w:eastAsia="宋体" w:cs="宋体"/>
          <w:color w:val="auto"/>
          <w:kern w:val="0"/>
          <w:szCs w:val="21"/>
          <w:highlight w:val="none"/>
          <w:lang w:val="zh-CN"/>
        </w:rPr>
        <w:t>响应函；</w:t>
      </w:r>
    </w:p>
    <w:p w14:paraId="3E9EA57D">
      <w:pPr>
        <w:numPr>
          <w:ilvl w:val="0"/>
          <w:numId w:val="0"/>
        </w:numPr>
        <w:snapToGrid w:val="0"/>
        <w:spacing w:line="360" w:lineRule="auto"/>
        <w:ind w:right="420" w:rightChars="0" w:firstLine="420" w:firstLineChars="200"/>
        <w:rPr>
          <w:rFonts w:hint="eastAsia" w:ascii="宋体" w:hAnsi="宋体" w:eastAsia="宋体" w:cs="宋体"/>
          <w:color w:val="auto"/>
          <w:kern w:val="0"/>
          <w:sz w:val="21"/>
          <w:szCs w:val="21"/>
          <w:lang w:val="zh-CN" w:eastAsia="zh-CN" w:bidi="ar-SA"/>
        </w:rPr>
      </w:pPr>
      <w:r>
        <w:rPr>
          <w:rFonts w:hint="eastAsia" w:ascii="宋体" w:hAnsi="宋体" w:eastAsia="宋体" w:cs="宋体"/>
          <w:color w:val="auto"/>
          <w:kern w:val="0"/>
          <w:sz w:val="21"/>
          <w:szCs w:val="21"/>
          <w:lang w:val="zh-CN" w:eastAsia="zh-CN" w:bidi="ar-SA"/>
        </w:rPr>
        <w:t>3.商务条款偏离表和技术需求偏离表；</w:t>
      </w:r>
    </w:p>
    <w:p w14:paraId="7BB7F578">
      <w:pPr>
        <w:numPr>
          <w:ilvl w:val="0"/>
          <w:numId w:val="0"/>
        </w:numPr>
        <w:snapToGrid w:val="0"/>
        <w:spacing w:line="360" w:lineRule="auto"/>
        <w:ind w:right="420" w:rightChars="0" w:firstLine="420" w:firstLineChars="200"/>
        <w:rPr>
          <w:rFonts w:hint="eastAsia" w:ascii="宋体" w:hAnsi="宋体" w:eastAsia="宋体" w:cs="宋体"/>
          <w:color w:val="auto"/>
          <w:kern w:val="0"/>
          <w:sz w:val="21"/>
          <w:szCs w:val="21"/>
          <w:lang w:val="zh-CN" w:eastAsia="zh-CN" w:bidi="ar-SA"/>
        </w:rPr>
      </w:pPr>
      <w:r>
        <w:rPr>
          <w:rFonts w:hint="eastAsia" w:ascii="宋体" w:hAnsi="宋体" w:eastAsia="宋体" w:cs="宋体"/>
          <w:color w:val="auto"/>
          <w:kern w:val="0"/>
          <w:sz w:val="21"/>
          <w:szCs w:val="21"/>
          <w:lang w:val="zh-CN" w:eastAsia="zh-CN" w:bidi="ar-SA"/>
        </w:rPr>
        <w:t>4.采购需求；</w:t>
      </w:r>
    </w:p>
    <w:p w14:paraId="3F9C6CBB">
      <w:pPr>
        <w:numPr>
          <w:ilvl w:val="0"/>
          <w:numId w:val="0"/>
        </w:numPr>
        <w:snapToGrid w:val="0"/>
        <w:spacing w:line="360" w:lineRule="auto"/>
        <w:ind w:right="420" w:rightChars="0" w:firstLine="420" w:firstLineChars="200"/>
        <w:rPr>
          <w:rFonts w:hint="eastAsia" w:ascii="宋体" w:hAnsi="宋体" w:eastAsia="宋体" w:cs="宋体"/>
          <w:color w:val="auto"/>
          <w:kern w:val="0"/>
          <w:sz w:val="21"/>
          <w:szCs w:val="21"/>
          <w:lang w:val="zh-CN" w:eastAsia="zh-CN" w:bidi="ar-SA"/>
        </w:rPr>
      </w:pPr>
      <w:r>
        <w:rPr>
          <w:rFonts w:hint="eastAsia" w:ascii="宋体" w:hAnsi="宋体" w:eastAsia="宋体" w:cs="宋体"/>
          <w:color w:val="auto"/>
          <w:kern w:val="0"/>
          <w:sz w:val="21"/>
          <w:szCs w:val="21"/>
          <w:lang w:val="zh-CN" w:eastAsia="zh-CN" w:bidi="ar-SA"/>
        </w:rPr>
        <w:t>5.响应报价表；</w:t>
      </w:r>
    </w:p>
    <w:p w14:paraId="23DFA2C0">
      <w:pPr>
        <w:numPr>
          <w:ilvl w:val="0"/>
          <w:numId w:val="0"/>
        </w:numPr>
        <w:snapToGrid w:val="0"/>
        <w:spacing w:line="360" w:lineRule="auto"/>
        <w:ind w:right="420" w:rightChars="0" w:firstLine="420" w:firstLineChars="200"/>
        <w:rPr>
          <w:rFonts w:hint="eastAsia" w:ascii="宋体" w:hAnsi="宋体" w:eastAsia="宋体" w:cs="宋体"/>
          <w:color w:val="auto"/>
          <w:kern w:val="0"/>
          <w:sz w:val="21"/>
          <w:szCs w:val="21"/>
          <w:lang w:val="zh-CN" w:eastAsia="zh-CN" w:bidi="ar-SA"/>
        </w:rPr>
      </w:pPr>
      <w:r>
        <w:rPr>
          <w:rFonts w:hint="eastAsia" w:ascii="宋体" w:hAnsi="宋体" w:eastAsia="宋体" w:cs="宋体"/>
          <w:color w:val="auto"/>
          <w:kern w:val="0"/>
          <w:sz w:val="21"/>
          <w:szCs w:val="21"/>
          <w:lang w:val="zh-CN" w:eastAsia="zh-CN" w:bidi="ar-SA"/>
        </w:rPr>
        <w:t>6.其他合同文件。</w:t>
      </w:r>
    </w:p>
    <w:p w14:paraId="6B540AF1">
      <w:pPr>
        <w:numPr>
          <w:ilvl w:val="0"/>
          <w:numId w:val="0"/>
        </w:numPr>
        <w:snapToGrid w:val="0"/>
        <w:spacing w:line="360" w:lineRule="auto"/>
        <w:ind w:right="420" w:rightChars="0" w:firstLine="420" w:firstLineChars="200"/>
        <w:rPr>
          <w:rFonts w:hint="eastAsia" w:ascii="宋体" w:hAnsi="宋体" w:eastAsia="宋体" w:cs="宋体"/>
          <w:color w:val="auto"/>
          <w:kern w:val="0"/>
          <w:sz w:val="21"/>
          <w:szCs w:val="21"/>
          <w:lang w:val="zh-CN" w:eastAsia="zh-CN" w:bidi="ar-SA"/>
        </w:rPr>
      </w:pPr>
      <w:r>
        <w:rPr>
          <w:rFonts w:hint="eastAsia" w:ascii="宋体" w:hAnsi="宋体" w:eastAsia="宋体" w:cs="宋体"/>
          <w:color w:val="auto"/>
          <w:kern w:val="0"/>
          <w:sz w:val="21"/>
          <w:szCs w:val="21"/>
          <w:lang w:val="zh-CN" w:eastAsia="zh-CN" w:bidi="ar-SA"/>
        </w:rPr>
        <w:t>7.上述合同文件互相补充和解释。如果合同文件之间存在矛盾或者不一致之处，以上述文件的排列顺序在先者为准。</w:t>
      </w:r>
    </w:p>
    <w:p w14:paraId="384B3237">
      <w:pPr>
        <w:numPr>
          <w:ilvl w:val="0"/>
          <w:numId w:val="0"/>
        </w:numPr>
        <w:snapToGrid w:val="0"/>
        <w:spacing w:line="360" w:lineRule="auto"/>
        <w:ind w:right="420" w:rightChars="0" w:firstLine="420" w:firstLineChars="200"/>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8.购销廉洁协议。</w:t>
      </w:r>
    </w:p>
    <w:p w14:paraId="5F0268B4">
      <w:pPr>
        <w:numPr>
          <w:ilvl w:val="0"/>
          <w:numId w:val="0"/>
        </w:numPr>
        <w:snapToGrid w:val="0"/>
        <w:spacing w:line="360" w:lineRule="auto"/>
        <w:ind w:right="420" w:rightChars="0" w:firstLine="420" w:firstLineChars="200"/>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9.保密协议</w:t>
      </w:r>
    </w:p>
    <w:p w14:paraId="7FCA70E5">
      <w:pPr>
        <w:numPr>
          <w:ilvl w:val="0"/>
          <w:numId w:val="0"/>
        </w:numPr>
        <w:autoSpaceDE/>
        <w:snapToGrid w:val="0"/>
        <w:spacing w:line="360" w:lineRule="auto"/>
        <w:ind w:right="420" w:firstLine="422" w:firstLineChars="200"/>
        <w:rPr>
          <w:rFonts w:hint="eastAsia" w:ascii="宋体" w:hAnsi="宋体"/>
          <w:color w:val="auto"/>
          <w:sz w:val="21"/>
          <w:szCs w:val="21"/>
          <w:highlight w:val="none"/>
        </w:rPr>
      </w:pPr>
      <w:r>
        <w:rPr>
          <w:rFonts w:hint="eastAsia" w:asciiTheme="minorEastAsia" w:hAnsiTheme="minorEastAsia" w:cstheme="minorEastAsia"/>
          <w:b/>
          <w:color w:val="auto"/>
          <w:szCs w:val="21"/>
          <w:highlight w:val="none"/>
        </w:rPr>
        <w:t>第二十一条</w:t>
      </w:r>
      <w:r>
        <w:rPr>
          <w:rFonts w:hint="eastAsia" w:ascii="宋体" w:hAnsi="宋体" w:cs="宋体"/>
          <w:b/>
          <w:color w:val="auto"/>
          <w:szCs w:val="21"/>
          <w:highlight w:val="none"/>
        </w:rPr>
        <w:t>　</w:t>
      </w:r>
      <w:r>
        <w:rPr>
          <w:rFonts w:hint="eastAsia" w:ascii="宋体" w:hAnsi="宋体"/>
          <w:color w:val="auto"/>
          <w:sz w:val="21"/>
          <w:szCs w:val="21"/>
          <w:highlight w:val="none"/>
        </w:rPr>
        <w:t>本合同一式</w:t>
      </w:r>
      <w:r>
        <w:rPr>
          <w:rFonts w:hint="eastAsia" w:ascii="宋体" w:hAnsi="宋体"/>
          <w:color w:val="auto"/>
          <w:sz w:val="21"/>
          <w:szCs w:val="21"/>
          <w:highlight w:val="none"/>
          <w:lang w:val="en-US" w:eastAsia="zh-CN"/>
        </w:rPr>
        <w:t>四</w:t>
      </w:r>
      <w:r>
        <w:rPr>
          <w:rFonts w:hint="eastAsia" w:ascii="宋体" w:hAnsi="宋体"/>
          <w:color w:val="auto"/>
          <w:sz w:val="21"/>
          <w:szCs w:val="21"/>
          <w:highlight w:val="none"/>
        </w:rPr>
        <w:t>份，具有同等法律效力，甲方执二份，</w:t>
      </w:r>
      <w:r>
        <w:rPr>
          <w:rFonts w:hint="eastAsia" w:ascii="宋体" w:hAnsi="宋体"/>
          <w:color w:val="auto"/>
          <w:spacing w:val="0"/>
          <w:sz w:val="21"/>
          <w:szCs w:val="21"/>
          <w:highlight w:val="none"/>
        </w:rPr>
        <w:t>采购代理机构</w:t>
      </w:r>
      <w:r>
        <w:rPr>
          <w:rFonts w:hint="eastAsia" w:ascii="宋体" w:hAnsi="宋体"/>
          <w:color w:val="auto"/>
          <w:spacing w:val="0"/>
          <w:sz w:val="21"/>
          <w:szCs w:val="21"/>
          <w:highlight w:val="none"/>
          <w:lang w:val="en-US" w:eastAsia="zh-CN"/>
        </w:rPr>
        <w:t>执一份</w:t>
      </w:r>
      <w:r>
        <w:rPr>
          <w:rFonts w:hint="eastAsia" w:ascii="宋体" w:hAnsi="宋体"/>
          <w:color w:val="auto"/>
          <w:spacing w:val="0"/>
          <w:sz w:val="21"/>
          <w:szCs w:val="21"/>
          <w:highlight w:val="none"/>
        </w:rPr>
        <w:t>、</w:t>
      </w:r>
      <w:r>
        <w:rPr>
          <w:rFonts w:hint="eastAsia" w:ascii="宋体" w:hAnsi="宋体"/>
          <w:color w:val="auto"/>
          <w:sz w:val="21"/>
          <w:szCs w:val="21"/>
          <w:highlight w:val="none"/>
        </w:rPr>
        <w:t>乙方执</w:t>
      </w:r>
      <w:r>
        <w:rPr>
          <w:rFonts w:hint="eastAsia" w:ascii="宋体" w:hAnsi="宋体"/>
          <w:color w:val="auto"/>
          <w:sz w:val="21"/>
          <w:szCs w:val="21"/>
          <w:highlight w:val="none"/>
          <w:lang w:val="en-US" w:eastAsia="zh-CN"/>
        </w:rPr>
        <w:t>一</w:t>
      </w:r>
      <w:r>
        <w:rPr>
          <w:rFonts w:hint="eastAsia" w:ascii="宋体" w:hAnsi="宋体"/>
          <w:color w:val="auto"/>
          <w:sz w:val="21"/>
          <w:szCs w:val="21"/>
          <w:highlight w:val="none"/>
        </w:rPr>
        <w:t>份。</w:t>
      </w:r>
    </w:p>
    <w:p w14:paraId="5DBF407A">
      <w:pPr>
        <w:numPr>
          <w:ilvl w:val="0"/>
          <w:numId w:val="0"/>
        </w:numPr>
        <w:autoSpaceDE/>
        <w:snapToGrid w:val="0"/>
        <w:spacing w:line="360" w:lineRule="auto"/>
        <w:ind w:right="420" w:firstLine="420" w:firstLineChars="200"/>
        <w:rPr>
          <w:rFonts w:hint="eastAsia" w:ascii="宋体" w:hAnsi="宋体" w:cstheme="minorBidi"/>
          <w:color w:val="auto"/>
          <w:szCs w:val="21"/>
          <w:highlight w:val="none"/>
        </w:rPr>
      </w:pPr>
      <w:r>
        <w:rPr>
          <w:rFonts w:hint="eastAsia" w:ascii="宋体" w:hAnsi="宋体"/>
          <w:color w:val="auto"/>
          <w:sz w:val="21"/>
          <w:szCs w:val="21"/>
          <w:highlight w:val="none"/>
        </w:rPr>
        <w:t>本合同自签订之日起2个工作日内，</w:t>
      </w:r>
      <w:r>
        <w:rPr>
          <w:rFonts w:hint="eastAsia" w:ascii="宋体" w:hAnsi="宋体"/>
          <w:color w:val="auto"/>
          <w:sz w:val="21"/>
          <w:szCs w:val="21"/>
          <w:highlight w:val="none"/>
          <w:lang w:val="en-US" w:eastAsia="zh-CN"/>
        </w:rPr>
        <w:t>采购代理机构</w:t>
      </w:r>
      <w:r>
        <w:rPr>
          <w:rFonts w:hint="eastAsia" w:ascii="宋体" w:hAnsi="宋体"/>
          <w:color w:val="auto"/>
          <w:sz w:val="21"/>
          <w:szCs w:val="21"/>
          <w:highlight w:val="none"/>
        </w:rPr>
        <w:t>将政府采购合同在省级以上人民政府财政部门指定的媒体上公告。</w:t>
      </w:r>
    </w:p>
    <w:tbl>
      <w:tblPr>
        <w:tblStyle w:val="29"/>
        <w:tblW w:w="9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6"/>
        <w:gridCol w:w="4517"/>
      </w:tblGrid>
      <w:tr w14:paraId="7F78C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jc w:val="center"/>
        </w:trPr>
        <w:tc>
          <w:tcPr>
            <w:tcW w:w="4516" w:type="dxa"/>
            <w:vAlign w:val="center"/>
          </w:tcPr>
          <w:p w14:paraId="3F6A4930">
            <w:pPr>
              <w:snapToGrid w:val="0"/>
              <w:spacing w:line="360" w:lineRule="auto"/>
              <w:rPr>
                <w:rFonts w:ascii="宋体" w:hAnsi="宋体"/>
                <w:color w:val="auto"/>
                <w:szCs w:val="21"/>
                <w:highlight w:val="none"/>
              </w:rPr>
            </w:pPr>
            <w:r>
              <w:rPr>
                <w:rFonts w:hint="eastAsia" w:ascii="宋体" w:hAnsi="宋体"/>
                <w:color w:val="auto"/>
                <w:szCs w:val="21"/>
                <w:highlight w:val="none"/>
              </w:rPr>
              <w:t xml:space="preserve">甲方（章）           </w:t>
            </w:r>
          </w:p>
          <w:p w14:paraId="0FFDD379">
            <w:pPr>
              <w:snapToGrid w:val="0"/>
              <w:spacing w:line="360" w:lineRule="auto"/>
              <w:rPr>
                <w:rFonts w:ascii="宋体" w:hAnsi="宋体"/>
                <w:color w:val="auto"/>
                <w:szCs w:val="21"/>
                <w:highlight w:val="none"/>
              </w:rPr>
            </w:pPr>
          </w:p>
          <w:p w14:paraId="6B0D9936">
            <w:pPr>
              <w:snapToGrid w:val="0"/>
              <w:spacing w:line="360" w:lineRule="auto"/>
              <w:ind w:firstLine="945" w:firstLineChars="450"/>
              <w:jc w:val="right"/>
              <w:rPr>
                <w:rFonts w:ascii="宋体" w:hAnsi="宋体"/>
                <w:color w:val="auto"/>
                <w:szCs w:val="21"/>
                <w:highlight w:val="none"/>
              </w:rPr>
            </w:pPr>
            <w:r>
              <w:rPr>
                <w:rFonts w:hint="eastAsia" w:ascii="宋体" w:hAnsi="宋体"/>
                <w:color w:val="auto"/>
                <w:szCs w:val="21"/>
                <w:highlight w:val="none"/>
              </w:rPr>
              <w:t>年   月   日</w:t>
            </w:r>
          </w:p>
        </w:tc>
        <w:tc>
          <w:tcPr>
            <w:tcW w:w="4517" w:type="dxa"/>
            <w:vAlign w:val="center"/>
          </w:tcPr>
          <w:p w14:paraId="2C40E0A1">
            <w:pPr>
              <w:snapToGrid w:val="0"/>
              <w:spacing w:line="360" w:lineRule="auto"/>
              <w:rPr>
                <w:rFonts w:ascii="宋体" w:hAnsi="宋体"/>
                <w:color w:val="auto"/>
                <w:szCs w:val="21"/>
                <w:highlight w:val="none"/>
              </w:rPr>
            </w:pPr>
            <w:r>
              <w:rPr>
                <w:rFonts w:hint="eastAsia" w:ascii="宋体" w:hAnsi="宋体"/>
                <w:color w:val="auto"/>
                <w:szCs w:val="21"/>
                <w:highlight w:val="none"/>
              </w:rPr>
              <w:t xml:space="preserve">乙方（章）              </w:t>
            </w:r>
          </w:p>
          <w:p w14:paraId="099B9CCC">
            <w:pPr>
              <w:snapToGrid w:val="0"/>
              <w:spacing w:line="360" w:lineRule="auto"/>
              <w:rPr>
                <w:rFonts w:ascii="宋体" w:hAnsi="宋体"/>
                <w:color w:val="auto"/>
                <w:szCs w:val="21"/>
                <w:highlight w:val="none"/>
              </w:rPr>
            </w:pPr>
          </w:p>
          <w:p w14:paraId="679B0AF8">
            <w:pPr>
              <w:snapToGrid w:val="0"/>
              <w:spacing w:line="360" w:lineRule="auto"/>
              <w:jc w:val="right"/>
              <w:rPr>
                <w:rFonts w:ascii="宋体" w:hAnsi="宋体"/>
                <w:color w:val="auto"/>
                <w:szCs w:val="21"/>
                <w:highlight w:val="none"/>
              </w:rPr>
            </w:pPr>
            <w:r>
              <w:rPr>
                <w:rFonts w:hint="eastAsia" w:ascii="宋体" w:hAnsi="宋体"/>
                <w:color w:val="auto"/>
                <w:szCs w:val="21"/>
                <w:highlight w:val="none"/>
              </w:rPr>
              <w:t xml:space="preserve"> 年   月   日</w:t>
            </w:r>
          </w:p>
        </w:tc>
      </w:tr>
      <w:tr w14:paraId="192FD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jc w:val="center"/>
        </w:trPr>
        <w:tc>
          <w:tcPr>
            <w:tcW w:w="4516" w:type="dxa"/>
            <w:vAlign w:val="center"/>
          </w:tcPr>
          <w:p w14:paraId="3F5B3B6C">
            <w:pPr>
              <w:snapToGrid w:val="0"/>
              <w:spacing w:line="360" w:lineRule="auto"/>
              <w:rPr>
                <w:rFonts w:ascii="宋体" w:hAnsi="宋体"/>
                <w:color w:val="auto"/>
                <w:szCs w:val="21"/>
                <w:highlight w:val="none"/>
              </w:rPr>
            </w:pPr>
            <w:r>
              <w:rPr>
                <w:rFonts w:hint="eastAsia" w:ascii="宋体" w:hAnsi="宋体"/>
                <w:color w:val="auto"/>
                <w:szCs w:val="21"/>
                <w:highlight w:val="none"/>
              </w:rPr>
              <w:t>单位地址：</w:t>
            </w:r>
          </w:p>
        </w:tc>
        <w:tc>
          <w:tcPr>
            <w:tcW w:w="4517" w:type="dxa"/>
            <w:vAlign w:val="center"/>
          </w:tcPr>
          <w:p w14:paraId="13F0FB8C">
            <w:pPr>
              <w:snapToGrid w:val="0"/>
              <w:spacing w:line="360" w:lineRule="auto"/>
              <w:rPr>
                <w:rFonts w:ascii="宋体" w:hAnsi="宋体"/>
                <w:color w:val="auto"/>
                <w:szCs w:val="21"/>
                <w:highlight w:val="none"/>
              </w:rPr>
            </w:pPr>
            <w:r>
              <w:rPr>
                <w:rFonts w:hint="eastAsia" w:ascii="宋体" w:hAnsi="宋体"/>
                <w:color w:val="auto"/>
                <w:szCs w:val="21"/>
                <w:highlight w:val="none"/>
              </w:rPr>
              <w:t>单位地址：</w:t>
            </w:r>
          </w:p>
        </w:tc>
      </w:tr>
      <w:tr w14:paraId="0BF0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4516" w:type="dxa"/>
          </w:tcPr>
          <w:p w14:paraId="50E0F633">
            <w:pPr>
              <w:snapToGrid w:val="0"/>
              <w:spacing w:line="360" w:lineRule="auto"/>
              <w:rPr>
                <w:rFonts w:ascii="宋体" w:hAnsi="宋体"/>
                <w:color w:val="auto"/>
                <w:szCs w:val="21"/>
                <w:highlight w:val="none"/>
              </w:rPr>
            </w:pPr>
            <w:r>
              <w:rPr>
                <w:rFonts w:hint="eastAsia" w:ascii="宋体" w:hAnsi="宋体"/>
                <w:color w:val="auto"/>
                <w:szCs w:val="21"/>
                <w:highlight w:val="none"/>
              </w:rPr>
              <w:t>法定代表人或者其委托代理人：</w:t>
            </w:r>
          </w:p>
        </w:tc>
        <w:tc>
          <w:tcPr>
            <w:tcW w:w="4517" w:type="dxa"/>
          </w:tcPr>
          <w:p w14:paraId="450AA6AC">
            <w:pPr>
              <w:snapToGrid w:val="0"/>
              <w:spacing w:line="360" w:lineRule="auto"/>
              <w:rPr>
                <w:rFonts w:ascii="宋体" w:hAnsi="宋体"/>
                <w:color w:val="auto"/>
                <w:szCs w:val="21"/>
                <w:highlight w:val="none"/>
              </w:rPr>
            </w:pPr>
            <w:r>
              <w:rPr>
                <w:rFonts w:hint="eastAsia" w:ascii="宋体" w:hAnsi="宋体"/>
                <w:color w:val="auto"/>
                <w:szCs w:val="21"/>
                <w:highlight w:val="none"/>
              </w:rPr>
              <w:t>法定代表人或者其委托代理人：</w:t>
            </w:r>
          </w:p>
        </w:tc>
      </w:tr>
      <w:tr w14:paraId="18CCD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4516" w:type="dxa"/>
            <w:vAlign w:val="center"/>
          </w:tcPr>
          <w:p w14:paraId="2859A93F">
            <w:pPr>
              <w:snapToGrid w:val="0"/>
              <w:spacing w:line="360" w:lineRule="auto"/>
              <w:rPr>
                <w:rFonts w:ascii="宋体" w:hAnsi="宋体"/>
                <w:color w:val="auto"/>
                <w:szCs w:val="21"/>
                <w:highlight w:val="none"/>
              </w:rPr>
            </w:pPr>
            <w:r>
              <w:rPr>
                <w:rFonts w:hint="eastAsia" w:ascii="宋体" w:hAnsi="宋体"/>
                <w:color w:val="auto"/>
                <w:szCs w:val="21"/>
                <w:highlight w:val="none"/>
              </w:rPr>
              <w:t>电话：</w:t>
            </w:r>
          </w:p>
        </w:tc>
        <w:tc>
          <w:tcPr>
            <w:tcW w:w="4517" w:type="dxa"/>
            <w:vAlign w:val="center"/>
          </w:tcPr>
          <w:p w14:paraId="31F8DD10">
            <w:pPr>
              <w:snapToGrid w:val="0"/>
              <w:spacing w:line="360" w:lineRule="auto"/>
              <w:rPr>
                <w:rFonts w:ascii="宋体" w:hAnsi="宋体"/>
                <w:color w:val="auto"/>
                <w:szCs w:val="21"/>
                <w:highlight w:val="none"/>
              </w:rPr>
            </w:pPr>
            <w:r>
              <w:rPr>
                <w:rFonts w:hint="eastAsia" w:ascii="宋体" w:hAnsi="宋体"/>
                <w:color w:val="auto"/>
                <w:szCs w:val="21"/>
                <w:highlight w:val="none"/>
              </w:rPr>
              <w:t>电话：</w:t>
            </w:r>
          </w:p>
        </w:tc>
      </w:tr>
      <w:tr w14:paraId="37E41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4516" w:type="dxa"/>
            <w:vAlign w:val="center"/>
          </w:tcPr>
          <w:p w14:paraId="27EF25D0">
            <w:pPr>
              <w:snapToGrid w:val="0"/>
              <w:spacing w:line="360" w:lineRule="auto"/>
              <w:rPr>
                <w:rFonts w:ascii="宋体" w:hAnsi="宋体"/>
                <w:color w:val="auto"/>
                <w:szCs w:val="21"/>
                <w:highlight w:val="none"/>
              </w:rPr>
            </w:pPr>
            <w:r>
              <w:rPr>
                <w:rFonts w:hint="eastAsia" w:ascii="宋体" w:hAnsi="宋体"/>
                <w:color w:val="auto"/>
                <w:szCs w:val="21"/>
                <w:highlight w:val="none"/>
              </w:rPr>
              <w:t>电子邮箱：</w:t>
            </w:r>
          </w:p>
        </w:tc>
        <w:tc>
          <w:tcPr>
            <w:tcW w:w="4517" w:type="dxa"/>
            <w:vAlign w:val="center"/>
          </w:tcPr>
          <w:p w14:paraId="2E7BA6AB">
            <w:pPr>
              <w:snapToGrid w:val="0"/>
              <w:spacing w:line="360" w:lineRule="auto"/>
              <w:rPr>
                <w:rFonts w:ascii="宋体" w:hAnsi="宋体"/>
                <w:color w:val="auto"/>
                <w:szCs w:val="21"/>
                <w:highlight w:val="none"/>
              </w:rPr>
            </w:pPr>
            <w:r>
              <w:rPr>
                <w:rFonts w:hint="eastAsia" w:ascii="宋体" w:hAnsi="宋体"/>
                <w:color w:val="auto"/>
                <w:szCs w:val="21"/>
                <w:highlight w:val="none"/>
              </w:rPr>
              <w:t>电子邮箱：</w:t>
            </w:r>
          </w:p>
        </w:tc>
      </w:tr>
      <w:tr w14:paraId="56AB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4516" w:type="dxa"/>
            <w:vAlign w:val="center"/>
          </w:tcPr>
          <w:p w14:paraId="7FC5C1DF">
            <w:pPr>
              <w:snapToGrid w:val="0"/>
              <w:spacing w:line="360" w:lineRule="auto"/>
              <w:rPr>
                <w:rFonts w:ascii="宋体" w:hAnsi="宋体"/>
                <w:color w:val="auto"/>
                <w:szCs w:val="21"/>
                <w:highlight w:val="none"/>
              </w:rPr>
            </w:pPr>
            <w:r>
              <w:rPr>
                <w:rFonts w:hint="eastAsia" w:ascii="宋体" w:hAnsi="宋体"/>
                <w:color w:val="auto"/>
                <w:szCs w:val="21"/>
                <w:highlight w:val="none"/>
              </w:rPr>
              <w:t>开户银行：</w:t>
            </w:r>
          </w:p>
        </w:tc>
        <w:tc>
          <w:tcPr>
            <w:tcW w:w="4517" w:type="dxa"/>
            <w:vAlign w:val="center"/>
          </w:tcPr>
          <w:p w14:paraId="2AD983E4">
            <w:pPr>
              <w:snapToGrid w:val="0"/>
              <w:spacing w:line="360" w:lineRule="auto"/>
              <w:rPr>
                <w:rFonts w:ascii="宋体" w:hAnsi="宋体"/>
                <w:color w:val="auto"/>
                <w:szCs w:val="21"/>
                <w:highlight w:val="none"/>
              </w:rPr>
            </w:pPr>
            <w:r>
              <w:rPr>
                <w:rFonts w:hint="eastAsia" w:ascii="宋体" w:hAnsi="宋体"/>
                <w:color w:val="auto"/>
                <w:szCs w:val="21"/>
                <w:highlight w:val="none"/>
              </w:rPr>
              <w:t>开户银行：</w:t>
            </w:r>
          </w:p>
        </w:tc>
      </w:tr>
      <w:tr w14:paraId="3804E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4516" w:type="dxa"/>
            <w:vAlign w:val="center"/>
          </w:tcPr>
          <w:p w14:paraId="3C006A31">
            <w:pPr>
              <w:snapToGrid w:val="0"/>
              <w:spacing w:line="360" w:lineRule="auto"/>
              <w:rPr>
                <w:rFonts w:ascii="宋体" w:hAnsi="宋体"/>
                <w:color w:val="auto"/>
                <w:szCs w:val="21"/>
                <w:highlight w:val="none"/>
              </w:rPr>
            </w:pPr>
            <w:r>
              <w:rPr>
                <w:rFonts w:hint="eastAsia" w:ascii="宋体" w:hAnsi="宋体"/>
                <w:color w:val="auto"/>
                <w:szCs w:val="21"/>
                <w:highlight w:val="none"/>
              </w:rPr>
              <w:t>账号：</w:t>
            </w:r>
          </w:p>
        </w:tc>
        <w:tc>
          <w:tcPr>
            <w:tcW w:w="4517" w:type="dxa"/>
            <w:vAlign w:val="center"/>
          </w:tcPr>
          <w:p w14:paraId="6204A130">
            <w:pPr>
              <w:snapToGrid w:val="0"/>
              <w:spacing w:line="360" w:lineRule="auto"/>
              <w:rPr>
                <w:rFonts w:ascii="宋体" w:hAnsi="宋体"/>
                <w:color w:val="auto"/>
                <w:szCs w:val="21"/>
                <w:highlight w:val="none"/>
              </w:rPr>
            </w:pPr>
            <w:r>
              <w:rPr>
                <w:rFonts w:hint="eastAsia" w:ascii="宋体" w:hAnsi="宋体"/>
                <w:color w:val="auto"/>
                <w:szCs w:val="21"/>
                <w:highlight w:val="none"/>
              </w:rPr>
              <w:t>账号：</w:t>
            </w:r>
          </w:p>
        </w:tc>
      </w:tr>
    </w:tbl>
    <w:p w14:paraId="14DCFFD0">
      <w:pPr>
        <w:snapToGrid w:val="0"/>
        <w:spacing w:line="360" w:lineRule="auto"/>
        <w:ind w:left="480" w:hanging="480" w:hangingChars="200"/>
        <w:rPr>
          <w:rFonts w:ascii="宋体" w:hAnsi="宋体"/>
          <w:color w:val="auto"/>
          <w:sz w:val="24"/>
          <w:highlight w:val="none"/>
        </w:rPr>
      </w:pPr>
    </w:p>
    <w:p w14:paraId="73D6B726">
      <w:pPr>
        <w:snapToGrid w:val="0"/>
        <w:spacing w:line="360" w:lineRule="auto"/>
        <w:jc w:val="left"/>
        <w:rPr>
          <w:rFonts w:ascii="宋体" w:hAnsi="宋体"/>
          <w:color w:val="auto"/>
          <w:sz w:val="24"/>
          <w:highlight w:val="none"/>
        </w:rPr>
      </w:pPr>
      <w:r>
        <w:rPr>
          <w:rFonts w:ascii="宋体" w:hAnsi="宋体"/>
          <w:b/>
          <w:color w:val="auto"/>
          <w:sz w:val="24"/>
          <w:highlight w:val="none"/>
        </w:rPr>
        <w:br w:type="page"/>
      </w:r>
    </w:p>
    <w:p w14:paraId="3EB86A38">
      <w:pPr>
        <w:jc w:val="center"/>
        <w:rPr>
          <w:rFonts w:hint="eastAsia" w:ascii="方正小标宋_GBK" w:hAnsi="方正小标宋_GBK" w:eastAsia="方正小标宋_GBK" w:cs="方正小标宋_GBK"/>
          <w:color w:val="auto"/>
          <w:sz w:val="32"/>
          <w:szCs w:val="32"/>
          <w:lang w:val="en-US" w:eastAsia="zh-CN"/>
        </w:rPr>
      </w:pPr>
      <w:r>
        <w:rPr>
          <w:rFonts w:hint="eastAsia" w:ascii="方正小标宋_GBK" w:hAnsi="方正小标宋_GBK" w:eastAsia="方正小标宋_GBK" w:cs="方正小标宋_GBK"/>
          <w:color w:val="auto"/>
          <w:sz w:val="32"/>
          <w:szCs w:val="32"/>
        </w:rPr>
        <w:t>购销廉洁</w:t>
      </w:r>
      <w:r>
        <w:rPr>
          <w:rFonts w:hint="eastAsia" w:ascii="方正小标宋_GBK" w:hAnsi="方正小标宋_GBK" w:eastAsia="方正小标宋_GBK" w:cs="方正小标宋_GBK"/>
          <w:color w:val="auto"/>
          <w:sz w:val="32"/>
          <w:szCs w:val="32"/>
          <w:lang w:val="en-US" w:eastAsia="zh-CN"/>
        </w:rPr>
        <w:t>协议</w:t>
      </w:r>
    </w:p>
    <w:p w14:paraId="0F88FD43">
      <w:pPr>
        <w:numPr>
          <w:ilvl w:val="0"/>
          <w:numId w:val="0"/>
        </w:numPr>
        <w:snapToGrid w:val="0"/>
        <w:spacing w:line="360" w:lineRule="auto"/>
        <w:ind w:right="420" w:rightChars="0" w:firstLine="630" w:firstLineChars="300"/>
        <w:rPr>
          <w:rFonts w:hint="eastAsia" w:ascii="宋体"/>
          <w:color w:val="auto"/>
          <w:szCs w:val="21"/>
          <w:highlight w:val="none"/>
        </w:rPr>
      </w:pPr>
      <w:r>
        <w:rPr>
          <w:rFonts w:hint="eastAsia" w:ascii="宋体"/>
          <w:color w:val="auto"/>
          <w:szCs w:val="21"/>
          <w:highlight w:val="none"/>
        </w:rPr>
        <w:t>甲方：广西医科大学附属武鸣医院</w:t>
      </w:r>
    </w:p>
    <w:p w14:paraId="295ECBF8">
      <w:pPr>
        <w:numPr>
          <w:ilvl w:val="0"/>
          <w:numId w:val="0"/>
        </w:numPr>
        <w:snapToGrid w:val="0"/>
        <w:spacing w:line="360" w:lineRule="auto"/>
        <w:ind w:right="420" w:rightChars="0" w:firstLine="630" w:firstLineChars="300"/>
        <w:rPr>
          <w:rFonts w:hint="eastAsia" w:ascii="宋体"/>
          <w:color w:val="auto"/>
          <w:szCs w:val="21"/>
          <w:highlight w:val="none"/>
        </w:rPr>
      </w:pPr>
      <w:r>
        <w:rPr>
          <w:rFonts w:hint="eastAsia" w:ascii="宋体"/>
          <w:color w:val="auto"/>
          <w:szCs w:val="21"/>
          <w:highlight w:val="none"/>
        </w:rPr>
        <w:t>乙方：</w:t>
      </w:r>
    </w:p>
    <w:p w14:paraId="02290426">
      <w:pPr>
        <w:numPr>
          <w:ilvl w:val="0"/>
          <w:numId w:val="0"/>
        </w:numPr>
        <w:snapToGrid w:val="0"/>
        <w:spacing w:line="360" w:lineRule="auto"/>
        <w:ind w:right="420" w:rightChars="0" w:firstLine="630" w:firstLineChars="300"/>
        <w:rPr>
          <w:rFonts w:hint="eastAsia" w:ascii="宋体"/>
          <w:color w:val="auto"/>
          <w:szCs w:val="21"/>
          <w:highlight w:val="none"/>
          <w:lang w:val="en-US" w:eastAsia="zh-CN"/>
        </w:rPr>
      </w:pPr>
      <w:r>
        <w:rPr>
          <w:rFonts w:hint="eastAsia" w:ascii="宋体"/>
          <w:color w:val="auto"/>
          <w:szCs w:val="21"/>
          <w:highlight w:val="none"/>
          <w:lang w:val="en-US" w:eastAsia="zh-CN"/>
        </w:rPr>
        <w:t>为规范医院购销活动中的行为，防止商业贿赂和不正当竞争，确保合作公平、透明，维护患者、医院和经营企业的利益，经甲、乙双方友好协商，签订本廉洁协议书并共同遵守：</w:t>
      </w:r>
    </w:p>
    <w:p w14:paraId="18BE9B1A">
      <w:pPr>
        <w:numPr>
          <w:ilvl w:val="0"/>
          <w:numId w:val="0"/>
        </w:numPr>
        <w:snapToGrid w:val="0"/>
        <w:spacing w:line="360" w:lineRule="auto"/>
        <w:ind w:right="420" w:rightChars="0" w:firstLine="630" w:firstLineChars="300"/>
        <w:rPr>
          <w:rFonts w:hint="eastAsia" w:ascii="宋体"/>
          <w:color w:val="auto"/>
          <w:szCs w:val="21"/>
          <w:highlight w:val="none"/>
        </w:rPr>
      </w:pPr>
      <w:r>
        <w:rPr>
          <w:rFonts w:hint="eastAsia" w:ascii="宋体"/>
          <w:color w:val="auto"/>
          <w:szCs w:val="21"/>
          <w:highlight w:val="none"/>
        </w:rPr>
        <w:t>一、甲方购进</w:t>
      </w:r>
      <w:r>
        <w:rPr>
          <w:rFonts w:hint="eastAsia" w:ascii="宋体"/>
          <w:color w:val="auto"/>
          <w:szCs w:val="21"/>
          <w:highlight w:val="none"/>
          <w:lang w:val="en-US" w:eastAsia="zh-CN"/>
        </w:rPr>
        <w:t>乙方</w:t>
      </w:r>
      <w:r>
        <w:rPr>
          <w:rFonts w:hint="eastAsia" w:ascii="宋体"/>
          <w:color w:val="auto"/>
          <w:szCs w:val="21"/>
          <w:highlight w:val="none"/>
        </w:rPr>
        <w:t>产品，不得以任何方式向乙方索取回扣，或者索要、收受乙方产品发票价外的赞助，不得要求乙方代支付任何费用开支。</w:t>
      </w:r>
    </w:p>
    <w:p w14:paraId="19602722">
      <w:pPr>
        <w:numPr>
          <w:ilvl w:val="0"/>
          <w:numId w:val="0"/>
        </w:numPr>
        <w:snapToGrid w:val="0"/>
        <w:spacing w:line="360" w:lineRule="auto"/>
        <w:ind w:right="420" w:rightChars="0" w:firstLine="630" w:firstLineChars="300"/>
        <w:rPr>
          <w:rFonts w:hint="eastAsia" w:ascii="宋体"/>
          <w:color w:val="auto"/>
          <w:szCs w:val="21"/>
          <w:highlight w:val="none"/>
        </w:rPr>
      </w:pPr>
      <w:r>
        <w:rPr>
          <w:rFonts w:hint="eastAsia" w:ascii="宋体"/>
          <w:color w:val="auto"/>
          <w:szCs w:val="21"/>
          <w:highlight w:val="none"/>
        </w:rPr>
        <w:t>二、甲方工作人员不得以暗示或其他任何形式索要回扣、提成、有价证券、现金等。如甲方工作人员暗示或索要，乙方应予拒绝，并有责任如实向甲方纪检监察部门反映情况。</w:t>
      </w:r>
    </w:p>
    <w:p w14:paraId="74F9B8D3">
      <w:pPr>
        <w:numPr>
          <w:ilvl w:val="0"/>
          <w:numId w:val="0"/>
        </w:numPr>
        <w:snapToGrid w:val="0"/>
        <w:spacing w:line="360" w:lineRule="auto"/>
        <w:ind w:right="420" w:rightChars="0" w:firstLine="630" w:firstLineChars="300"/>
        <w:rPr>
          <w:rFonts w:hint="eastAsia" w:ascii="宋体"/>
          <w:color w:val="auto"/>
          <w:szCs w:val="21"/>
          <w:highlight w:val="none"/>
        </w:rPr>
      </w:pPr>
      <w:r>
        <w:rPr>
          <w:rFonts w:hint="eastAsia" w:ascii="宋体"/>
          <w:color w:val="auto"/>
          <w:szCs w:val="21"/>
          <w:highlight w:val="none"/>
        </w:rPr>
        <w:t>三、甲方工作人员不得替乙方非法统计销售价格、数量等有关信息。</w:t>
      </w:r>
    </w:p>
    <w:p w14:paraId="508803F0">
      <w:pPr>
        <w:numPr>
          <w:ilvl w:val="0"/>
          <w:numId w:val="0"/>
        </w:numPr>
        <w:snapToGrid w:val="0"/>
        <w:spacing w:line="360" w:lineRule="auto"/>
        <w:ind w:right="420" w:rightChars="0" w:firstLine="630" w:firstLineChars="300"/>
        <w:rPr>
          <w:rFonts w:hint="eastAsia" w:ascii="宋体"/>
          <w:color w:val="auto"/>
          <w:szCs w:val="21"/>
          <w:highlight w:val="none"/>
        </w:rPr>
      </w:pPr>
      <w:r>
        <w:rPr>
          <w:rFonts w:hint="eastAsia" w:ascii="宋体"/>
          <w:color w:val="auto"/>
          <w:szCs w:val="21"/>
          <w:highlight w:val="none"/>
        </w:rPr>
        <w:t>四、乙方不得暗中给予甲方回扣，不得以任何理由为甲方工作人员报销应由其个人支付的费用，不得以提成和赠送有价证券、现金、信用卡、宴请、娱乐以及提供学术活动等手段影响甲方使用产品的选择权。</w:t>
      </w:r>
    </w:p>
    <w:p w14:paraId="3DA6A345">
      <w:pPr>
        <w:numPr>
          <w:ilvl w:val="0"/>
          <w:numId w:val="0"/>
        </w:numPr>
        <w:snapToGrid w:val="0"/>
        <w:spacing w:line="360" w:lineRule="auto"/>
        <w:ind w:right="420" w:rightChars="0" w:firstLine="630" w:firstLineChars="300"/>
        <w:rPr>
          <w:rFonts w:hint="eastAsia" w:ascii="宋体"/>
          <w:color w:val="auto"/>
          <w:szCs w:val="21"/>
          <w:highlight w:val="none"/>
        </w:rPr>
      </w:pPr>
      <w:r>
        <w:rPr>
          <w:rFonts w:hint="eastAsia" w:ascii="宋体"/>
          <w:color w:val="auto"/>
          <w:szCs w:val="21"/>
          <w:highlight w:val="none"/>
        </w:rPr>
        <w:t>五、乙方不得进入甲方的医药器械库房、临床科室、微机室等工作场所了解产品销售信息和库存情况。</w:t>
      </w:r>
    </w:p>
    <w:p w14:paraId="7B8C21EE">
      <w:pPr>
        <w:numPr>
          <w:ilvl w:val="0"/>
          <w:numId w:val="0"/>
        </w:numPr>
        <w:snapToGrid w:val="0"/>
        <w:spacing w:line="360" w:lineRule="auto"/>
        <w:ind w:right="420" w:rightChars="0" w:firstLine="630" w:firstLineChars="300"/>
        <w:rPr>
          <w:rFonts w:hint="eastAsia" w:ascii="宋体"/>
          <w:color w:val="auto"/>
          <w:szCs w:val="21"/>
          <w:highlight w:val="none"/>
        </w:rPr>
      </w:pPr>
      <w:r>
        <w:rPr>
          <w:rFonts w:hint="eastAsia" w:ascii="宋体"/>
          <w:color w:val="auto"/>
          <w:szCs w:val="21"/>
          <w:highlight w:val="none"/>
        </w:rPr>
        <w:t>六、乙方洽谈业务，必须在工作时间到甲方指定的科室联系商谈；不得私自到临床、医技等科室推销产品。乙方必须经甲方的相关部门登记和许可才能进入甲方指定的场所进行宣传、专题知识讲座、召开座谈会等甲方同意的业务活动。</w:t>
      </w:r>
    </w:p>
    <w:p w14:paraId="35591D4C">
      <w:pPr>
        <w:numPr>
          <w:ilvl w:val="0"/>
          <w:numId w:val="0"/>
        </w:numPr>
        <w:snapToGrid w:val="0"/>
        <w:spacing w:line="360" w:lineRule="auto"/>
        <w:ind w:right="420" w:rightChars="0" w:firstLine="630" w:firstLineChars="300"/>
        <w:rPr>
          <w:rFonts w:hint="eastAsia" w:ascii="宋体"/>
          <w:color w:val="auto"/>
          <w:szCs w:val="21"/>
          <w:highlight w:val="none"/>
        </w:rPr>
      </w:pPr>
      <w:r>
        <w:rPr>
          <w:rFonts w:hint="eastAsia" w:ascii="宋体"/>
          <w:color w:val="auto"/>
          <w:szCs w:val="21"/>
          <w:highlight w:val="none"/>
        </w:rPr>
        <w:t>七、乙方在销售活动中，要自觉遵守国家和地方的有关法律、法规，严格执行合同条款，不得以次充好，不能降低产品质量，做到诚信经营。</w:t>
      </w:r>
    </w:p>
    <w:p w14:paraId="4D81D82D">
      <w:pPr>
        <w:numPr>
          <w:ilvl w:val="0"/>
          <w:numId w:val="0"/>
        </w:numPr>
        <w:snapToGrid w:val="0"/>
        <w:spacing w:line="360" w:lineRule="auto"/>
        <w:ind w:right="420" w:rightChars="0" w:firstLine="630" w:firstLineChars="300"/>
        <w:rPr>
          <w:rFonts w:hint="eastAsia" w:ascii="宋体"/>
          <w:color w:val="auto"/>
          <w:szCs w:val="21"/>
          <w:highlight w:val="none"/>
        </w:rPr>
      </w:pPr>
      <w:r>
        <w:rPr>
          <w:rFonts w:hint="eastAsia" w:ascii="宋体"/>
          <w:color w:val="auto"/>
          <w:szCs w:val="21"/>
          <w:highlight w:val="none"/>
        </w:rPr>
        <w:t>八、甲、乙双方应共同遵守职业道德，友好合作，杜绝弄虚作假、商业欺诈，不利用非法手段谋取不正当利益，公平公正处理业务。</w:t>
      </w:r>
    </w:p>
    <w:p w14:paraId="245B6921">
      <w:pPr>
        <w:numPr>
          <w:ilvl w:val="0"/>
          <w:numId w:val="0"/>
        </w:numPr>
        <w:snapToGrid w:val="0"/>
        <w:spacing w:line="360" w:lineRule="auto"/>
        <w:ind w:right="420" w:rightChars="0" w:firstLine="630" w:firstLineChars="300"/>
        <w:rPr>
          <w:rFonts w:hint="eastAsia" w:ascii="宋体"/>
          <w:color w:val="auto"/>
          <w:szCs w:val="21"/>
          <w:highlight w:val="none"/>
        </w:rPr>
      </w:pPr>
      <w:r>
        <w:rPr>
          <w:rFonts w:hint="eastAsia" w:ascii="宋体"/>
          <w:color w:val="auto"/>
          <w:szCs w:val="21"/>
          <w:highlight w:val="none"/>
        </w:rPr>
        <w:t>九、甲方人员违反本协议，按国家有关法律法规及医院有关规定制度处理，情节严重涉嫌犯罪的，移交司法机关处理。</w:t>
      </w:r>
    </w:p>
    <w:p w14:paraId="75469A8A">
      <w:pPr>
        <w:numPr>
          <w:ilvl w:val="0"/>
          <w:numId w:val="0"/>
        </w:numPr>
        <w:snapToGrid w:val="0"/>
        <w:spacing w:line="360" w:lineRule="auto"/>
        <w:ind w:right="420" w:rightChars="0" w:firstLine="630" w:firstLineChars="300"/>
        <w:rPr>
          <w:rFonts w:hint="eastAsia" w:ascii="宋体"/>
          <w:color w:val="auto"/>
          <w:szCs w:val="21"/>
          <w:highlight w:val="none"/>
        </w:rPr>
      </w:pPr>
      <w:r>
        <w:rPr>
          <w:rFonts w:hint="eastAsia" w:ascii="宋体"/>
          <w:color w:val="auto"/>
          <w:szCs w:val="21"/>
          <w:highlight w:val="none"/>
        </w:rPr>
        <w:t>十、乙方违反上述条款，经核实后，甲方给予警告，情节严重的，甲方有权终止购销合同，并将乙方违法违规行为报送上级有关部门，列入不良记录，两年内不得在甲方进行</w:t>
      </w:r>
      <w:r>
        <w:rPr>
          <w:rFonts w:hint="eastAsia" w:ascii="宋体"/>
          <w:color w:val="auto"/>
          <w:szCs w:val="21"/>
          <w:highlight w:val="none"/>
          <w:lang w:val="en-US" w:eastAsia="zh-CN"/>
        </w:rPr>
        <w:t>产品</w:t>
      </w:r>
      <w:r>
        <w:rPr>
          <w:rFonts w:hint="eastAsia" w:ascii="宋体"/>
          <w:color w:val="auto"/>
          <w:szCs w:val="21"/>
          <w:highlight w:val="none"/>
        </w:rPr>
        <w:t>销售，造成经济损失的，乙方需承担赔偿责任，涉嫌违法的，交由司法机关处理。</w:t>
      </w:r>
    </w:p>
    <w:p w14:paraId="3B8B6151">
      <w:pPr>
        <w:numPr>
          <w:ilvl w:val="0"/>
          <w:numId w:val="0"/>
        </w:numPr>
        <w:snapToGrid w:val="0"/>
        <w:spacing w:line="360" w:lineRule="auto"/>
        <w:ind w:right="420" w:rightChars="0" w:firstLine="630" w:firstLineChars="300"/>
        <w:rPr>
          <w:rFonts w:hint="eastAsia" w:ascii="宋体"/>
          <w:color w:val="auto"/>
          <w:szCs w:val="21"/>
          <w:highlight w:val="none"/>
        </w:rPr>
      </w:pPr>
      <w:r>
        <w:rPr>
          <w:rFonts w:hint="eastAsia" w:ascii="宋体"/>
          <w:color w:val="auto"/>
          <w:szCs w:val="21"/>
          <w:highlight w:val="none"/>
        </w:rPr>
        <w:t>十一、本协议作为合同的附件，一式二份，甲、乙双方各执一份，协议自双方法定代表人或委托代理人签字或盖章并加盖单位公章或合同章之日起生效</w:t>
      </w:r>
    </w:p>
    <w:p w14:paraId="72B2D310">
      <w:pPr>
        <w:numPr>
          <w:ilvl w:val="0"/>
          <w:numId w:val="0"/>
        </w:numPr>
        <w:snapToGrid w:val="0"/>
        <w:spacing w:line="360" w:lineRule="auto"/>
        <w:ind w:right="420" w:rightChars="0" w:firstLine="630" w:firstLineChars="300"/>
        <w:rPr>
          <w:rFonts w:hint="eastAsia" w:ascii="宋体"/>
          <w:color w:val="auto"/>
          <w:szCs w:val="21"/>
          <w:highlight w:val="none"/>
        </w:rPr>
      </w:pPr>
      <w:r>
        <w:rPr>
          <w:rFonts w:hint="eastAsia" w:ascii="宋体"/>
          <w:color w:val="auto"/>
          <w:szCs w:val="21"/>
          <w:highlight w:val="none"/>
        </w:rPr>
        <w:t>甲方（单位盖章）：</w:t>
      </w:r>
      <w:r>
        <w:rPr>
          <w:rFonts w:hint="eastAsia" w:ascii="宋体"/>
          <w:color w:val="auto"/>
          <w:szCs w:val="21"/>
          <w:highlight w:val="none"/>
          <w:lang w:val="en-US" w:eastAsia="zh-CN"/>
        </w:rPr>
        <w:t xml:space="preserve">                             </w:t>
      </w:r>
      <w:r>
        <w:rPr>
          <w:rFonts w:hint="eastAsia" w:ascii="宋体"/>
          <w:color w:val="auto"/>
          <w:szCs w:val="21"/>
          <w:highlight w:val="none"/>
        </w:rPr>
        <w:t>乙方（单位盖章）：</w:t>
      </w:r>
      <w:r>
        <w:rPr>
          <w:rFonts w:hint="eastAsia" w:ascii="宋体"/>
          <w:color w:val="auto"/>
          <w:szCs w:val="21"/>
          <w:highlight w:val="none"/>
          <w:lang w:val="en-US" w:eastAsia="zh-CN"/>
        </w:rPr>
        <w:t xml:space="preserve">                      </w:t>
      </w:r>
    </w:p>
    <w:p w14:paraId="3A581D51">
      <w:pPr>
        <w:numPr>
          <w:ilvl w:val="0"/>
          <w:numId w:val="0"/>
        </w:numPr>
        <w:snapToGrid w:val="0"/>
        <w:spacing w:line="360" w:lineRule="auto"/>
        <w:ind w:right="420" w:rightChars="0" w:firstLine="630" w:firstLineChars="300"/>
        <w:rPr>
          <w:rFonts w:hint="eastAsia" w:ascii="宋体"/>
          <w:color w:val="auto"/>
          <w:szCs w:val="21"/>
          <w:highlight w:val="none"/>
        </w:rPr>
      </w:pPr>
      <w:r>
        <w:rPr>
          <w:rFonts w:hint="eastAsia" w:ascii="宋体"/>
          <w:color w:val="auto"/>
          <w:szCs w:val="21"/>
          <w:highlight w:val="none"/>
        </w:rPr>
        <w:t>广西医科大学附属武鸣医院</w:t>
      </w:r>
    </w:p>
    <w:p w14:paraId="74592336">
      <w:pPr>
        <w:numPr>
          <w:ilvl w:val="0"/>
          <w:numId w:val="0"/>
        </w:numPr>
        <w:snapToGrid w:val="0"/>
        <w:spacing w:line="360" w:lineRule="auto"/>
        <w:ind w:right="420" w:rightChars="0" w:firstLine="630" w:firstLineChars="300"/>
        <w:rPr>
          <w:rFonts w:hint="eastAsia" w:ascii="宋体"/>
          <w:color w:val="auto"/>
          <w:szCs w:val="21"/>
          <w:highlight w:val="none"/>
        </w:rPr>
      </w:pPr>
      <w:r>
        <w:rPr>
          <w:rFonts w:hint="eastAsia" w:ascii="宋体"/>
          <w:color w:val="auto"/>
          <w:szCs w:val="21"/>
          <w:highlight w:val="none"/>
        </w:rPr>
        <w:t>法定代表人（签字或盖章）：</w:t>
      </w:r>
      <w:r>
        <w:rPr>
          <w:rFonts w:hint="eastAsia" w:ascii="宋体"/>
          <w:color w:val="auto"/>
          <w:szCs w:val="21"/>
          <w:highlight w:val="none"/>
          <w:lang w:val="en-US" w:eastAsia="zh-CN"/>
        </w:rPr>
        <w:t xml:space="preserve">                     </w:t>
      </w:r>
      <w:r>
        <w:rPr>
          <w:rFonts w:hint="eastAsia" w:ascii="宋体"/>
          <w:color w:val="auto"/>
          <w:szCs w:val="21"/>
          <w:highlight w:val="none"/>
        </w:rPr>
        <w:t>法定代表人（签字或盖章）：</w:t>
      </w:r>
    </w:p>
    <w:p w14:paraId="615BD447">
      <w:pPr>
        <w:numPr>
          <w:ilvl w:val="0"/>
          <w:numId w:val="0"/>
        </w:numPr>
        <w:snapToGrid w:val="0"/>
        <w:spacing w:line="360" w:lineRule="auto"/>
        <w:ind w:right="420" w:rightChars="0" w:firstLine="630" w:firstLineChars="300"/>
        <w:rPr>
          <w:rFonts w:hint="eastAsia" w:ascii="宋体"/>
          <w:color w:val="auto"/>
          <w:szCs w:val="21"/>
          <w:highlight w:val="none"/>
        </w:rPr>
      </w:pPr>
      <w:r>
        <w:rPr>
          <w:rFonts w:hint="eastAsia" w:ascii="宋体"/>
          <w:color w:val="auto"/>
          <w:szCs w:val="21"/>
          <w:highlight w:val="none"/>
        </w:rPr>
        <w:t>（或）委托代理人（签字或盖章）</w:t>
      </w:r>
      <w:r>
        <w:rPr>
          <w:rFonts w:hint="eastAsia" w:ascii="宋体"/>
          <w:color w:val="auto"/>
          <w:szCs w:val="21"/>
          <w:highlight w:val="none"/>
          <w:lang w:val="en-US" w:eastAsia="zh-CN"/>
        </w:rPr>
        <w:t xml:space="preserve">  ：             </w:t>
      </w:r>
      <w:r>
        <w:rPr>
          <w:rFonts w:hint="eastAsia" w:ascii="宋体"/>
          <w:color w:val="auto"/>
          <w:szCs w:val="21"/>
          <w:highlight w:val="none"/>
        </w:rPr>
        <w:t>（或）委托代理人（签字或盖章）： </w:t>
      </w:r>
    </w:p>
    <w:p w14:paraId="571E19B6">
      <w:pPr>
        <w:numPr>
          <w:ilvl w:val="0"/>
          <w:numId w:val="0"/>
        </w:numPr>
        <w:snapToGrid w:val="0"/>
        <w:spacing w:line="360" w:lineRule="auto"/>
        <w:ind w:right="420" w:rightChars="0" w:firstLine="630" w:firstLineChars="300"/>
        <w:rPr>
          <w:rFonts w:hint="eastAsia" w:ascii="宋体"/>
          <w:color w:val="auto"/>
          <w:szCs w:val="21"/>
          <w:highlight w:val="none"/>
        </w:rPr>
      </w:pPr>
      <w:r>
        <w:rPr>
          <w:rFonts w:hint="eastAsia" w:ascii="宋体"/>
          <w:color w:val="auto"/>
          <w:szCs w:val="21"/>
          <w:highlight w:val="none"/>
        </w:rPr>
        <w:t>年    月    日</w:t>
      </w:r>
      <w:r>
        <w:rPr>
          <w:rFonts w:hint="eastAsia" w:ascii="宋体"/>
          <w:color w:val="auto"/>
          <w:szCs w:val="21"/>
          <w:highlight w:val="none"/>
        </w:rPr>
        <w:tab/>
      </w:r>
      <w:r>
        <w:rPr>
          <w:rFonts w:hint="eastAsia" w:ascii="宋体"/>
          <w:color w:val="auto"/>
          <w:szCs w:val="21"/>
          <w:highlight w:val="none"/>
        </w:rPr>
        <w:t xml:space="preserve">   </w:t>
      </w:r>
      <w:r>
        <w:rPr>
          <w:rFonts w:hint="eastAsia" w:ascii="宋体"/>
          <w:color w:val="auto"/>
          <w:szCs w:val="21"/>
          <w:highlight w:val="none"/>
          <w:lang w:val="en-US" w:eastAsia="zh-CN"/>
        </w:rPr>
        <w:t xml:space="preserve">                              </w:t>
      </w:r>
      <w:r>
        <w:rPr>
          <w:rFonts w:hint="eastAsia" w:ascii="宋体"/>
          <w:color w:val="auto"/>
          <w:szCs w:val="21"/>
          <w:highlight w:val="none"/>
        </w:rPr>
        <w:t xml:space="preserve">   年    月    日</w:t>
      </w:r>
    </w:p>
    <w:p w14:paraId="3D99D51E">
      <w:pPr>
        <w:numPr>
          <w:ilvl w:val="0"/>
          <w:numId w:val="0"/>
        </w:numPr>
        <w:snapToGrid w:val="0"/>
        <w:spacing w:line="360" w:lineRule="auto"/>
        <w:ind w:right="420" w:rightChars="0" w:firstLine="630" w:firstLineChars="300"/>
        <w:rPr>
          <w:rFonts w:hint="eastAsia" w:ascii="宋体"/>
          <w:color w:val="auto"/>
          <w:szCs w:val="21"/>
          <w:highlight w:val="none"/>
          <w:lang w:val="zh-CN"/>
        </w:rPr>
        <w:sectPr>
          <w:pgSz w:w="11910" w:h="16840"/>
          <w:pgMar w:top="1134" w:right="1134" w:bottom="1134" w:left="1134" w:header="720" w:footer="720" w:gutter="0"/>
          <w:cols w:space="720" w:num="1"/>
        </w:sectPr>
      </w:pPr>
      <w:r>
        <w:rPr>
          <w:rFonts w:hint="eastAsia" w:ascii="宋体"/>
          <w:color w:val="auto"/>
          <w:szCs w:val="21"/>
          <w:highlight w:val="none"/>
        </w:rPr>
        <w:tab/>
      </w:r>
    </w:p>
    <w:p w14:paraId="54041F37">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保密协议</w:t>
      </w:r>
    </w:p>
    <w:p w14:paraId="7D9E9F2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color w:val="auto"/>
          <w:sz w:val="32"/>
          <w:szCs w:val="32"/>
        </w:rPr>
      </w:pPr>
    </w:p>
    <w:p w14:paraId="3186A250">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甲方：广西医科大学附属武鸣医院</w:t>
      </w:r>
    </w:p>
    <w:p w14:paraId="16106641">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 xml:space="preserve">地址：广西南宁市武鸣区永宁路26号 </w:t>
      </w:r>
    </w:p>
    <w:p w14:paraId="18CC4C01">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邮编：530199</w:t>
      </w:r>
    </w:p>
    <w:p w14:paraId="4E8BFE7E">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p>
    <w:p w14:paraId="133954FA">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乙方：</w:t>
      </w:r>
    </w:p>
    <w:p w14:paraId="592530D5">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地址：</w:t>
      </w:r>
    </w:p>
    <w:p w14:paraId="56A7B5CD">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邮编：</w:t>
      </w:r>
    </w:p>
    <w:p w14:paraId="5DA647C3">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p>
    <w:p w14:paraId="3EE434C8">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lang w:val="en-US" w:eastAsia="zh-CN"/>
        </w:rPr>
        <w:t>协议编号：</w:t>
      </w:r>
      <w:r>
        <w:rPr>
          <w:rFonts w:hint="eastAsia" w:ascii="宋体" w:hAnsiTheme="minorHAnsi" w:eastAsiaTheme="minorEastAsia" w:cstheme="minorBidi"/>
          <w:color w:val="auto"/>
          <w:sz w:val="21"/>
          <w:szCs w:val="21"/>
          <w:highlight w:val="none"/>
          <w:u w:val="none"/>
          <w:lang w:val="en-US" w:eastAsia="zh-CN"/>
        </w:rPr>
        <w:t xml:space="preserve">                 </w:t>
      </w:r>
    </w:p>
    <w:p w14:paraId="014F9ACB">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鉴于甲乙双方在开展业务交流与合作的过程中需披露 和接受秘密信息（“秘密信息”），并且双方将在从事各自业务活动的同时妥善保护双方的秘密信息，为了明确甲乙双方就一方（“披露方”）向另一方（“接受方”）披露的秘密信息所应承担的保密义务，甲乙双方本着平等自愿、公平诚信的原则，特订立本保密协议。</w:t>
      </w:r>
    </w:p>
    <w:p w14:paraId="14640AB9">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第一条   定义</w:t>
      </w:r>
    </w:p>
    <w:p w14:paraId="2EE51C28">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1.本协议所称秘密信息包括：任何在双方合作的过程中 提供给对方的本条范围内的信息，包括会议记要、人员信    息、技术知识、调查、报告、解释、预测、设计构思和规划、发展研讨、说明书、设计图、图表、范例、项目进度、网络拓扑结构、设备资料、价格资料、技术参数和信息、客户和供应商资料和信息、内部决策、商业信息，以及以任何方式反映出来的有关披露方及其所属分支机构不向公众公开的信息和资料。</w:t>
      </w:r>
    </w:p>
    <w:p w14:paraId="2E22ABD0">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2.若披露方所提供的秘密信息未注明“秘密”、“机密”或“商业秘密”，或披露方是以口头方式提供，则披露方须在披露时明确说明所提供的信息是秘密信息并于事后提供书面摘要。其中甲方计算机系统内的所有系统配置、技术参数和业务数据信息虽不能注明“秘密”、“机密”或“商业秘密”字样，但同样属于秘密信息。</w:t>
      </w:r>
    </w:p>
    <w:p w14:paraId="096DE95D">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3.甲方的机构设置和运行机制、业务流程、逻辑流程，应用系统的功能、业务量、业务特征，计算机系统或应用系统的漏洞信息，与其他公司、机构的合作信息、合同，以及基于双方签订所有合同所开发出来的成果等属于秘密信息。</w:t>
      </w:r>
    </w:p>
    <w:p w14:paraId="4D69533E">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第二条   保密义务</w:t>
      </w:r>
    </w:p>
    <w:p w14:paraId="0646C946">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对第一条所称的秘密信息，接受方同意并保证承担以下保密义务：</w:t>
      </w:r>
    </w:p>
    <w:p w14:paraId="19F8E1A0">
      <w:pPr>
        <w:numPr>
          <w:ilvl w:val="0"/>
          <w:numId w:val="0"/>
        </w:numPr>
        <w:snapToGrid w:val="0"/>
        <w:spacing w:line="360" w:lineRule="auto"/>
        <w:ind w:right="420" w:firstLine="630" w:firstLineChars="300"/>
        <w:rPr>
          <w:rFonts w:hint="eastAsia" w:ascii="宋体" w:hAnsiTheme="minorHAnsi" w:eastAsiaTheme="minorEastAsia" w:cstheme="minorBidi"/>
          <w:color w:val="auto"/>
          <w:sz w:val="21"/>
          <w:szCs w:val="21"/>
          <w:highlight w:val="none"/>
          <w:lang w:val="en-US" w:eastAsia="zh-CN"/>
        </w:rPr>
      </w:pPr>
      <w:r>
        <w:rPr>
          <w:rFonts w:hint="eastAsia" w:ascii="宋体" w:hAnsiTheme="minorHAnsi" w:eastAsiaTheme="minorEastAsia" w:cstheme="minorBidi"/>
          <w:color w:val="auto"/>
          <w:sz w:val="21"/>
          <w:szCs w:val="21"/>
          <w:highlight w:val="none"/>
        </w:rPr>
        <w:t>1.接受方应对从披露方获取的所有秘密信息采取严格的保密措施，确保秘密信息不因接受方的原因而被泄露，</w:t>
      </w:r>
      <w:r>
        <w:rPr>
          <w:rFonts w:hint="eastAsia" w:ascii="宋体" w:hAnsiTheme="minorHAnsi" w:eastAsiaTheme="minorEastAsia" w:cstheme="minorBidi"/>
          <w:color w:val="auto"/>
          <w:sz w:val="21"/>
          <w:szCs w:val="21"/>
          <w:highlight w:val="none"/>
          <w:lang w:val="en-US" w:eastAsia="zh-CN"/>
        </w:rPr>
        <w:t>不低于披露方标准。</w:t>
      </w:r>
      <w:r>
        <w:rPr>
          <w:rFonts w:hint="eastAsia" w:ascii="宋体" w:hAnsiTheme="minorHAnsi" w:eastAsiaTheme="minorEastAsia" w:cstheme="minorBidi"/>
          <w:color w:val="auto"/>
          <w:sz w:val="21"/>
          <w:szCs w:val="21"/>
          <w:highlight w:val="none"/>
        </w:rPr>
        <w:t>除本协议另有约定外，未经披露方书面同意，接受方不得以任何形式、任何理由宣传、使用、披露第一条约定的秘密信息。</w:t>
      </w:r>
    </w:p>
    <w:p w14:paraId="41C12CAD">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lang w:val="en-US" w:eastAsia="zh-CN"/>
        </w:rPr>
        <w:t xml:space="preserve">  </w:t>
      </w:r>
      <w:r>
        <w:rPr>
          <w:rFonts w:hint="eastAsia" w:ascii="宋体" w:hAnsiTheme="minorHAnsi" w:eastAsiaTheme="minorEastAsia" w:cstheme="minorBidi"/>
          <w:color w:val="auto"/>
          <w:sz w:val="21"/>
          <w:szCs w:val="21"/>
          <w:highlight w:val="none"/>
        </w:rPr>
        <w:t>2.接受方仅可为双方在开展业务交流与合作使用第一条所述秘密信息。</w:t>
      </w:r>
    </w:p>
    <w:p w14:paraId="4A9EFE3F">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3.接受方应确保仅向为双方在开展业务交流与合作之目的而需要知晓的接受方公司、机构员工或其关联公司员工在必要的范围内披露秘密信息。在向上述任一方披露之前，接受方应与该方签订保密协议，以要求该方按本协议的规定对披露的保密信息保密。接受方公司员工或其关联公司员工违反保密义务的，无论该行为是员工在任期间发生的还是离职后发生的，均视同接受方违约，接受方应按本协议的约定承担违约责任。</w:t>
      </w:r>
    </w:p>
    <w:p w14:paraId="6DED3912">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4.在完成业务交流与合作后，接受方应立即归还或以不可恢复方式销毁或删除自披露方取得的任何记载秘密信息的书面或其他形式的材料，除非另有合同约定。</w:t>
      </w:r>
    </w:p>
    <w:p w14:paraId="6C29990C">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5.如果因接受方的原因而出现披露方的秘密信息被泄露或使用，接受方应当尽一切合理努力采取有效措施防止泄密进一步扩大，并立即向披露方报告。</w:t>
      </w:r>
    </w:p>
    <w:p w14:paraId="2D333070">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第三条   免责条款</w:t>
      </w:r>
    </w:p>
    <w:p w14:paraId="24DF3DDB">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1.接受方根据适用的法律法规或上市规则、司法部门或政府部门的要求、外部专业顾问的需要或披露方的书面授权，接受方可以根据相应要求予以披露本协议约定的秘密信息</w:t>
      </w:r>
      <w:r>
        <w:rPr>
          <w:rFonts w:hint="eastAsia" w:ascii="宋体" w:hAnsiTheme="minorHAnsi" w:eastAsiaTheme="minorEastAsia" w:cstheme="minorBidi"/>
          <w:color w:val="auto"/>
          <w:sz w:val="21"/>
          <w:szCs w:val="21"/>
          <w:highlight w:val="none"/>
          <w:lang w:val="en-US" w:eastAsia="zh-CN"/>
        </w:rPr>
        <w:t>披露前应提前（5）个工作日书面通知披露方，保障披露方的知情权。</w:t>
      </w:r>
    </w:p>
    <w:p w14:paraId="0CB054C4">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2.接受方对下述信息不承担保密义务：</w:t>
      </w:r>
    </w:p>
    <w:p w14:paraId="53B34FD1">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1).非因接受方或其员工的泄露已经进入公共领域的信息；</w:t>
      </w:r>
    </w:p>
    <w:p w14:paraId="65274F92">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2).接受方在收到此秘密信息前已经拥有或未利用披露方任何条件的情况下独自开发的信息；</w:t>
      </w:r>
    </w:p>
    <w:p w14:paraId="53E94A24">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3).接受方从合法持有并有权披露的第三方获取的信息资料；</w:t>
      </w:r>
    </w:p>
    <w:p w14:paraId="0AC1E68D">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4).对于已体现在双方项目合作成果中的秘密信息，甲方无需承担保密义务。</w:t>
      </w:r>
    </w:p>
    <w:p w14:paraId="3FD79881">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第四条   保密期限</w:t>
      </w:r>
    </w:p>
    <w:p w14:paraId="19E469DF">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接受方需无限期地承担保密义务，直至披露方宣布解 密或者秘密信息实际上已经公开。</w:t>
      </w:r>
    </w:p>
    <w:p w14:paraId="5FCF8953">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第五条   违约责任</w:t>
      </w:r>
    </w:p>
    <w:p w14:paraId="18DCE746">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如果接受方在保密期限内未履行本协议所规定的保密义务，披露方有权根据法律规定追究接受方的违约责任，违约责任承担方式可采取以下一种或多种。</w:t>
      </w:r>
    </w:p>
    <w:p w14:paraId="697318DE">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1.违约方承担违反此协议所造成的经济损失。违约方违反本协议，给对方造成的损失额以下面两种方法计算的较高者为准。</w:t>
      </w:r>
    </w:p>
    <w:p w14:paraId="695D9238">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（1）以对方因被侵害而受到的实际损失作为赔偿额。</w:t>
      </w:r>
    </w:p>
    <w:p w14:paraId="73F51836">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（2）以违约方因违约所获得的全部受益作为赔偿额， 包括违约方将秘密信息泄漏给第三方，第三方因此而得到的受益。</w:t>
      </w:r>
    </w:p>
    <w:p w14:paraId="69B0BFFC">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2.因违约方的行为造成对方的秘密信息完全公开的，应由违约方赔偿该秘密信息的全部价值。</w:t>
      </w:r>
    </w:p>
    <w:p w14:paraId="2C695049">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3.乙方违反第二条第一款第二段约定的，甲方有权视情节严重程度要求乙方承担一定数额的赔偿金额。</w:t>
      </w:r>
    </w:p>
    <w:p w14:paraId="72981A46">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4.违约方应当承担对方因调查及处理侵害行为所支出的合理费用。</w:t>
      </w:r>
    </w:p>
    <w:p w14:paraId="275676E2">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5.如果违约方支付的赔偿金额不足以补偿对方因违约方违反本协议而遭受的其他损失，违约方应当继续承担赔偿责任。</w:t>
      </w:r>
    </w:p>
    <w:p w14:paraId="284F255F">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第六条   法律适用与争议解决</w:t>
      </w:r>
    </w:p>
    <w:p w14:paraId="27FB6553">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本协议适用中华人民共和国法律。任何因执行本协议 而发生的纠纷，可以由双方协商解决，协商不成的，任何一方都有权向甲方所在地有管辖权的人民法院提起诉讼。</w:t>
      </w:r>
    </w:p>
    <w:p w14:paraId="57FF7051">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第七条   协议的效力、变更和终止</w:t>
      </w:r>
    </w:p>
    <w:p w14:paraId="46F6C7DB">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本协议经甲乙双方签署后生效，甲乙双方以纸质方式签署本合同的，签署是指甲方法定代表人（负责人）或授权代表签字（或盖章）并加盖合同专用章、乙方法定代表人(负责人)或授权代表签字（或盖章）并加盖公章或合同专用章；甲乙双方以电子签约方式签署本合同的，签署是指本合同加盖甲乙双方电子印章。对本协议的任何修改须经双方书面签署方为有效。本协议适用于甲乙双方交流与合作项下全部业务，无论双方是否就具体业务另行签署合同。本协议条款亦适用于继承人和受让人。</w:t>
      </w:r>
    </w:p>
    <w:p w14:paraId="51311B92">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第八条   披露方声明</w:t>
      </w:r>
    </w:p>
    <w:p w14:paraId="4C23B6BF">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1.披露方对所披露的信息不附带任何种类的保证；</w:t>
      </w:r>
    </w:p>
    <w:p w14:paraId="26487F4A">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2.披露方对于因其提供的秘密信息而给接受方或任何第 三方造成的任何损害不承担赔偿责任；</w:t>
      </w:r>
    </w:p>
    <w:p w14:paraId="6AF589AE">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3.本协议任何条款或披露方依本协议规定提供任何秘密 信息均不构成披露方对接受方就披露方所拥有或将来拥有的任何商标、专利或版权等权利的授予。</w:t>
      </w:r>
    </w:p>
    <w:p w14:paraId="10617DD3">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第九条   其他约定</w:t>
      </w:r>
    </w:p>
    <w:p w14:paraId="576529E4">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9.1 本协议是有关协议双方披露/接受本协议规定的秘密信息的完整的、唯一的协议，并将取代双方此前所有口头或书面交换的意见。本协议一式两份，甲乙双方各执一份。</w:t>
      </w:r>
    </w:p>
    <w:p w14:paraId="5020958B">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p>
    <w:p w14:paraId="6E6F5EE8">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p>
    <w:p w14:paraId="33B3DFED">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 xml:space="preserve">甲方： </w:t>
      </w:r>
      <w:r>
        <w:rPr>
          <w:rFonts w:hint="eastAsia" w:ascii="宋体" w:hAnsiTheme="minorHAnsi" w:eastAsiaTheme="minorEastAsia" w:cstheme="minorBidi"/>
          <w:color w:val="auto"/>
          <w:sz w:val="21"/>
          <w:szCs w:val="21"/>
          <w:highlight w:val="none"/>
        </w:rPr>
        <w:tab/>
      </w:r>
      <w:r>
        <w:rPr>
          <w:rFonts w:hint="eastAsia" w:ascii="宋体" w:hAnsiTheme="minorHAnsi" w:eastAsiaTheme="minorEastAsia" w:cstheme="minorBidi"/>
          <w:color w:val="auto"/>
          <w:sz w:val="21"/>
          <w:szCs w:val="21"/>
          <w:highlight w:val="none"/>
          <w:lang w:val="en-US" w:eastAsia="zh-CN"/>
        </w:rPr>
        <w:t xml:space="preserve">                     </w:t>
      </w:r>
      <w:r>
        <w:rPr>
          <w:rFonts w:hint="eastAsia" w:ascii="宋体" w:hAnsiTheme="minorHAnsi" w:eastAsiaTheme="minorEastAsia" w:cstheme="minorBidi"/>
          <w:color w:val="auto"/>
          <w:sz w:val="21"/>
          <w:szCs w:val="21"/>
          <w:highlight w:val="none"/>
        </w:rPr>
        <w:t>乙方：</w:t>
      </w:r>
    </w:p>
    <w:p w14:paraId="7A203427">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ab/>
      </w:r>
    </w:p>
    <w:p w14:paraId="3C023B7A">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p>
    <w:p w14:paraId="4B5AD77D">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（公章或合同专用章）</w:t>
      </w:r>
      <w:r>
        <w:rPr>
          <w:rFonts w:hint="eastAsia" w:ascii="宋体" w:hAnsiTheme="minorHAnsi" w:eastAsiaTheme="minorEastAsia" w:cstheme="minorBidi"/>
          <w:color w:val="auto"/>
          <w:sz w:val="21"/>
          <w:szCs w:val="21"/>
          <w:highlight w:val="none"/>
          <w:lang w:val="en-US" w:eastAsia="zh-CN"/>
        </w:rPr>
        <w:t xml:space="preserve">         </w:t>
      </w:r>
      <w:r>
        <w:rPr>
          <w:rFonts w:hint="eastAsia" w:ascii="宋体" w:hAnsiTheme="minorHAnsi" w:eastAsiaTheme="minorEastAsia" w:cstheme="minorBidi"/>
          <w:color w:val="auto"/>
          <w:sz w:val="21"/>
          <w:szCs w:val="21"/>
          <w:highlight w:val="none"/>
        </w:rPr>
        <w:tab/>
      </w:r>
      <w:r>
        <w:rPr>
          <w:rFonts w:hint="eastAsia" w:ascii="宋体" w:hAnsiTheme="minorHAnsi" w:eastAsiaTheme="minorEastAsia" w:cstheme="minorBidi"/>
          <w:color w:val="auto"/>
          <w:sz w:val="21"/>
          <w:szCs w:val="21"/>
          <w:highlight w:val="none"/>
        </w:rPr>
        <w:t>（公章或合同专用章）</w:t>
      </w:r>
    </w:p>
    <w:p w14:paraId="47B31904">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ab/>
      </w:r>
    </w:p>
    <w:p w14:paraId="46FD417F">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lang w:val="en-US" w:eastAsia="zh-CN"/>
        </w:rPr>
      </w:pPr>
      <w:r>
        <w:rPr>
          <w:rFonts w:hint="eastAsia" w:ascii="宋体" w:hAnsiTheme="minorHAnsi" w:eastAsiaTheme="minorEastAsia" w:cstheme="minorBidi"/>
          <w:color w:val="auto"/>
          <w:sz w:val="21"/>
          <w:szCs w:val="21"/>
          <w:highlight w:val="none"/>
        </w:rPr>
        <w:t>法定代表人（负责人）</w:t>
      </w:r>
      <w:r>
        <w:rPr>
          <w:rFonts w:hint="eastAsia" w:ascii="宋体" w:hAnsiTheme="minorHAnsi" w:eastAsiaTheme="minorEastAsia" w:cstheme="minorBidi"/>
          <w:color w:val="auto"/>
          <w:sz w:val="21"/>
          <w:szCs w:val="21"/>
          <w:highlight w:val="none"/>
          <w:lang w:val="en-US" w:eastAsia="zh-CN"/>
        </w:rPr>
        <w:t xml:space="preserve">        </w:t>
      </w:r>
      <w:r>
        <w:rPr>
          <w:rFonts w:hint="eastAsia" w:ascii="宋体" w:hAnsiTheme="minorHAnsi" w:eastAsiaTheme="minorEastAsia" w:cstheme="minorBidi"/>
          <w:color w:val="auto"/>
          <w:sz w:val="21"/>
          <w:szCs w:val="21"/>
          <w:highlight w:val="none"/>
        </w:rPr>
        <w:t>法定代表人（负责人）</w:t>
      </w:r>
    </w:p>
    <w:p w14:paraId="6F9A9A1F">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或授权代表：</w:t>
      </w:r>
      <w:r>
        <w:rPr>
          <w:rFonts w:hint="eastAsia" w:ascii="宋体" w:hAnsiTheme="minorHAnsi" w:eastAsiaTheme="minorEastAsia" w:cstheme="minorBidi"/>
          <w:color w:val="auto"/>
          <w:sz w:val="21"/>
          <w:szCs w:val="21"/>
          <w:highlight w:val="none"/>
        </w:rPr>
        <w:tab/>
      </w:r>
      <w:r>
        <w:rPr>
          <w:rFonts w:hint="eastAsia" w:ascii="宋体" w:hAnsiTheme="minorHAnsi" w:eastAsiaTheme="minorEastAsia" w:cstheme="minorBidi"/>
          <w:color w:val="auto"/>
          <w:sz w:val="21"/>
          <w:szCs w:val="21"/>
          <w:highlight w:val="none"/>
          <w:lang w:val="en-US" w:eastAsia="zh-CN"/>
        </w:rPr>
        <w:t xml:space="preserve">               </w:t>
      </w:r>
      <w:r>
        <w:rPr>
          <w:rFonts w:hint="eastAsia" w:ascii="宋体" w:hAnsiTheme="minorHAnsi" w:eastAsiaTheme="minorEastAsia" w:cstheme="minorBidi"/>
          <w:color w:val="auto"/>
          <w:sz w:val="21"/>
          <w:szCs w:val="21"/>
          <w:highlight w:val="none"/>
        </w:rPr>
        <w:t>或授权代表：</w:t>
      </w:r>
    </w:p>
    <w:p w14:paraId="06A83676">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ab/>
      </w:r>
    </w:p>
    <w:p w14:paraId="7BBF1800">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（签字或盖章）</w:t>
      </w:r>
      <w:r>
        <w:rPr>
          <w:rFonts w:hint="eastAsia" w:ascii="宋体" w:hAnsiTheme="minorHAnsi" w:eastAsiaTheme="minorEastAsia" w:cstheme="minorBidi"/>
          <w:color w:val="auto"/>
          <w:sz w:val="21"/>
          <w:szCs w:val="21"/>
          <w:highlight w:val="none"/>
        </w:rPr>
        <w:tab/>
      </w:r>
      <w:r>
        <w:rPr>
          <w:rFonts w:hint="eastAsia" w:ascii="宋体" w:hAnsiTheme="minorHAnsi" w:eastAsiaTheme="minorEastAsia" w:cstheme="minorBidi"/>
          <w:color w:val="auto"/>
          <w:sz w:val="21"/>
          <w:szCs w:val="21"/>
          <w:highlight w:val="none"/>
          <w:lang w:val="en-US" w:eastAsia="zh-CN"/>
        </w:rPr>
        <w:t xml:space="preserve">                </w:t>
      </w:r>
      <w:r>
        <w:rPr>
          <w:rFonts w:hint="eastAsia" w:ascii="宋体" w:hAnsiTheme="minorHAnsi" w:eastAsiaTheme="minorEastAsia" w:cstheme="minorBidi"/>
          <w:color w:val="auto"/>
          <w:sz w:val="21"/>
          <w:szCs w:val="21"/>
          <w:highlight w:val="none"/>
        </w:rPr>
        <w:t>（签字或盖章）</w:t>
      </w:r>
    </w:p>
    <w:p w14:paraId="4BC0782E">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p>
    <w:p w14:paraId="53DDF8BA">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420" w:firstLine="630" w:firstLineChars="300"/>
        <w:textAlignment w:val="auto"/>
        <w:rPr>
          <w:rFonts w:hint="eastAsia" w:ascii="宋体" w:hAnsiTheme="minorHAnsi" w:eastAsiaTheme="minorEastAsia" w:cstheme="minorBidi"/>
          <w:color w:val="auto"/>
          <w:sz w:val="21"/>
          <w:szCs w:val="21"/>
          <w:highlight w:val="none"/>
        </w:rPr>
      </w:pPr>
      <w:r>
        <w:rPr>
          <w:rFonts w:hint="eastAsia" w:ascii="宋体" w:hAnsiTheme="minorHAnsi" w:eastAsiaTheme="minorEastAsia" w:cstheme="minorBidi"/>
          <w:color w:val="auto"/>
          <w:sz w:val="21"/>
          <w:szCs w:val="21"/>
          <w:highlight w:val="none"/>
        </w:rPr>
        <w:t>签订日期：</w:t>
      </w:r>
      <w:r>
        <w:rPr>
          <w:rFonts w:hint="eastAsia" w:ascii="宋体" w:hAnsiTheme="minorHAnsi" w:eastAsiaTheme="minorEastAsia" w:cstheme="minorBidi"/>
          <w:color w:val="auto"/>
          <w:sz w:val="21"/>
          <w:szCs w:val="21"/>
          <w:highlight w:val="none"/>
        </w:rPr>
        <w:tab/>
      </w:r>
      <w:r>
        <w:rPr>
          <w:rFonts w:hint="eastAsia" w:ascii="宋体" w:hAnsiTheme="minorHAnsi" w:eastAsiaTheme="minorEastAsia" w:cstheme="minorBidi"/>
          <w:color w:val="auto"/>
          <w:sz w:val="21"/>
          <w:szCs w:val="21"/>
          <w:highlight w:val="none"/>
          <w:lang w:val="en-US" w:eastAsia="zh-CN"/>
        </w:rPr>
        <w:t xml:space="preserve">                   </w:t>
      </w:r>
      <w:r>
        <w:rPr>
          <w:rFonts w:hint="eastAsia" w:ascii="宋体" w:hAnsiTheme="minorHAnsi" w:eastAsiaTheme="minorEastAsia" w:cstheme="minorBidi"/>
          <w:color w:val="auto"/>
          <w:sz w:val="21"/>
          <w:szCs w:val="21"/>
          <w:highlight w:val="none"/>
        </w:rPr>
        <w:t>签订日期：</w:t>
      </w:r>
    </w:p>
    <w:p w14:paraId="537AC238">
      <w:pPr>
        <w:keepNext w:val="0"/>
        <w:keepLines w:val="0"/>
        <w:numPr>
          <w:ilvl w:val="0"/>
          <w:numId w:val="0"/>
        </w:numPr>
        <w:snapToGrid w:val="0"/>
        <w:spacing w:before="0" w:after="0" w:line="360" w:lineRule="auto"/>
        <w:ind w:right="420" w:firstLine="630" w:firstLineChars="300"/>
        <w:jc w:val="left"/>
        <w:outlineLvl w:val="9"/>
        <w:rPr>
          <w:rFonts w:hint="eastAsia" w:ascii="宋体" w:hAnsiTheme="minorHAnsi" w:eastAsiaTheme="minorEastAsia" w:cstheme="minorBidi"/>
          <w:bCs w:val="0"/>
          <w:color w:val="auto"/>
          <w:kern w:val="2"/>
          <w:sz w:val="21"/>
          <w:szCs w:val="21"/>
          <w:highlight w:val="none"/>
          <w:lang w:val="zh-CN"/>
        </w:rPr>
      </w:pPr>
    </w:p>
    <w:p w14:paraId="4517CDA3">
      <w:pPr>
        <w:keepNext/>
        <w:keepLines/>
        <w:spacing w:before="340" w:after="330" w:line="578" w:lineRule="auto"/>
        <w:jc w:val="center"/>
        <w:outlineLvl w:val="0"/>
        <w:rPr>
          <w:rFonts w:ascii="宋体" w:hAnsi="宋体" w:eastAsia="宋体" w:cs="仿宋_GB2312"/>
          <w:bCs/>
          <w:color w:val="auto"/>
          <w:kern w:val="44"/>
          <w:sz w:val="44"/>
          <w:szCs w:val="44"/>
          <w:highlight w:val="none"/>
          <w:lang w:val="zh-CN"/>
        </w:rPr>
      </w:pPr>
      <w:bookmarkStart w:id="170" w:name="_Toc31751"/>
      <w:bookmarkStart w:id="171" w:name="_Toc80205947"/>
    </w:p>
    <w:p w14:paraId="65B1E4F9">
      <w:pPr>
        <w:keepNext/>
        <w:keepLines/>
        <w:spacing w:before="340" w:after="330" w:line="578" w:lineRule="auto"/>
        <w:jc w:val="center"/>
        <w:outlineLvl w:val="0"/>
        <w:rPr>
          <w:rFonts w:ascii="宋体" w:hAnsi="宋体" w:eastAsia="宋体" w:cs="仿宋_GB2312"/>
          <w:bCs/>
          <w:color w:val="auto"/>
          <w:kern w:val="44"/>
          <w:sz w:val="44"/>
          <w:szCs w:val="44"/>
          <w:highlight w:val="none"/>
          <w:lang w:val="zh-CN"/>
        </w:rPr>
      </w:pPr>
    </w:p>
    <w:p w14:paraId="43BF18D4">
      <w:pPr>
        <w:keepNext/>
        <w:keepLines/>
        <w:spacing w:before="340" w:after="330" w:line="578" w:lineRule="auto"/>
        <w:jc w:val="center"/>
        <w:outlineLvl w:val="0"/>
        <w:rPr>
          <w:rFonts w:ascii="宋体" w:hAnsi="宋体" w:eastAsia="宋体" w:cs="仿宋_GB2312"/>
          <w:b/>
          <w:bCs/>
          <w:color w:val="auto"/>
          <w:kern w:val="44"/>
          <w:sz w:val="44"/>
          <w:szCs w:val="44"/>
          <w:highlight w:val="none"/>
          <w:lang w:val="zh-CN"/>
        </w:rPr>
        <w:sectPr>
          <w:pgSz w:w="11910" w:h="16840"/>
          <w:pgMar w:top="1134" w:right="1134" w:bottom="1134" w:left="1134" w:header="720" w:footer="720" w:gutter="0"/>
          <w:cols w:space="720" w:num="1"/>
        </w:sectPr>
      </w:pPr>
      <w:bookmarkStart w:id="172" w:name="_Toc27629"/>
      <w:bookmarkStart w:id="173" w:name="_Toc6393"/>
      <w:bookmarkStart w:id="174" w:name="_Toc25054"/>
      <w:bookmarkStart w:id="175" w:name="_Toc2169"/>
      <w:bookmarkStart w:id="176" w:name="_Toc24483"/>
      <w:bookmarkStart w:id="177" w:name="_Toc32254"/>
      <w:bookmarkStart w:id="178" w:name="_Toc5523"/>
      <w:r>
        <w:rPr>
          <w:rFonts w:hint="eastAsia" w:ascii="宋体" w:hAnsi="宋体" w:eastAsia="宋体" w:cs="仿宋_GB2312"/>
          <w:bCs/>
          <w:color w:val="auto"/>
          <w:kern w:val="44"/>
          <w:sz w:val="44"/>
          <w:szCs w:val="44"/>
          <w:highlight w:val="none"/>
          <w:lang w:val="zh-CN"/>
        </w:rPr>
        <w:t>第七章 质疑、投诉材料格式</w:t>
      </w:r>
      <w:bookmarkEnd w:id="170"/>
      <w:bookmarkEnd w:id="171"/>
      <w:bookmarkEnd w:id="172"/>
      <w:bookmarkEnd w:id="173"/>
      <w:bookmarkEnd w:id="174"/>
      <w:bookmarkEnd w:id="175"/>
      <w:bookmarkEnd w:id="176"/>
      <w:bookmarkEnd w:id="177"/>
      <w:bookmarkEnd w:id="178"/>
    </w:p>
    <w:p w14:paraId="4BAF7F1D">
      <w:pPr>
        <w:spacing w:line="360" w:lineRule="auto"/>
        <w:jc w:val="center"/>
        <w:rPr>
          <w:rFonts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质疑函（格式）</w:t>
      </w:r>
    </w:p>
    <w:p w14:paraId="5EC096B5">
      <w:pPr>
        <w:spacing w:line="360" w:lineRule="auto"/>
        <w:ind w:firstLine="482" w:firstLineChars="200"/>
        <w:contextualSpacing/>
        <w:rPr>
          <w:rFonts w:ascii="宋体" w:hAnsi="宋体" w:eastAsia="宋体" w:cs="Times New Roman"/>
          <w:b/>
          <w:bCs/>
          <w:color w:val="auto"/>
          <w:kern w:val="0"/>
          <w:sz w:val="24"/>
          <w:szCs w:val="24"/>
          <w:highlight w:val="none"/>
          <w:lang w:val="zh-CN"/>
        </w:rPr>
      </w:pPr>
      <w:r>
        <w:rPr>
          <w:rFonts w:hint="eastAsia" w:ascii="宋体" w:hAnsi="宋体" w:eastAsia="宋体" w:cs="Times New Roman"/>
          <w:b/>
          <w:bCs/>
          <w:color w:val="auto"/>
          <w:kern w:val="0"/>
          <w:sz w:val="24"/>
          <w:szCs w:val="24"/>
          <w:highlight w:val="none"/>
          <w:lang w:val="zh-CN"/>
        </w:rPr>
        <w:t>一、质疑供应商基本信息：</w:t>
      </w:r>
    </w:p>
    <w:p w14:paraId="6FFB693B">
      <w:pPr>
        <w:spacing w:line="360" w:lineRule="auto"/>
        <w:ind w:firstLine="480" w:firstLineChars="200"/>
        <w:contextualSpacing/>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质疑供应商：</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5CA4D28F">
      <w:pPr>
        <w:spacing w:line="360" w:lineRule="auto"/>
        <w:ind w:firstLine="480" w:firstLineChars="200"/>
        <w:contextualSpacing/>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005E8EAE">
      <w:pPr>
        <w:spacing w:line="360" w:lineRule="auto"/>
        <w:ind w:firstLine="480" w:firstLineChars="200"/>
        <w:contextualSpacing/>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联系人</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联系电话</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p>
    <w:p w14:paraId="33586FDA">
      <w:pPr>
        <w:spacing w:line="360" w:lineRule="auto"/>
        <w:ind w:firstLine="480" w:firstLineChars="200"/>
        <w:contextualSpacing/>
        <w:rPr>
          <w:rFonts w:ascii="宋体" w:hAnsi="宋体" w:eastAsia="宋体" w:cs="Times New Roman"/>
          <w:bCs/>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授权代表：</w:t>
      </w:r>
      <w:r>
        <w:rPr>
          <w:rFonts w:hint="eastAsia" w:ascii="宋体" w:hAnsi="宋体" w:eastAsia="宋体" w:cs="Times New Roman"/>
          <w:bCs/>
          <w:color w:val="auto"/>
          <w:kern w:val="0"/>
          <w:sz w:val="24"/>
          <w:szCs w:val="24"/>
          <w:highlight w:val="none"/>
          <w:u w:val="single"/>
          <w:lang w:val="zh-CN"/>
        </w:rPr>
        <w:t xml:space="preserve">                      </w:t>
      </w:r>
    </w:p>
    <w:p w14:paraId="709E024E">
      <w:pPr>
        <w:spacing w:line="360" w:lineRule="auto"/>
        <w:ind w:firstLine="480" w:firstLineChars="200"/>
        <w:contextualSpacing/>
        <w:rPr>
          <w:rFonts w:ascii="宋体" w:hAnsi="宋体" w:eastAsia="宋体" w:cs="Times New Roman"/>
          <w:bCs/>
          <w:color w:val="auto"/>
          <w:kern w:val="0"/>
          <w:sz w:val="24"/>
          <w:szCs w:val="24"/>
          <w:highlight w:val="none"/>
          <w:u w:val="single"/>
          <w:lang w:val="zh-CN"/>
        </w:rPr>
      </w:pPr>
      <w:r>
        <w:rPr>
          <w:rFonts w:ascii="宋体" w:hAnsi="宋体" w:eastAsia="宋体" w:cs="Times New Roman"/>
          <w:bCs/>
          <w:color w:val="auto"/>
          <w:kern w:val="0"/>
          <w:sz w:val="24"/>
          <w:szCs w:val="24"/>
          <w:highlight w:val="none"/>
          <w:lang w:val="zh-CN"/>
        </w:rPr>
        <w:t>联系</w:t>
      </w:r>
      <w:r>
        <w:rPr>
          <w:rFonts w:hint="eastAsia" w:ascii="宋体" w:hAnsi="宋体" w:eastAsia="宋体" w:cs="Times New Roman"/>
          <w:bCs/>
          <w:color w:val="auto"/>
          <w:kern w:val="0"/>
          <w:sz w:val="24"/>
          <w:szCs w:val="24"/>
          <w:highlight w:val="none"/>
          <w:lang w:val="zh-CN"/>
        </w:rPr>
        <w:t>电话：</w:t>
      </w:r>
      <w:r>
        <w:rPr>
          <w:rFonts w:hint="eastAsia" w:ascii="宋体" w:hAnsi="宋体" w:eastAsia="宋体" w:cs="Times New Roman"/>
          <w:bCs/>
          <w:color w:val="auto"/>
          <w:kern w:val="0"/>
          <w:sz w:val="24"/>
          <w:szCs w:val="24"/>
          <w:highlight w:val="none"/>
          <w:u w:val="single"/>
          <w:lang w:val="zh-CN"/>
        </w:rPr>
        <w:t xml:space="preserve">                      </w:t>
      </w:r>
    </w:p>
    <w:p w14:paraId="3200CB7B">
      <w:pPr>
        <w:spacing w:line="360" w:lineRule="auto"/>
        <w:ind w:firstLine="480" w:firstLineChars="200"/>
        <w:contextualSpacing/>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2A66580E">
      <w:pPr>
        <w:spacing w:line="360" w:lineRule="auto"/>
        <w:ind w:firstLine="482" w:firstLineChars="200"/>
        <w:contextualSpacing/>
        <w:rPr>
          <w:rFonts w:ascii="宋体" w:hAnsi="宋体" w:eastAsia="宋体" w:cs="Times New Roman"/>
          <w:b/>
          <w:bCs/>
          <w:color w:val="auto"/>
          <w:kern w:val="0"/>
          <w:sz w:val="24"/>
          <w:szCs w:val="24"/>
          <w:highlight w:val="none"/>
          <w:lang w:val="zh-CN"/>
        </w:rPr>
      </w:pPr>
      <w:r>
        <w:rPr>
          <w:rFonts w:hint="eastAsia" w:ascii="宋体" w:hAnsi="宋体" w:eastAsia="宋体" w:cs="Times New Roman"/>
          <w:b/>
          <w:bCs/>
          <w:color w:val="auto"/>
          <w:kern w:val="0"/>
          <w:sz w:val="24"/>
          <w:szCs w:val="24"/>
          <w:highlight w:val="none"/>
          <w:lang w:val="zh-CN"/>
        </w:rPr>
        <w:t>二、质疑项目基本情况：</w:t>
      </w:r>
    </w:p>
    <w:p w14:paraId="2005CC08">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质疑</w:t>
      </w:r>
      <w:r>
        <w:rPr>
          <w:rFonts w:hint="eastAsia" w:ascii="宋体" w:hAnsi="宋体" w:eastAsia="宋体" w:cs="Times New Roman"/>
          <w:color w:val="auto"/>
          <w:kern w:val="0"/>
          <w:sz w:val="24"/>
          <w:szCs w:val="24"/>
          <w:highlight w:val="none"/>
          <w:lang w:val="zh-CN"/>
        </w:rPr>
        <w:t>项目的名称：</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14:paraId="3D43EE3E">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质疑</w:t>
      </w:r>
      <w:r>
        <w:rPr>
          <w:rFonts w:hint="eastAsia" w:ascii="宋体" w:hAnsi="宋体" w:eastAsia="宋体" w:cs="Times New Roman"/>
          <w:color w:val="auto"/>
          <w:kern w:val="0"/>
          <w:sz w:val="24"/>
          <w:szCs w:val="24"/>
          <w:highlight w:val="none"/>
          <w:lang w:val="zh-CN"/>
        </w:rPr>
        <w:t>项目的编号：</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14:paraId="05B76545">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采购人名称：</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14:paraId="3DEE5694">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质疑事项：</w:t>
      </w:r>
    </w:p>
    <w:p w14:paraId="15A6D21F">
      <w:pPr>
        <w:spacing w:line="360" w:lineRule="auto"/>
        <w:ind w:left="25" w:leftChars="12" w:firstLine="352" w:firstLineChars="14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□采购文件   采购文件获取日期：</w:t>
      </w:r>
      <w:r>
        <w:rPr>
          <w:rFonts w:hint="eastAsia" w:ascii="宋体" w:hAnsi="宋体" w:eastAsia="宋体" w:cs="Times New Roman"/>
          <w:bCs/>
          <w:color w:val="auto"/>
          <w:kern w:val="0"/>
          <w:sz w:val="24"/>
          <w:szCs w:val="24"/>
          <w:highlight w:val="none"/>
          <w:u w:val="single"/>
          <w:lang w:val="zh-CN"/>
        </w:rPr>
        <w:t xml:space="preserve">                                   </w:t>
      </w:r>
    </w:p>
    <w:p w14:paraId="2102E916">
      <w:pPr>
        <w:spacing w:line="360" w:lineRule="auto"/>
        <w:ind w:left="25" w:leftChars="12" w:firstLine="352" w:firstLineChars="14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 xml:space="preserve">□采购过程   </w:t>
      </w:r>
    </w:p>
    <w:p w14:paraId="582CD91B">
      <w:pPr>
        <w:spacing w:line="360" w:lineRule="auto"/>
        <w:ind w:left="25" w:leftChars="12" w:firstLine="352" w:firstLineChars="147"/>
        <w:contextualSpacing/>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color w:val="auto"/>
          <w:kern w:val="0"/>
          <w:sz w:val="24"/>
          <w:szCs w:val="24"/>
          <w:highlight w:val="none"/>
          <w:lang w:val="zh-CN"/>
        </w:rPr>
        <w:t xml:space="preserve">□成交结果   </w:t>
      </w:r>
    </w:p>
    <w:p w14:paraId="402069CC">
      <w:pPr>
        <w:spacing w:line="360" w:lineRule="auto"/>
        <w:ind w:left="25" w:leftChars="12" w:firstLine="472" w:firstLineChars="196"/>
        <w:contextualSpacing/>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三、质疑事项具体内容</w:t>
      </w:r>
    </w:p>
    <w:p w14:paraId="7D3B132B">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质疑事项1：</w:t>
      </w:r>
      <w:r>
        <w:rPr>
          <w:rFonts w:hint="eastAsia" w:ascii="宋体" w:hAnsi="宋体" w:eastAsia="宋体" w:cs="Times New Roman"/>
          <w:bCs/>
          <w:color w:val="auto"/>
          <w:kern w:val="0"/>
          <w:sz w:val="24"/>
          <w:szCs w:val="24"/>
          <w:highlight w:val="none"/>
          <w:u w:val="single"/>
          <w:lang w:val="zh-CN"/>
        </w:rPr>
        <w:t xml:space="preserve">                                                                    </w:t>
      </w:r>
    </w:p>
    <w:p w14:paraId="30FDED5A">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事实依据：</w:t>
      </w:r>
      <w:r>
        <w:rPr>
          <w:rFonts w:hint="eastAsia" w:ascii="宋体" w:hAnsi="宋体" w:eastAsia="宋体" w:cs="Times New Roman"/>
          <w:bCs/>
          <w:color w:val="auto"/>
          <w:kern w:val="0"/>
          <w:sz w:val="24"/>
          <w:szCs w:val="24"/>
          <w:highlight w:val="none"/>
          <w:u w:val="single"/>
          <w:lang w:val="zh-CN"/>
        </w:rPr>
        <w:t xml:space="preserve">                                                                      </w:t>
      </w:r>
    </w:p>
    <w:p w14:paraId="645F8D37">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法律依据：</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14:paraId="6DDFC94D">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质疑事项2</w:t>
      </w:r>
    </w:p>
    <w:p w14:paraId="4BE440E1">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ascii="宋体" w:hAnsi="宋体" w:eastAsia="宋体" w:cs="Times New Roman"/>
          <w:color w:val="auto"/>
          <w:kern w:val="0"/>
          <w:sz w:val="24"/>
          <w:szCs w:val="24"/>
          <w:highlight w:val="none"/>
          <w:lang w:val="zh-CN"/>
        </w:rPr>
        <w:t>……</w:t>
      </w:r>
    </w:p>
    <w:p w14:paraId="29BA21A7">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四、与质疑事项相关的质疑请求：</w:t>
      </w:r>
    </w:p>
    <w:p w14:paraId="44592413">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请求：</w:t>
      </w:r>
      <w:r>
        <w:rPr>
          <w:rFonts w:hint="eastAsia" w:ascii="宋体" w:hAnsi="宋体" w:eastAsia="宋体" w:cs="Times New Roman"/>
          <w:bCs/>
          <w:color w:val="auto"/>
          <w:kern w:val="0"/>
          <w:sz w:val="24"/>
          <w:szCs w:val="24"/>
          <w:highlight w:val="none"/>
          <w:u w:val="single"/>
          <w:lang w:val="zh-CN"/>
        </w:rPr>
        <w:t xml:space="preserve">                                                                </w:t>
      </w:r>
    </w:p>
    <w:p w14:paraId="11883291">
      <w:pPr>
        <w:spacing w:line="360" w:lineRule="auto"/>
        <w:ind w:left="25" w:leftChars="12" w:firstLine="352" w:firstLineChars="147"/>
        <w:contextualSpacing/>
        <w:rPr>
          <w:rFonts w:ascii="宋体" w:hAnsi="宋体" w:eastAsia="宋体" w:cs="Times New Roman"/>
          <w:color w:val="auto"/>
          <w:kern w:val="0"/>
          <w:sz w:val="24"/>
          <w:szCs w:val="24"/>
          <w:highlight w:val="none"/>
          <w:lang w:val="zh-CN"/>
        </w:rPr>
      </w:pPr>
    </w:p>
    <w:p w14:paraId="7548984F">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签字（签章）：                                       公章：</w:t>
      </w:r>
    </w:p>
    <w:p w14:paraId="3B5D704C">
      <w:pPr>
        <w:spacing w:line="360" w:lineRule="auto"/>
        <w:ind w:left="25" w:leftChars="12" w:firstLine="352" w:firstLineChars="147"/>
        <w:contextualSpacing/>
        <w:rPr>
          <w:rFonts w:ascii="宋体" w:hAnsi="宋体" w:eastAsia="宋体" w:cs="Times New Roman"/>
          <w:color w:val="auto"/>
          <w:kern w:val="0"/>
          <w:sz w:val="24"/>
          <w:szCs w:val="24"/>
          <w:highlight w:val="none"/>
          <w:lang w:val="zh-CN"/>
        </w:rPr>
      </w:pPr>
    </w:p>
    <w:p w14:paraId="1D4CD123">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日期：</w:t>
      </w:r>
    </w:p>
    <w:p w14:paraId="3156575B">
      <w:pPr>
        <w:spacing w:line="360" w:lineRule="auto"/>
        <w:contextualSpacing/>
        <w:rPr>
          <w:rFonts w:ascii="宋体" w:hAnsi="宋体" w:eastAsia="宋体" w:cs="Times New Roman"/>
          <w:b/>
          <w:color w:val="auto"/>
          <w:kern w:val="0"/>
          <w:sz w:val="24"/>
          <w:szCs w:val="24"/>
          <w:highlight w:val="none"/>
          <w:lang w:val="zh-CN"/>
        </w:rPr>
      </w:pPr>
    </w:p>
    <w:p w14:paraId="2411010A">
      <w:pPr>
        <w:spacing w:line="360" w:lineRule="auto"/>
        <w:contextualSpacing/>
        <w:rPr>
          <w:rFonts w:ascii="宋体" w:hAnsi="宋体" w:eastAsia="宋体" w:cs="Times New Roman"/>
          <w:b/>
          <w:color w:val="auto"/>
          <w:kern w:val="0"/>
          <w:sz w:val="24"/>
          <w:szCs w:val="24"/>
          <w:highlight w:val="none"/>
          <w:lang w:val="zh-CN"/>
        </w:rPr>
      </w:pPr>
    </w:p>
    <w:p w14:paraId="0D3117F4">
      <w:pPr>
        <w:spacing w:line="360" w:lineRule="auto"/>
        <w:contextualSpacing/>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说明：</w:t>
      </w:r>
    </w:p>
    <w:p w14:paraId="37C2FB51">
      <w:pPr>
        <w:spacing w:line="360" w:lineRule="auto"/>
        <w:ind w:left="25" w:leftChars="12" w:firstLine="354" w:firstLineChars="147"/>
        <w:contextualSpacing/>
        <w:rPr>
          <w:rFonts w:ascii="宋体" w:hAnsi="宋体" w:eastAsia="宋体" w:cs="Times New Roman"/>
          <w:b/>
          <w:bCs/>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1.供应商提出质疑时，应提交质疑函和必要的证明材料</w:t>
      </w:r>
      <w:r>
        <w:rPr>
          <w:rFonts w:hint="eastAsia" w:ascii="宋体" w:hAnsi="宋体" w:eastAsia="宋体" w:cs="Times New Roman"/>
          <w:b/>
          <w:bCs/>
          <w:color w:val="auto"/>
          <w:kern w:val="0"/>
          <w:sz w:val="24"/>
          <w:szCs w:val="24"/>
          <w:highlight w:val="none"/>
          <w:lang w:val="zh-CN"/>
        </w:rPr>
        <w:t>。</w:t>
      </w:r>
    </w:p>
    <w:p w14:paraId="6DD7DF26">
      <w:pPr>
        <w:spacing w:line="360" w:lineRule="auto"/>
        <w:ind w:left="25" w:leftChars="12" w:firstLine="354" w:firstLineChars="147"/>
        <w:contextualSpacing/>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FC6E7B7">
      <w:pPr>
        <w:spacing w:line="360" w:lineRule="auto"/>
        <w:ind w:left="25" w:leftChars="12" w:firstLine="354" w:firstLineChars="147"/>
        <w:contextualSpacing/>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3.质疑函的质疑事项应具体、明确，并有必要的事实依据和法律依据。</w:t>
      </w:r>
    </w:p>
    <w:p w14:paraId="29FEB2EA">
      <w:pPr>
        <w:spacing w:line="360" w:lineRule="auto"/>
        <w:ind w:left="25" w:leftChars="12" w:firstLine="354" w:firstLineChars="147"/>
        <w:contextualSpacing/>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4.质疑函的质疑请求应与质疑事项相关。</w:t>
      </w:r>
    </w:p>
    <w:p w14:paraId="1F2E3F54">
      <w:pPr>
        <w:spacing w:line="360" w:lineRule="auto"/>
        <w:ind w:left="25" w:leftChars="12" w:firstLine="354" w:firstLineChars="147"/>
        <w:contextualSpacing/>
        <w:rPr>
          <w:rFonts w:ascii="宋体" w:hAnsi="宋体" w:eastAsia="宋体" w:cs="Times New Roman"/>
          <w:b/>
          <w:color w:val="auto"/>
          <w:kern w:val="0"/>
          <w:sz w:val="20"/>
          <w:szCs w:val="21"/>
          <w:highlight w:val="none"/>
          <w:lang w:val="zh-CN"/>
        </w:rPr>
      </w:pPr>
      <w:r>
        <w:rPr>
          <w:rFonts w:hint="eastAsia" w:ascii="宋体" w:hAnsi="宋体" w:eastAsia="宋体" w:cs="Times New Roman"/>
          <w:b/>
          <w:color w:val="auto"/>
          <w:kern w:val="0"/>
          <w:sz w:val="24"/>
          <w:szCs w:val="24"/>
          <w:highlight w:val="none"/>
          <w:lang w:val="zh-CN"/>
        </w:rPr>
        <w:t>5.质疑供应商为法人或者其他组织的，质疑函应由法定代表人、主要负责人，或者其授权代表签字或者盖章，并加盖公章。</w:t>
      </w:r>
    </w:p>
    <w:p w14:paraId="29274CCF">
      <w:pPr>
        <w:snapToGrid w:val="0"/>
        <w:rPr>
          <w:rFonts w:ascii="宋体" w:hAnsi="Courier New" w:eastAsia="宋体" w:cs="Times New Roman"/>
          <w:b/>
          <w:color w:val="auto"/>
          <w:kern w:val="0"/>
          <w:sz w:val="24"/>
          <w:szCs w:val="24"/>
          <w:highlight w:val="none"/>
          <w:lang w:val="zh-CN"/>
        </w:rPr>
      </w:pPr>
    </w:p>
    <w:p w14:paraId="4A361054">
      <w:pPr>
        <w:spacing w:line="460" w:lineRule="exact"/>
        <w:jc w:val="center"/>
        <w:rPr>
          <w:rFonts w:ascii="Times New Roman" w:hAnsi="Times New Roman" w:eastAsia="隶书" w:cs="Times New Roman"/>
          <w:color w:val="auto"/>
          <w:sz w:val="44"/>
          <w:szCs w:val="24"/>
          <w:highlight w:val="none"/>
        </w:rPr>
      </w:pPr>
      <w:r>
        <w:rPr>
          <w:rFonts w:ascii="Times New Roman" w:hAnsi="Times New Roman" w:eastAsia="隶书" w:cs="Times New Roman"/>
          <w:color w:val="auto"/>
          <w:sz w:val="44"/>
          <w:szCs w:val="24"/>
          <w:highlight w:val="none"/>
        </w:rPr>
        <w:br w:type="page"/>
      </w:r>
    </w:p>
    <w:p w14:paraId="4717A641">
      <w:pPr>
        <w:spacing w:line="360" w:lineRule="auto"/>
        <w:jc w:val="center"/>
        <w:rPr>
          <w:rFonts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投诉书（格式）</w:t>
      </w:r>
    </w:p>
    <w:p w14:paraId="676D1E3C">
      <w:pPr>
        <w:snapToGrid w:val="0"/>
        <w:spacing w:line="360" w:lineRule="auto"/>
        <w:ind w:firstLine="482" w:firstLineChars="200"/>
        <w:rPr>
          <w:rFonts w:ascii="宋体" w:hAnsi="宋体" w:eastAsia="宋体" w:cs="Times New Roman"/>
          <w:b/>
          <w:bCs/>
          <w:color w:val="auto"/>
          <w:kern w:val="0"/>
          <w:sz w:val="24"/>
          <w:szCs w:val="24"/>
          <w:highlight w:val="none"/>
          <w:lang w:val="zh-CN"/>
        </w:rPr>
      </w:pPr>
      <w:r>
        <w:rPr>
          <w:rFonts w:hint="eastAsia" w:ascii="宋体" w:hAnsi="宋体" w:eastAsia="宋体" w:cs="Times New Roman"/>
          <w:b/>
          <w:bCs/>
          <w:color w:val="auto"/>
          <w:kern w:val="0"/>
          <w:sz w:val="24"/>
          <w:szCs w:val="24"/>
          <w:highlight w:val="none"/>
          <w:lang w:val="zh-CN"/>
        </w:rPr>
        <w:t>一、投诉相关主体基本情况：</w:t>
      </w:r>
    </w:p>
    <w:p w14:paraId="4C82F7CE">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供应商：</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6B504305">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62F70665">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法定代表人/主要负责人：</w:t>
      </w:r>
      <w:r>
        <w:rPr>
          <w:rFonts w:hint="eastAsia" w:ascii="宋体" w:hAnsi="宋体" w:eastAsia="宋体" w:cs="Times New Roman"/>
          <w:bCs/>
          <w:color w:val="auto"/>
          <w:kern w:val="0"/>
          <w:sz w:val="24"/>
          <w:szCs w:val="24"/>
          <w:highlight w:val="none"/>
          <w:u w:val="single"/>
          <w:lang w:val="zh-CN"/>
        </w:rPr>
        <w:t xml:space="preserve">                                                         </w:t>
      </w:r>
    </w:p>
    <w:p w14:paraId="51FDC5C3">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联系电话</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p>
    <w:p w14:paraId="73F997DB">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授权代表：</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联系</w:t>
      </w:r>
      <w:r>
        <w:rPr>
          <w:rFonts w:hint="eastAsia" w:ascii="宋体" w:hAnsi="宋体" w:eastAsia="宋体" w:cs="Times New Roman"/>
          <w:bCs/>
          <w:color w:val="auto"/>
          <w:kern w:val="0"/>
          <w:sz w:val="24"/>
          <w:szCs w:val="24"/>
          <w:highlight w:val="none"/>
          <w:lang w:val="zh-CN"/>
        </w:rPr>
        <w:t>电话：</w:t>
      </w:r>
      <w:r>
        <w:rPr>
          <w:rFonts w:hint="eastAsia" w:ascii="宋体" w:hAnsi="宋体" w:eastAsia="宋体" w:cs="Times New Roman"/>
          <w:bCs/>
          <w:color w:val="auto"/>
          <w:kern w:val="0"/>
          <w:sz w:val="24"/>
          <w:szCs w:val="24"/>
          <w:highlight w:val="none"/>
          <w:u w:val="single"/>
          <w:lang w:val="zh-CN"/>
        </w:rPr>
        <w:t xml:space="preserve">                   </w:t>
      </w:r>
    </w:p>
    <w:p w14:paraId="2FF578F2">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p>
    <w:p w14:paraId="5C415F89">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4E023958">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被投诉人1：</w:t>
      </w:r>
    </w:p>
    <w:p w14:paraId="6951B304">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u w:val="single"/>
          <w:lang w:val="zh-CN"/>
        </w:rPr>
        <w:t xml:space="preserve">                                                            </w:t>
      </w:r>
    </w:p>
    <w:p w14:paraId="66EBED4B">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5CA298B6">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联系人：</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联系</w:t>
      </w:r>
      <w:r>
        <w:rPr>
          <w:rFonts w:hint="eastAsia" w:ascii="宋体" w:hAnsi="宋体" w:eastAsia="宋体" w:cs="Times New Roman"/>
          <w:bCs/>
          <w:color w:val="auto"/>
          <w:kern w:val="0"/>
          <w:sz w:val="24"/>
          <w:szCs w:val="24"/>
          <w:highlight w:val="none"/>
          <w:lang w:val="zh-CN"/>
        </w:rPr>
        <w:t>电话：</w:t>
      </w:r>
      <w:r>
        <w:rPr>
          <w:rFonts w:hint="eastAsia" w:ascii="宋体" w:hAnsi="宋体" w:eastAsia="宋体" w:cs="Times New Roman"/>
          <w:bCs/>
          <w:color w:val="auto"/>
          <w:kern w:val="0"/>
          <w:sz w:val="24"/>
          <w:szCs w:val="24"/>
          <w:highlight w:val="none"/>
          <w:u w:val="single"/>
          <w:lang w:val="zh-CN"/>
        </w:rPr>
        <w:t xml:space="preserve">                </w:t>
      </w:r>
    </w:p>
    <w:p w14:paraId="4C239C2F">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被投诉人2：</w:t>
      </w:r>
    </w:p>
    <w:p w14:paraId="6D0A2EA3">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w:t>
      </w:r>
    </w:p>
    <w:p w14:paraId="73E7B088">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相关供应商：</w:t>
      </w:r>
      <w:r>
        <w:rPr>
          <w:rFonts w:hint="eastAsia" w:ascii="宋体" w:hAnsi="宋体" w:eastAsia="宋体" w:cs="Times New Roman"/>
          <w:bCs/>
          <w:color w:val="auto"/>
          <w:kern w:val="0"/>
          <w:sz w:val="24"/>
          <w:szCs w:val="24"/>
          <w:highlight w:val="none"/>
          <w:u w:val="single"/>
          <w:lang w:val="zh-CN"/>
        </w:rPr>
        <w:t xml:space="preserve">                                                                       </w:t>
      </w:r>
    </w:p>
    <w:p w14:paraId="44235D1B">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p>
    <w:p w14:paraId="30EB1FD5">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联系人：</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联系</w:t>
      </w:r>
      <w:r>
        <w:rPr>
          <w:rFonts w:hint="eastAsia" w:ascii="宋体" w:hAnsi="宋体" w:eastAsia="宋体" w:cs="Times New Roman"/>
          <w:bCs/>
          <w:color w:val="auto"/>
          <w:kern w:val="0"/>
          <w:sz w:val="24"/>
          <w:szCs w:val="24"/>
          <w:highlight w:val="none"/>
          <w:lang w:val="zh-CN"/>
        </w:rPr>
        <w:t>电话：</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54931009">
      <w:pPr>
        <w:snapToGrid w:val="0"/>
        <w:spacing w:line="360" w:lineRule="auto"/>
        <w:ind w:firstLine="482" w:firstLineChars="200"/>
        <w:rPr>
          <w:rFonts w:ascii="宋体" w:hAnsi="宋体" w:eastAsia="宋体" w:cs="Times New Roman"/>
          <w:b/>
          <w:bCs/>
          <w:color w:val="auto"/>
          <w:kern w:val="0"/>
          <w:sz w:val="24"/>
          <w:szCs w:val="24"/>
          <w:highlight w:val="none"/>
          <w:lang w:val="zh-CN"/>
        </w:rPr>
      </w:pPr>
      <w:r>
        <w:rPr>
          <w:rFonts w:hint="eastAsia" w:ascii="宋体" w:hAnsi="宋体" w:eastAsia="宋体" w:cs="Times New Roman"/>
          <w:b/>
          <w:bCs/>
          <w:color w:val="auto"/>
          <w:kern w:val="0"/>
          <w:sz w:val="24"/>
          <w:szCs w:val="24"/>
          <w:highlight w:val="none"/>
          <w:lang w:val="zh-CN"/>
        </w:rPr>
        <w:t>二、投诉项目基本情况：</w:t>
      </w:r>
    </w:p>
    <w:p w14:paraId="46CC1D21">
      <w:pPr>
        <w:spacing w:line="360" w:lineRule="auto"/>
        <w:ind w:left="25" w:leftChars="12" w:firstLine="472" w:firstLineChars="197"/>
        <w:rPr>
          <w:rFonts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采购</w:t>
      </w:r>
      <w:r>
        <w:rPr>
          <w:rFonts w:hint="eastAsia" w:ascii="宋体" w:hAnsi="宋体" w:eastAsia="宋体" w:cs="Times New Roman"/>
          <w:color w:val="auto"/>
          <w:kern w:val="0"/>
          <w:sz w:val="24"/>
          <w:szCs w:val="24"/>
          <w:highlight w:val="none"/>
          <w:lang w:val="zh-CN"/>
        </w:rPr>
        <w:t>项目的名称：</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14:paraId="6C68ABF5">
      <w:pPr>
        <w:spacing w:line="360" w:lineRule="auto"/>
        <w:ind w:left="25" w:leftChars="12" w:firstLine="472" w:firstLineChars="197"/>
        <w:rPr>
          <w:rFonts w:ascii="宋体" w:hAnsi="宋体" w:eastAsia="宋体" w:cs="Times New Roman"/>
          <w:color w:val="auto"/>
          <w:kern w:val="0"/>
          <w:sz w:val="24"/>
          <w:szCs w:val="24"/>
          <w:highlight w:val="none"/>
        </w:rPr>
      </w:pPr>
      <w:r>
        <w:rPr>
          <w:rFonts w:hint="eastAsia" w:ascii="宋体" w:hAnsi="宋体" w:eastAsia="宋体" w:cs="Times New Roman"/>
          <w:bCs/>
          <w:color w:val="auto"/>
          <w:kern w:val="0"/>
          <w:sz w:val="24"/>
          <w:szCs w:val="24"/>
          <w:highlight w:val="none"/>
          <w:lang w:val="zh-CN"/>
        </w:rPr>
        <w:t>采购</w:t>
      </w:r>
      <w:r>
        <w:rPr>
          <w:rFonts w:hint="eastAsia" w:ascii="宋体" w:hAnsi="宋体" w:eastAsia="宋体" w:cs="Times New Roman"/>
          <w:color w:val="auto"/>
          <w:kern w:val="0"/>
          <w:sz w:val="24"/>
          <w:szCs w:val="24"/>
          <w:highlight w:val="none"/>
          <w:lang w:val="zh-CN"/>
        </w:rPr>
        <w:t>项目的编号：</w:t>
      </w:r>
      <w:r>
        <w:rPr>
          <w:rFonts w:hint="eastAsia" w:ascii="宋体" w:hAnsi="宋体" w:eastAsia="宋体" w:cs="Times New Roman"/>
          <w:bCs/>
          <w:color w:val="auto"/>
          <w:kern w:val="0"/>
          <w:sz w:val="24"/>
          <w:szCs w:val="24"/>
          <w:highlight w:val="none"/>
          <w:u w:val="single"/>
        </w:rPr>
        <w:t xml:space="preserve">                 </w:t>
      </w:r>
    </w:p>
    <w:p w14:paraId="1B9C99BA">
      <w:pPr>
        <w:spacing w:line="360" w:lineRule="auto"/>
        <w:ind w:left="25" w:leftChars="12" w:firstLine="472" w:firstLineChars="197"/>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color w:val="auto"/>
          <w:kern w:val="0"/>
          <w:sz w:val="24"/>
          <w:szCs w:val="24"/>
          <w:highlight w:val="none"/>
          <w:lang w:val="zh-CN"/>
        </w:rPr>
        <w:t>采购人名称：</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14:paraId="00A72E69">
      <w:pPr>
        <w:spacing w:line="360" w:lineRule="auto"/>
        <w:ind w:left="25" w:leftChars="12" w:firstLine="472" w:firstLineChars="197"/>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color w:val="auto"/>
          <w:kern w:val="0"/>
          <w:sz w:val="24"/>
          <w:szCs w:val="24"/>
          <w:highlight w:val="none"/>
          <w:lang w:val="zh-CN"/>
        </w:rPr>
        <w:t>代理机构名称：</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14:paraId="68BD1CA2">
      <w:pPr>
        <w:spacing w:line="360" w:lineRule="auto"/>
        <w:ind w:left="25" w:leftChars="12" w:firstLine="472" w:firstLineChars="197"/>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rPr>
        <w:t>采购</w:t>
      </w:r>
      <w:r>
        <w:rPr>
          <w:rFonts w:hint="eastAsia" w:ascii="宋体" w:hAnsi="宋体" w:eastAsia="宋体" w:cs="Times New Roman"/>
          <w:bCs/>
          <w:color w:val="auto"/>
          <w:kern w:val="0"/>
          <w:sz w:val="24"/>
          <w:szCs w:val="24"/>
          <w:highlight w:val="none"/>
          <w:lang w:val="zh-CN"/>
        </w:rPr>
        <w:t>文件公告：</w:t>
      </w:r>
      <w:r>
        <w:rPr>
          <w:rFonts w:hint="eastAsia" w:ascii="宋体" w:hAnsi="宋体" w:eastAsia="宋体" w:cs="Times New Roman"/>
          <w:bCs/>
          <w:color w:val="auto"/>
          <w:kern w:val="0"/>
          <w:sz w:val="24"/>
          <w:szCs w:val="24"/>
          <w:highlight w:val="none"/>
          <w:u w:val="single"/>
          <w:lang w:val="zh-CN"/>
        </w:rPr>
        <w:t>是/否</w:t>
      </w:r>
      <w:r>
        <w:rPr>
          <w:rFonts w:hint="eastAsia" w:ascii="宋体" w:hAnsi="宋体" w:eastAsia="宋体" w:cs="Times New Roman"/>
          <w:bCs/>
          <w:color w:val="auto"/>
          <w:kern w:val="0"/>
          <w:sz w:val="24"/>
          <w:szCs w:val="24"/>
          <w:highlight w:val="none"/>
          <w:lang w:val="zh-CN"/>
        </w:rPr>
        <w:t>公告期限：</w:t>
      </w:r>
      <w:r>
        <w:rPr>
          <w:rFonts w:hint="eastAsia" w:ascii="宋体" w:hAnsi="宋体" w:eastAsia="宋体" w:cs="Times New Roman"/>
          <w:bCs/>
          <w:color w:val="auto"/>
          <w:kern w:val="0"/>
          <w:sz w:val="24"/>
          <w:szCs w:val="24"/>
          <w:highlight w:val="none"/>
          <w:u w:val="single"/>
          <w:lang w:val="zh-CN"/>
        </w:rPr>
        <w:t xml:space="preserve">                                                       </w:t>
      </w:r>
    </w:p>
    <w:p w14:paraId="74D196C0">
      <w:pPr>
        <w:spacing w:line="360" w:lineRule="auto"/>
        <w:ind w:left="25" w:leftChars="12" w:firstLine="472" w:firstLineChars="197"/>
        <w:rPr>
          <w:rFonts w:ascii="宋体" w:hAnsi="宋体" w:eastAsia="宋体" w:cs="Times New Roman"/>
          <w:b/>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采购结果公告：</w:t>
      </w:r>
      <w:r>
        <w:rPr>
          <w:rFonts w:hint="eastAsia" w:ascii="宋体" w:hAnsi="宋体" w:eastAsia="宋体" w:cs="Times New Roman"/>
          <w:bCs/>
          <w:color w:val="auto"/>
          <w:kern w:val="0"/>
          <w:sz w:val="24"/>
          <w:szCs w:val="24"/>
          <w:highlight w:val="none"/>
          <w:u w:val="single"/>
          <w:lang w:val="zh-CN"/>
        </w:rPr>
        <w:t>是/否</w:t>
      </w:r>
      <w:r>
        <w:rPr>
          <w:rFonts w:hint="eastAsia" w:ascii="宋体" w:hAnsi="宋体" w:eastAsia="宋体" w:cs="Times New Roman"/>
          <w:bCs/>
          <w:color w:val="auto"/>
          <w:kern w:val="0"/>
          <w:sz w:val="24"/>
          <w:szCs w:val="24"/>
          <w:highlight w:val="none"/>
          <w:lang w:val="zh-CN"/>
        </w:rPr>
        <w:t>公告期限：</w:t>
      </w:r>
      <w:r>
        <w:rPr>
          <w:rFonts w:hint="eastAsia" w:ascii="宋体" w:hAnsi="宋体" w:eastAsia="宋体" w:cs="Times New Roman"/>
          <w:bCs/>
          <w:color w:val="auto"/>
          <w:kern w:val="0"/>
          <w:sz w:val="24"/>
          <w:szCs w:val="24"/>
          <w:highlight w:val="none"/>
          <w:u w:val="single"/>
          <w:lang w:val="zh-CN"/>
        </w:rPr>
        <w:t xml:space="preserve">                                                       </w:t>
      </w:r>
    </w:p>
    <w:p w14:paraId="18FFD436">
      <w:pPr>
        <w:spacing w:line="360" w:lineRule="auto"/>
        <w:ind w:left="25" w:leftChars="12" w:firstLine="472" w:firstLineChars="196"/>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三、质疑基本情况</w:t>
      </w:r>
    </w:p>
    <w:p w14:paraId="1670FD08">
      <w:pPr>
        <w:spacing w:line="360" w:lineRule="auto"/>
        <w:ind w:firstLine="480" w:firstLineChars="200"/>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投诉人于</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年</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月</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日，向</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提出质疑，质疑事项为：</w:t>
      </w:r>
    </w:p>
    <w:p w14:paraId="07F60580">
      <w:pPr>
        <w:spacing w:line="360" w:lineRule="auto"/>
        <w:ind w:firstLine="241"/>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color w:val="auto"/>
          <w:kern w:val="0"/>
          <w:sz w:val="24"/>
          <w:szCs w:val="24"/>
          <w:highlight w:val="non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14:paraId="0E058B53">
      <w:pPr>
        <w:spacing w:line="360" w:lineRule="auto"/>
        <w:ind w:firstLine="241"/>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14:paraId="21572611">
      <w:pPr>
        <w:spacing w:line="360" w:lineRule="auto"/>
        <w:ind w:firstLine="480" w:firstLineChars="200"/>
        <w:rPr>
          <w:rFonts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u w:val="single"/>
          <w:lang w:val="zh-CN"/>
        </w:rPr>
        <w:t>采购人/代理机构</w:t>
      </w:r>
      <w:r>
        <w:rPr>
          <w:rFonts w:hint="eastAsia" w:ascii="宋体" w:hAnsi="宋体" w:eastAsia="宋体" w:cs="Times New Roman"/>
          <w:bCs/>
          <w:color w:val="auto"/>
          <w:kern w:val="0"/>
          <w:sz w:val="24"/>
          <w:szCs w:val="24"/>
          <w:highlight w:val="none"/>
          <w:lang w:val="zh-CN"/>
        </w:rPr>
        <w:t>于</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年</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月</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日，</w:t>
      </w:r>
      <w:r>
        <w:rPr>
          <w:rFonts w:hint="eastAsia" w:ascii="宋体" w:hAnsi="宋体" w:eastAsia="宋体" w:cs="Times New Roman"/>
          <w:bCs/>
          <w:color w:val="auto"/>
          <w:kern w:val="0"/>
          <w:sz w:val="24"/>
          <w:szCs w:val="24"/>
          <w:highlight w:val="none"/>
          <w:lang w:val="zh-CN"/>
        </w:rPr>
        <w:t xml:space="preserve">就质疑事项作出了答复/没有在法定期限内作出答复。                                                                                             </w:t>
      </w:r>
    </w:p>
    <w:p w14:paraId="00423B79">
      <w:pPr>
        <w:spacing w:line="360" w:lineRule="auto"/>
        <w:ind w:left="25" w:leftChars="12" w:firstLine="472" w:firstLineChars="196"/>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四、投诉事项具体内容</w:t>
      </w:r>
    </w:p>
    <w:p w14:paraId="5AD98924">
      <w:pPr>
        <w:spacing w:line="360" w:lineRule="auto"/>
        <w:ind w:left="25" w:leftChars="12" w:firstLine="472" w:firstLineChars="197"/>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color w:val="auto"/>
          <w:kern w:val="0"/>
          <w:sz w:val="24"/>
          <w:szCs w:val="24"/>
          <w:highlight w:val="none"/>
          <w:lang w:val="zh-CN"/>
        </w:rPr>
        <w:t>投诉事项1：</w:t>
      </w:r>
      <w:r>
        <w:rPr>
          <w:rFonts w:hint="eastAsia" w:ascii="宋体" w:hAnsi="宋体" w:eastAsia="宋体" w:cs="Times New Roman"/>
          <w:bCs/>
          <w:color w:val="auto"/>
          <w:kern w:val="0"/>
          <w:sz w:val="24"/>
          <w:szCs w:val="24"/>
          <w:highlight w:val="none"/>
          <w:u w:val="single"/>
          <w:lang w:val="zh-CN"/>
        </w:rPr>
        <w:t xml:space="preserve">                                                                           </w:t>
      </w:r>
    </w:p>
    <w:p w14:paraId="41EDF9AD">
      <w:pPr>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事实依据：</w:t>
      </w:r>
      <w:r>
        <w:rPr>
          <w:rFonts w:hint="eastAsia" w:ascii="宋体" w:hAnsi="宋体" w:eastAsia="宋体" w:cs="Times New Roman"/>
          <w:color w:val="auto"/>
          <w:kern w:val="0"/>
          <w:sz w:val="24"/>
          <w:szCs w:val="24"/>
          <w:highlight w:val="non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14:paraId="5C6F985C">
      <w:pPr>
        <w:spacing w:line="360" w:lineRule="auto"/>
        <w:ind w:left="25" w:leftChars="12" w:firstLine="472" w:firstLineChars="197"/>
        <w:rPr>
          <w:rFonts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u w:val="single"/>
          <w:lang w:val="zh-CN"/>
        </w:rPr>
        <w:t xml:space="preserve">                                                                                        </w:t>
      </w:r>
    </w:p>
    <w:p w14:paraId="12812D51">
      <w:pPr>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法律依据：</w:t>
      </w:r>
      <w:r>
        <w:rPr>
          <w:rFonts w:hint="eastAsia" w:ascii="宋体" w:hAnsi="宋体" w:eastAsia="宋体" w:cs="Times New Roman"/>
          <w:color w:val="auto"/>
          <w:kern w:val="0"/>
          <w:sz w:val="24"/>
          <w:szCs w:val="24"/>
          <w:highlight w:val="non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14:paraId="050AC11D">
      <w:pPr>
        <w:spacing w:line="360" w:lineRule="auto"/>
        <w:ind w:left="25" w:leftChars="12" w:firstLine="352" w:firstLineChars="147"/>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14:paraId="5B251DE3">
      <w:pPr>
        <w:spacing w:line="360" w:lineRule="auto"/>
        <w:ind w:left="25" w:leftChars="12" w:firstLine="472" w:firstLineChars="197"/>
        <w:rPr>
          <w:rFonts w:ascii="宋体" w:hAnsi="宋体" w:eastAsia="宋体" w:cs="Times New Roman"/>
          <w:bCs/>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 xml:space="preserve">投诉事项2  </w:t>
      </w:r>
      <w:r>
        <w:rPr>
          <w:rFonts w:hint="eastAsia" w:ascii="宋体" w:hAnsi="宋体" w:eastAsia="宋体" w:cs="Times New Roman"/>
          <w:bCs/>
          <w:color w:val="auto"/>
          <w:kern w:val="0"/>
          <w:sz w:val="24"/>
          <w:szCs w:val="24"/>
          <w:highlight w:val="none"/>
          <w:lang w:val="zh-CN"/>
        </w:rPr>
        <w:t xml:space="preserve">   </w:t>
      </w:r>
    </w:p>
    <w:p w14:paraId="38D5F161">
      <w:pPr>
        <w:spacing w:line="360" w:lineRule="auto"/>
        <w:ind w:left="25" w:leftChars="12" w:firstLine="472" w:firstLineChars="197"/>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w:t>
      </w:r>
    </w:p>
    <w:p w14:paraId="64E91AF4">
      <w:pPr>
        <w:spacing w:line="360" w:lineRule="auto"/>
        <w:ind w:left="25" w:leftChars="12" w:firstLine="472" w:firstLineChars="196"/>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五、与投诉事项相关的投诉请求：</w:t>
      </w:r>
    </w:p>
    <w:p w14:paraId="3441F979">
      <w:pPr>
        <w:spacing w:line="360" w:lineRule="auto"/>
        <w:ind w:left="25" w:leftChars="12" w:firstLine="472" w:firstLineChars="197"/>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请求：</w:t>
      </w:r>
      <w:r>
        <w:rPr>
          <w:rFonts w:hint="eastAsia" w:ascii="宋体" w:hAnsi="宋体" w:eastAsia="宋体" w:cs="Times New Roman"/>
          <w:bCs/>
          <w:color w:val="auto"/>
          <w:kern w:val="0"/>
          <w:sz w:val="24"/>
          <w:szCs w:val="24"/>
          <w:highlight w:val="none"/>
          <w:u w:val="single"/>
          <w:lang w:val="zh-CN"/>
        </w:rPr>
        <w:t xml:space="preserve">                                                                                 </w:t>
      </w:r>
    </w:p>
    <w:p w14:paraId="5A9B5C4F">
      <w:pPr>
        <w:spacing w:line="360" w:lineRule="auto"/>
        <w:ind w:left="25" w:leftChars="12" w:firstLine="352" w:firstLineChars="147"/>
        <w:rPr>
          <w:rFonts w:ascii="宋体" w:hAnsi="宋体" w:eastAsia="宋体" w:cs="Times New Roman"/>
          <w:color w:val="auto"/>
          <w:kern w:val="0"/>
          <w:sz w:val="24"/>
          <w:szCs w:val="24"/>
          <w:highlight w:val="none"/>
          <w:lang w:val="zh-CN"/>
        </w:rPr>
      </w:pPr>
    </w:p>
    <w:p w14:paraId="3282784C">
      <w:pPr>
        <w:spacing w:line="360" w:lineRule="auto"/>
        <w:ind w:left="25" w:leftChars="12" w:firstLine="472" w:firstLineChars="197"/>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签字（签章）：                                       公章：</w:t>
      </w:r>
    </w:p>
    <w:p w14:paraId="72E8C465">
      <w:pPr>
        <w:spacing w:line="360" w:lineRule="auto"/>
        <w:ind w:left="25" w:leftChars="12" w:firstLine="352" w:firstLineChars="147"/>
        <w:rPr>
          <w:rFonts w:ascii="宋体" w:hAnsi="宋体" w:eastAsia="宋体" w:cs="Times New Roman"/>
          <w:color w:val="auto"/>
          <w:kern w:val="0"/>
          <w:sz w:val="24"/>
          <w:szCs w:val="24"/>
          <w:highlight w:val="none"/>
          <w:lang w:val="zh-CN"/>
        </w:rPr>
      </w:pPr>
    </w:p>
    <w:p w14:paraId="35A93F31">
      <w:pPr>
        <w:spacing w:line="360" w:lineRule="auto"/>
        <w:ind w:left="25" w:leftChars="12" w:firstLine="472" w:firstLineChars="197"/>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日期：</w:t>
      </w:r>
    </w:p>
    <w:p w14:paraId="4A0370B8">
      <w:pPr>
        <w:spacing w:line="360" w:lineRule="auto"/>
        <w:ind w:left="25" w:leftChars="12" w:firstLine="472" w:firstLineChars="197"/>
        <w:rPr>
          <w:rFonts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 xml:space="preserve">                                                                                 </w:t>
      </w:r>
    </w:p>
    <w:p w14:paraId="582587FA">
      <w:pPr>
        <w:snapToGrid w:val="0"/>
        <w:spacing w:line="360" w:lineRule="auto"/>
        <w:rPr>
          <w:rFonts w:ascii="宋体" w:hAnsi="宋体" w:eastAsia="宋体" w:cs="Times New Roman"/>
          <w:b/>
          <w:color w:val="auto"/>
          <w:kern w:val="0"/>
          <w:sz w:val="24"/>
          <w:szCs w:val="24"/>
          <w:highlight w:val="none"/>
          <w:lang w:val="zh-CN"/>
        </w:rPr>
      </w:pPr>
    </w:p>
    <w:p w14:paraId="799F00E9">
      <w:pPr>
        <w:snapToGrid w:val="0"/>
        <w:spacing w:line="360" w:lineRule="auto"/>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说明：</w:t>
      </w:r>
    </w:p>
    <w:p w14:paraId="6C2CFAB4">
      <w:pPr>
        <w:spacing w:line="360" w:lineRule="auto"/>
        <w:ind w:left="25" w:leftChars="12" w:firstLine="354" w:firstLineChars="147"/>
        <w:rPr>
          <w:rFonts w:ascii="宋体" w:hAnsi="宋体" w:eastAsia="宋体" w:cs="Times New Roman"/>
          <w:b/>
          <w:bCs/>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1.投诉人提起投诉时，应当提交投诉书和必要的证明材料，并按照被投诉人和与投诉事项有关的供应商数量提供投诉书副本</w:t>
      </w:r>
      <w:r>
        <w:rPr>
          <w:rFonts w:hint="eastAsia" w:ascii="宋体" w:hAnsi="宋体" w:eastAsia="宋体" w:cs="Times New Roman"/>
          <w:b/>
          <w:bCs/>
          <w:color w:val="auto"/>
          <w:kern w:val="0"/>
          <w:sz w:val="24"/>
          <w:szCs w:val="24"/>
          <w:highlight w:val="none"/>
          <w:lang w:val="zh-CN"/>
        </w:rPr>
        <w:t>。</w:t>
      </w:r>
    </w:p>
    <w:p w14:paraId="5BA9F4CC">
      <w:pPr>
        <w:spacing w:line="360" w:lineRule="auto"/>
        <w:ind w:left="25" w:leftChars="12" w:firstLine="354" w:firstLineChars="147"/>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57B21823">
      <w:pPr>
        <w:spacing w:line="360" w:lineRule="auto"/>
        <w:ind w:left="25" w:leftChars="12" w:firstLine="354" w:firstLineChars="147"/>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3.投诉书应简要列明质疑事项，质疑函、质疑答复等作为附件材料提供。</w:t>
      </w:r>
    </w:p>
    <w:p w14:paraId="6274EAF0">
      <w:pPr>
        <w:spacing w:line="360" w:lineRule="auto"/>
        <w:ind w:left="25" w:leftChars="12" w:firstLine="354" w:firstLineChars="147"/>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4.投诉书的投诉事项应具体、明确，并有必要的事实依据和法律依据。</w:t>
      </w:r>
    </w:p>
    <w:p w14:paraId="1ACF4523">
      <w:pPr>
        <w:spacing w:line="360" w:lineRule="auto"/>
        <w:ind w:left="25" w:leftChars="12" w:firstLine="354" w:firstLineChars="147"/>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5.投诉书的投诉请求应与投诉事项相关。</w:t>
      </w:r>
    </w:p>
    <w:p w14:paraId="769CB920">
      <w:pPr>
        <w:spacing w:line="360" w:lineRule="auto"/>
        <w:ind w:left="25" w:leftChars="12" w:firstLine="354" w:firstLineChars="147"/>
        <w:rPr>
          <w:rFonts w:ascii="宋体" w:hAnsi="宋体" w:eastAsia="宋体" w:cs="Times New Roman"/>
          <w:b/>
          <w:color w:val="auto"/>
          <w:kern w:val="0"/>
          <w:sz w:val="20"/>
          <w:szCs w:val="21"/>
          <w:highlight w:val="none"/>
          <w:lang w:val="zh-CN"/>
        </w:rPr>
      </w:pPr>
      <w:r>
        <w:rPr>
          <w:rFonts w:hint="eastAsia" w:ascii="宋体" w:hAnsi="宋体" w:eastAsia="宋体" w:cs="Times New Roman"/>
          <w:b/>
          <w:color w:val="auto"/>
          <w:kern w:val="0"/>
          <w:sz w:val="24"/>
          <w:szCs w:val="24"/>
          <w:highlight w:val="none"/>
          <w:lang w:val="zh-CN"/>
        </w:rPr>
        <w:t>6.投诉人为法人或者其他组织的，投诉书应由法定代表人、主要负责人，或者其授权代表签字或者盖章，并加盖公章。</w:t>
      </w:r>
    </w:p>
    <w:p w14:paraId="7E3683DC">
      <w:pPr>
        <w:rPr>
          <w:rFonts w:ascii="Times New Roman" w:hAnsi="Times New Roman" w:eastAsia="宋体" w:cs="Times New Roman"/>
          <w:color w:val="auto"/>
          <w:szCs w:val="24"/>
          <w:highlight w:val="none"/>
          <w:lang w:val="zh-CN"/>
        </w:rPr>
      </w:pPr>
    </w:p>
    <w:p w14:paraId="11B8F7CC">
      <w:pPr>
        <w:rPr>
          <w:rFonts w:ascii="Times New Roman" w:hAnsi="Times New Roman" w:eastAsia="宋体" w:cs="Times New Roman"/>
          <w:color w:val="auto"/>
          <w:szCs w:val="24"/>
          <w:highlight w:val="none"/>
        </w:rPr>
      </w:pPr>
    </w:p>
    <w:p w14:paraId="1CE56F56">
      <w:pPr>
        <w:rPr>
          <w:color w:val="auto"/>
          <w:highlight w:val="none"/>
        </w:rPr>
      </w:pPr>
    </w:p>
    <w:sectPr>
      <w:footerReference r:id="rId11" w:type="first"/>
      <w:footerReference r:id="rId10" w:type="default"/>
      <w:pgSz w:w="11910" w:h="16840"/>
      <w:pgMar w:top="1340" w:right="1500" w:bottom="280" w:left="16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2"/>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348B735-370E-4E52-ADF6-457679FBC329}"/>
  </w:font>
  <w:font w:name="黑体">
    <w:panose1 w:val="02010609060101010101"/>
    <w:charset w:val="86"/>
    <w:family w:val="auto"/>
    <w:pitch w:val="default"/>
    <w:sig w:usb0="800002BF" w:usb1="38CF7CFA" w:usb2="00000016" w:usb3="00000000" w:csb0="00040001" w:csb1="00000000"/>
    <w:embedRegular r:id="rId2" w:fontKey="{49E1A77E-22A3-42BC-95D9-B1B0C0A6C425}"/>
  </w:font>
  <w:font w:name="Courier New">
    <w:panose1 w:val="02070309020205020404"/>
    <w:charset w:val="01"/>
    <w:family w:val="modern"/>
    <w:pitch w:val="default"/>
    <w:sig w:usb0="E0002EFF" w:usb1="C0007843" w:usb2="00000009" w:usb3="00000000" w:csb0="400001FF" w:csb1="FFFF0000"/>
    <w:embedRegular r:id="rId3" w:fontKey="{2320C512-6A0E-4BBF-BDA3-0BA980F73CE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DF902D54-084F-4218-8D39-48B87EAD3DDB}"/>
  </w:font>
  <w:font w:name="Cambria">
    <w:panose1 w:val="02040503050406030204"/>
    <w:charset w:val="00"/>
    <w:family w:val="roman"/>
    <w:pitch w:val="default"/>
    <w:sig w:usb0="E00006FF" w:usb1="420024FF" w:usb2="02000000" w:usb3="00000000" w:csb0="2000019F" w:csb1="00000000"/>
    <w:embedRegular r:id="rId5" w:fontKey="{911FBA8A-C359-434B-88F6-4AD722697E45}"/>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6" w:fontKey="{C8CE0621-02E2-4F27-9B8C-E735893942D8}"/>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7" w:fontKey="{2B5D3A4D-8295-49E9-A169-674C49FC4015}"/>
  </w:font>
  <w:font w:name="Arial Unicode MS">
    <w:altName w:val="宋体"/>
    <w:panose1 w:val="020B0604020202020204"/>
    <w:charset w:val="86"/>
    <w:family w:val="swiss"/>
    <w:pitch w:val="default"/>
    <w:sig w:usb0="00000000" w:usb1="00000000" w:usb2="0000003F" w:usb3="00000000" w:csb0="603F01FF" w:csb1="FFFF0000"/>
    <w:embedRegular r:id="rId8" w:fontKey="{672EB378-CAE5-406E-B3EB-602D64CCA35A}"/>
  </w:font>
  <w:font w:name="Helvetica">
    <w:altName w:val="Arial"/>
    <w:panose1 w:val="020B0604020202020204"/>
    <w:charset w:val="00"/>
    <w:family w:val="swiss"/>
    <w:pitch w:val="default"/>
    <w:sig w:usb0="00000000" w:usb1="00000000" w:usb2="00000009" w:usb3="00000000" w:csb0="000001FF" w:csb1="00000000"/>
    <w:embedRegular r:id="rId9" w:fontKey="{66C5F867-C996-4E78-A6D8-2D421A75E3B4}"/>
  </w:font>
  <w:font w:name="方正小标宋简体">
    <w:panose1 w:val="03000509000000000000"/>
    <w:charset w:val="86"/>
    <w:family w:val="script"/>
    <w:pitch w:val="default"/>
    <w:sig w:usb0="00000001" w:usb1="080E0000" w:usb2="00000000" w:usb3="00000000" w:csb0="00040000" w:csb1="00000000"/>
    <w:embedRegular r:id="rId10" w:fontKey="{F00FF74B-EB48-489D-9CD7-6D3CE38743D7}"/>
  </w:font>
  <w:font w:name="Verdana">
    <w:panose1 w:val="020B0604030504040204"/>
    <w:charset w:val="00"/>
    <w:family w:val="swiss"/>
    <w:pitch w:val="default"/>
    <w:sig w:usb0="A00006FF" w:usb1="4000205B" w:usb2="00000010" w:usb3="00000000" w:csb0="2000019F" w:csb1="00000000"/>
    <w:embedRegular r:id="rId11" w:fontKey="{CB6A3190-9AFC-4B9D-A7FE-F9E5DD2EF746}"/>
  </w:font>
  <w:font w:name="楷体">
    <w:panose1 w:val="02010609060101010101"/>
    <w:charset w:val="86"/>
    <w:family w:val="auto"/>
    <w:pitch w:val="default"/>
    <w:sig w:usb0="800002BF" w:usb1="38CF7CFA" w:usb2="00000016" w:usb3="00000000" w:csb0="00040001" w:csb1="00000000"/>
    <w:embedRegular r:id="rId12" w:fontKey="{B8866FBB-FC4D-4F68-BFF0-8A336675B276}"/>
  </w:font>
  <w:font w:name="方正小标宋_GBK">
    <w:altName w:val="微软雅黑"/>
    <w:panose1 w:val="02000000000000000000"/>
    <w:charset w:val="86"/>
    <w:family w:val="auto"/>
    <w:pitch w:val="default"/>
    <w:sig w:usb0="00000000" w:usb1="00000000" w:usb2="00082016" w:usb3="00000000" w:csb0="00040001" w:csb1="00000000"/>
    <w:embedRegular r:id="rId13" w:fontKey="{9E82D22E-3DA3-4480-9FB7-B0CC57446312}"/>
  </w:font>
  <w:font w:name="微软雅黑">
    <w:panose1 w:val="020B0503020204020204"/>
    <w:charset w:val="86"/>
    <w:family w:val="auto"/>
    <w:pitch w:val="default"/>
    <w:sig w:usb0="80000287" w:usb1="2ACF3C50" w:usb2="00000016" w:usb3="00000000" w:csb0="0004001F" w:csb1="00000000"/>
  </w:font>
  <w:font w:name="方正仿宋_GBK">
    <w:altName w:val="微软雅黑"/>
    <w:panose1 w:val="03000509000000000000"/>
    <w:charset w:val="86"/>
    <w:family w:val="auto"/>
    <w:pitch w:val="default"/>
    <w:sig w:usb0="00000000" w:usb1="00000000" w:usb2="00000000" w:usb3="00000000" w:csb0="003C0041" w:csb1="A0080000"/>
    <w:embedRegular r:id="rId14" w:fontKey="{28FBD64F-B404-43C8-9F67-DC121A0C2040}"/>
  </w:font>
  <w:font w:name="隶书">
    <w:panose1 w:val="02010509060101010101"/>
    <w:charset w:val="86"/>
    <w:family w:val="modern"/>
    <w:pitch w:val="default"/>
    <w:sig w:usb0="00000001" w:usb1="080E0000" w:usb2="00000000" w:usb3="00000000" w:csb0="00040000" w:csb1="00000000"/>
    <w:embedRegular r:id="rId15" w:fontKey="{A6400020-987E-4969-AC1A-EFA8C0716E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9CA5B">
    <w:pPr>
      <w:pStyle w:val="21"/>
      <w:tabs>
        <w:tab w:val="center" w:pos="4439"/>
        <w:tab w:val="clear" w:pos="4153"/>
      </w:tabs>
      <w:jc w:val="both"/>
    </w:pPr>
  </w:p>
  <w:p w14:paraId="4678E67C">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97D29">
    <w:pPr>
      <w:pStyle w:val="21"/>
      <w:tabs>
        <w:tab w:val="center" w:pos="4439"/>
        <w:tab w:val="clear" w:pos="4153"/>
      </w:tabs>
    </w:pPr>
    <w:r>
      <w:rPr>
        <w:lang w:val="en-US"/>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023D304B"/>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i5QbQUCAAAGBAAADgAAAGRycy9lMm9Eb2MueG1srVPNjtMwEL4j8Q6W&#10;7zRpD6hETVfLVkVIy4+08ACO4zQWsccau03KA8AbcOLCnefqczB2mu6yXPbAxRqPx9983+fx6mow&#10;HTso9BpsyeeznDNlJdTa7kr++dP2xZIzH4StRQdWlfyoPL9aP3+26l2hFtBCVytkBGJ90buStyG4&#10;Isu8bJURfgZOWTpsAI0ItMVdVqPoCd102SLPX2Y9YO0QpPKespvxkJ8R8SmA0DRaqg3IvVE2jKio&#10;OhFIkm+183yd2DaNkuFD03gVWFdyUhrSSk0oruKarVei2KFwrZZnCuIpFB5pMkJbanqB2ogg2B71&#10;P1BGSwQPTZhJMNkoJDlCKub5I2/uWuFU0kJWe3cx3f8/WPn+8BGZrmkSXnFmhaEXP/34fvr5+/Tr&#10;G6McGdQ7X1DdnaPKMLyGgYqTWO9uQX7xzMJNK+xOXSNC3ypRE8F5vJk9uDri+AhS9e+gpkZiHyAB&#10;DQ2a6B75wQidHud4eRw1BCZjy+ViuczpSNLZtIk9RDFdd+jDGwWGxaDkSK+f4MXh1oexdCqJ3Sxs&#10;dddRXhSd/StBmDGT6EfGI/cwVANVR00V1EcSgjAOFH0nClrAr5z1NEwlt/R3OOveWrIizt0U4BRU&#10;UyCspIslD5yN4U0Y53PvUO9awp3Mvia7tjoJuedwZknjkaw4j3Kcv4f7VHX/fd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6pebnPAAAABQEAAA8AAAAAAAAAAQAgAAAAIgAAAGRycy9kb3ducmV2&#10;LnhtbFBLAQIUABQAAAAIAIdO4kCGLlBtBQIAAAYEAAAOAAAAAAAAAAEAIAAAAB4BAABkcnMvZTJv&#10;RG9jLnhtbFBLBQYAAAAABgAGAFkBAACVBQAAAAA=&#10;">
              <v:fill on="f" focussize="0,0"/>
              <v:stroke on="f"/>
              <v:imagedata o:title=""/>
              <o:lock v:ext="edit" aspectratio="f"/>
              <v:textbox inset="0mm,0mm,0mm,0mm" style="mso-fit-shape-to-text:t;">
                <w:txbxContent>
                  <w:p w14:paraId="023D304B"/>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A5B34">
    <w:pPr>
      <w:pStyle w:val="21"/>
      <w:tabs>
        <w:tab w:val="center" w:pos="4439"/>
        <w:tab w:val="clear" w:pos="4153"/>
      </w:tabs>
      <w:jc w:val="both"/>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4B188D">
                          <w:pPr>
                            <w:pStyle w:val="21"/>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44B188D">
                    <w:pPr>
                      <w:pStyle w:val="21"/>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p w14:paraId="3E8B34DE">
    <w:pPr>
      <w:pStyle w:val="2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F00E4">
    <w:pPr>
      <w:pStyle w:val="21"/>
      <w:tabs>
        <w:tab w:val="center" w:pos="4439"/>
        <w:tab w:val="clear" w:pos="4153"/>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7C683E">
                          <w:pPr>
                            <w:pStyle w:val="21"/>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3D7C683E">
                    <w:pPr>
                      <w:pStyle w:val="21"/>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lang w:val="en-US"/>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6C1436B2"/>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7mmwQCAAAEBAAADgAAAGRycy9lMm9Eb2MueG1srVNLbtswEN0X6B0I&#10;7mvZWhSGYDlIY7gokH6AtAegKUoiKnKIIW3JPUB7g6666b7n8jkypCwnTTdZdEMMh8M37z0OV1eD&#10;6dhBoddgS76YzTlTVkKlbVPyL5+3r5ac+SBsJTqwquRH5fnV+uWLVe8KlUMLXaWQEYj1Re9K3obg&#10;iizzslVG+Bk4ZemwBjQi0BabrELRE7rpsnw+f531gJVDkMp7ym7GQ35GxOcAQl1rqTYg90bZMKKi&#10;6kQgSb7VzvN1YlvXSoaPde1VYF3JSWlIKzWheBfXbL0SRYPCtVqeKYjnUHiiyQhtqekFaiOCYHvU&#10;/0AZLRE81GEmwWSjkOQIqVjMn3hz1wqnkhay2ruL6f7/wcoPh0/IdFXynDMrDD346eeP068/p9/f&#10;WR7t6Z0vqOrOUV0Y3sBAQ5OkencL8qtnFm5aYRt1jQh9q0RF9BbxZvbo6ojjI8iufw8V9RH7AAlo&#10;qNFE78gNRuj0NMfL06ghMBlbLvPlck5Hks6mTewhium6Qx/eKjAsBiVHevsELw63PoylU0nsZmGr&#10;u47youjsXwnCjJlEPzIeuYdhN1B11LSD6khCEMZxos9EQQv4jbOeRqnkln4OZ907S1bEqZsCnILd&#10;FAgr6WLJA2djeBPG6dw71E1LuJPZ12TXVichDxzOLGk4khXnQY7T93ifqh4+7/o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ql5uc8AAAAFAQAADwAAAAAAAAABACAAAAAiAAAAZHJzL2Rvd25yZXYu&#10;eG1sUEsBAhQAFAAAAAgAh07iQDc+5psEAgAABAQAAA4AAAAAAAAAAQAgAAAAHgEAAGRycy9lMm9E&#10;b2MueG1sUEsFBgAAAAAGAAYAWQEAAJQFAAAAAA==&#10;">
              <v:fill on="f" focussize="0,0"/>
              <v:stroke on="f"/>
              <v:imagedata o:title=""/>
              <o:lock v:ext="edit" aspectratio="f"/>
              <v:textbox inset="0mm,0mm,0mm,0mm" style="mso-fit-shape-to-text:t;">
                <w:txbxContent>
                  <w:p w14:paraId="6C1436B2"/>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9A120">
    <w:pPr>
      <w:pStyle w:val="21"/>
      <w:ind w:left="420" w:hanging="420"/>
      <w:jc w:val="center"/>
    </w:pPr>
    <w:r>
      <w:rPr>
        <w:lang w:val="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6452B5D6">
                          <w:pPr>
                            <w:pStyle w:val="21"/>
                            <w:ind w:left="420" w:hanging="420"/>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JcnJAkCAAAUBAAADgAAAGRycy9lMm9Eb2MueG1srVNLjtswDN0X6B0E&#10;7RsnWRSBEWcwnSBFgekHmPYAiizbQi1RoJTY6QHaG3TVTfc9V84xlGxnptPNLLoRKIp85Huk1le9&#10;adlRoddgC76YzTlTVkKpbV3wL593r1ac+SBsKVqwquAn5fnV5uWLdedytYQG2lIhIxDr884VvAnB&#10;5VnmZaOM8DNwytJjBWhEoCvWWYmiI3TTZsv5/HXWAZYOQSrvybsdHvmIiM8BhKrSUm1BHoyyYUBF&#10;1YpAlHyjneeb1G1VKRk+VpVXgbUFJ6YhnVSE7H08s81a5DUK12g5tiCe08ITTkZoS0UvUFsRBDug&#10;/gfKaIngoQozCSYbiCRFiMVi/kSbu0Y4lbiQ1N5dRPf/D1Z+OH5CpkvaBJq7FYYmfv754/zrz/n3&#10;d0Y+EqhzPqe4O0eRoX8DPQUnst7dgvzqmYWbRthaXSNC1yhRUoOLmJk9Sh1wfATZd++hpELiECAB&#10;9RWaqB7pwQidhnO6DEf1gclYcrVcreb0JOltusQaIp/SHfrwVoFh0Sg40vQTvDje+jCETiGxmoWd&#10;blvyi7y1fzkIc/CotEJjdiQT+x+YhH7fU2507qE8ES2EYb3oc5HRAH7jrKPVKriln8RZ+86SMHEL&#10;JwMnYz8ZwkpKLHjgbDBvwrCtB4e6bgh3kv6axNvpROuhh1FyWpYkzLjYcRsf31PUw2fe3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RJcnJAkCAAAUBAAADgAAAAAAAAABACAAAAAeAQAAZHJz&#10;L2Uyb0RvYy54bWxQSwUGAAAAAAYABgBZAQAAmQUAAAAA&#10;">
              <v:fill on="f" focussize="0,0"/>
              <v:stroke on="f"/>
              <v:imagedata o:title=""/>
              <o:lock v:ext="edit" aspectratio="f"/>
              <v:textbox inset="0mm,0mm,0mm,0mm" style="mso-fit-shape-to-text:t;">
                <w:txbxContent>
                  <w:p w14:paraId="6452B5D6">
                    <w:pPr>
                      <w:pStyle w:val="21"/>
                      <w:ind w:left="420" w:hanging="420"/>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v:shape>
          </w:pict>
        </mc:Fallback>
      </mc:AlternateContent>
    </w:r>
  </w:p>
  <w:p w14:paraId="7D54722C">
    <w:pPr>
      <w:pStyle w:val="21"/>
      <w:ind w:left="420" w:hanging="4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3933C">
    <w:pPr>
      <w:pStyle w:val="21"/>
      <w:jc w:val="center"/>
    </w:pPr>
    <w:r>
      <w:rPr>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5AA6C587">
                          <w:pPr>
                            <w:pStyle w:val="21"/>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POGSwkCAAAUBAAADgAAAGRycy9lMm9Eb2MueG1srVNLbtswEN0X6B0I&#10;7mvJXgSGYDlIY7gokH6AtAegKMoiKnKIIW3JPUB7g6666b7n8jk6pCwnTTdZdEMM5/Nm3uNwdT2Y&#10;jh0Ueg225PNZzpmyEmptdyX//Gn7asmZD8LWogOrSn5Unl+vX75Y9a5QC2ihqxUyArG+6F3J2xBc&#10;kWVetsoIPwOnLAUbQCMCXXGX1Sh6Qjddtsjzq6wHrB2CVN6TdzMG+RkRnwMITaOl2oDcG2XDiIqq&#10;E4Eo+VY7z9dp2qZRMnxoGq8C60pOTEM6qQnZVTyz9UoUOxSu1fI8gnjOCE84GaEtNb1AbUQQbI/6&#10;HyijJYKHJswkmGwkkhQhFvP8iTb3rXAqcSGpvbuI7v8frHx/+IhM17QJV5xZYejFTz++n37+Pv36&#10;xshHAvXOF5R37ygzDK9hoORE1rs7kF88s3DbCrtTN4jQt0rUNOA8VmaPSkccH0Gq/h3U1EjsAySg&#10;oUET1SM9GKHT4xwvj6OGwGRsuVwslzmFJMWmS+whiqncoQ9vFBgWjZIjvX6CF4c7H8bUKSV2s7DV&#10;XUd+UXT2Lwdhjh6VVuhcHcnE+UcmYagGqo3OCuoj0UIY14s+Fxkt4FfOelqtklv6SZx1by0JE7dw&#10;MnAyqskQVlJhyQNno3kbxm3dO9S7lnAn6W9IvK1OtB5mOEtOy5KEOS923MbH95T18Jn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PPOGSwkCAAAUBAAADgAAAAAAAAABACAAAAAeAQAAZHJz&#10;L2Uyb0RvYy54bWxQSwUGAAAAAAYABgBZAQAAmQUAAAAA&#10;">
              <v:fill on="f" focussize="0,0"/>
              <v:stroke on="f"/>
              <v:imagedata o:title=""/>
              <o:lock v:ext="edit" aspectratio="f"/>
              <v:textbox inset="0mm,0mm,0mm,0mm" style="mso-fit-shape-to-text:t;">
                <w:txbxContent>
                  <w:p w14:paraId="5AA6C587">
                    <w:pPr>
                      <w:pStyle w:val="21"/>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v:shape>
          </w:pict>
        </mc:Fallback>
      </mc:AlternateContent>
    </w:r>
  </w:p>
  <w:p w14:paraId="62AFDEF4">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74AFB">
    <w:pPr>
      <w:pStyle w:val="21"/>
    </w:pPr>
    <w:r>
      <w:rPr>
        <w:lang w:val="en-US"/>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04C535E8">
                          <w:pPr>
                            <w:pStyle w:val="21"/>
                          </w:pPr>
                          <w:r>
                            <w:rPr>
                              <w:rFonts w:hint="eastAsia"/>
                            </w:rPr>
                            <w:fldChar w:fldCharType="begin"/>
                          </w:r>
                          <w:r>
                            <w:rPr>
                              <w:rFonts w:hint="eastAsia"/>
                            </w:rPr>
                            <w:instrText xml:space="preserve"> PAGE  \* MERGEFORMAT </w:instrText>
                          </w:r>
                          <w:r>
                            <w:rPr>
                              <w:rFonts w:hint="eastAsia"/>
                            </w:rPr>
                            <w:fldChar w:fldCharType="separate"/>
                          </w:r>
                          <w:r>
                            <w:rPr>
                              <w:lang w:val="en-US"/>
                            </w:rPr>
                            <w:t>63</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gBt3wkCAAAUBAAADgAAAGRycy9lMm9Eb2MueG1srVPNjtMwEL4j8Q6W&#10;7zRtJVAVNV0tWxUhLT/SwgO4jpNYxB5r7DYpDwBvwIkLd56rz8HYSbrLctkDF2s8P9/M93m8vupN&#10;y44KvQZb8MVszpmyEkpt64J//rR7seLMB2FL0YJVBT8pz682z5+tO5erJTTQlgoZgVifd67gTQgu&#10;zzIvG2WEn4FTloIVoBGBrlhnJYqO0E2bLefzV1kHWDoEqbwn73YI8hERnwIIVaWl2oI8GGXDgIqq&#10;FYEo+UY7zzdp2qpSMnyoKq8CawtOTEM6qQnZ+3hmm7XIaxSu0XIcQTxlhEecjNCWml6gtiIIdkD9&#10;D5TREsFDFWYSTDYQSYoQi8X8kTZ3jXAqcSGpvbuI7v8frHx//IhMl7QJLzmzwtCLn398P//8ff71&#10;jZGPBOqczynvzlFm6F9DT8mJrHe3IL94ZuGmEbZW14jQNUqUNOAiVmYPSgccH0H23TsoqZE4BEhA&#10;fYUmqkd6MEKnxzldHkf1gcnYcrVcreYUkhSbLrGHyKdyhz68UWBYNAqO9PoJXhxvfRhSp5TYzcJO&#10;ty35Rd7avxyEOXhUWqGxOpKJ8w9MQr/vqTY691CeiBbCsF70uchoAL9y1tFqFdzST+KsfWtJmLiF&#10;k4GTsZ8MYSUVFjxwNpg3YdjWg0NdN4Q7SX9N4u10onU/wyg5LUsSZlzsuI0P7ynr/jN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pgBt3wkCAAAUBAAADgAAAAAAAAABACAAAAAeAQAAZHJz&#10;L2Uyb0RvYy54bWxQSwUGAAAAAAYABgBZAQAAmQUAAAAA&#10;">
              <v:fill on="f" focussize="0,0"/>
              <v:stroke on="f"/>
              <v:imagedata o:title=""/>
              <o:lock v:ext="edit" aspectratio="f"/>
              <v:textbox inset="0mm,0mm,0mm,0mm" style="mso-fit-shape-to-text:t;">
                <w:txbxContent>
                  <w:p w14:paraId="04C535E8">
                    <w:pPr>
                      <w:pStyle w:val="21"/>
                    </w:pPr>
                    <w:r>
                      <w:rPr>
                        <w:rFonts w:hint="eastAsia"/>
                      </w:rPr>
                      <w:fldChar w:fldCharType="begin"/>
                    </w:r>
                    <w:r>
                      <w:rPr>
                        <w:rFonts w:hint="eastAsia"/>
                      </w:rPr>
                      <w:instrText xml:space="preserve"> PAGE  \* MERGEFORMAT </w:instrText>
                    </w:r>
                    <w:r>
                      <w:rPr>
                        <w:rFonts w:hint="eastAsia"/>
                      </w:rPr>
                      <w:fldChar w:fldCharType="separate"/>
                    </w:r>
                    <w:r>
                      <w:rPr>
                        <w:lang w:val="en-US"/>
                      </w:rP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2A405">
    <w:pPr>
      <w:pStyle w:val="2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373A1">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E3MzRhY2JlYjM0ZTEwMWVlM2YzNWExMTA1NTcxNDAifQ=="/>
  </w:docVars>
  <w:rsids>
    <w:rsidRoot w:val="00172A27"/>
    <w:rsid w:val="00013A77"/>
    <w:rsid w:val="000822E4"/>
    <w:rsid w:val="000903CF"/>
    <w:rsid w:val="00293058"/>
    <w:rsid w:val="003C468C"/>
    <w:rsid w:val="00523EB0"/>
    <w:rsid w:val="005C088A"/>
    <w:rsid w:val="0075194C"/>
    <w:rsid w:val="007C21E9"/>
    <w:rsid w:val="008C20B8"/>
    <w:rsid w:val="009511CD"/>
    <w:rsid w:val="009B5C60"/>
    <w:rsid w:val="00A24FC2"/>
    <w:rsid w:val="00A612AB"/>
    <w:rsid w:val="00A67D58"/>
    <w:rsid w:val="00DA616D"/>
    <w:rsid w:val="00F306B7"/>
    <w:rsid w:val="00F97CDD"/>
    <w:rsid w:val="00FF1901"/>
    <w:rsid w:val="011D075F"/>
    <w:rsid w:val="01574459"/>
    <w:rsid w:val="019E3125"/>
    <w:rsid w:val="01B7243B"/>
    <w:rsid w:val="01C56903"/>
    <w:rsid w:val="01CB02C6"/>
    <w:rsid w:val="01E07299"/>
    <w:rsid w:val="01FF46E4"/>
    <w:rsid w:val="02217A18"/>
    <w:rsid w:val="024457B0"/>
    <w:rsid w:val="0250392C"/>
    <w:rsid w:val="02700A12"/>
    <w:rsid w:val="027F4BED"/>
    <w:rsid w:val="02C1531D"/>
    <w:rsid w:val="02D81677"/>
    <w:rsid w:val="02F33579"/>
    <w:rsid w:val="03036BF9"/>
    <w:rsid w:val="03214847"/>
    <w:rsid w:val="036B6560"/>
    <w:rsid w:val="0372245E"/>
    <w:rsid w:val="037F62D3"/>
    <w:rsid w:val="03930F0A"/>
    <w:rsid w:val="03A74512"/>
    <w:rsid w:val="03AF786B"/>
    <w:rsid w:val="03B60BF9"/>
    <w:rsid w:val="03E301C6"/>
    <w:rsid w:val="03FB16C0"/>
    <w:rsid w:val="04206237"/>
    <w:rsid w:val="044F16F0"/>
    <w:rsid w:val="045126D0"/>
    <w:rsid w:val="05304A58"/>
    <w:rsid w:val="055A4D20"/>
    <w:rsid w:val="055C132D"/>
    <w:rsid w:val="05827A6F"/>
    <w:rsid w:val="05B10123"/>
    <w:rsid w:val="05BA0F6E"/>
    <w:rsid w:val="05C85B6F"/>
    <w:rsid w:val="05CF2A51"/>
    <w:rsid w:val="05D45367"/>
    <w:rsid w:val="05F17190"/>
    <w:rsid w:val="05F55A06"/>
    <w:rsid w:val="061C77CE"/>
    <w:rsid w:val="065B47F7"/>
    <w:rsid w:val="06695A20"/>
    <w:rsid w:val="06712BB6"/>
    <w:rsid w:val="068407F0"/>
    <w:rsid w:val="06852C34"/>
    <w:rsid w:val="06B45B9F"/>
    <w:rsid w:val="06E717BD"/>
    <w:rsid w:val="07032602"/>
    <w:rsid w:val="07087A4C"/>
    <w:rsid w:val="07707311"/>
    <w:rsid w:val="078556FE"/>
    <w:rsid w:val="07E278AB"/>
    <w:rsid w:val="08162E97"/>
    <w:rsid w:val="08165323"/>
    <w:rsid w:val="08841649"/>
    <w:rsid w:val="0892386F"/>
    <w:rsid w:val="0896540B"/>
    <w:rsid w:val="08A72DDC"/>
    <w:rsid w:val="08DB7137"/>
    <w:rsid w:val="08E40B8D"/>
    <w:rsid w:val="08F5187C"/>
    <w:rsid w:val="090B3A39"/>
    <w:rsid w:val="094521FA"/>
    <w:rsid w:val="096F5B1B"/>
    <w:rsid w:val="09786076"/>
    <w:rsid w:val="098E29CC"/>
    <w:rsid w:val="09A233BC"/>
    <w:rsid w:val="09AF056B"/>
    <w:rsid w:val="09BC6684"/>
    <w:rsid w:val="09CF3FB8"/>
    <w:rsid w:val="0A0124A3"/>
    <w:rsid w:val="0A0B1817"/>
    <w:rsid w:val="0A2D2358"/>
    <w:rsid w:val="0A303492"/>
    <w:rsid w:val="0A4D49DC"/>
    <w:rsid w:val="0A7D2FA4"/>
    <w:rsid w:val="0AD007F3"/>
    <w:rsid w:val="0AEA2F37"/>
    <w:rsid w:val="0B097343"/>
    <w:rsid w:val="0B254482"/>
    <w:rsid w:val="0B2D703C"/>
    <w:rsid w:val="0B3231DB"/>
    <w:rsid w:val="0B4A3976"/>
    <w:rsid w:val="0B5551FE"/>
    <w:rsid w:val="0B7E6E21"/>
    <w:rsid w:val="0BC843BD"/>
    <w:rsid w:val="0BEA62BE"/>
    <w:rsid w:val="0C423B4C"/>
    <w:rsid w:val="0CA6632A"/>
    <w:rsid w:val="0CBC262F"/>
    <w:rsid w:val="0CC61B2F"/>
    <w:rsid w:val="0CDF4D1D"/>
    <w:rsid w:val="0CE57E5A"/>
    <w:rsid w:val="0D22418C"/>
    <w:rsid w:val="0D982CF5"/>
    <w:rsid w:val="0DBA1896"/>
    <w:rsid w:val="0E015DD7"/>
    <w:rsid w:val="0E411532"/>
    <w:rsid w:val="0E4214FE"/>
    <w:rsid w:val="0E4A4226"/>
    <w:rsid w:val="0E752256"/>
    <w:rsid w:val="0E8F15F0"/>
    <w:rsid w:val="0E9D4D60"/>
    <w:rsid w:val="0EAE428B"/>
    <w:rsid w:val="0EBB5316"/>
    <w:rsid w:val="0EBF4080"/>
    <w:rsid w:val="0ECA4573"/>
    <w:rsid w:val="0ED4798D"/>
    <w:rsid w:val="0F2C2E76"/>
    <w:rsid w:val="0F4C0664"/>
    <w:rsid w:val="0F6A1F1A"/>
    <w:rsid w:val="0F7C513B"/>
    <w:rsid w:val="0F7E6819"/>
    <w:rsid w:val="0FB55CA2"/>
    <w:rsid w:val="1018013C"/>
    <w:rsid w:val="101F264D"/>
    <w:rsid w:val="10240EAE"/>
    <w:rsid w:val="10267F1F"/>
    <w:rsid w:val="107E2A9F"/>
    <w:rsid w:val="10914580"/>
    <w:rsid w:val="109E1CBC"/>
    <w:rsid w:val="10CF7081"/>
    <w:rsid w:val="11074842"/>
    <w:rsid w:val="110B3F03"/>
    <w:rsid w:val="113E5504"/>
    <w:rsid w:val="113F075A"/>
    <w:rsid w:val="11534D38"/>
    <w:rsid w:val="11694069"/>
    <w:rsid w:val="116C2CA8"/>
    <w:rsid w:val="119D4B96"/>
    <w:rsid w:val="119E326A"/>
    <w:rsid w:val="11A56003"/>
    <w:rsid w:val="11AB207C"/>
    <w:rsid w:val="11AE4D38"/>
    <w:rsid w:val="11B56492"/>
    <w:rsid w:val="11EA5308"/>
    <w:rsid w:val="12290F0E"/>
    <w:rsid w:val="12296A3A"/>
    <w:rsid w:val="12412737"/>
    <w:rsid w:val="12415A70"/>
    <w:rsid w:val="12620197"/>
    <w:rsid w:val="12753A2E"/>
    <w:rsid w:val="12802254"/>
    <w:rsid w:val="128E5246"/>
    <w:rsid w:val="12B14A74"/>
    <w:rsid w:val="12EF2845"/>
    <w:rsid w:val="12FC28BE"/>
    <w:rsid w:val="13117BFA"/>
    <w:rsid w:val="13264E55"/>
    <w:rsid w:val="13675A6C"/>
    <w:rsid w:val="13813795"/>
    <w:rsid w:val="139E2CE4"/>
    <w:rsid w:val="147D4F72"/>
    <w:rsid w:val="148A3D0B"/>
    <w:rsid w:val="1497248C"/>
    <w:rsid w:val="149C28BF"/>
    <w:rsid w:val="14A45FB0"/>
    <w:rsid w:val="14A6243D"/>
    <w:rsid w:val="14B06F9F"/>
    <w:rsid w:val="14B3682E"/>
    <w:rsid w:val="14CB1AD4"/>
    <w:rsid w:val="150A39A3"/>
    <w:rsid w:val="15412561"/>
    <w:rsid w:val="155234DD"/>
    <w:rsid w:val="156A7853"/>
    <w:rsid w:val="158E19C1"/>
    <w:rsid w:val="159C4EFE"/>
    <w:rsid w:val="15A113D0"/>
    <w:rsid w:val="15A46B04"/>
    <w:rsid w:val="15A85EC8"/>
    <w:rsid w:val="15C60DCC"/>
    <w:rsid w:val="162F52A8"/>
    <w:rsid w:val="16493163"/>
    <w:rsid w:val="165401BC"/>
    <w:rsid w:val="167F30CD"/>
    <w:rsid w:val="16931028"/>
    <w:rsid w:val="16C14BCE"/>
    <w:rsid w:val="16D01B7A"/>
    <w:rsid w:val="16E46F14"/>
    <w:rsid w:val="16E87E3D"/>
    <w:rsid w:val="16F342B3"/>
    <w:rsid w:val="17120F22"/>
    <w:rsid w:val="171E2B79"/>
    <w:rsid w:val="172B12F3"/>
    <w:rsid w:val="17332B1E"/>
    <w:rsid w:val="179C641F"/>
    <w:rsid w:val="17B86748"/>
    <w:rsid w:val="17BA0187"/>
    <w:rsid w:val="17C47764"/>
    <w:rsid w:val="17E413A1"/>
    <w:rsid w:val="17FD65D0"/>
    <w:rsid w:val="18023817"/>
    <w:rsid w:val="18975246"/>
    <w:rsid w:val="18AF432C"/>
    <w:rsid w:val="18DD6D5C"/>
    <w:rsid w:val="18DF0FE7"/>
    <w:rsid w:val="18E5190D"/>
    <w:rsid w:val="19241D0A"/>
    <w:rsid w:val="194128BC"/>
    <w:rsid w:val="19793E03"/>
    <w:rsid w:val="197A3F9A"/>
    <w:rsid w:val="198E56A0"/>
    <w:rsid w:val="1992381E"/>
    <w:rsid w:val="19AA594A"/>
    <w:rsid w:val="19C21A99"/>
    <w:rsid w:val="19C40971"/>
    <w:rsid w:val="19F17C09"/>
    <w:rsid w:val="1A0E41E2"/>
    <w:rsid w:val="1A1839A8"/>
    <w:rsid w:val="1A1B57CD"/>
    <w:rsid w:val="1A7D169C"/>
    <w:rsid w:val="1AA94BBC"/>
    <w:rsid w:val="1AB33A4E"/>
    <w:rsid w:val="1AC71182"/>
    <w:rsid w:val="1AE64D67"/>
    <w:rsid w:val="1B382423"/>
    <w:rsid w:val="1B4E247D"/>
    <w:rsid w:val="1B5003D3"/>
    <w:rsid w:val="1B597FF7"/>
    <w:rsid w:val="1B6612C9"/>
    <w:rsid w:val="1BC53330"/>
    <w:rsid w:val="1BF64E38"/>
    <w:rsid w:val="1C0F2192"/>
    <w:rsid w:val="1C3D560A"/>
    <w:rsid w:val="1C4A28E3"/>
    <w:rsid w:val="1C533032"/>
    <w:rsid w:val="1C642B1A"/>
    <w:rsid w:val="1C830837"/>
    <w:rsid w:val="1C8B2EA7"/>
    <w:rsid w:val="1CA053AF"/>
    <w:rsid w:val="1CAB5E94"/>
    <w:rsid w:val="1CB75DAF"/>
    <w:rsid w:val="1D232A04"/>
    <w:rsid w:val="1D5860E0"/>
    <w:rsid w:val="1D7853F7"/>
    <w:rsid w:val="1D9D1A60"/>
    <w:rsid w:val="1DAF7A74"/>
    <w:rsid w:val="1DB409DB"/>
    <w:rsid w:val="1DC34DD9"/>
    <w:rsid w:val="1DD44CD6"/>
    <w:rsid w:val="1DE541AF"/>
    <w:rsid w:val="1E0C3498"/>
    <w:rsid w:val="1E162569"/>
    <w:rsid w:val="1E415936"/>
    <w:rsid w:val="1E831280"/>
    <w:rsid w:val="1E9544FA"/>
    <w:rsid w:val="1EB7105D"/>
    <w:rsid w:val="1EB81009"/>
    <w:rsid w:val="1F002B00"/>
    <w:rsid w:val="1F2A0E70"/>
    <w:rsid w:val="1F526FB3"/>
    <w:rsid w:val="1F9F7F10"/>
    <w:rsid w:val="1FC73078"/>
    <w:rsid w:val="1FC9696C"/>
    <w:rsid w:val="20000DDB"/>
    <w:rsid w:val="20682955"/>
    <w:rsid w:val="206F45D9"/>
    <w:rsid w:val="20720C33"/>
    <w:rsid w:val="20A22E61"/>
    <w:rsid w:val="20AA183D"/>
    <w:rsid w:val="20D11800"/>
    <w:rsid w:val="20D17529"/>
    <w:rsid w:val="20DF35F5"/>
    <w:rsid w:val="20E60491"/>
    <w:rsid w:val="20F71370"/>
    <w:rsid w:val="210431F4"/>
    <w:rsid w:val="214B077B"/>
    <w:rsid w:val="215C59D3"/>
    <w:rsid w:val="218E49DB"/>
    <w:rsid w:val="21DA13C0"/>
    <w:rsid w:val="21DB5AB4"/>
    <w:rsid w:val="220B2862"/>
    <w:rsid w:val="220B3A67"/>
    <w:rsid w:val="225B1540"/>
    <w:rsid w:val="22AD570A"/>
    <w:rsid w:val="231E655E"/>
    <w:rsid w:val="233F18A9"/>
    <w:rsid w:val="237130FB"/>
    <w:rsid w:val="237A74F0"/>
    <w:rsid w:val="237F7B4B"/>
    <w:rsid w:val="238306FE"/>
    <w:rsid w:val="239B7D19"/>
    <w:rsid w:val="23E85BCA"/>
    <w:rsid w:val="23F173A1"/>
    <w:rsid w:val="24367BD5"/>
    <w:rsid w:val="2446522A"/>
    <w:rsid w:val="245B23CF"/>
    <w:rsid w:val="24603FA7"/>
    <w:rsid w:val="24945F95"/>
    <w:rsid w:val="24963CCF"/>
    <w:rsid w:val="24986210"/>
    <w:rsid w:val="24B81ED1"/>
    <w:rsid w:val="24BC52F1"/>
    <w:rsid w:val="24E753E1"/>
    <w:rsid w:val="25290C20"/>
    <w:rsid w:val="25644CFB"/>
    <w:rsid w:val="25CA3B82"/>
    <w:rsid w:val="26037C97"/>
    <w:rsid w:val="26062336"/>
    <w:rsid w:val="26380B80"/>
    <w:rsid w:val="263F5510"/>
    <w:rsid w:val="2641436D"/>
    <w:rsid w:val="26650CFE"/>
    <w:rsid w:val="266F5212"/>
    <w:rsid w:val="26866639"/>
    <w:rsid w:val="26931184"/>
    <w:rsid w:val="26B17E46"/>
    <w:rsid w:val="26B40B71"/>
    <w:rsid w:val="26D82824"/>
    <w:rsid w:val="27261C55"/>
    <w:rsid w:val="275A1718"/>
    <w:rsid w:val="27996369"/>
    <w:rsid w:val="279F1523"/>
    <w:rsid w:val="27A060EE"/>
    <w:rsid w:val="27A83535"/>
    <w:rsid w:val="27B839C1"/>
    <w:rsid w:val="27D35203"/>
    <w:rsid w:val="27F62352"/>
    <w:rsid w:val="27F70088"/>
    <w:rsid w:val="27F80870"/>
    <w:rsid w:val="28033475"/>
    <w:rsid w:val="284E416D"/>
    <w:rsid w:val="285E1230"/>
    <w:rsid w:val="286B40D0"/>
    <w:rsid w:val="288D2BA7"/>
    <w:rsid w:val="28A36273"/>
    <w:rsid w:val="28A56D74"/>
    <w:rsid w:val="28CA5E86"/>
    <w:rsid w:val="29095871"/>
    <w:rsid w:val="290C539D"/>
    <w:rsid w:val="29230B26"/>
    <w:rsid w:val="295335C6"/>
    <w:rsid w:val="297665B1"/>
    <w:rsid w:val="29824F56"/>
    <w:rsid w:val="298E4DCE"/>
    <w:rsid w:val="2999028F"/>
    <w:rsid w:val="29BF7193"/>
    <w:rsid w:val="29D61C04"/>
    <w:rsid w:val="29D84B76"/>
    <w:rsid w:val="29E1562F"/>
    <w:rsid w:val="2A046273"/>
    <w:rsid w:val="2A077C31"/>
    <w:rsid w:val="2A4223DA"/>
    <w:rsid w:val="2A4C1CBA"/>
    <w:rsid w:val="2A9767DF"/>
    <w:rsid w:val="2AA07BC7"/>
    <w:rsid w:val="2AD01E8E"/>
    <w:rsid w:val="2AEA63A2"/>
    <w:rsid w:val="2B08148B"/>
    <w:rsid w:val="2B55197B"/>
    <w:rsid w:val="2B564195"/>
    <w:rsid w:val="2B5A7FF7"/>
    <w:rsid w:val="2BC90C1A"/>
    <w:rsid w:val="2BE74F7F"/>
    <w:rsid w:val="2BFF15D3"/>
    <w:rsid w:val="2C0408BB"/>
    <w:rsid w:val="2C17787B"/>
    <w:rsid w:val="2C50160E"/>
    <w:rsid w:val="2C526025"/>
    <w:rsid w:val="2C5741F8"/>
    <w:rsid w:val="2C8D7E9A"/>
    <w:rsid w:val="2CA912D0"/>
    <w:rsid w:val="2CB814C7"/>
    <w:rsid w:val="2CFC7DA1"/>
    <w:rsid w:val="2D354F55"/>
    <w:rsid w:val="2D586C07"/>
    <w:rsid w:val="2DB17BB8"/>
    <w:rsid w:val="2DD6761F"/>
    <w:rsid w:val="2E267AAE"/>
    <w:rsid w:val="2E8C61DA"/>
    <w:rsid w:val="2EBC5ED0"/>
    <w:rsid w:val="2EE43201"/>
    <w:rsid w:val="2F163D01"/>
    <w:rsid w:val="2F28021B"/>
    <w:rsid w:val="2F4460DD"/>
    <w:rsid w:val="2F546A5B"/>
    <w:rsid w:val="2F6061FA"/>
    <w:rsid w:val="2F754C15"/>
    <w:rsid w:val="2FAE1719"/>
    <w:rsid w:val="2FBE480E"/>
    <w:rsid w:val="300050D2"/>
    <w:rsid w:val="300A2253"/>
    <w:rsid w:val="300F463E"/>
    <w:rsid w:val="3038636F"/>
    <w:rsid w:val="30446AC1"/>
    <w:rsid w:val="304C5976"/>
    <w:rsid w:val="304F5A47"/>
    <w:rsid w:val="30643430"/>
    <w:rsid w:val="307A7FB1"/>
    <w:rsid w:val="307C438B"/>
    <w:rsid w:val="30905E99"/>
    <w:rsid w:val="30915A7F"/>
    <w:rsid w:val="30F56C6E"/>
    <w:rsid w:val="31013CC3"/>
    <w:rsid w:val="31172076"/>
    <w:rsid w:val="31306402"/>
    <w:rsid w:val="31396EFD"/>
    <w:rsid w:val="31647AAC"/>
    <w:rsid w:val="31876C3F"/>
    <w:rsid w:val="31B95D43"/>
    <w:rsid w:val="31E56082"/>
    <w:rsid w:val="32077110"/>
    <w:rsid w:val="32096215"/>
    <w:rsid w:val="3216323D"/>
    <w:rsid w:val="323B2880"/>
    <w:rsid w:val="32AA4AAD"/>
    <w:rsid w:val="32C963C0"/>
    <w:rsid w:val="32DA429C"/>
    <w:rsid w:val="32F6543D"/>
    <w:rsid w:val="332018FF"/>
    <w:rsid w:val="333F343F"/>
    <w:rsid w:val="335C4EDA"/>
    <w:rsid w:val="33722773"/>
    <w:rsid w:val="33813B89"/>
    <w:rsid w:val="339006F2"/>
    <w:rsid w:val="33C5268F"/>
    <w:rsid w:val="33DB529E"/>
    <w:rsid w:val="33DE56E7"/>
    <w:rsid w:val="33FE6BEC"/>
    <w:rsid w:val="342437A7"/>
    <w:rsid w:val="34317897"/>
    <w:rsid w:val="34613F15"/>
    <w:rsid w:val="3463243E"/>
    <w:rsid w:val="34743D26"/>
    <w:rsid w:val="348273D4"/>
    <w:rsid w:val="34AE07E1"/>
    <w:rsid w:val="34C71A6F"/>
    <w:rsid w:val="353941E1"/>
    <w:rsid w:val="35447101"/>
    <w:rsid w:val="35480275"/>
    <w:rsid w:val="359C3F8A"/>
    <w:rsid w:val="36062A6B"/>
    <w:rsid w:val="364C4922"/>
    <w:rsid w:val="368D08AD"/>
    <w:rsid w:val="368F2BEB"/>
    <w:rsid w:val="36AB5593"/>
    <w:rsid w:val="36D13CC6"/>
    <w:rsid w:val="36E4661C"/>
    <w:rsid w:val="37006F53"/>
    <w:rsid w:val="3717778E"/>
    <w:rsid w:val="371F5976"/>
    <w:rsid w:val="3747202B"/>
    <w:rsid w:val="37AC1F65"/>
    <w:rsid w:val="37E54FA0"/>
    <w:rsid w:val="37E6666B"/>
    <w:rsid w:val="37EB3B9D"/>
    <w:rsid w:val="37F47234"/>
    <w:rsid w:val="37FD2E72"/>
    <w:rsid w:val="380A6CA1"/>
    <w:rsid w:val="384E79F8"/>
    <w:rsid w:val="385A55DE"/>
    <w:rsid w:val="385F2FBF"/>
    <w:rsid w:val="386629E9"/>
    <w:rsid w:val="38845E7E"/>
    <w:rsid w:val="38A3375B"/>
    <w:rsid w:val="38A70067"/>
    <w:rsid w:val="38AD71CE"/>
    <w:rsid w:val="38D60B41"/>
    <w:rsid w:val="390B4155"/>
    <w:rsid w:val="39195460"/>
    <w:rsid w:val="392A049E"/>
    <w:rsid w:val="3970374E"/>
    <w:rsid w:val="39886599"/>
    <w:rsid w:val="39894A1A"/>
    <w:rsid w:val="398A077C"/>
    <w:rsid w:val="399D0FAB"/>
    <w:rsid w:val="39A122D0"/>
    <w:rsid w:val="39AB655A"/>
    <w:rsid w:val="39B95146"/>
    <w:rsid w:val="39EA2F5F"/>
    <w:rsid w:val="39F03604"/>
    <w:rsid w:val="39F634E7"/>
    <w:rsid w:val="3A1C285D"/>
    <w:rsid w:val="3A3D5DAF"/>
    <w:rsid w:val="3A3E0A2D"/>
    <w:rsid w:val="3A5A096E"/>
    <w:rsid w:val="3A5B056F"/>
    <w:rsid w:val="3A6A4AE7"/>
    <w:rsid w:val="3A6F521E"/>
    <w:rsid w:val="3A756C76"/>
    <w:rsid w:val="3A8F1281"/>
    <w:rsid w:val="3A9C74FA"/>
    <w:rsid w:val="3AC52EF5"/>
    <w:rsid w:val="3ADD73C6"/>
    <w:rsid w:val="3B283915"/>
    <w:rsid w:val="3B5509C6"/>
    <w:rsid w:val="3B7010B2"/>
    <w:rsid w:val="3BA260E2"/>
    <w:rsid w:val="3C0C409C"/>
    <w:rsid w:val="3C187054"/>
    <w:rsid w:val="3C99459C"/>
    <w:rsid w:val="3CFF4663"/>
    <w:rsid w:val="3D1837B0"/>
    <w:rsid w:val="3D3B536E"/>
    <w:rsid w:val="3D9866A6"/>
    <w:rsid w:val="3DB135FF"/>
    <w:rsid w:val="3DB339C8"/>
    <w:rsid w:val="3DB51BFC"/>
    <w:rsid w:val="3E082B8C"/>
    <w:rsid w:val="3E351BF4"/>
    <w:rsid w:val="3E5C28BB"/>
    <w:rsid w:val="3E646774"/>
    <w:rsid w:val="3E736717"/>
    <w:rsid w:val="3E862809"/>
    <w:rsid w:val="3EC84D62"/>
    <w:rsid w:val="3EF732F4"/>
    <w:rsid w:val="3F060785"/>
    <w:rsid w:val="3F302E94"/>
    <w:rsid w:val="3F3514F6"/>
    <w:rsid w:val="3F3538AF"/>
    <w:rsid w:val="3F646EED"/>
    <w:rsid w:val="3F6D0A65"/>
    <w:rsid w:val="3F967FAC"/>
    <w:rsid w:val="3FB670F9"/>
    <w:rsid w:val="3FB70DDA"/>
    <w:rsid w:val="3FC1296F"/>
    <w:rsid w:val="3FC83D82"/>
    <w:rsid w:val="3FE17866"/>
    <w:rsid w:val="3FFB07ED"/>
    <w:rsid w:val="40073668"/>
    <w:rsid w:val="402B37FA"/>
    <w:rsid w:val="403F2197"/>
    <w:rsid w:val="40493C80"/>
    <w:rsid w:val="406E7B8B"/>
    <w:rsid w:val="40853C52"/>
    <w:rsid w:val="409D1F9F"/>
    <w:rsid w:val="40F21E30"/>
    <w:rsid w:val="410459C4"/>
    <w:rsid w:val="412A4DF8"/>
    <w:rsid w:val="412C0C24"/>
    <w:rsid w:val="41480BFA"/>
    <w:rsid w:val="416750F2"/>
    <w:rsid w:val="41C64225"/>
    <w:rsid w:val="421D4EA6"/>
    <w:rsid w:val="42786A9F"/>
    <w:rsid w:val="427F1068"/>
    <w:rsid w:val="42876CE2"/>
    <w:rsid w:val="42993D4D"/>
    <w:rsid w:val="42F05AF9"/>
    <w:rsid w:val="431E13F4"/>
    <w:rsid w:val="432A5A06"/>
    <w:rsid w:val="4335673E"/>
    <w:rsid w:val="436446AC"/>
    <w:rsid w:val="43777787"/>
    <w:rsid w:val="43853578"/>
    <w:rsid w:val="43923B90"/>
    <w:rsid w:val="43B35FE0"/>
    <w:rsid w:val="43D227C4"/>
    <w:rsid w:val="43E268C5"/>
    <w:rsid w:val="43FA0D9A"/>
    <w:rsid w:val="44310D3A"/>
    <w:rsid w:val="4436276D"/>
    <w:rsid w:val="443A225E"/>
    <w:rsid w:val="44473DD4"/>
    <w:rsid w:val="446C3689"/>
    <w:rsid w:val="4497149C"/>
    <w:rsid w:val="44CE4B84"/>
    <w:rsid w:val="44F00076"/>
    <w:rsid w:val="44F22B38"/>
    <w:rsid w:val="44FC5BF6"/>
    <w:rsid w:val="45386DA3"/>
    <w:rsid w:val="457635EC"/>
    <w:rsid w:val="45863281"/>
    <w:rsid w:val="45A271CF"/>
    <w:rsid w:val="45C04752"/>
    <w:rsid w:val="45F54D27"/>
    <w:rsid w:val="45F778F0"/>
    <w:rsid w:val="461F5BAF"/>
    <w:rsid w:val="4624449B"/>
    <w:rsid w:val="462B75C2"/>
    <w:rsid w:val="468948B3"/>
    <w:rsid w:val="468A75E6"/>
    <w:rsid w:val="46B57629"/>
    <w:rsid w:val="46C14906"/>
    <w:rsid w:val="46CB0A6B"/>
    <w:rsid w:val="46CE73EA"/>
    <w:rsid w:val="472C05EE"/>
    <w:rsid w:val="472C440A"/>
    <w:rsid w:val="4762121A"/>
    <w:rsid w:val="47937301"/>
    <w:rsid w:val="47C8182E"/>
    <w:rsid w:val="47DC362C"/>
    <w:rsid w:val="47F409BD"/>
    <w:rsid w:val="47FB3498"/>
    <w:rsid w:val="47FC6B7A"/>
    <w:rsid w:val="485052D8"/>
    <w:rsid w:val="48C72033"/>
    <w:rsid w:val="48CF747F"/>
    <w:rsid w:val="48FA2A51"/>
    <w:rsid w:val="491403CF"/>
    <w:rsid w:val="49156D95"/>
    <w:rsid w:val="491D321B"/>
    <w:rsid w:val="493424A6"/>
    <w:rsid w:val="4955729B"/>
    <w:rsid w:val="496074EF"/>
    <w:rsid w:val="498F1A34"/>
    <w:rsid w:val="49965291"/>
    <w:rsid w:val="49CC5CF4"/>
    <w:rsid w:val="49D8660C"/>
    <w:rsid w:val="49DF4588"/>
    <w:rsid w:val="49E014E1"/>
    <w:rsid w:val="4A1258A3"/>
    <w:rsid w:val="4A1743C6"/>
    <w:rsid w:val="4A3009D4"/>
    <w:rsid w:val="4A730C3E"/>
    <w:rsid w:val="4ADD32B8"/>
    <w:rsid w:val="4AE61714"/>
    <w:rsid w:val="4B1B05A1"/>
    <w:rsid w:val="4B241572"/>
    <w:rsid w:val="4B29541F"/>
    <w:rsid w:val="4B46773A"/>
    <w:rsid w:val="4B5B5F59"/>
    <w:rsid w:val="4B651054"/>
    <w:rsid w:val="4B745B24"/>
    <w:rsid w:val="4B790C73"/>
    <w:rsid w:val="4BB626BF"/>
    <w:rsid w:val="4BF52E1B"/>
    <w:rsid w:val="4C336E5A"/>
    <w:rsid w:val="4C353356"/>
    <w:rsid w:val="4C3F6109"/>
    <w:rsid w:val="4C4A325A"/>
    <w:rsid w:val="4C5127F9"/>
    <w:rsid w:val="4C8A0551"/>
    <w:rsid w:val="4C9E5CED"/>
    <w:rsid w:val="4CF4135C"/>
    <w:rsid w:val="4D075106"/>
    <w:rsid w:val="4D1C2E8A"/>
    <w:rsid w:val="4D4A034A"/>
    <w:rsid w:val="4D5D5E3B"/>
    <w:rsid w:val="4D767F1E"/>
    <w:rsid w:val="4D8F32A0"/>
    <w:rsid w:val="4DC1754C"/>
    <w:rsid w:val="4DD059E1"/>
    <w:rsid w:val="4DD16A27"/>
    <w:rsid w:val="4E0D7324"/>
    <w:rsid w:val="4E1A512D"/>
    <w:rsid w:val="4E1B3100"/>
    <w:rsid w:val="4E2509D2"/>
    <w:rsid w:val="4E374B25"/>
    <w:rsid w:val="4E4C49A1"/>
    <w:rsid w:val="4E614C78"/>
    <w:rsid w:val="4E6605CA"/>
    <w:rsid w:val="4EAB0114"/>
    <w:rsid w:val="4EB2609A"/>
    <w:rsid w:val="4EC21D09"/>
    <w:rsid w:val="4EE96625"/>
    <w:rsid w:val="4F044D97"/>
    <w:rsid w:val="4F4F29EA"/>
    <w:rsid w:val="4F522C31"/>
    <w:rsid w:val="4F654F68"/>
    <w:rsid w:val="4F8F6D42"/>
    <w:rsid w:val="4FA908D9"/>
    <w:rsid w:val="500408DE"/>
    <w:rsid w:val="500A7FBC"/>
    <w:rsid w:val="50163486"/>
    <w:rsid w:val="503C2CE4"/>
    <w:rsid w:val="5080374E"/>
    <w:rsid w:val="50A14F50"/>
    <w:rsid w:val="50B27017"/>
    <w:rsid w:val="50B9391E"/>
    <w:rsid w:val="50BB2978"/>
    <w:rsid w:val="50C6631B"/>
    <w:rsid w:val="50D61560"/>
    <w:rsid w:val="50E13A61"/>
    <w:rsid w:val="51037E7B"/>
    <w:rsid w:val="51083745"/>
    <w:rsid w:val="516850BA"/>
    <w:rsid w:val="516F3258"/>
    <w:rsid w:val="51776B62"/>
    <w:rsid w:val="518C2C3D"/>
    <w:rsid w:val="51A01538"/>
    <w:rsid w:val="51DB39B9"/>
    <w:rsid w:val="522A6F3E"/>
    <w:rsid w:val="5247070E"/>
    <w:rsid w:val="5257234F"/>
    <w:rsid w:val="52720BC3"/>
    <w:rsid w:val="527A2805"/>
    <w:rsid w:val="52922181"/>
    <w:rsid w:val="52965D29"/>
    <w:rsid w:val="52A22E8C"/>
    <w:rsid w:val="52AB41DD"/>
    <w:rsid w:val="52B14033"/>
    <w:rsid w:val="52E0467E"/>
    <w:rsid w:val="5302488E"/>
    <w:rsid w:val="53070C6E"/>
    <w:rsid w:val="532924FD"/>
    <w:rsid w:val="53746B8D"/>
    <w:rsid w:val="538C78B4"/>
    <w:rsid w:val="53980D4F"/>
    <w:rsid w:val="53BE59EE"/>
    <w:rsid w:val="53C4320D"/>
    <w:rsid w:val="53CD6ECD"/>
    <w:rsid w:val="541F6F1A"/>
    <w:rsid w:val="547436E0"/>
    <w:rsid w:val="54AD202B"/>
    <w:rsid w:val="54B20A58"/>
    <w:rsid w:val="54B836B4"/>
    <w:rsid w:val="54E258CE"/>
    <w:rsid w:val="55382BA4"/>
    <w:rsid w:val="55514833"/>
    <w:rsid w:val="556F2587"/>
    <w:rsid w:val="55706236"/>
    <w:rsid w:val="55A1249C"/>
    <w:rsid w:val="55A62B8A"/>
    <w:rsid w:val="55DF61D7"/>
    <w:rsid w:val="566E6EB5"/>
    <w:rsid w:val="568D7B85"/>
    <w:rsid w:val="56BF0CF1"/>
    <w:rsid w:val="56E66275"/>
    <w:rsid w:val="56F125AB"/>
    <w:rsid w:val="56F67C83"/>
    <w:rsid w:val="57061B4B"/>
    <w:rsid w:val="5736758D"/>
    <w:rsid w:val="57515444"/>
    <w:rsid w:val="57560E52"/>
    <w:rsid w:val="57607DD5"/>
    <w:rsid w:val="5766386C"/>
    <w:rsid w:val="57670253"/>
    <w:rsid w:val="57757558"/>
    <w:rsid w:val="57775CAB"/>
    <w:rsid w:val="577949F3"/>
    <w:rsid w:val="57AB500F"/>
    <w:rsid w:val="57CD7318"/>
    <w:rsid w:val="57E30AE1"/>
    <w:rsid w:val="580C6D7B"/>
    <w:rsid w:val="58127246"/>
    <w:rsid w:val="581773FE"/>
    <w:rsid w:val="58311AAA"/>
    <w:rsid w:val="58363036"/>
    <w:rsid w:val="58733B38"/>
    <w:rsid w:val="58984351"/>
    <w:rsid w:val="58AF1DF6"/>
    <w:rsid w:val="58F921A1"/>
    <w:rsid w:val="58FA76E7"/>
    <w:rsid w:val="592438F8"/>
    <w:rsid w:val="59465FF6"/>
    <w:rsid w:val="596078FE"/>
    <w:rsid w:val="597F637D"/>
    <w:rsid w:val="59882C3D"/>
    <w:rsid w:val="59B04FE8"/>
    <w:rsid w:val="59BF56A8"/>
    <w:rsid w:val="59D16D68"/>
    <w:rsid w:val="59D538CC"/>
    <w:rsid w:val="5A107157"/>
    <w:rsid w:val="5A1233D7"/>
    <w:rsid w:val="5A2426EB"/>
    <w:rsid w:val="5A501676"/>
    <w:rsid w:val="5AAC1340"/>
    <w:rsid w:val="5AC039E7"/>
    <w:rsid w:val="5B0A12CC"/>
    <w:rsid w:val="5B2B24A8"/>
    <w:rsid w:val="5B2C167F"/>
    <w:rsid w:val="5B4C010D"/>
    <w:rsid w:val="5B673AB6"/>
    <w:rsid w:val="5B835D00"/>
    <w:rsid w:val="5BB406F0"/>
    <w:rsid w:val="5BCF5517"/>
    <w:rsid w:val="5BD61BB0"/>
    <w:rsid w:val="5C33344D"/>
    <w:rsid w:val="5C38462F"/>
    <w:rsid w:val="5C47491A"/>
    <w:rsid w:val="5CA5043C"/>
    <w:rsid w:val="5CB94636"/>
    <w:rsid w:val="5CC4676D"/>
    <w:rsid w:val="5D0329F7"/>
    <w:rsid w:val="5D293D84"/>
    <w:rsid w:val="5D3662B3"/>
    <w:rsid w:val="5D6A7321"/>
    <w:rsid w:val="5D82193F"/>
    <w:rsid w:val="5DA64068"/>
    <w:rsid w:val="5DBC2E9F"/>
    <w:rsid w:val="5E006713"/>
    <w:rsid w:val="5E326B7D"/>
    <w:rsid w:val="5E4173F2"/>
    <w:rsid w:val="5E493FE8"/>
    <w:rsid w:val="5E6C6963"/>
    <w:rsid w:val="5EA00D2C"/>
    <w:rsid w:val="5ECB4F8C"/>
    <w:rsid w:val="5ED5673A"/>
    <w:rsid w:val="5ED57CA3"/>
    <w:rsid w:val="5EEE5B65"/>
    <w:rsid w:val="5F76621D"/>
    <w:rsid w:val="5FC03B07"/>
    <w:rsid w:val="5FD21DA9"/>
    <w:rsid w:val="600F33B6"/>
    <w:rsid w:val="601E3E49"/>
    <w:rsid w:val="602D199B"/>
    <w:rsid w:val="60711F15"/>
    <w:rsid w:val="607169C6"/>
    <w:rsid w:val="60866FE9"/>
    <w:rsid w:val="60A42C31"/>
    <w:rsid w:val="60C166EF"/>
    <w:rsid w:val="60EE5A75"/>
    <w:rsid w:val="614E60D8"/>
    <w:rsid w:val="616E7E24"/>
    <w:rsid w:val="61734C5D"/>
    <w:rsid w:val="619C7C5C"/>
    <w:rsid w:val="61E01682"/>
    <w:rsid w:val="61FD59BC"/>
    <w:rsid w:val="621C6E31"/>
    <w:rsid w:val="623C31ED"/>
    <w:rsid w:val="62585A7C"/>
    <w:rsid w:val="626C1757"/>
    <w:rsid w:val="62AF39BF"/>
    <w:rsid w:val="62B65BC3"/>
    <w:rsid w:val="62EE71CA"/>
    <w:rsid w:val="63403FBC"/>
    <w:rsid w:val="6350137D"/>
    <w:rsid w:val="63624336"/>
    <w:rsid w:val="63BC0D27"/>
    <w:rsid w:val="63C37C63"/>
    <w:rsid w:val="63D43630"/>
    <w:rsid w:val="63E241AA"/>
    <w:rsid w:val="63F0428F"/>
    <w:rsid w:val="64083C3F"/>
    <w:rsid w:val="64117515"/>
    <w:rsid w:val="64183574"/>
    <w:rsid w:val="64857D05"/>
    <w:rsid w:val="649474DD"/>
    <w:rsid w:val="64B77BC7"/>
    <w:rsid w:val="64D375A3"/>
    <w:rsid w:val="64FC3B9A"/>
    <w:rsid w:val="653D1B90"/>
    <w:rsid w:val="655D015B"/>
    <w:rsid w:val="65901B77"/>
    <w:rsid w:val="659B7170"/>
    <w:rsid w:val="65DA6397"/>
    <w:rsid w:val="65FD47A4"/>
    <w:rsid w:val="66052F39"/>
    <w:rsid w:val="660A0B49"/>
    <w:rsid w:val="66635961"/>
    <w:rsid w:val="666B47EA"/>
    <w:rsid w:val="6677718C"/>
    <w:rsid w:val="668A4D5C"/>
    <w:rsid w:val="66952ECC"/>
    <w:rsid w:val="669E0F91"/>
    <w:rsid w:val="67045800"/>
    <w:rsid w:val="670D5158"/>
    <w:rsid w:val="671958AB"/>
    <w:rsid w:val="67303947"/>
    <w:rsid w:val="67424E02"/>
    <w:rsid w:val="674C6803"/>
    <w:rsid w:val="675237C7"/>
    <w:rsid w:val="67855FB8"/>
    <w:rsid w:val="67C1666E"/>
    <w:rsid w:val="682F280A"/>
    <w:rsid w:val="68552E02"/>
    <w:rsid w:val="687F6274"/>
    <w:rsid w:val="68D96000"/>
    <w:rsid w:val="68EC2B74"/>
    <w:rsid w:val="69054339"/>
    <w:rsid w:val="690D6941"/>
    <w:rsid w:val="691D6BEF"/>
    <w:rsid w:val="692270F9"/>
    <w:rsid w:val="69333C1F"/>
    <w:rsid w:val="693C3AD3"/>
    <w:rsid w:val="69E85B59"/>
    <w:rsid w:val="69F148BD"/>
    <w:rsid w:val="6A083C8B"/>
    <w:rsid w:val="6A310ACA"/>
    <w:rsid w:val="6A475C3C"/>
    <w:rsid w:val="6A762D68"/>
    <w:rsid w:val="6A7F2149"/>
    <w:rsid w:val="6ACB2D3F"/>
    <w:rsid w:val="6B072B94"/>
    <w:rsid w:val="6B7226E0"/>
    <w:rsid w:val="6B7227BC"/>
    <w:rsid w:val="6B7554DF"/>
    <w:rsid w:val="6BA81731"/>
    <w:rsid w:val="6BBC39AC"/>
    <w:rsid w:val="6BC05C7A"/>
    <w:rsid w:val="6BDA195D"/>
    <w:rsid w:val="6BDA2004"/>
    <w:rsid w:val="6BF37332"/>
    <w:rsid w:val="6BF863D7"/>
    <w:rsid w:val="6C800049"/>
    <w:rsid w:val="6CD21729"/>
    <w:rsid w:val="6CD8269F"/>
    <w:rsid w:val="6D311F7D"/>
    <w:rsid w:val="6D39117E"/>
    <w:rsid w:val="6D556E3C"/>
    <w:rsid w:val="6D59581D"/>
    <w:rsid w:val="6D5D2B62"/>
    <w:rsid w:val="6D6745F5"/>
    <w:rsid w:val="6D8117F8"/>
    <w:rsid w:val="6DB56881"/>
    <w:rsid w:val="6DDD7632"/>
    <w:rsid w:val="6E0923D8"/>
    <w:rsid w:val="6E482931"/>
    <w:rsid w:val="6E6648EE"/>
    <w:rsid w:val="6E7243FD"/>
    <w:rsid w:val="6E8610ED"/>
    <w:rsid w:val="6F2B261F"/>
    <w:rsid w:val="6F41302D"/>
    <w:rsid w:val="6F42354B"/>
    <w:rsid w:val="6F610C1F"/>
    <w:rsid w:val="6F767D3E"/>
    <w:rsid w:val="6F9D5714"/>
    <w:rsid w:val="6FCE7735"/>
    <w:rsid w:val="6FE16D2C"/>
    <w:rsid w:val="6FE264A0"/>
    <w:rsid w:val="7036571F"/>
    <w:rsid w:val="705A50F3"/>
    <w:rsid w:val="707B198B"/>
    <w:rsid w:val="708B7819"/>
    <w:rsid w:val="70BB6549"/>
    <w:rsid w:val="70C8462E"/>
    <w:rsid w:val="70D9311B"/>
    <w:rsid w:val="71140069"/>
    <w:rsid w:val="71290211"/>
    <w:rsid w:val="71762C26"/>
    <w:rsid w:val="719426FE"/>
    <w:rsid w:val="71A0693C"/>
    <w:rsid w:val="71BA427F"/>
    <w:rsid w:val="71CD6690"/>
    <w:rsid w:val="71DD152F"/>
    <w:rsid w:val="71E068B0"/>
    <w:rsid w:val="71E36583"/>
    <w:rsid w:val="71EC182A"/>
    <w:rsid w:val="72080DF0"/>
    <w:rsid w:val="722331A5"/>
    <w:rsid w:val="725C1317"/>
    <w:rsid w:val="72C429AD"/>
    <w:rsid w:val="72D73503"/>
    <w:rsid w:val="73007C3A"/>
    <w:rsid w:val="730D1CCA"/>
    <w:rsid w:val="73281380"/>
    <w:rsid w:val="73293018"/>
    <w:rsid w:val="735143BA"/>
    <w:rsid w:val="736425A4"/>
    <w:rsid w:val="737F23C2"/>
    <w:rsid w:val="73814F04"/>
    <w:rsid w:val="73956BEF"/>
    <w:rsid w:val="73CD4ED4"/>
    <w:rsid w:val="73EF6ABA"/>
    <w:rsid w:val="73F11447"/>
    <w:rsid w:val="73F54682"/>
    <w:rsid w:val="741572BE"/>
    <w:rsid w:val="741E4D72"/>
    <w:rsid w:val="743254BC"/>
    <w:rsid w:val="744637BC"/>
    <w:rsid w:val="747E5633"/>
    <w:rsid w:val="74C97E89"/>
    <w:rsid w:val="74F5031E"/>
    <w:rsid w:val="753D2E6F"/>
    <w:rsid w:val="754444B6"/>
    <w:rsid w:val="758449E9"/>
    <w:rsid w:val="758E4672"/>
    <w:rsid w:val="75B66ADA"/>
    <w:rsid w:val="762C3780"/>
    <w:rsid w:val="764D6A4B"/>
    <w:rsid w:val="767E397C"/>
    <w:rsid w:val="768B2013"/>
    <w:rsid w:val="769F05AF"/>
    <w:rsid w:val="76EA5389"/>
    <w:rsid w:val="772103AE"/>
    <w:rsid w:val="773D41E7"/>
    <w:rsid w:val="7765236E"/>
    <w:rsid w:val="77775D89"/>
    <w:rsid w:val="77865594"/>
    <w:rsid w:val="779C20FF"/>
    <w:rsid w:val="779C7574"/>
    <w:rsid w:val="77A7245B"/>
    <w:rsid w:val="780C2EA6"/>
    <w:rsid w:val="78166FF5"/>
    <w:rsid w:val="781C68DB"/>
    <w:rsid w:val="78674783"/>
    <w:rsid w:val="786848AD"/>
    <w:rsid w:val="78685C72"/>
    <w:rsid w:val="78A52233"/>
    <w:rsid w:val="78B673FD"/>
    <w:rsid w:val="78FE3DD4"/>
    <w:rsid w:val="791315C3"/>
    <w:rsid w:val="79447889"/>
    <w:rsid w:val="79606AA8"/>
    <w:rsid w:val="7966655A"/>
    <w:rsid w:val="799C62EB"/>
    <w:rsid w:val="79AF1C2F"/>
    <w:rsid w:val="79C74800"/>
    <w:rsid w:val="79DA7170"/>
    <w:rsid w:val="7A1C7E11"/>
    <w:rsid w:val="7A396538"/>
    <w:rsid w:val="7A6016BC"/>
    <w:rsid w:val="7A952101"/>
    <w:rsid w:val="7AA97D3A"/>
    <w:rsid w:val="7ABB2A50"/>
    <w:rsid w:val="7AD0558D"/>
    <w:rsid w:val="7B1623D5"/>
    <w:rsid w:val="7B307F57"/>
    <w:rsid w:val="7B3F19BB"/>
    <w:rsid w:val="7B46197D"/>
    <w:rsid w:val="7B690757"/>
    <w:rsid w:val="7BB75966"/>
    <w:rsid w:val="7C194312"/>
    <w:rsid w:val="7C1973BE"/>
    <w:rsid w:val="7C1E5415"/>
    <w:rsid w:val="7C247CA2"/>
    <w:rsid w:val="7C2B36FC"/>
    <w:rsid w:val="7C4618BD"/>
    <w:rsid w:val="7C5400E1"/>
    <w:rsid w:val="7C74092F"/>
    <w:rsid w:val="7C824FF2"/>
    <w:rsid w:val="7CF3413E"/>
    <w:rsid w:val="7D336427"/>
    <w:rsid w:val="7D4E40A8"/>
    <w:rsid w:val="7D61609A"/>
    <w:rsid w:val="7D7D2BE0"/>
    <w:rsid w:val="7DA94EE7"/>
    <w:rsid w:val="7E213C36"/>
    <w:rsid w:val="7E3E1F98"/>
    <w:rsid w:val="7E3F68A0"/>
    <w:rsid w:val="7E4075FF"/>
    <w:rsid w:val="7E600DC3"/>
    <w:rsid w:val="7E694279"/>
    <w:rsid w:val="7E765D97"/>
    <w:rsid w:val="7E77229F"/>
    <w:rsid w:val="7E7E700C"/>
    <w:rsid w:val="7EA50B70"/>
    <w:rsid w:val="7EB97C47"/>
    <w:rsid w:val="7EC47289"/>
    <w:rsid w:val="7EEB5927"/>
    <w:rsid w:val="7EEF0E7A"/>
    <w:rsid w:val="7EFD0989"/>
    <w:rsid w:val="7F0251EE"/>
    <w:rsid w:val="7F4436EB"/>
    <w:rsid w:val="7F5C31CD"/>
    <w:rsid w:val="7F6B5095"/>
    <w:rsid w:val="7FA147C6"/>
    <w:rsid w:val="7FC17032"/>
    <w:rsid w:val="7FE50115"/>
    <w:rsid w:val="7FEE66E4"/>
    <w:rsid w:val="7FEF0C9A"/>
    <w:rsid w:val="7FF96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8"/>
    <w:autoRedefine/>
    <w:qFormat/>
    <w:uiPriority w:val="9"/>
    <w:pPr>
      <w:keepNext/>
      <w:keepLines/>
      <w:spacing w:before="340" w:after="330" w:line="578" w:lineRule="auto"/>
      <w:outlineLvl w:val="0"/>
    </w:pPr>
    <w:rPr>
      <w:rFonts w:ascii="Times New Roman" w:hAnsi="Times New Roman" w:eastAsia="宋体" w:cs="Times New Roman"/>
      <w:b/>
      <w:bCs/>
      <w:kern w:val="44"/>
      <w:sz w:val="44"/>
      <w:szCs w:val="44"/>
      <w:lang w:val="zh-CN"/>
    </w:rPr>
  </w:style>
  <w:style w:type="paragraph" w:styleId="3">
    <w:name w:val="heading 2"/>
    <w:basedOn w:val="1"/>
    <w:next w:val="1"/>
    <w:link w:val="40"/>
    <w:autoRedefine/>
    <w:qFormat/>
    <w:uiPriority w:val="9"/>
    <w:pPr>
      <w:keepNext/>
      <w:keepLines/>
      <w:spacing w:before="260" w:after="260" w:line="416" w:lineRule="auto"/>
      <w:outlineLvl w:val="1"/>
    </w:pPr>
    <w:rPr>
      <w:rFonts w:ascii="Cambria" w:hAnsi="Cambria" w:eastAsia="宋体" w:cs="Times New Roman"/>
      <w:b/>
      <w:bCs/>
      <w:sz w:val="32"/>
      <w:szCs w:val="32"/>
      <w:lang w:val="zh-CN"/>
    </w:rPr>
  </w:style>
  <w:style w:type="paragraph" w:styleId="4">
    <w:name w:val="heading 3"/>
    <w:basedOn w:val="1"/>
    <w:next w:val="1"/>
    <w:link w:val="39"/>
    <w:autoRedefine/>
    <w:qFormat/>
    <w:uiPriority w:val="9"/>
    <w:pPr>
      <w:keepNext/>
      <w:keepLines/>
      <w:spacing w:before="260" w:after="260" w:line="416" w:lineRule="auto"/>
      <w:outlineLvl w:val="2"/>
    </w:pPr>
    <w:rPr>
      <w:rFonts w:ascii="Times New Roman" w:hAnsi="Times New Roman" w:eastAsia="宋体" w:cs="Times New Roman"/>
      <w:b/>
      <w:bCs/>
      <w:sz w:val="32"/>
      <w:szCs w:val="32"/>
      <w:lang w:val="zh-CN"/>
    </w:rPr>
  </w:style>
  <w:style w:type="paragraph" w:styleId="5">
    <w:name w:val="heading 5"/>
    <w:basedOn w:val="1"/>
    <w:next w:val="6"/>
    <w:link w:val="47"/>
    <w:autoRedefine/>
    <w:qFormat/>
    <w:uiPriority w:val="9"/>
    <w:pPr>
      <w:keepNext/>
      <w:keepLines/>
      <w:spacing w:before="280" w:after="290" w:line="376" w:lineRule="auto"/>
      <w:outlineLvl w:val="4"/>
    </w:pPr>
    <w:rPr>
      <w:rFonts w:ascii="Times New Roman" w:hAnsi="Times New Roman" w:eastAsia="宋体" w:cs="Times New Roman"/>
      <w:b/>
      <w:bCs/>
      <w:sz w:val="28"/>
      <w:szCs w:val="28"/>
      <w:lang w:val="zh-CN"/>
    </w:rPr>
  </w:style>
  <w:style w:type="paragraph" w:styleId="7">
    <w:name w:val="heading 8"/>
    <w:basedOn w:val="1"/>
    <w:next w:val="1"/>
    <w:link w:val="48"/>
    <w:autoRedefine/>
    <w:qFormat/>
    <w:uiPriority w:val="9"/>
    <w:pPr>
      <w:keepNext/>
      <w:keepLines/>
      <w:spacing w:before="240" w:after="64" w:line="320" w:lineRule="auto"/>
      <w:outlineLvl w:val="7"/>
    </w:pPr>
    <w:rPr>
      <w:rFonts w:ascii="等线 Light" w:hAnsi="等线 Light" w:eastAsia="等线 Light" w:cs="Times New Roman"/>
      <w:sz w:val="24"/>
      <w:szCs w:val="24"/>
      <w:lang w:val="zh-CN"/>
    </w:rPr>
  </w:style>
  <w:style w:type="paragraph" w:styleId="8">
    <w:name w:val="heading 9"/>
    <w:basedOn w:val="1"/>
    <w:next w:val="1"/>
    <w:link w:val="49"/>
    <w:autoRedefine/>
    <w:qFormat/>
    <w:uiPriority w:val="9"/>
    <w:pPr>
      <w:keepNext/>
      <w:keepLines/>
      <w:spacing w:before="240" w:after="64" w:line="320" w:lineRule="auto"/>
      <w:outlineLvl w:val="8"/>
    </w:pPr>
    <w:rPr>
      <w:rFonts w:ascii="Cambria" w:hAnsi="Cambria" w:eastAsia="宋体" w:cs="Times New Roman"/>
      <w:szCs w:val="21"/>
      <w:lang w:val="zh-CN"/>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ind w:firstLine="420"/>
    </w:pPr>
    <w:rPr>
      <w:rFonts w:ascii="Times New Roman" w:hAnsi="Times New Roman" w:eastAsia="宋体" w:cs="Times New Roman"/>
      <w:szCs w:val="20"/>
    </w:rPr>
  </w:style>
  <w:style w:type="paragraph" w:styleId="9">
    <w:name w:val="index 8"/>
    <w:basedOn w:val="1"/>
    <w:next w:val="1"/>
    <w:autoRedefine/>
    <w:qFormat/>
    <w:uiPriority w:val="0"/>
    <w:pPr>
      <w:ind w:left="2940"/>
    </w:pPr>
  </w:style>
  <w:style w:type="paragraph" w:styleId="10">
    <w:name w:val="List Number"/>
    <w:basedOn w:val="1"/>
    <w:autoRedefine/>
    <w:qFormat/>
    <w:uiPriority w:val="0"/>
    <w:pPr>
      <w:widowControl/>
      <w:tabs>
        <w:tab w:val="left" w:pos="454"/>
        <w:tab w:val="left" w:pos="720"/>
        <w:tab w:val="left" w:pos="840"/>
      </w:tabs>
      <w:spacing w:after="50" w:afterLines="50"/>
      <w:ind w:left="454" w:hanging="284"/>
      <w:jc w:val="left"/>
    </w:pPr>
    <w:rPr>
      <w:rFonts w:ascii="Times New Roman" w:hAnsi="Times New Roman" w:eastAsia="宋体" w:cs="Times New Roman"/>
      <w:kern w:val="0"/>
      <w:sz w:val="24"/>
      <w:szCs w:val="20"/>
    </w:rPr>
  </w:style>
  <w:style w:type="paragraph" w:styleId="11">
    <w:name w:val="annotation text"/>
    <w:basedOn w:val="1"/>
    <w:link w:val="51"/>
    <w:autoRedefine/>
    <w:qFormat/>
    <w:uiPriority w:val="0"/>
    <w:pPr>
      <w:jc w:val="left"/>
    </w:pPr>
    <w:rPr>
      <w:rFonts w:ascii="Times New Roman" w:hAnsi="Times New Roman" w:eastAsia="宋体" w:cs="Times New Roman"/>
      <w:szCs w:val="24"/>
      <w:lang w:val="zh-CN"/>
    </w:rPr>
  </w:style>
  <w:style w:type="paragraph" w:styleId="12">
    <w:name w:val="Body Text 3"/>
    <w:basedOn w:val="1"/>
    <w:link w:val="53"/>
    <w:autoRedefine/>
    <w:unhideWhenUsed/>
    <w:qFormat/>
    <w:uiPriority w:val="99"/>
    <w:pPr>
      <w:spacing w:after="120"/>
    </w:pPr>
    <w:rPr>
      <w:rFonts w:ascii="Times New Roman" w:hAnsi="Times New Roman" w:eastAsia="宋体" w:cs="Times New Roman"/>
      <w:sz w:val="16"/>
      <w:szCs w:val="16"/>
      <w:lang w:val="zh-CN"/>
    </w:rPr>
  </w:style>
  <w:style w:type="paragraph" w:styleId="13">
    <w:name w:val="Body Text"/>
    <w:basedOn w:val="1"/>
    <w:next w:val="14"/>
    <w:link w:val="55"/>
    <w:autoRedefine/>
    <w:unhideWhenUsed/>
    <w:qFormat/>
    <w:uiPriority w:val="0"/>
    <w:pPr>
      <w:spacing w:after="120"/>
    </w:pPr>
    <w:rPr>
      <w:rFonts w:ascii="Times New Roman" w:hAnsi="Times New Roman" w:eastAsia="宋体" w:cs="Times New Roman"/>
      <w:szCs w:val="24"/>
      <w:lang w:val="zh-CN"/>
    </w:rPr>
  </w:style>
  <w:style w:type="paragraph" w:styleId="14">
    <w:name w:val="Title"/>
    <w:basedOn w:val="1"/>
    <w:next w:val="1"/>
    <w:link w:val="70"/>
    <w:autoRedefine/>
    <w:qFormat/>
    <w:uiPriority w:val="10"/>
    <w:pPr>
      <w:widowControl/>
      <w:overflowPunct w:val="0"/>
      <w:autoSpaceDE w:val="0"/>
      <w:autoSpaceDN w:val="0"/>
      <w:adjustRightInd w:val="0"/>
      <w:jc w:val="center"/>
      <w:textAlignment w:val="baseline"/>
    </w:pPr>
    <w:rPr>
      <w:rFonts w:ascii="Cambria" w:hAnsi="Cambria" w:eastAsia="宋体" w:cs="Times New Roman"/>
      <w:b/>
      <w:bCs/>
      <w:sz w:val="32"/>
      <w:szCs w:val="32"/>
      <w:lang w:val="zh-CN"/>
    </w:rPr>
  </w:style>
  <w:style w:type="paragraph" w:styleId="15">
    <w:name w:val="Body Text Indent"/>
    <w:basedOn w:val="1"/>
    <w:link w:val="57"/>
    <w:autoRedefine/>
    <w:qFormat/>
    <w:uiPriority w:val="0"/>
    <w:pPr>
      <w:ind w:firstLine="830" w:firstLineChars="352"/>
    </w:pPr>
    <w:rPr>
      <w:rFonts w:ascii="仿宋_GB2312" w:hAnsi="Times New Roman" w:eastAsia="仿宋_GB2312" w:cs="Times New Roman"/>
      <w:kern w:val="0"/>
      <w:sz w:val="32"/>
      <w:szCs w:val="20"/>
      <w:lang w:val="zh-CN"/>
    </w:rPr>
  </w:style>
  <w:style w:type="paragraph" w:styleId="16">
    <w:name w:val="List 2"/>
    <w:basedOn w:val="1"/>
    <w:autoRedefine/>
    <w:unhideWhenUsed/>
    <w:qFormat/>
    <w:uiPriority w:val="99"/>
    <w:pPr>
      <w:ind w:left="100" w:leftChars="200" w:hanging="200" w:hangingChars="200"/>
      <w:contextualSpacing/>
    </w:pPr>
    <w:rPr>
      <w:rFonts w:ascii="Times New Roman" w:hAnsi="Times New Roman" w:eastAsia="宋体" w:cs="Times New Roman"/>
      <w:szCs w:val="24"/>
    </w:rPr>
  </w:style>
  <w:style w:type="paragraph" w:styleId="17">
    <w:name w:val="toc 3"/>
    <w:basedOn w:val="1"/>
    <w:next w:val="1"/>
    <w:autoRedefine/>
    <w:semiHidden/>
    <w:unhideWhenUsed/>
    <w:qFormat/>
    <w:uiPriority w:val="39"/>
    <w:pPr>
      <w:ind w:left="840" w:leftChars="400"/>
    </w:pPr>
  </w:style>
  <w:style w:type="paragraph" w:styleId="18">
    <w:name w:val="Plain Text"/>
    <w:basedOn w:val="1"/>
    <w:link w:val="61"/>
    <w:autoRedefine/>
    <w:qFormat/>
    <w:uiPriority w:val="0"/>
    <w:rPr>
      <w:rFonts w:ascii="宋体" w:hAnsi="Courier New" w:eastAsia="宋体" w:cs="Times New Roman"/>
      <w:kern w:val="0"/>
      <w:sz w:val="20"/>
      <w:szCs w:val="21"/>
      <w:lang w:val="zh-CN"/>
    </w:rPr>
  </w:style>
  <w:style w:type="paragraph" w:styleId="19">
    <w:name w:val="Date"/>
    <w:basedOn w:val="1"/>
    <w:next w:val="1"/>
    <w:link w:val="63"/>
    <w:autoRedefine/>
    <w:unhideWhenUsed/>
    <w:qFormat/>
    <w:uiPriority w:val="99"/>
    <w:pPr>
      <w:ind w:left="100" w:leftChars="2500"/>
    </w:pPr>
    <w:rPr>
      <w:rFonts w:ascii="Times New Roman" w:hAnsi="Times New Roman" w:eastAsia="宋体" w:cs="Times New Roman"/>
      <w:szCs w:val="24"/>
      <w:lang w:val="zh-CN"/>
    </w:rPr>
  </w:style>
  <w:style w:type="paragraph" w:styleId="20">
    <w:name w:val="Balloon Text"/>
    <w:basedOn w:val="1"/>
    <w:link w:val="99"/>
    <w:autoRedefine/>
    <w:semiHidden/>
    <w:qFormat/>
    <w:uiPriority w:val="0"/>
    <w:rPr>
      <w:rFonts w:ascii="Times New Roman" w:hAnsi="Times New Roman" w:eastAsia="宋体" w:cs="Times New Roman"/>
      <w:sz w:val="18"/>
      <w:szCs w:val="18"/>
    </w:rPr>
  </w:style>
  <w:style w:type="paragraph" w:styleId="21">
    <w:name w:val="footer"/>
    <w:basedOn w:val="1"/>
    <w:link w:val="66"/>
    <w:autoRedefine/>
    <w:unhideWhenUsed/>
    <w:qFormat/>
    <w:uiPriority w:val="0"/>
    <w:pPr>
      <w:tabs>
        <w:tab w:val="center" w:pos="4153"/>
        <w:tab w:val="right" w:pos="8306"/>
      </w:tabs>
      <w:snapToGrid w:val="0"/>
      <w:jc w:val="left"/>
    </w:pPr>
    <w:rPr>
      <w:rFonts w:ascii="Times New Roman" w:hAnsi="Times New Roman" w:eastAsia="宋体" w:cs="Times New Roman"/>
      <w:kern w:val="0"/>
      <w:sz w:val="18"/>
      <w:szCs w:val="18"/>
      <w:lang w:val="zh-CN"/>
    </w:rPr>
  </w:style>
  <w:style w:type="paragraph" w:styleId="22">
    <w:name w:val="header"/>
    <w:basedOn w:val="1"/>
    <w:link w:val="68"/>
    <w:autoRedefine/>
    <w:unhideWhenUsed/>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lang w:val="zh-CN"/>
    </w:rPr>
  </w:style>
  <w:style w:type="paragraph" w:styleId="23">
    <w:name w:val="toc 1"/>
    <w:basedOn w:val="1"/>
    <w:next w:val="1"/>
    <w:autoRedefine/>
    <w:semiHidden/>
    <w:unhideWhenUsed/>
    <w:qFormat/>
    <w:uiPriority w:val="39"/>
  </w:style>
  <w:style w:type="paragraph" w:styleId="24">
    <w:name w:val="List"/>
    <w:basedOn w:val="1"/>
    <w:autoRedefine/>
    <w:unhideWhenUsed/>
    <w:qFormat/>
    <w:uiPriority w:val="99"/>
    <w:pPr>
      <w:ind w:left="200" w:hanging="200" w:hangingChars="200"/>
      <w:contextualSpacing/>
    </w:pPr>
    <w:rPr>
      <w:rFonts w:ascii="Times New Roman" w:hAnsi="Times New Roman" w:eastAsia="宋体" w:cs="Times New Roman"/>
      <w:szCs w:val="24"/>
    </w:rPr>
  </w:style>
  <w:style w:type="paragraph" w:styleId="25">
    <w:name w:val="toc 2"/>
    <w:basedOn w:val="1"/>
    <w:next w:val="1"/>
    <w:autoRedefine/>
    <w:semiHidden/>
    <w:unhideWhenUsed/>
    <w:qFormat/>
    <w:uiPriority w:val="39"/>
    <w:pPr>
      <w:ind w:left="420" w:leftChars="200"/>
    </w:pPr>
  </w:style>
  <w:style w:type="paragraph" w:styleId="26">
    <w:name w:val="Normal (Web)"/>
    <w:basedOn w:val="1"/>
    <w:autoRedefine/>
    <w:unhideWhenUsed/>
    <w:qFormat/>
    <w:uiPriority w:val="99"/>
    <w:rPr>
      <w:rFonts w:ascii="Calibri" w:hAnsi="Calibri" w:eastAsia="宋体" w:cs="Times New Roman"/>
      <w:kern w:val="0"/>
      <w:sz w:val="24"/>
      <w:szCs w:val="24"/>
    </w:rPr>
  </w:style>
  <w:style w:type="paragraph" w:styleId="27">
    <w:name w:val="annotation subject"/>
    <w:basedOn w:val="11"/>
    <w:next w:val="11"/>
    <w:link w:val="72"/>
    <w:autoRedefine/>
    <w:qFormat/>
    <w:uiPriority w:val="99"/>
    <w:rPr>
      <w:b/>
      <w:bCs/>
    </w:rPr>
  </w:style>
  <w:style w:type="paragraph" w:styleId="28">
    <w:name w:val="Body Text First Indent 2"/>
    <w:basedOn w:val="1"/>
    <w:link w:val="108"/>
    <w:autoRedefine/>
    <w:semiHidden/>
    <w:unhideWhenUsed/>
    <w:qFormat/>
    <w:uiPriority w:val="99"/>
    <w:pPr>
      <w:spacing w:after="120"/>
      <w:ind w:left="420" w:leftChars="200" w:firstLine="420" w:firstLineChars="200"/>
    </w:pPr>
    <w:rPr>
      <w:rFonts w:ascii="Times New Roman" w:eastAsia="宋体"/>
      <w:szCs w:val="24"/>
    </w:rPr>
  </w:style>
  <w:style w:type="table" w:styleId="30">
    <w:name w:val="Table Grid"/>
    <w:basedOn w:val="29"/>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2">
    <w:name w:val="Strong"/>
    <w:basedOn w:val="31"/>
    <w:autoRedefine/>
    <w:qFormat/>
    <w:uiPriority w:val="0"/>
    <w:rPr>
      <w:b/>
    </w:rPr>
  </w:style>
  <w:style w:type="character" w:styleId="33">
    <w:name w:val="endnote reference"/>
    <w:autoRedefine/>
    <w:unhideWhenUsed/>
    <w:qFormat/>
    <w:uiPriority w:val="99"/>
    <w:rPr>
      <w:vertAlign w:val="superscript"/>
    </w:rPr>
  </w:style>
  <w:style w:type="character" w:styleId="34">
    <w:name w:val="page number"/>
    <w:autoRedefine/>
    <w:qFormat/>
    <w:uiPriority w:val="0"/>
    <w:rPr>
      <w:rFonts w:ascii="Arial" w:hAnsi="Arial" w:eastAsia="黑体" w:cs="Arial"/>
      <w:snapToGrid w:val="0"/>
      <w:kern w:val="0"/>
      <w:szCs w:val="21"/>
    </w:rPr>
  </w:style>
  <w:style w:type="character" w:styleId="35">
    <w:name w:val="FollowedHyperlink"/>
    <w:basedOn w:val="31"/>
    <w:autoRedefine/>
    <w:unhideWhenUsed/>
    <w:qFormat/>
    <w:uiPriority w:val="99"/>
    <w:rPr>
      <w:color w:val="800080"/>
      <w:u w:val="single"/>
    </w:rPr>
  </w:style>
  <w:style w:type="character" w:styleId="36">
    <w:name w:val="Hyperlink"/>
    <w:autoRedefine/>
    <w:unhideWhenUsed/>
    <w:qFormat/>
    <w:uiPriority w:val="99"/>
    <w:rPr>
      <w:color w:val="0000FF"/>
      <w:u w:val="single"/>
    </w:rPr>
  </w:style>
  <w:style w:type="character" w:styleId="37">
    <w:name w:val="annotation reference"/>
    <w:autoRedefine/>
    <w:qFormat/>
    <w:uiPriority w:val="99"/>
    <w:rPr>
      <w:sz w:val="21"/>
      <w:szCs w:val="21"/>
    </w:rPr>
  </w:style>
  <w:style w:type="character" w:customStyle="1" w:styleId="38">
    <w:name w:val="标题 1 字符"/>
    <w:link w:val="2"/>
    <w:autoRedefine/>
    <w:qFormat/>
    <w:uiPriority w:val="9"/>
    <w:rPr>
      <w:rFonts w:ascii="Times New Roman" w:hAnsi="Times New Roman" w:eastAsia="宋体" w:cs="Times New Roman"/>
      <w:b/>
      <w:bCs/>
      <w:kern w:val="44"/>
      <w:sz w:val="44"/>
      <w:szCs w:val="44"/>
      <w:lang w:val="zh-CN" w:eastAsia="zh-CN"/>
    </w:rPr>
  </w:style>
  <w:style w:type="character" w:customStyle="1" w:styleId="39">
    <w:name w:val="标题 3 字符"/>
    <w:link w:val="4"/>
    <w:autoRedefine/>
    <w:qFormat/>
    <w:uiPriority w:val="9"/>
    <w:rPr>
      <w:rFonts w:ascii="Times New Roman" w:hAnsi="Times New Roman" w:eastAsia="宋体" w:cs="Times New Roman"/>
      <w:b/>
      <w:bCs/>
      <w:sz w:val="32"/>
      <w:szCs w:val="32"/>
      <w:lang w:val="zh-CN" w:eastAsia="zh-CN"/>
    </w:rPr>
  </w:style>
  <w:style w:type="character" w:customStyle="1" w:styleId="40">
    <w:name w:val="标题 2 字符"/>
    <w:link w:val="3"/>
    <w:autoRedefine/>
    <w:qFormat/>
    <w:uiPriority w:val="9"/>
    <w:rPr>
      <w:rFonts w:ascii="Cambria" w:hAnsi="Cambria" w:eastAsia="宋体" w:cs="Times New Roman"/>
      <w:b/>
      <w:bCs/>
      <w:sz w:val="32"/>
      <w:szCs w:val="32"/>
      <w:lang w:val="zh-CN" w:eastAsia="zh-CN"/>
    </w:rPr>
  </w:style>
  <w:style w:type="character" w:customStyle="1" w:styleId="41">
    <w:name w:val="标题 1 Char"/>
    <w:basedOn w:val="31"/>
    <w:autoRedefine/>
    <w:qFormat/>
    <w:uiPriority w:val="9"/>
    <w:rPr>
      <w:b/>
      <w:bCs/>
      <w:kern w:val="44"/>
      <w:sz w:val="44"/>
      <w:szCs w:val="44"/>
    </w:rPr>
  </w:style>
  <w:style w:type="character" w:customStyle="1" w:styleId="42">
    <w:name w:val="标题 2 Char"/>
    <w:basedOn w:val="31"/>
    <w:autoRedefine/>
    <w:qFormat/>
    <w:uiPriority w:val="9"/>
    <w:rPr>
      <w:rFonts w:asciiTheme="majorHAnsi" w:hAnsiTheme="majorHAnsi" w:eastAsiaTheme="majorEastAsia" w:cstheme="majorBidi"/>
      <w:b/>
      <w:bCs/>
      <w:sz w:val="32"/>
      <w:szCs w:val="32"/>
    </w:rPr>
  </w:style>
  <w:style w:type="character" w:customStyle="1" w:styleId="43">
    <w:name w:val="标题 3 Char"/>
    <w:basedOn w:val="31"/>
    <w:autoRedefine/>
    <w:qFormat/>
    <w:uiPriority w:val="9"/>
    <w:rPr>
      <w:b/>
      <w:bCs/>
      <w:sz w:val="32"/>
      <w:szCs w:val="32"/>
    </w:rPr>
  </w:style>
  <w:style w:type="character" w:customStyle="1" w:styleId="44">
    <w:name w:val="标题 5 Char"/>
    <w:basedOn w:val="31"/>
    <w:autoRedefine/>
    <w:qFormat/>
    <w:uiPriority w:val="9"/>
    <w:rPr>
      <w:b/>
      <w:bCs/>
      <w:sz w:val="28"/>
      <w:szCs w:val="28"/>
    </w:rPr>
  </w:style>
  <w:style w:type="character" w:customStyle="1" w:styleId="45">
    <w:name w:val="标题 8 Char"/>
    <w:basedOn w:val="31"/>
    <w:autoRedefine/>
    <w:qFormat/>
    <w:uiPriority w:val="0"/>
    <w:rPr>
      <w:rFonts w:asciiTheme="majorHAnsi" w:hAnsiTheme="majorHAnsi" w:eastAsiaTheme="majorEastAsia" w:cstheme="majorBidi"/>
      <w:sz w:val="24"/>
      <w:szCs w:val="24"/>
    </w:rPr>
  </w:style>
  <w:style w:type="character" w:customStyle="1" w:styleId="46">
    <w:name w:val="标题 9 Char"/>
    <w:basedOn w:val="31"/>
    <w:autoRedefine/>
    <w:semiHidden/>
    <w:qFormat/>
    <w:uiPriority w:val="9"/>
    <w:rPr>
      <w:rFonts w:asciiTheme="majorHAnsi" w:hAnsiTheme="majorHAnsi" w:eastAsiaTheme="majorEastAsia" w:cstheme="majorBidi"/>
      <w:szCs w:val="21"/>
    </w:rPr>
  </w:style>
  <w:style w:type="character" w:customStyle="1" w:styleId="47">
    <w:name w:val="标题 5 字符"/>
    <w:link w:val="5"/>
    <w:autoRedefine/>
    <w:qFormat/>
    <w:uiPriority w:val="9"/>
    <w:rPr>
      <w:rFonts w:ascii="Times New Roman" w:hAnsi="Times New Roman" w:eastAsia="宋体" w:cs="Times New Roman"/>
      <w:b/>
      <w:bCs/>
      <w:sz w:val="28"/>
      <w:szCs w:val="28"/>
      <w:lang w:val="zh-CN" w:eastAsia="zh-CN"/>
    </w:rPr>
  </w:style>
  <w:style w:type="character" w:customStyle="1" w:styleId="48">
    <w:name w:val="标题 8 字符"/>
    <w:link w:val="7"/>
    <w:autoRedefine/>
    <w:qFormat/>
    <w:uiPriority w:val="9"/>
    <w:rPr>
      <w:rFonts w:ascii="等线 Light" w:hAnsi="等线 Light" w:eastAsia="等线 Light" w:cs="Times New Roman"/>
      <w:sz w:val="24"/>
      <w:szCs w:val="24"/>
      <w:lang w:val="zh-CN" w:eastAsia="zh-CN"/>
    </w:rPr>
  </w:style>
  <w:style w:type="character" w:customStyle="1" w:styleId="49">
    <w:name w:val="标题 9 字符"/>
    <w:link w:val="8"/>
    <w:autoRedefine/>
    <w:qFormat/>
    <w:uiPriority w:val="9"/>
    <w:rPr>
      <w:rFonts w:ascii="Cambria" w:hAnsi="Cambria" w:eastAsia="宋体" w:cs="Times New Roman"/>
      <w:szCs w:val="21"/>
      <w:lang w:val="zh-CN" w:eastAsia="zh-CN"/>
    </w:rPr>
  </w:style>
  <w:style w:type="character" w:customStyle="1" w:styleId="50">
    <w:name w:val="批注文字 Char"/>
    <w:basedOn w:val="31"/>
    <w:autoRedefine/>
    <w:qFormat/>
    <w:uiPriority w:val="0"/>
  </w:style>
  <w:style w:type="character" w:customStyle="1" w:styleId="51">
    <w:name w:val="批注文字 字符2"/>
    <w:link w:val="11"/>
    <w:autoRedefine/>
    <w:qFormat/>
    <w:uiPriority w:val="0"/>
    <w:rPr>
      <w:rFonts w:ascii="Times New Roman" w:hAnsi="Times New Roman" w:eastAsia="宋体" w:cs="Times New Roman"/>
      <w:szCs w:val="24"/>
      <w:lang w:val="zh-CN" w:eastAsia="zh-CN"/>
    </w:rPr>
  </w:style>
  <w:style w:type="character" w:customStyle="1" w:styleId="52">
    <w:name w:val="正文文本 3 Char"/>
    <w:basedOn w:val="31"/>
    <w:autoRedefine/>
    <w:qFormat/>
    <w:uiPriority w:val="99"/>
    <w:rPr>
      <w:sz w:val="16"/>
      <w:szCs w:val="16"/>
    </w:rPr>
  </w:style>
  <w:style w:type="character" w:customStyle="1" w:styleId="53">
    <w:name w:val="正文文本 3 字符"/>
    <w:link w:val="12"/>
    <w:autoRedefine/>
    <w:qFormat/>
    <w:uiPriority w:val="99"/>
    <w:rPr>
      <w:rFonts w:ascii="Times New Roman" w:hAnsi="Times New Roman" w:eastAsia="宋体" w:cs="Times New Roman"/>
      <w:sz w:val="16"/>
      <w:szCs w:val="16"/>
      <w:lang w:val="zh-CN" w:eastAsia="zh-CN"/>
    </w:rPr>
  </w:style>
  <w:style w:type="character" w:customStyle="1" w:styleId="54">
    <w:name w:val="正文文本 Char"/>
    <w:basedOn w:val="31"/>
    <w:autoRedefine/>
    <w:qFormat/>
    <w:uiPriority w:val="0"/>
  </w:style>
  <w:style w:type="character" w:customStyle="1" w:styleId="55">
    <w:name w:val="正文文本 字符1"/>
    <w:link w:val="13"/>
    <w:autoRedefine/>
    <w:qFormat/>
    <w:uiPriority w:val="0"/>
    <w:rPr>
      <w:rFonts w:ascii="Times New Roman" w:hAnsi="Times New Roman" w:eastAsia="宋体" w:cs="Times New Roman"/>
      <w:szCs w:val="24"/>
      <w:lang w:val="zh-CN" w:eastAsia="zh-CN"/>
    </w:rPr>
  </w:style>
  <w:style w:type="character" w:customStyle="1" w:styleId="56">
    <w:name w:val="正文文本缩进 Char"/>
    <w:basedOn w:val="31"/>
    <w:autoRedefine/>
    <w:qFormat/>
    <w:uiPriority w:val="0"/>
  </w:style>
  <w:style w:type="character" w:customStyle="1" w:styleId="57">
    <w:name w:val="正文文本缩进 字符1"/>
    <w:link w:val="15"/>
    <w:autoRedefine/>
    <w:qFormat/>
    <w:uiPriority w:val="0"/>
    <w:rPr>
      <w:rFonts w:ascii="仿宋_GB2312" w:hAnsi="Times New Roman" w:eastAsia="仿宋_GB2312" w:cs="Times New Roman"/>
      <w:kern w:val="0"/>
      <w:sz w:val="32"/>
      <w:szCs w:val="20"/>
      <w:lang w:val="zh-CN" w:eastAsia="zh-CN"/>
    </w:rPr>
  </w:style>
  <w:style w:type="paragraph" w:customStyle="1" w:styleId="58">
    <w:name w:val="_Style 36"/>
    <w:basedOn w:val="1"/>
    <w:next w:val="59"/>
    <w:autoRedefine/>
    <w:qFormat/>
    <w:uiPriority w:val="99"/>
    <w:pPr>
      <w:ind w:firstLine="420" w:firstLineChars="200"/>
    </w:pPr>
    <w:rPr>
      <w:rFonts w:ascii="Times New Roman" w:hAnsi="Times New Roman" w:eastAsia="宋体" w:cs="Times New Roman"/>
      <w:szCs w:val="24"/>
    </w:rPr>
  </w:style>
  <w:style w:type="paragraph" w:styleId="59">
    <w:name w:val="List Paragraph"/>
    <w:basedOn w:val="1"/>
    <w:autoRedefine/>
    <w:qFormat/>
    <w:uiPriority w:val="34"/>
    <w:pPr>
      <w:ind w:firstLine="420" w:firstLineChars="200"/>
    </w:pPr>
    <w:rPr>
      <w:rFonts w:ascii="Times New Roman" w:hAnsi="Times New Roman" w:eastAsia="宋体" w:cs="Times New Roman"/>
      <w:szCs w:val="24"/>
    </w:rPr>
  </w:style>
  <w:style w:type="character" w:customStyle="1" w:styleId="60">
    <w:name w:val="纯文本 Char"/>
    <w:basedOn w:val="31"/>
    <w:autoRedefine/>
    <w:qFormat/>
    <w:uiPriority w:val="0"/>
    <w:rPr>
      <w:rFonts w:ascii="宋体" w:hAnsi="Courier New" w:eastAsia="宋体" w:cs="Courier New"/>
      <w:szCs w:val="21"/>
    </w:rPr>
  </w:style>
  <w:style w:type="character" w:customStyle="1" w:styleId="61">
    <w:name w:val="纯文本 字符3"/>
    <w:link w:val="18"/>
    <w:autoRedefine/>
    <w:qFormat/>
    <w:uiPriority w:val="0"/>
    <w:rPr>
      <w:rFonts w:ascii="宋体" w:hAnsi="Courier New" w:eastAsia="宋体" w:cs="Times New Roman"/>
      <w:kern w:val="0"/>
      <w:sz w:val="20"/>
      <w:szCs w:val="21"/>
      <w:lang w:val="zh-CN" w:eastAsia="zh-CN"/>
    </w:rPr>
  </w:style>
  <w:style w:type="character" w:customStyle="1" w:styleId="62">
    <w:name w:val="日期 Char"/>
    <w:basedOn w:val="31"/>
    <w:autoRedefine/>
    <w:qFormat/>
    <w:uiPriority w:val="99"/>
  </w:style>
  <w:style w:type="character" w:customStyle="1" w:styleId="63">
    <w:name w:val="日期 字符"/>
    <w:link w:val="19"/>
    <w:autoRedefine/>
    <w:qFormat/>
    <w:uiPriority w:val="99"/>
    <w:rPr>
      <w:rFonts w:ascii="Times New Roman" w:hAnsi="Times New Roman" w:eastAsia="宋体" w:cs="Times New Roman"/>
      <w:szCs w:val="24"/>
      <w:lang w:val="zh-CN" w:eastAsia="zh-CN"/>
    </w:rPr>
  </w:style>
  <w:style w:type="character" w:customStyle="1" w:styleId="64">
    <w:name w:val="批注框文本 Char"/>
    <w:basedOn w:val="31"/>
    <w:autoRedefine/>
    <w:semiHidden/>
    <w:qFormat/>
    <w:uiPriority w:val="0"/>
    <w:rPr>
      <w:sz w:val="18"/>
      <w:szCs w:val="18"/>
    </w:rPr>
  </w:style>
  <w:style w:type="character" w:customStyle="1" w:styleId="65">
    <w:name w:val="页脚 Char"/>
    <w:basedOn w:val="31"/>
    <w:autoRedefine/>
    <w:qFormat/>
    <w:uiPriority w:val="99"/>
    <w:rPr>
      <w:sz w:val="18"/>
      <w:szCs w:val="18"/>
    </w:rPr>
  </w:style>
  <w:style w:type="character" w:customStyle="1" w:styleId="66">
    <w:name w:val="页脚 字符"/>
    <w:link w:val="21"/>
    <w:autoRedefine/>
    <w:qFormat/>
    <w:uiPriority w:val="0"/>
    <w:rPr>
      <w:rFonts w:ascii="Times New Roman" w:hAnsi="Times New Roman" w:eastAsia="宋体" w:cs="Times New Roman"/>
      <w:kern w:val="0"/>
      <w:sz w:val="18"/>
      <w:szCs w:val="18"/>
      <w:lang w:val="zh-CN" w:eastAsia="zh-CN"/>
    </w:rPr>
  </w:style>
  <w:style w:type="character" w:customStyle="1" w:styleId="67">
    <w:name w:val="页眉 Char"/>
    <w:basedOn w:val="31"/>
    <w:autoRedefine/>
    <w:qFormat/>
    <w:uiPriority w:val="99"/>
    <w:rPr>
      <w:sz w:val="18"/>
      <w:szCs w:val="18"/>
    </w:rPr>
  </w:style>
  <w:style w:type="character" w:customStyle="1" w:styleId="68">
    <w:name w:val="页眉 字符"/>
    <w:link w:val="22"/>
    <w:autoRedefine/>
    <w:qFormat/>
    <w:uiPriority w:val="0"/>
    <w:rPr>
      <w:rFonts w:ascii="Times New Roman" w:hAnsi="Times New Roman" w:eastAsia="宋体" w:cs="Times New Roman"/>
      <w:kern w:val="0"/>
      <w:sz w:val="18"/>
      <w:szCs w:val="18"/>
      <w:lang w:val="zh-CN" w:eastAsia="zh-CN"/>
    </w:rPr>
  </w:style>
  <w:style w:type="character" w:customStyle="1" w:styleId="69">
    <w:name w:val="标题 Char"/>
    <w:basedOn w:val="31"/>
    <w:autoRedefine/>
    <w:qFormat/>
    <w:uiPriority w:val="10"/>
    <w:rPr>
      <w:rFonts w:eastAsia="宋体" w:asciiTheme="majorHAnsi" w:hAnsiTheme="majorHAnsi" w:cstheme="majorBidi"/>
      <w:b/>
      <w:bCs/>
      <w:sz w:val="32"/>
      <w:szCs w:val="32"/>
    </w:rPr>
  </w:style>
  <w:style w:type="character" w:customStyle="1" w:styleId="70">
    <w:name w:val="标题 字符"/>
    <w:link w:val="14"/>
    <w:autoRedefine/>
    <w:qFormat/>
    <w:uiPriority w:val="10"/>
    <w:rPr>
      <w:rFonts w:ascii="Cambria" w:hAnsi="Cambria" w:eastAsia="宋体" w:cs="Times New Roman"/>
      <w:b/>
      <w:bCs/>
      <w:sz w:val="32"/>
      <w:szCs w:val="32"/>
      <w:lang w:val="zh-CN" w:eastAsia="zh-CN"/>
    </w:rPr>
  </w:style>
  <w:style w:type="character" w:customStyle="1" w:styleId="71">
    <w:name w:val="批注主题 Char"/>
    <w:basedOn w:val="50"/>
    <w:autoRedefine/>
    <w:qFormat/>
    <w:uiPriority w:val="99"/>
    <w:rPr>
      <w:b/>
      <w:bCs/>
    </w:rPr>
  </w:style>
  <w:style w:type="character" w:customStyle="1" w:styleId="72">
    <w:name w:val="批注主题 字符"/>
    <w:link w:val="27"/>
    <w:autoRedefine/>
    <w:qFormat/>
    <w:uiPriority w:val="99"/>
    <w:rPr>
      <w:rFonts w:ascii="Times New Roman" w:hAnsi="Times New Roman" w:eastAsia="宋体" w:cs="Times New Roman"/>
      <w:b/>
      <w:bCs/>
      <w:szCs w:val="24"/>
      <w:lang w:val="zh-CN" w:eastAsia="zh-CN"/>
    </w:rPr>
  </w:style>
  <w:style w:type="character" w:customStyle="1" w:styleId="73">
    <w:name w:val="正文文本首行缩进 2 字符"/>
    <w:autoRedefine/>
    <w:qFormat/>
    <w:uiPriority w:val="99"/>
    <w:rPr>
      <w:kern w:val="2"/>
      <w:sz w:val="21"/>
      <w:szCs w:val="24"/>
    </w:rPr>
  </w:style>
  <w:style w:type="character" w:customStyle="1" w:styleId="74">
    <w:name w:val="标题 Char1"/>
    <w:autoRedefine/>
    <w:qFormat/>
    <w:uiPriority w:val="0"/>
    <w:rPr>
      <w:rFonts w:ascii="Calibri" w:hAnsi="Calibri"/>
      <w:b/>
      <w:sz w:val="24"/>
      <w:lang w:val="en-GB"/>
    </w:rPr>
  </w:style>
  <w:style w:type="character" w:customStyle="1" w:styleId="75">
    <w:name w:val="正文文本 (26) + 间距 0 pt"/>
    <w:autoRedefine/>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76">
    <w:name w:val="正文文本 字符"/>
    <w:autoRedefine/>
    <w:qFormat/>
    <w:uiPriority w:val="0"/>
    <w:rPr>
      <w:rFonts w:ascii="Times New Roman" w:hAnsi="Times New Roman"/>
      <w:kern w:val="2"/>
      <w:sz w:val="21"/>
      <w:szCs w:val="24"/>
    </w:rPr>
  </w:style>
  <w:style w:type="character" w:customStyle="1" w:styleId="77">
    <w:name w:val="批注文字 字符1"/>
    <w:autoRedefine/>
    <w:qFormat/>
    <w:uiPriority w:val="0"/>
    <w:rPr>
      <w:rFonts w:ascii="Times New Roman" w:hAnsi="Times New Roman"/>
      <w:kern w:val="2"/>
      <w:sz w:val="21"/>
      <w:szCs w:val="24"/>
    </w:rPr>
  </w:style>
  <w:style w:type="character" w:customStyle="1" w:styleId="78">
    <w:name w:val="批注文字 字符"/>
    <w:autoRedefine/>
    <w:qFormat/>
    <w:uiPriority w:val="0"/>
    <w:rPr>
      <w:rFonts w:ascii="Times New Roman" w:hAnsi="Times New Roman"/>
      <w:kern w:val="2"/>
      <w:sz w:val="21"/>
      <w:szCs w:val="24"/>
    </w:rPr>
  </w:style>
  <w:style w:type="character" w:customStyle="1" w:styleId="79">
    <w:name w:val="未处理的提及1"/>
    <w:autoRedefine/>
    <w:unhideWhenUsed/>
    <w:qFormat/>
    <w:uiPriority w:val="99"/>
    <w:rPr>
      <w:color w:val="605E5C"/>
      <w:shd w:val="clear" w:color="auto" w:fill="E1DFDD"/>
    </w:rPr>
  </w:style>
  <w:style w:type="character" w:customStyle="1" w:styleId="80">
    <w:name w:val="apple-style-span"/>
    <w:autoRedefine/>
    <w:qFormat/>
    <w:uiPriority w:val="0"/>
  </w:style>
  <w:style w:type="character" w:customStyle="1" w:styleId="81">
    <w:name w:val="纯文本 字符2"/>
    <w:autoRedefine/>
    <w:qFormat/>
    <w:uiPriority w:val="0"/>
    <w:rPr>
      <w:rFonts w:ascii="宋体" w:hAnsi="Courier New" w:eastAsia="宋体" w:cs="Courier New"/>
      <w:szCs w:val="21"/>
    </w:rPr>
  </w:style>
  <w:style w:type="character" w:customStyle="1" w:styleId="82">
    <w:name w:val="textcontents"/>
    <w:autoRedefine/>
    <w:qFormat/>
    <w:uiPriority w:val="0"/>
  </w:style>
  <w:style w:type="character" w:customStyle="1" w:styleId="83">
    <w:name w:val="纯文本 字符1"/>
    <w:autoRedefine/>
    <w:qFormat/>
    <w:uiPriority w:val="0"/>
    <w:rPr>
      <w:rFonts w:ascii="宋体" w:hAnsi="Courier New"/>
    </w:rPr>
  </w:style>
  <w:style w:type="character" w:customStyle="1" w:styleId="84">
    <w:name w:val="标题 1 字符1"/>
    <w:autoRedefine/>
    <w:qFormat/>
    <w:uiPriority w:val="0"/>
    <w:rPr>
      <w:b/>
      <w:bCs/>
      <w:kern w:val="44"/>
      <w:sz w:val="44"/>
      <w:szCs w:val="44"/>
    </w:rPr>
  </w:style>
  <w:style w:type="character" w:customStyle="1" w:styleId="85">
    <w:name w:val="纯文本 字符"/>
    <w:autoRedefine/>
    <w:qFormat/>
    <w:uiPriority w:val="0"/>
    <w:rPr>
      <w:rFonts w:ascii="宋体" w:hAnsi="Courier New" w:eastAsia="宋体" w:cs="Courier New"/>
      <w:szCs w:val="21"/>
    </w:rPr>
  </w:style>
  <w:style w:type="paragraph" w:customStyle="1" w:styleId="86">
    <w:name w:val="Char Char Char Char"/>
    <w:basedOn w:val="1"/>
    <w:autoRedefine/>
    <w:qFormat/>
    <w:uiPriority w:val="0"/>
    <w:pPr>
      <w:widowControl/>
      <w:spacing w:after="160" w:line="240" w:lineRule="exact"/>
      <w:jc w:val="left"/>
    </w:pPr>
    <w:rPr>
      <w:rFonts w:ascii="Times New Roman" w:hAnsi="Times New Roman" w:eastAsia="宋体" w:cs="Times New Roman"/>
      <w:szCs w:val="24"/>
    </w:rPr>
  </w:style>
  <w:style w:type="paragraph" w:customStyle="1" w:styleId="87">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88">
    <w:name w:val="TOC 标题1"/>
    <w:basedOn w:val="2"/>
    <w:next w:val="1"/>
    <w:autoRedefine/>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lang w:val="en-US"/>
    </w:rPr>
  </w:style>
  <w:style w:type="paragraph" w:customStyle="1" w:styleId="89">
    <w:name w:val="表内文字"/>
    <w:basedOn w:val="1"/>
    <w:autoRedefine/>
    <w:qFormat/>
    <w:uiPriority w:val="0"/>
    <w:pPr>
      <w:snapToGrid w:val="0"/>
      <w:spacing w:before="50" w:after="50"/>
      <w:jc w:val="center"/>
    </w:pPr>
    <w:rPr>
      <w:rFonts w:ascii="仿宋_GB2312" w:hAnsi="宋体" w:eastAsia="仿宋_GB2312" w:cs="Times New Roman"/>
      <w:b/>
      <w:color w:val="000000"/>
      <w:sz w:val="32"/>
      <w:szCs w:val="32"/>
    </w:rPr>
  </w:style>
  <w:style w:type="paragraph" w:customStyle="1" w:styleId="90">
    <w:name w:val="Table Paragraph"/>
    <w:basedOn w:val="1"/>
    <w:autoRedefine/>
    <w:qFormat/>
    <w:uiPriority w:val="1"/>
    <w:pPr>
      <w:jc w:val="left"/>
    </w:pPr>
    <w:rPr>
      <w:rFonts w:ascii="Calibri" w:hAnsi="Calibri" w:eastAsia="宋体" w:cs="Times New Roman"/>
      <w:kern w:val="0"/>
      <w:sz w:val="22"/>
      <w:lang w:eastAsia="en-US"/>
    </w:rPr>
  </w:style>
  <w:style w:type="character" w:customStyle="1" w:styleId="91">
    <w:name w:val="正文文本缩进 字符"/>
    <w:autoRedefine/>
    <w:qFormat/>
    <w:uiPriority w:val="0"/>
    <w:rPr>
      <w:rFonts w:ascii="仿宋_GB2312" w:hAnsi="Times New Roman" w:eastAsia="仿宋_GB2312" w:cs="Times New Roman"/>
      <w:sz w:val="32"/>
      <w:szCs w:val="20"/>
    </w:rPr>
  </w:style>
  <w:style w:type="character" w:customStyle="1" w:styleId="92">
    <w:name w:val="正文2 Char Char"/>
    <w:link w:val="93"/>
    <w:autoRedefine/>
    <w:qFormat/>
    <w:uiPriority w:val="0"/>
    <w:rPr>
      <w:sz w:val="24"/>
    </w:rPr>
  </w:style>
  <w:style w:type="paragraph" w:customStyle="1" w:styleId="93">
    <w:name w:val="正文2"/>
    <w:basedOn w:val="1"/>
    <w:link w:val="92"/>
    <w:autoRedefine/>
    <w:qFormat/>
    <w:uiPriority w:val="0"/>
    <w:pPr>
      <w:adjustRightInd w:val="0"/>
      <w:spacing w:before="156" w:line="360" w:lineRule="auto"/>
      <w:ind w:firstLine="510" w:firstLineChars="200"/>
    </w:pPr>
    <w:rPr>
      <w:sz w:val="24"/>
    </w:rPr>
  </w:style>
  <w:style w:type="character" w:customStyle="1" w:styleId="94">
    <w:name w:val="纯文本 Char2"/>
    <w:autoRedefine/>
    <w:qFormat/>
    <w:uiPriority w:val="0"/>
    <w:rPr>
      <w:rFonts w:ascii="宋体" w:hAnsi="Courier New" w:cs="Arial"/>
      <w:snapToGrid w:val="0"/>
      <w:szCs w:val="21"/>
    </w:rPr>
  </w:style>
  <w:style w:type="paragraph" w:customStyle="1" w:styleId="95">
    <w:name w:val="表格文字"/>
    <w:basedOn w:val="1"/>
    <w:next w:val="13"/>
    <w:autoRedefine/>
    <w:qFormat/>
    <w:uiPriority w:val="0"/>
    <w:pPr>
      <w:adjustRightInd w:val="0"/>
      <w:spacing w:line="420" w:lineRule="atLeast"/>
      <w:jc w:val="left"/>
      <w:textAlignment w:val="baseline"/>
    </w:pPr>
    <w:rPr>
      <w:rFonts w:ascii="Times New Roman" w:hAnsi="Times New Roman" w:eastAsia="宋体" w:cs="Times New Roman"/>
      <w:kern w:val="0"/>
      <w:szCs w:val="24"/>
    </w:rPr>
  </w:style>
  <w:style w:type="paragraph" w:customStyle="1" w:styleId="96">
    <w:name w:val="样式5"/>
    <w:basedOn w:val="1"/>
    <w:autoRedefine/>
    <w:qFormat/>
    <w:uiPriority w:val="0"/>
    <w:pPr>
      <w:adjustRightInd w:val="0"/>
      <w:spacing w:line="440" w:lineRule="exact"/>
      <w:ind w:left="2" w:firstLine="480" w:firstLineChars="200"/>
    </w:pPr>
    <w:rPr>
      <w:rFonts w:ascii="仿宋_GB2312" w:hAnsi="仿宋" w:eastAsia="仿宋_GB2312" w:cs="Times New Roman"/>
      <w:sz w:val="24"/>
      <w:szCs w:val="24"/>
    </w:rPr>
  </w:style>
  <w:style w:type="paragraph" w:customStyle="1" w:styleId="97">
    <w:name w:val="正文缩进1"/>
    <w:basedOn w:val="1"/>
    <w:next w:val="15"/>
    <w:autoRedefine/>
    <w:qFormat/>
    <w:uiPriority w:val="0"/>
    <w:pPr>
      <w:autoSpaceDE w:val="0"/>
      <w:autoSpaceDN w:val="0"/>
      <w:adjustRightInd w:val="0"/>
      <w:snapToGrid w:val="0"/>
      <w:spacing w:after="120" w:line="360" w:lineRule="auto"/>
      <w:ind w:left="420" w:leftChars="200" w:firstLine="480" w:firstLineChars="200"/>
    </w:pPr>
    <w:rPr>
      <w:rFonts w:ascii="Times New Roman" w:hAnsi="Times New Roman" w:eastAsia="宋体" w:cs="Times New Roman"/>
      <w:sz w:val="24"/>
      <w:szCs w:val="21"/>
    </w:rPr>
  </w:style>
  <w:style w:type="character" w:customStyle="1" w:styleId="98">
    <w:name w:val="NormalCharacter"/>
    <w:autoRedefine/>
    <w:qFormat/>
    <w:uiPriority w:val="0"/>
  </w:style>
  <w:style w:type="character" w:customStyle="1" w:styleId="99">
    <w:name w:val="批注框文本 字符"/>
    <w:link w:val="20"/>
    <w:autoRedefine/>
    <w:semiHidden/>
    <w:qFormat/>
    <w:uiPriority w:val="0"/>
    <w:rPr>
      <w:rFonts w:ascii="Times New Roman" w:hAnsi="Times New Roman" w:eastAsia="宋体" w:cs="Times New Roman"/>
      <w:sz w:val="18"/>
      <w:szCs w:val="18"/>
    </w:rPr>
  </w:style>
  <w:style w:type="character" w:customStyle="1" w:styleId="100">
    <w:name w:val="正文首行缩进 2 字符"/>
    <w:autoRedefine/>
    <w:qFormat/>
    <w:uiPriority w:val="99"/>
    <w:rPr>
      <w:rFonts w:ascii="仿宋_GB2312" w:hAnsi="Times New Roman" w:eastAsia="仿宋_GB2312" w:cs="Times New Roman"/>
      <w:kern w:val="2"/>
      <w:sz w:val="21"/>
      <w:szCs w:val="24"/>
    </w:rPr>
  </w:style>
  <w:style w:type="character" w:customStyle="1" w:styleId="101">
    <w:name w:val="纯文本 Char1"/>
    <w:autoRedefine/>
    <w:qFormat/>
    <w:uiPriority w:val="0"/>
    <w:rPr>
      <w:rFonts w:ascii="宋体" w:hAnsi="Courier New" w:eastAsia="宋体" w:cs="Times New Roman"/>
      <w:kern w:val="0"/>
      <w:sz w:val="20"/>
      <w:szCs w:val="21"/>
    </w:rPr>
  </w:style>
  <w:style w:type="character" w:customStyle="1" w:styleId="102">
    <w:name w:val="标题 2 Char1"/>
    <w:autoRedefine/>
    <w:qFormat/>
    <w:uiPriority w:val="9"/>
    <w:rPr>
      <w:rFonts w:ascii="Cambria" w:hAnsi="Cambria"/>
      <w:b/>
      <w:bCs/>
      <w:kern w:val="2"/>
      <w:sz w:val="32"/>
      <w:szCs w:val="32"/>
      <w:lang w:val="zh-CN" w:eastAsia="zh-CN"/>
    </w:rPr>
  </w:style>
  <w:style w:type="character" w:customStyle="1" w:styleId="103">
    <w:name w:val="标题 8 Char1"/>
    <w:autoRedefine/>
    <w:qFormat/>
    <w:uiPriority w:val="9"/>
    <w:rPr>
      <w:rFonts w:ascii="等线 Light" w:hAnsi="等线 Light" w:eastAsia="等线 Light"/>
      <w:kern w:val="2"/>
      <w:sz w:val="24"/>
      <w:szCs w:val="24"/>
      <w:lang w:val="zh-CN" w:eastAsia="zh-CN"/>
    </w:rPr>
  </w:style>
  <w:style w:type="character" w:customStyle="1" w:styleId="104">
    <w:name w:val="批注文字 Char1"/>
    <w:autoRedefine/>
    <w:qFormat/>
    <w:uiPriority w:val="0"/>
    <w:rPr>
      <w:kern w:val="2"/>
      <w:sz w:val="21"/>
      <w:szCs w:val="24"/>
      <w:lang w:val="zh-CN" w:eastAsia="zh-CN"/>
    </w:rPr>
  </w:style>
  <w:style w:type="character" w:customStyle="1" w:styleId="105">
    <w:name w:val="正文文本 Char1"/>
    <w:autoRedefine/>
    <w:qFormat/>
    <w:uiPriority w:val="0"/>
    <w:rPr>
      <w:kern w:val="2"/>
      <w:sz w:val="21"/>
      <w:szCs w:val="24"/>
      <w:lang w:val="zh-CN" w:eastAsia="zh-CN"/>
    </w:rPr>
  </w:style>
  <w:style w:type="character" w:customStyle="1" w:styleId="106">
    <w:name w:val="正文首行缩进 2 字符1"/>
    <w:autoRedefine/>
    <w:semiHidden/>
    <w:qFormat/>
    <w:uiPriority w:val="99"/>
    <w:rPr>
      <w:rFonts w:ascii="仿宋_GB2312" w:hAnsi="Times New Roman" w:eastAsia="仿宋_GB2312" w:cs="Times New Roman"/>
      <w:kern w:val="2"/>
      <w:sz w:val="21"/>
      <w:szCs w:val="24"/>
      <w:lang w:val="zh-CN" w:eastAsia="zh-CN"/>
    </w:rPr>
  </w:style>
  <w:style w:type="character" w:customStyle="1" w:styleId="107">
    <w:name w:val="正文首行缩进 2 字符2"/>
    <w:autoRedefine/>
    <w:semiHidden/>
    <w:qFormat/>
    <w:uiPriority w:val="99"/>
    <w:rPr>
      <w:rFonts w:ascii="仿宋_GB2312" w:hAnsi="Times New Roman" w:eastAsia="仿宋_GB2312" w:cs="Times New Roman"/>
      <w:kern w:val="2"/>
      <w:sz w:val="21"/>
      <w:szCs w:val="24"/>
      <w:lang w:val="zh-CN" w:eastAsia="zh-CN"/>
    </w:rPr>
  </w:style>
  <w:style w:type="character" w:customStyle="1" w:styleId="108">
    <w:name w:val="正文文本首行缩进 2 字符1"/>
    <w:basedOn w:val="56"/>
    <w:link w:val="28"/>
    <w:autoRedefine/>
    <w:semiHidden/>
    <w:qFormat/>
    <w:uiPriority w:val="99"/>
    <w:rPr>
      <w:rFonts w:ascii="Times New Roman" w:hAnsi="Times New Roman" w:eastAsia="宋体" w:cs="Times New Roman"/>
      <w:szCs w:val="24"/>
    </w:rPr>
  </w:style>
  <w:style w:type="paragraph" w:customStyle="1" w:styleId="109">
    <w:name w:val="Heading2"/>
    <w:basedOn w:val="1"/>
    <w:next w:val="1"/>
    <w:autoRedefine/>
    <w:qFormat/>
    <w:uiPriority w:val="0"/>
    <w:pPr>
      <w:keepNext/>
      <w:keepLines/>
      <w:spacing w:before="260" w:after="260" w:line="416" w:lineRule="auto"/>
    </w:pPr>
    <w:rPr>
      <w:rFonts w:ascii="Arial" w:hAnsi="Arial" w:eastAsia="黑体" w:cs="Times New Roman"/>
      <w:b/>
      <w:bCs/>
      <w:kern w:val="0"/>
      <w:sz w:val="32"/>
      <w:szCs w:val="32"/>
    </w:rPr>
  </w:style>
  <w:style w:type="paragraph" w:customStyle="1" w:styleId="110">
    <w:name w:val="列表段落1"/>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79</Pages>
  <Words>7302</Words>
  <Characters>8345</Characters>
  <Lines>440</Lines>
  <Paragraphs>124</Paragraphs>
  <TotalTime>3</TotalTime>
  <ScaleCrop>false</ScaleCrop>
  <LinksUpToDate>false</LinksUpToDate>
  <CharactersWithSpaces>8482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2025-04-17T08:18:00Z</dcterms:created>
  <dc:creator>个人用户</dc:creator>
  <cp:lastModifiedBy>韦俊珉</cp:lastModifiedBy>
  <dcterms:modified xsi:type="dcterms:W3CDTF">2025-11-17T02:58:10Z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E0D490F8F0534906B7D0A76A074A2379_13</vt:lpwstr>
  </property>
  <property fmtid="{D5CDD505-2E9C-101B-9397-08002B2CF9AE}" pid="4" name="KSOTemplateDocerSaveRecord">
    <vt:lpwstr>eyJoZGlkIjoiNDFkNzE2ZWZhMjE4MWQzNjk5YjQzYWFiZWYwZGYzZTQiLCJ1c2VySWQiOiIxNTkxNTY5NTE4In0=</vt:lpwstr>
  </property>
</Properties>
</file>