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20" w:beforeLines="50" w:line="360" w:lineRule="auto"/>
        <w:jc w:val="center"/>
        <w:rPr>
          <w:rFonts w:hint="eastAsia"/>
          <w:color w:val="auto"/>
          <w:sz w:val="52"/>
          <w:szCs w:val="52"/>
        </w:rPr>
      </w:pPr>
    </w:p>
    <w:p>
      <w:pPr>
        <w:jc w:val="center"/>
        <w:rPr>
          <w:rFonts w:hint="eastAsia" w:ascii="宋体" w:hAnsi="宋体" w:eastAsia="宋体" w:cs="宋体"/>
          <w:color w:val="auto"/>
          <w:sz w:val="52"/>
          <w:szCs w:val="52"/>
        </w:rPr>
      </w:pPr>
      <w:r>
        <w:rPr>
          <w:rFonts w:hint="eastAsia" w:ascii="宋体" w:hAnsi="宋体" w:eastAsia="宋体" w:cs="宋体"/>
          <w:color w:val="auto"/>
          <w:sz w:val="52"/>
          <w:szCs w:val="52"/>
        </w:rPr>
        <w:t>广西科联招标中心有限公司</w:t>
      </w:r>
    </w:p>
    <w:p>
      <w:pPr>
        <w:jc w:val="center"/>
        <w:rPr>
          <w:rFonts w:hint="eastAsia" w:ascii="宋体" w:hAnsi="宋体" w:cs="宋体"/>
          <w:b/>
          <w:color w:val="auto"/>
          <w:sz w:val="32"/>
          <w:szCs w:val="32"/>
        </w:rPr>
      </w:pPr>
    </w:p>
    <w:p>
      <w:pPr>
        <w:jc w:val="center"/>
        <w:rPr>
          <w:rFonts w:hint="eastAsia"/>
          <w:color w:val="auto"/>
        </w:rPr>
      </w:pPr>
    </w:p>
    <w:p>
      <w:pPr>
        <w:jc w:val="center"/>
        <w:rPr>
          <w:rFonts w:hint="eastAsia" w:ascii="宋体" w:hAnsi="宋体" w:cs="宋体"/>
          <w:b/>
          <w:bCs/>
          <w:color w:val="auto"/>
          <w:kern w:val="0"/>
          <w:sz w:val="30"/>
          <w:szCs w:val="30"/>
        </w:rPr>
      </w:pPr>
    </w:p>
    <w:p>
      <w:pPr>
        <w:pStyle w:val="23"/>
        <w:jc w:val="center"/>
        <w:rPr>
          <w:rFonts w:hint="eastAsia"/>
          <w:color w:val="auto"/>
        </w:rPr>
      </w:pPr>
    </w:p>
    <w:p>
      <w:pPr>
        <w:spacing w:before="240" w:beforeLines="100" w:after="120" w:afterLines="50"/>
        <w:jc w:val="center"/>
        <w:rPr>
          <w:rFonts w:hint="eastAsia" w:ascii="宋体" w:hAnsi="宋体" w:eastAsia="宋体" w:cs="宋体"/>
          <w:b/>
          <w:color w:val="auto"/>
          <w:sz w:val="44"/>
          <w:szCs w:val="44"/>
        </w:rPr>
      </w:pPr>
      <w:r>
        <w:rPr>
          <w:rFonts w:hint="eastAsia" w:ascii="宋体" w:hAnsi="宋体" w:eastAsia="宋体" w:cs="宋体"/>
          <w:color w:val="auto"/>
          <w:spacing w:val="116"/>
          <w:sz w:val="52"/>
        </w:rPr>
        <w:t xml:space="preserve"> </w:t>
      </w:r>
      <w:r>
        <w:rPr>
          <w:rFonts w:hint="eastAsia" w:ascii="宋体" w:hAnsi="宋体" w:eastAsia="宋体" w:cs="宋体"/>
          <w:b/>
          <w:bCs/>
          <w:color w:val="auto"/>
          <w:spacing w:val="100"/>
          <w:sz w:val="84"/>
          <w:szCs w:val="84"/>
        </w:rPr>
        <w:t>竞争性磋商文</w:t>
      </w:r>
      <w:r>
        <w:rPr>
          <w:rFonts w:hint="eastAsia" w:ascii="宋体" w:hAnsi="宋体" w:eastAsia="宋体" w:cs="宋体"/>
          <w:b/>
          <w:bCs/>
          <w:color w:val="auto"/>
          <w:sz w:val="84"/>
          <w:szCs w:val="84"/>
        </w:rPr>
        <w:t>件</w:t>
      </w:r>
    </w:p>
    <w:p>
      <w:pPr>
        <w:spacing w:before="240" w:beforeLines="100" w:after="120" w:afterLines="50" w:line="360" w:lineRule="auto"/>
        <w:jc w:val="center"/>
        <w:rPr>
          <w:rFonts w:hint="eastAsia" w:ascii="宋体" w:hAnsi="宋体" w:eastAsia="宋体" w:cs="宋体"/>
          <w:color w:val="auto"/>
          <w:sz w:val="28"/>
          <w:szCs w:val="28"/>
        </w:rPr>
      </w:pPr>
      <w:r>
        <w:rPr>
          <w:rFonts w:hint="eastAsia" w:ascii="宋体" w:hAnsi="宋体" w:eastAsia="宋体" w:cs="宋体"/>
          <w:color w:val="auto"/>
          <w:sz w:val="28"/>
          <w:szCs w:val="28"/>
        </w:rPr>
        <w:t>（全流程电子化评标）</w:t>
      </w:r>
    </w:p>
    <w:p>
      <w:pPr>
        <w:jc w:val="center"/>
        <w:rPr>
          <w:rFonts w:hint="eastAsia" w:ascii="宋体" w:hAnsi="宋体" w:cs="宋体"/>
          <w:b/>
          <w:color w:val="auto"/>
          <w:sz w:val="32"/>
          <w:szCs w:val="32"/>
        </w:rPr>
      </w:pPr>
    </w:p>
    <w:p>
      <w:pPr>
        <w:jc w:val="center"/>
        <w:rPr>
          <w:rFonts w:hint="eastAsia"/>
          <w:color w:val="auto"/>
        </w:rPr>
      </w:pPr>
    </w:p>
    <w:p>
      <w:pPr>
        <w:jc w:val="center"/>
        <w:rPr>
          <w:rFonts w:hint="eastAsia" w:ascii="宋体" w:hAnsi="宋体" w:cs="宋体"/>
          <w:b/>
          <w:bCs/>
          <w:color w:val="auto"/>
          <w:kern w:val="0"/>
          <w:sz w:val="30"/>
          <w:szCs w:val="30"/>
        </w:rPr>
      </w:pPr>
    </w:p>
    <w:p>
      <w:pPr>
        <w:pStyle w:val="23"/>
        <w:jc w:val="center"/>
        <w:rPr>
          <w:rFonts w:hint="eastAsia"/>
          <w:color w:val="auto"/>
        </w:rPr>
      </w:pPr>
    </w:p>
    <w:p>
      <w:pPr>
        <w:snapToGrid w:val="0"/>
        <w:spacing w:before="50" w:after="120" w:line="360" w:lineRule="auto"/>
        <w:jc w:val="center"/>
        <w:rPr>
          <w:rFonts w:hint="eastAsia" w:ascii="宋体" w:hAnsi="宋体" w:eastAsia="宋体" w:cs="宋体"/>
          <w:b/>
          <w:bCs/>
          <w:color w:val="auto"/>
          <w:kern w:val="0"/>
          <w:sz w:val="30"/>
          <w:szCs w:val="30"/>
          <w:lang w:eastAsia="zh-CN"/>
        </w:rPr>
      </w:pPr>
      <w:r>
        <w:rPr>
          <w:rFonts w:hint="eastAsia" w:ascii="宋体" w:hAnsi="宋体" w:cs="宋体"/>
          <w:b/>
          <w:bCs/>
          <w:color w:val="auto"/>
          <w:kern w:val="0"/>
          <w:sz w:val="30"/>
          <w:szCs w:val="30"/>
        </w:rPr>
        <w:t>项目</w:t>
      </w:r>
      <w:r>
        <w:rPr>
          <w:rFonts w:hint="eastAsia" w:ascii="宋体" w:hAnsi="宋体" w:cs="宋体"/>
          <w:b/>
          <w:bCs/>
          <w:color w:val="auto"/>
          <w:w w:val="95"/>
          <w:kern w:val="0"/>
          <w:sz w:val="30"/>
          <w:szCs w:val="30"/>
        </w:rPr>
        <w:t>名称</w:t>
      </w:r>
      <w:r>
        <w:rPr>
          <w:rFonts w:hint="eastAsia" w:ascii="宋体" w:hAnsi="宋体" w:cs="宋体"/>
          <w:b/>
          <w:bCs/>
          <w:color w:val="auto"/>
          <w:kern w:val="0"/>
          <w:sz w:val="30"/>
          <w:szCs w:val="30"/>
        </w:rPr>
        <w:t>：</w:t>
      </w:r>
      <w:r>
        <w:rPr>
          <w:rFonts w:hint="eastAsia" w:ascii="宋体" w:hAnsi="宋体" w:cs="宋体"/>
          <w:b/>
          <w:bCs/>
          <w:color w:val="auto"/>
          <w:kern w:val="0"/>
          <w:sz w:val="30"/>
          <w:szCs w:val="30"/>
          <w:lang w:eastAsia="zh-CN"/>
        </w:rPr>
        <w:t>统计信息工程维护</w:t>
      </w:r>
    </w:p>
    <w:p>
      <w:pPr>
        <w:snapToGrid w:val="0"/>
        <w:spacing w:before="50" w:after="120" w:line="360" w:lineRule="auto"/>
        <w:jc w:val="center"/>
        <w:rPr>
          <w:rFonts w:hint="eastAsia" w:ascii="宋体" w:hAnsi="宋体" w:eastAsia="宋体" w:cs="宋体"/>
          <w:b/>
          <w:bCs/>
          <w:color w:val="auto"/>
          <w:kern w:val="0"/>
          <w:sz w:val="30"/>
          <w:szCs w:val="30"/>
          <w:lang w:eastAsia="zh-CN"/>
        </w:rPr>
      </w:pPr>
      <w:r>
        <w:rPr>
          <w:rFonts w:hint="eastAsia" w:ascii="宋体" w:hAnsi="宋体" w:cs="宋体"/>
          <w:b/>
          <w:bCs/>
          <w:color w:val="auto"/>
          <w:kern w:val="0"/>
          <w:sz w:val="30"/>
          <w:szCs w:val="30"/>
        </w:rPr>
        <w:t>项目编号：</w:t>
      </w:r>
      <w:r>
        <w:rPr>
          <w:rFonts w:hint="eastAsia" w:ascii="宋体" w:hAnsi="宋体" w:cs="宋体"/>
          <w:b/>
          <w:bCs/>
          <w:color w:val="auto"/>
          <w:kern w:val="0"/>
          <w:sz w:val="30"/>
          <w:szCs w:val="30"/>
          <w:lang w:eastAsia="zh-CN"/>
        </w:rPr>
        <w:t>GXZC2025-C3-001545-GXKL</w:t>
      </w:r>
    </w:p>
    <w:p>
      <w:pPr>
        <w:jc w:val="center"/>
        <w:rPr>
          <w:rFonts w:hint="eastAsia" w:ascii="宋体" w:hAnsi="宋体" w:cs="宋体"/>
          <w:b/>
          <w:color w:val="auto"/>
          <w:sz w:val="32"/>
          <w:szCs w:val="32"/>
        </w:rPr>
      </w:pPr>
    </w:p>
    <w:p>
      <w:pPr>
        <w:jc w:val="center"/>
        <w:rPr>
          <w:rFonts w:hint="eastAsia"/>
          <w:color w:val="auto"/>
        </w:rPr>
      </w:pPr>
    </w:p>
    <w:p>
      <w:pPr>
        <w:jc w:val="center"/>
        <w:rPr>
          <w:rFonts w:hint="eastAsia" w:ascii="宋体" w:hAnsi="宋体" w:cs="宋体"/>
          <w:b/>
          <w:bCs/>
          <w:color w:val="auto"/>
          <w:kern w:val="0"/>
          <w:sz w:val="30"/>
          <w:szCs w:val="30"/>
        </w:rPr>
      </w:pPr>
    </w:p>
    <w:p>
      <w:pPr>
        <w:pStyle w:val="23"/>
        <w:jc w:val="center"/>
        <w:rPr>
          <w:rFonts w:hint="eastAsia"/>
          <w:color w:val="auto"/>
        </w:rPr>
      </w:pPr>
    </w:p>
    <w:p>
      <w:pPr>
        <w:pStyle w:val="23"/>
        <w:jc w:val="center"/>
        <w:rPr>
          <w:rFonts w:hint="eastAsia" w:ascii="宋体" w:hAnsi="宋体" w:cs="宋体"/>
          <w:b/>
          <w:bCs/>
          <w:color w:val="auto"/>
          <w:sz w:val="30"/>
          <w:szCs w:val="30"/>
        </w:rPr>
      </w:pPr>
    </w:p>
    <w:p>
      <w:pPr>
        <w:jc w:val="center"/>
        <w:rPr>
          <w:rFonts w:hint="eastAsia"/>
          <w:color w:val="auto"/>
        </w:rPr>
      </w:pPr>
    </w:p>
    <w:p>
      <w:pPr>
        <w:snapToGrid w:val="0"/>
        <w:spacing w:before="50" w:after="120" w:line="360" w:lineRule="auto"/>
        <w:jc w:val="center"/>
        <w:rPr>
          <w:rFonts w:hint="eastAsia" w:ascii="宋体" w:hAnsi="宋体" w:eastAsia="宋体" w:cs="宋体"/>
          <w:b/>
          <w:bCs/>
          <w:color w:val="auto"/>
          <w:kern w:val="0"/>
          <w:sz w:val="30"/>
          <w:szCs w:val="30"/>
          <w:lang w:eastAsia="zh-CN"/>
        </w:rPr>
      </w:pPr>
      <w:r>
        <w:rPr>
          <w:rFonts w:hint="eastAsia" w:ascii="宋体" w:hAnsi="宋体" w:cs="宋体"/>
          <w:b/>
          <w:bCs/>
          <w:color w:val="auto"/>
          <w:kern w:val="0"/>
          <w:sz w:val="30"/>
          <w:szCs w:val="30"/>
        </w:rPr>
        <w:t>采购人：</w:t>
      </w:r>
      <w:r>
        <w:rPr>
          <w:rFonts w:hint="eastAsia" w:ascii="宋体" w:hAnsi="宋体" w:cs="宋体"/>
          <w:b/>
          <w:bCs/>
          <w:color w:val="auto"/>
          <w:kern w:val="0"/>
          <w:sz w:val="30"/>
          <w:szCs w:val="30"/>
          <w:lang w:eastAsia="zh-CN"/>
        </w:rPr>
        <w:t>广西壮族自治区统计局数据管理中心</w:t>
      </w:r>
    </w:p>
    <w:p>
      <w:pPr>
        <w:snapToGrid w:val="0"/>
        <w:spacing w:before="50" w:after="120" w:line="360" w:lineRule="auto"/>
        <w:jc w:val="center"/>
        <w:rPr>
          <w:rFonts w:hint="eastAsia" w:ascii="宋体" w:hAnsi="宋体" w:cs="宋体"/>
          <w:b/>
          <w:bCs/>
          <w:color w:val="auto"/>
          <w:kern w:val="0"/>
          <w:sz w:val="30"/>
          <w:szCs w:val="30"/>
        </w:rPr>
      </w:pPr>
      <w:r>
        <w:rPr>
          <w:rFonts w:hint="eastAsia" w:ascii="宋体" w:hAnsi="宋体" w:cs="宋体"/>
          <w:b/>
          <w:bCs/>
          <w:color w:val="auto"/>
          <w:kern w:val="0"/>
          <w:sz w:val="30"/>
          <w:szCs w:val="30"/>
        </w:rPr>
        <w:t>采购代理机构：</w:t>
      </w:r>
      <w:bookmarkStart w:id="0" w:name="PO_3000001866_PM031"/>
      <w:r>
        <w:rPr>
          <w:rFonts w:hint="eastAsia" w:ascii="宋体" w:hAnsi="宋体" w:cs="宋体"/>
          <w:b/>
          <w:bCs/>
          <w:color w:val="auto"/>
          <w:kern w:val="0"/>
          <w:sz w:val="30"/>
          <w:szCs w:val="30"/>
        </w:rPr>
        <w:t>广西科联招标中心有限公司</w:t>
      </w:r>
      <w:bookmarkEnd w:id="0"/>
    </w:p>
    <w:p>
      <w:pPr>
        <w:pStyle w:val="23"/>
        <w:jc w:val="center"/>
        <w:rPr>
          <w:rFonts w:hint="eastAsia"/>
          <w:color w:val="auto"/>
        </w:rPr>
      </w:pPr>
    </w:p>
    <w:p>
      <w:pPr>
        <w:jc w:val="center"/>
        <w:rPr>
          <w:rFonts w:hint="eastAsia"/>
          <w:color w:val="auto"/>
        </w:rPr>
      </w:pPr>
    </w:p>
    <w:p>
      <w:pPr>
        <w:snapToGrid w:val="0"/>
        <w:spacing w:before="50" w:after="120" w:line="360" w:lineRule="auto"/>
        <w:jc w:val="center"/>
        <w:rPr>
          <w:rFonts w:hint="eastAsia" w:ascii="宋体" w:hAnsi="宋体" w:eastAsia="宋体" w:cs="宋体"/>
          <w:b/>
          <w:bCs/>
          <w:color w:val="auto"/>
          <w:w w:val="95"/>
          <w:kern w:val="0"/>
          <w:sz w:val="30"/>
          <w:szCs w:val="30"/>
          <w:lang w:eastAsia="zh-CN"/>
        </w:rPr>
      </w:pPr>
      <w:r>
        <w:rPr>
          <w:rFonts w:hint="eastAsia" w:ascii="宋体" w:hAnsi="宋体" w:cs="宋体"/>
          <w:b/>
          <w:bCs/>
          <w:color w:val="auto"/>
          <w:w w:val="95"/>
          <w:kern w:val="0"/>
          <w:sz w:val="30"/>
          <w:szCs w:val="30"/>
        </w:rPr>
        <w:t xml:space="preserve"> </w:t>
      </w:r>
      <w:r>
        <w:rPr>
          <w:rFonts w:hint="eastAsia" w:ascii="宋体" w:hAnsi="宋体" w:cs="宋体"/>
          <w:b/>
          <w:bCs/>
          <w:color w:val="auto"/>
          <w:w w:val="95"/>
          <w:kern w:val="0"/>
          <w:sz w:val="30"/>
          <w:szCs w:val="30"/>
          <w:lang w:eastAsia="zh-CN"/>
        </w:rPr>
        <w:t>2025年</w:t>
      </w:r>
      <w:r>
        <w:rPr>
          <w:rFonts w:hint="eastAsia" w:ascii="宋体" w:hAnsi="宋体" w:cs="宋体"/>
          <w:b/>
          <w:bCs/>
          <w:color w:val="auto"/>
          <w:w w:val="95"/>
          <w:kern w:val="0"/>
          <w:sz w:val="30"/>
          <w:szCs w:val="30"/>
          <w:lang w:val="en-US" w:eastAsia="zh-CN"/>
        </w:rPr>
        <w:t>6</w:t>
      </w:r>
      <w:r>
        <w:rPr>
          <w:rFonts w:hint="eastAsia" w:ascii="宋体" w:hAnsi="宋体" w:cs="宋体"/>
          <w:b/>
          <w:bCs/>
          <w:color w:val="auto"/>
          <w:w w:val="95"/>
          <w:kern w:val="0"/>
          <w:sz w:val="30"/>
          <w:szCs w:val="30"/>
          <w:lang w:eastAsia="zh-CN"/>
        </w:rPr>
        <w:t>月</w:t>
      </w:r>
      <w:r>
        <w:rPr>
          <w:rFonts w:hint="eastAsia" w:ascii="宋体" w:hAnsi="宋体" w:cs="宋体"/>
          <w:b/>
          <w:bCs/>
          <w:color w:val="auto"/>
          <w:w w:val="95"/>
          <w:kern w:val="0"/>
          <w:sz w:val="30"/>
          <w:szCs w:val="30"/>
          <w:lang w:val="en-US" w:eastAsia="zh-CN"/>
        </w:rPr>
        <w:t>13</w:t>
      </w:r>
      <w:r>
        <w:rPr>
          <w:rFonts w:hint="eastAsia" w:ascii="宋体" w:hAnsi="宋体" w:cs="宋体"/>
          <w:b/>
          <w:bCs/>
          <w:color w:val="auto"/>
          <w:w w:val="95"/>
          <w:kern w:val="0"/>
          <w:sz w:val="30"/>
          <w:szCs w:val="30"/>
          <w:lang w:eastAsia="zh-CN"/>
        </w:rPr>
        <w:t>日</w:t>
      </w:r>
    </w:p>
    <w:p>
      <w:pPr>
        <w:pStyle w:val="13"/>
        <w:ind w:firstLine="803"/>
        <w:jc w:val="center"/>
        <w:rPr>
          <w:rFonts w:hint="eastAsia" w:ascii="宋体" w:hAnsi="宋体" w:cs="宋体"/>
          <w:b/>
          <w:bCs/>
          <w:color w:val="auto"/>
          <w:w w:val="95"/>
          <w:sz w:val="30"/>
          <w:szCs w:val="30"/>
        </w:rPr>
        <w:sectPr>
          <w:headerReference r:id="rId3" w:type="default"/>
          <w:footerReference r:id="rId4" w:type="default"/>
          <w:footerReference r:id="rId5" w:type="even"/>
          <w:pgSz w:w="11911" w:h="16838"/>
          <w:pgMar w:top="1134" w:right="1134" w:bottom="1134" w:left="1134" w:header="720" w:footer="720" w:gutter="0"/>
          <w:pgNumType w:start="1"/>
          <w:cols w:space="720" w:num="1"/>
          <w:titlePg/>
          <w:docGrid w:linePitch="331" w:charSpace="0"/>
        </w:sectPr>
      </w:pPr>
    </w:p>
    <w:p>
      <w:pPr>
        <w:spacing w:before="360" w:beforeLines="150" w:after="360" w:afterLines="150" w:line="360" w:lineRule="auto"/>
        <w:jc w:val="center"/>
        <w:rPr>
          <w:rFonts w:hint="eastAsia"/>
          <w:b/>
          <w:color w:val="auto"/>
          <w:sz w:val="44"/>
          <w:szCs w:val="44"/>
        </w:rPr>
      </w:pPr>
      <w:r>
        <w:rPr>
          <w:rFonts w:hint="eastAsia"/>
          <w:b/>
          <w:color w:val="auto"/>
          <w:sz w:val="44"/>
          <w:szCs w:val="44"/>
        </w:rPr>
        <w:t>目   录</w:t>
      </w:r>
    </w:p>
    <w:p>
      <w:pPr>
        <w:spacing w:line="400" w:lineRule="exact"/>
        <w:jc w:val="center"/>
        <w:rPr>
          <w:rFonts w:hint="eastAsia"/>
          <w:b/>
          <w:color w:val="auto"/>
          <w:sz w:val="44"/>
          <w:szCs w:val="44"/>
        </w:rPr>
      </w:pPr>
    </w:p>
    <w:p>
      <w:pPr>
        <w:pStyle w:val="25"/>
        <w:tabs>
          <w:tab w:val="right" w:leader="dot" w:pos="9643"/>
        </w:tabs>
        <w:spacing w:line="480" w:lineRule="auto"/>
        <w:rPr>
          <w:rFonts w:hint="eastAsia" w:ascii="宋体" w:hAnsi="宋体" w:cs="宋体"/>
          <w:b/>
          <w:bCs/>
          <w:color w:val="auto"/>
          <w:sz w:val="32"/>
          <w:szCs w:val="32"/>
          <w:lang w:val="en-US" w:eastAsia="zh-CN"/>
        </w:rPr>
      </w:pPr>
      <w:r>
        <w:rPr>
          <w:rFonts w:hint="eastAsia" w:ascii="宋体" w:hAnsi="宋体" w:cs="宋体"/>
          <w:b/>
          <w:bCs/>
          <w:color w:val="auto"/>
          <w:sz w:val="24"/>
        </w:rPr>
        <w:fldChar w:fldCharType="begin"/>
      </w:r>
      <w:r>
        <w:rPr>
          <w:rFonts w:hint="eastAsia" w:ascii="宋体" w:hAnsi="宋体" w:cs="宋体"/>
          <w:b/>
          <w:bCs/>
          <w:color w:val="auto"/>
          <w:sz w:val="24"/>
        </w:rPr>
        <w:instrText xml:space="preserve">TOC \o "1-1" \h \u </w:instrText>
      </w:r>
      <w:r>
        <w:rPr>
          <w:rFonts w:hint="eastAsia" w:ascii="宋体" w:hAnsi="宋体" w:cs="宋体"/>
          <w:b/>
          <w:bCs/>
          <w:color w:val="auto"/>
          <w:sz w:val="24"/>
        </w:rPr>
        <w:fldChar w:fldCharType="separate"/>
      </w:r>
      <w:r>
        <w:rPr>
          <w:color w:val="auto"/>
        </w:rPr>
        <w:fldChar w:fldCharType="begin"/>
      </w:r>
      <w:r>
        <w:rPr>
          <w:color w:val="auto"/>
        </w:rPr>
        <w:instrText xml:space="preserve"> HYPERLINK \l "_Toc32264" </w:instrText>
      </w:r>
      <w:r>
        <w:rPr>
          <w:color w:val="auto"/>
        </w:rPr>
        <w:fldChar w:fldCharType="separate"/>
      </w:r>
      <w:r>
        <w:rPr>
          <w:rFonts w:hint="eastAsia" w:ascii="宋体" w:hAnsi="宋体" w:cs="宋体"/>
          <w:b/>
          <w:bCs/>
          <w:color w:val="auto"/>
          <w:sz w:val="32"/>
          <w:szCs w:val="32"/>
          <w:lang w:val="en-US" w:eastAsia="zh-CN"/>
        </w:rPr>
        <w:t>第一章  竞争性磋</w:t>
      </w:r>
      <w:bookmarkStart w:id="1" w:name="_Hlt135924181"/>
      <w:r>
        <w:rPr>
          <w:rFonts w:hint="eastAsia" w:ascii="宋体" w:hAnsi="宋体" w:cs="宋体"/>
          <w:b/>
          <w:bCs/>
          <w:color w:val="auto"/>
          <w:sz w:val="32"/>
          <w:szCs w:val="32"/>
          <w:lang w:val="en-US" w:eastAsia="zh-CN"/>
        </w:rPr>
        <w:t>商</w:t>
      </w:r>
      <w:bookmarkEnd w:id="1"/>
      <w:r>
        <w:rPr>
          <w:rFonts w:hint="eastAsia" w:ascii="宋体" w:hAnsi="宋体" w:cs="宋体"/>
          <w:b/>
          <w:bCs/>
          <w:color w:val="auto"/>
          <w:sz w:val="32"/>
          <w:szCs w:val="32"/>
          <w:lang w:val="en-US" w:eastAsia="zh-CN"/>
        </w:rPr>
        <w:t>公告</w:t>
      </w:r>
      <w:r>
        <w:rPr>
          <w:rFonts w:hint="eastAsia" w:ascii="宋体" w:hAnsi="宋体" w:cs="宋体"/>
          <w:b/>
          <w:bCs/>
          <w:color w:val="auto"/>
          <w:sz w:val="32"/>
          <w:szCs w:val="32"/>
          <w:lang w:val="en-US" w:eastAsia="zh-CN"/>
        </w:rPr>
        <w:tab/>
      </w:r>
      <w:r>
        <w:rPr>
          <w:rFonts w:hint="eastAsia" w:ascii="宋体" w:hAnsi="宋体" w:cs="宋体"/>
          <w:b/>
          <w:bCs/>
          <w:color w:val="auto"/>
          <w:sz w:val="32"/>
          <w:szCs w:val="32"/>
          <w:lang w:val="en-US" w:eastAsia="zh-CN"/>
        </w:rPr>
        <w:fldChar w:fldCharType="begin"/>
      </w:r>
      <w:r>
        <w:rPr>
          <w:rFonts w:hint="eastAsia" w:ascii="宋体" w:hAnsi="宋体" w:cs="宋体"/>
          <w:b/>
          <w:bCs/>
          <w:color w:val="auto"/>
          <w:sz w:val="32"/>
          <w:szCs w:val="32"/>
          <w:lang w:val="en-US" w:eastAsia="zh-CN"/>
        </w:rPr>
        <w:instrText xml:space="preserve"> PAGEREF _Toc32264 </w:instrText>
      </w:r>
      <w:r>
        <w:rPr>
          <w:rFonts w:hint="eastAsia" w:ascii="宋体" w:hAnsi="宋体" w:cs="宋体"/>
          <w:b/>
          <w:bCs/>
          <w:color w:val="auto"/>
          <w:sz w:val="32"/>
          <w:szCs w:val="32"/>
          <w:lang w:val="en-US" w:eastAsia="zh-CN"/>
        </w:rPr>
        <w:fldChar w:fldCharType="separate"/>
      </w:r>
      <w:r>
        <w:rPr>
          <w:rFonts w:hint="eastAsia" w:ascii="宋体" w:hAnsi="宋体" w:cs="宋体"/>
          <w:b/>
          <w:bCs/>
          <w:color w:val="auto"/>
          <w:sz w:val="32"/>
          <w:szCs w:val="32"/>
          <w:lang w:val="en-US" w:eastAsia="zh-CN"/>
        </w:rPr>
        <w:t>3</w:t>
      </w:r>
      <w:r>
        <w:rPr>
          <w:rFonts w:hint="eastAsia" w:ascii="宋体" w:hAnsi="宋体" w:cs="宋体"/>
          <w:b/>
          <w:bCs/>
          <w:color w:val="auto"/>
          <w:sz w:val="32"/>
          <w:szCs w:val="32"/>
          <w:lang w:val="en-US" w:eastAsia="zh-CN"/>
        </w:rPr>
        <w:fldChar w:fldCharType="end"/>
      </w:r>
      <w:r>
        <w:rPr>
          <w:rFonts w:hint="eastAsia" w:ascii="宋体" w:hAnsi="宋体" w:cs="宋体"/>
          <w:b/>
          <w:bCs/>
          <w:color w:val="auto"/>
          <w:sz w:val="32"/>
          <w:szCs w:val="32"/>
          <w:lang w:val="en-US" w:eastAsia="zh-CN"/>
        </w:rPr>
        <w:fldChar w:fldCharType="end"/>
      </w:r>
    </w:p>
    <w:p>
      <w:pPr>
        <w:pStyle w:val="25"/>
        <w:tabs>
          <w:tab w:val="right" w:leader="dot" w:pos="9643"/>
        </w:tabs>
        <w:spacing w:line="480" w:lineRule="auto"/>
        <w:rPr>
          <w:rFonts w:hint="eastAsia" w:ascii="宋体" w:hAnsi="宋体" w:cs="宋体"/>
          <w:b/>
          <w:bCs/>
          <w:color w:val="auto"/>
          <w:sz w:val="32"/>
          <w:szCs w:val="32"/>
          <w:lang w:val="en-US" w:eastAsia="zh-CN"/>
        </w:rPr>
      </w:pPr>
      <w:r>
        <w:rPr>
          <w:color w:val="auto"/>
        </w:rPr>
        <w:fldChar w:fldCharType="begin"/>
      </w:r>
      <w:r>
        <w:rPr>
          <w:color w:val="auto"/>
        </w:rPr>
        <w:instrText xml:space="preserve"> HYPERLINK \l "_Toc26836" </w:instrText>
      </w:r>
      <w:r>
        <w:rPr>
          <w:color w:val="auto"/>
        </w:rPr>
        <w:fldChar w:fldCharType="separate"/>
      </w:r>
      <w:r>
        <w:rPr>
          <w:rFonts w:hint="eastAsia" w:ascii="宋体" w:hAnsi="宋体" w:cs="宋体"/>
          <w:b/>
          <w:bCs/>
          <w:color w:val="auto"/>
          <w:sz w:val="32"/>
          <w:szCs w:val="32"/>
          <w:lang w:val="en-US" w:eastAsia="zh-CN"/>
        </w:rPr>
        <w:t>第二章  采购需</w:t>
      </w:r>
      <w:bookmarkStart w:id="2" w:name="_Hlt137127195"/>
      <w:r>
        <w:rPr>
          <w:rFonts w:hint="eastAsia" w:ascii="宋体" w:hAnsi="宋体" w:cs="宋体"/>
          <w:b/>
          <w:bCs/>
          <w:color w:val="auto"/>
          <w:sz w:val="32"/>
          <w:szCs w:val="32"/>
          <w:lang w:val="en-US" w:eastAsia="zh-CN"/>
        </w:rPr>
        <w:t>求</w:t>
      </w:r>
      <w:bookmarkEnd w:id="2"/>
      <w:bookmarkStart w:id="217" w:name="_GoBack"/>
      <w:bookmarkEnd w:id="217"/>
      <w:r>
        <w:rPr>
          <w:rFonts w:hint="eastAsia" w:ascii="宋体" w:hAnsi="宋体" w:cs="宋体"/>
          <w:b/>
          <w:bCs/>
          <w:color w:val="auto"/>
          <w:sz w:val="32"/>
          <w:szCs w:val="32"/>
          <w:lang w:val="en-US" w:eastAsia="zh-CN"/>
        </w:rPr>
        <w:tab/>
      </w:r>
      <w:r>
        <w:rPr>
          <w:rFonts w:hint="eastAsia" w:ascii="宋体" w:hAnsi="宋体" w:cs="宋体"/>
          <w:b/>
          <w:bCs/>
          <w:color w:val="auto"/>
          <w:sz w:val="32"/>
          <w:szCs w:val="32"/>
          <w:lang w:val="en-US" w:eastAsia="zh-CN"/>
        </w:rPr>
        <w:fldChar w:fldCharType="begin"/>
      </w:r>
      <w:r>
        <w:rPr>
          <w:rFonts w:hint="eastAsia" w:ascii="宋体" w:hAnsi="宋体" w:cs="宋体"/>
          <w:b/>
          <w:bCs/>
          <w:color w:val="auto"/>
          <w:sz w:val="32"/>
          <w:szCs w:val="32"/>
          <w:lang w:val="en-US" w:eastAsia="zh-CN"/>
        </w:rPr>
        <w:instrText xml:space="preserve"> PAGEREF _Toc26836 </w:instrText>
      </w:r>
      <w:r>
        <w:rPr>
          <w:rFonts w:hint="eastAsia" w:ascii="宋体" w:hAnsi="宋体" w:cs="宋体"/>
          <w:b/>
          <w:bCs/>
          <w:color w:val="auto"/>
          <w:sz w:val="32"/>
          <w:szCs w:val="32"/>
          <w:lang w:val="en-US" w:eastAsia="zh-CN"/>
        </w:rPr>
        <w:fldChar w:fldCharType="separate"/>
      </w:r>
      <w:r>
        <w:rPr>
          <w:rFonts w:hint="eastAsia" w:ascii="宋体" w:hAnsi="宋体" w:cs="宋体"/>
          <w:b/>
          <w:bCs/>
          <w:color w:val="auto"/>
          <w:sz w:val="32"/>
          <w:szCs w:val="32"/>
          <w:lang w:val="en-US" w:eastAsia="zh-CN"/>
        </w:rPr>
        <w:t>8</w:t>
      </w:r>
      <w:r>
        <w:rPr>
          <w:rFonts w:hint="eastAsia" w:ascii="宋体" w:hAnsi="宋体" w:cs="宋体"/>
          <w:b/>
          <w:bCs/>
          <w:color w:val="auto"/>
          <w:sz w:val="32"/>
          <w:szCs w:val="32"/>
          <w:lang w:val="en-US" w:eastAsia="zh-CN"/>
        </w:rPr>
        <w:fldChar w:fldCharType="end"/>
      </w:r>
      <w:r>
        <w:rPr>
          <w:rFonts w:hint="eastAsia" w:ascii="宋体" w:hAnsi="宋体" w:cs="宋体"/>
          <w:b/>
          <w:bCs/>
          <w:color w:val="auto"/>
          <w:sz w:val="32"/>
          <w:szCs w:val="32"/>
          <w:lang w:val="en-US" w:eastAsia="zh-CN"/>
        </w:rPr>
        <w:fldChar w:fldCharType="end"/>
      </w:r>
    </w:p>
    <w:p>
      <w:pPr>
        <w:pStyle w:val="25"/>
        <w:tabs>
          <w:tab w:val="right" w:leader="dot" w:pos="9643"/>
        </w:tabs>
        <w:spacing w:line="480" w:lineRule="auto"/>
        <w:rPr>
          <w:rFonts w:hint="eastAsia" w:ascii="宋体" w:hAnsi="宋体" w:cs="宋体"/>
          <w:b/>
          <w:bCs/>
          <w:color w:val="auto"/>
          <w:sz w:val="32"/>
          <w:szCs w:val="32"/>
          <w:lang w:val="en-US" w:eastAsia="zh-CN"/>
        </w:rPr>
      </w:pPr>
      <w:r>
        <w:rPr>
          <w:color w:val="auto"/>
        </w:rPr>
        <w:fldChar w:fldCharType="begin"/>
      </w:r>
      <w:r>
        <w:rPr>
          <w:color w:val="auto"/>
        </w:rPr>
        <w:instrText xml:space="preserve"> HYPERLINK \l "_Toc2072" </w:instrText>
      </w:r>
      <w:r>
        <w:rPr>
          <w:color w:val="auto"/>
        </w:rPr>
        <w:fldChar w:fldCharType="separate"/>
      </w:r>
      <w:r>
        <w:rPr>
          <w:rFonts w:hint="eastAsia" w:ascii="宋体" w:hAnsi="宋体" w:cs="宋体"/>
          <w:b/>
          <w:bCs/>
          <w:color w:val="auto"/>
          <w:sz w:val="32"/>
          <w:szCs w:val="32"/>
          <w:lang w:val="en-US" w:eastAsia="zh-CN"/>
        </w:rPr>
        <w:t>第三章  供应</w:t>
      </w:r>
      <w:bookmarkStart w:id="3" w:name="_Hlt135905307"/>
      <w:r>
        <w:rPr>
          <w:rFonts w:hint="eastAsia" w:ascii="宋体" w:hAnsi="宋体" w:cs="宋体"/>
          <w:b/>
          <w:bCs/>
          <w:color w:val="auto"/>
          <w:sz w:val="32"/>
          <w:szCs w:val="32"/>
          <w:lang w:val="en-US" w:eastAsia="zh-CN"/>
        </w:rPr>
        <w:t>商</w:t>
      </w:r>
      <w:bookmarkEnd w:id="3"/>
      <w:r>
        <w:rPr>
          <w:rFonts w:hint="eastAsia" w:ascii="宋体" w:hAnsi="宋体" w:cs="宋体"/>
          <w:b/>
          <w:bCs/>
          <w:color w:val="auto"/>
          <w:sz w:val="32"/>
          <w:szCs w:val="32"/>
          <w:lang w:val="en-US" w:eastAsia="zh-CN"/>
        </w:rPr>
        <w:t>须知</w:t>
      </w:r>
      <w:r>
        <w:rPr>
          <w:rFonts w:hint="eastAsia" w:ascii="宋体" w:hAnsi="宋体" w:cs="宋体"/>
          <w:b/>
          <w:bCs/>
          <w:color w:val="auto"/>
          <w:sz w:val="32"/>
          <w:szCs w:val="32"/>
          <w:lang w:val="en-US" w:eastAsia="zh-CN"/>
        </w:rPr>
        <w:tab/>
      </w:r>
      <w:r>
        <w:rPr>
          <w:rFonts w:hint="eastAsia" w:ascii="宋体" w:hAnsi="宋体" w:cs="宋体"/>
          <w:b/>
          <w:bCs/>
          <w:color w:val="auto"/>
          <w:sz w:val="32"/>
          <w:szCs w:val="32"/>
          <w:lang w:val="en-US" w:eastAsia="zh-CN"/>
        </w:rPr>
        <w:fldChar w:fldCharType="begin"/>
      </w:r>
      <w:r>
        <w:rPr>
          <w:rFonts w:hint="eastAsia" w:ascii="宋体" w:hAnsi="宋体" w:cs="宋体"/>
          <w:b/>
          <w:bCs/>
          <w:color w:val="auto"/>
          <w:sz w:val="32"/>
          <w:szCs w:val="32"/>
          <w:lang w:val="en-US" w:eastAsia="zh-CN"/>
        </w:rPr>
        <w:instrText xml:space="preserve"> PAGEREF _Toc2072 </w:instrText>
      </w:r>
      <w:r>
        <w:rPr>
          <w:rFonts w:hint="eastAsia" w:ascii="宋体" w:hAnsi="宋体" w:cs="宋体"/>
          <w:b/>
          <w:bCs/>
          <w:color w:val="auto"/>
          <w:sz w:val="32"/>
          <w:szCs w:val="32"/>
          <w:lang w:val="en-US" w:eastAsia="zh-CN"/>
        </w:rPr>
        <w:fldChar w:fldCharType="separate"/>
      </w:r>
      <w:r>
        <w:rPr>
          <w:rFonts w:hint="eastAsia" w:ascii="宋体" w:hAnsi="宋体" w:cs="宋体"/>
          <w:b/>
          <w:bCs/>
          <w:color w:val="auto"/>
          <w:sz w:val="32"/>
          <w:szCs w:val="32"/>
          <w:lang w:val="en-US" w:eastAsia="zh-CN"/>
        </w:rPr>
        <w:t>37</w:t>
      </w:r>
      <w:r>
        <w:rPr>
          <w:rFonts w:hint="eastAsia" w:ascii="宋体" w:hAnsi="宋体" w:cs="宋体"/>
          <w:b/>
          <w:bCs/>
          <w:color w:val="auto"/>
          <w:sz w:val="32"/>
          <w:szCs w:val="32"/>
          <w:lang w:val="en-US" w:eastAsia="zh-CN"/>
        </w:rPr>
        <w:fldChar w:fldCharType="end"/>
      </w:r>
      <w:r>
        <w:rPr>
          <w:rFonts w:hint="eastAsia" w:ascii="宋体" w:hAnsi="宋体" w:cs="宋体"/>
          <w:b/>
          <w:bCs/>
          <w:color w:val="auto"/>
          <w:sz w:val="32"/>
          <w:szCs w:val="32"/>
          <w:lang w:val="en-US" w:eastAsia="zh-CN"/>
        </w:rPr>
        <w:fldChar w:fldCharType="end"/>
      </w:r>
    </w:p>
    <w:p>
      <w:pPr>
        <w:pStyle w:val="25"/>
        <w:tabs>
          <w:tab w:val="right" w:leader="dot" w:pos="9643"/>
        </w:tabs>
        <w:spacing w:line="480" w:lineRule="auto"/>
        <w:rPr>
          <w:rFonts w:hint="eastAsia" w:ascii="宋体" w:hAnsi="宋体" w:cs="宋体"/>
          <w:b/>
          <w:bCs/>
          <w:color w:val="auto"/>
          <w:sz w:val="32"/>
          <w:szCs w:val="32"/>
          <w:lang w:val="en-US" w:eastAsia="zh-CN"/>
        </w:rPr>
      </w:pPr>
      <w:r>
        <w:rPr>
          <w:color w:val="auto"/>
        </w:rPr>
        <w:fldChar w:fldCharType="begin"/>
      </w:r>
      <w:r>
        <w:rPr>
          <w:color w:val="auto"/>
        </w:rPr>
        <w:instrText xml:space="preserve"> HYPERLINK \l "_Toc1088" </w:instrText>
      </w:r>
      <w:r>
        <w:rPr>
          <w:color w:val="auto"/>
        </w:rPr>
        <w:fldChar w:fldCharType="separate"/>
      </w:r>
      <w:r>
        <w:rPr>
          <w:rFonts w:hint="eastAsia" w:ascii="宋体" w:hAnsi="宋体" w:cs="宋体"/>
          <w:b/>
          <w:bCs/>
          <w:color w:val="auto"/>
          <w:sz w:val="32"/>
          <w:szCs w:val="32"/>
          <w:lang w:val="en-US" w:eastAsia="zh-CN"/>
        </w:rPr>
        <w:t>第四章  评审程序、评审方法和评审标准</w:t>
      </w:r>
      <w:r>
        <w:rPr>
          <w:rFonts w:hint="eastAsia" w:ascii="宋体" w:hAnsi="宋体" w:cs="宋体"/>
          <w:b/>
          <w:bCs/>
          <w:color w:val="auto"/>
          <w:sz w:val="32"/>
          <w:szCs w:val="32"/>
          <w:lang w:val="en-US" w:eastAsia="zh-CN"/>
        </w:rPr>
        <w:tab/>
      </w:r>
      <w:r>
        <w:rPr>
          <w:rFonts w:hint="eastAsia" w:ascii="宋体" w:hAnsi="宋体" w:cs="宋体"/>
          <w:b/>
          <w:bCs/>
          <w:color w:val="auto"/>
          <w:sz w:val="32"/>
          <w:szCs w:val="32"/>
          <w:lang w:val="en-US" w:eastAsia="zh-CN"/>
        </w:rPr>
        <w:fldChar w:fldCharType="begin"/>
      </w:r>
      <w:r>
        <w:rPr>
          <w:rFonts w:hint="eastAsia" w:ascii="宋体" w:hAnsi="宋体" w:cs="宋体"/>
          <w:b/>
          <w:bCs/>
          <w:color w:val="auto"/>
          <w:sz w:val="32"/>
          <w:szCs w:val="32"/>
          <w:lang w:val="en-US" w:eastAsia="zh-CN"/>
        </w:rPr>
        <w:instrText xml:space="preserve"> PAGEREF _Toc1088 </w:instrText>
      </w:r>
      <w:r>
        <w:rPr>
          <w:rFonts w:hint="eastAsia" w:ascii="宋体" w:hAnsi="宋体" w:cs="宋体"/>
          <w:b/>
          <w:bCs/>
          <w:color w:val="auto"/>
          <w:sz w:val="32"/>
          <w:szCs w:val="32"/>
          <w:lang w:val="en-US" w:eastAsia="zh-CN"/>
        </w:rPr>
        <w:fldChar w:fldCharType="separate"/>
      </w:r>
      <w:r>
        <w:rPr>
          <w:rFonts w:hint="eastAsia" w:ascii="宋体" w:hAnsi="宋体" w:cs="宋体"/>
          <w:b/>
          <w:bCs/>
          <w:color w:val="auto"/>
          <w:sz w:val="32"/>
          <w:szCs w:val="32"/>
          <w:lang w:val="en-US" w:eastAsia="zh-CN"/>
        </w:rPr>
        <w:t>56</w:t>
      </w:r>
      <w:r>
        <w:rPr>
          <w:rFonts w:hint="eastAsia" w:ascii="宋体" w:hAnsi="宋体" w:cs="宋体"/>
          <w:b/>
          <w:bCs/>
          <w:color w:val="auto"/>
          <w:sz w:val="32"/>
          <w:szCs w:val="32"/>
          <w:lang w:val="en-US" w:eastAsia="zh-CN"/>
        </w:rPr>
        <w:fldChar w:fldCharType="end"/>
      </w:r>
      <w:r>
        <w:rPr>
          <w:rFonts w:hint="eastAsia" w:ascii="宋体" w:hAnsi="宋体" w:cs="宋体"/>
          <w:b/>
          <w:bCs/>
          <w:color w:val="auto"/>
          <w:sz w:val="32"/>
          <w:szCs w:val="32"/>
          <w:lang w:val="en-US" w:eastAsia="zh-CN"/>
        </w:rPr>
        <w:fldChar w:fldCharType="end"/>
      </w:r>
    </w:p>
    <w:p>
      <w:pPr>
        <w:pStyle w:val="25"/>
        <w:tabs>
          <w:tab w:val="right" w:leader="dot" w:pos="9643"/>
        </w:tabs>
        <w:spacing w:line="480" w:lineRule="auto"/>
        <w:rPr>
          <w:rFonts w:hint="eastAsia" w:ascii="宋体" w:hAnsi="宋体" w:cs="宋体"/>
          <w:b/>
          <w:bCs/>
          <w:color w:val="auto"/>
          <w:sz w:val="32"/>
          <w:szCs w:val="32"/>
          <w:lang w:val="en-US" w:eastAsia="zh-CN"/>
        </w:rPr>
      </w:pPr>
      <w:r>
        <w:rPr>
          <w:color w:val="auto"/>
        </w:rPr>
        <w:fldChar w:fldCharType="begin"/>
      </w:r>
      <w:r>
        <w:rPr>
          <w:color w:val="auto"/>
        </w:rPr>
        <w:instrText xml:space="preserve"> HYPERLINK \l "_Toc22302" </w:instrText>
      </w:r>
      <w:r>
        <w:rPr>
          <w:color w:val="auto"/>
        </w:rPr>
        <w:fldChar w:fldCharType="separate"/>
      </w:r>
      <w:r>
        <w:rPr>
          <w:rFonts w:hint="eastAsia" w:ascii="宋体" w:hAnsi="宋体" w:cs="宋体"/>
          <w:b/>
          <w:bCs/>
          <w:color w:val="auto"/>
          <w:sz w:val="32"/>
          <w:szCs w:val="32"/>
          <w:lang w:val="en-US" w:eastAsia="zh-CN"/>
        </w:rPr>
        <w:t>第五章  响应文</w:t>
      </w:r>
      <w:bookmarkStart w:id="4" w:name="_Hlt135897174"/>
      <w:bookmarkStart w:id="5" w:name="_Hlt135897173"/>
      <w:r>
        <w:rPr>
          <w:rFonts w:hint="eastAsia" w:ascii="宋体" w:hAnsi="宋体" w:cs="宋体"/>
          <w:b/>
          <w:bCs/>
          <w:color w:val="auto"/>
          <w:sz w:val="32"/>
          <w:szCs w:val="32"/>
          <w:lang w:val="en-US" w:eastAsia="zh-CN"/>
        </w:rPr>
        <w:t>件</w:t>
      </w:r>
      <w:bookmarkEnd w:id="4"/>
      <w:bookmarkEnd w:id="5"/>
      <w:r>
        <w:rPr>
          <w:rFonts w:hint="eastAsia" w:ascii="宋体" w:hAnsi="宋体" w:cs="宋体"/>
          <w:b/>
          <w:bCs/>
          <w:color w:val="auto"/>
          <w:sz w:val="32"/>
          <w:szCs w:val="32"/>
          <w:lang w:val="en-US" w:eastAsia="zh-CN"/>
        </w:rPr>
        <w:t>格式</w:t>
      </w:r>
      <w:r>
        <w:rPr>
          <w:rFonts w:hint="eastAsia" w:ascii="宋体" w:hAnsi="宋体" w:cs="宋体"/>
          <w:b/>
          <w:bCs/>
          <w:color w:val="auto"/>
          <w:sz w:val="32"/>
          <w:szCs w:val="32"/>
          <w:lang w:val="en-US" w:eastAsia="zh-CN"/>
        </w:rPr>
        <w:tab/>
      </w:r>
      <w:r>
        <w:rPr>
          <w:rFonts w:hint="eastAsia" w:ascii="宋体" w:hAnsi="宋体" w:cs="宋体"/>
          <w:b/>
          <w:bCs/>
          <w:color w:val="auto"/>
          <w:sz w:val="32"/>
          <w:szCs w:val="32"/>
          <w:lang w:val="en-US" w:eastAsia="zh-CN"/>
        </w:rPr>
        <w:fldChar w:fldCharType="begin"/>
      </w:r>
      <w:r>
        <w:rPr>
          <w:rFonts w:hint="eastAsia" w:ascii="宋体" w:hAnsi="宋体" w:cs="宋体"/>
          <w:b/>
          <w:bCs/>
          <w:color w:val="auto"/>
          <w:sz w:val="32"/>
          <w:szCs w:val="32"/>
          <w:lang w:val="en-US" w:eastAsia="zh-CN"/>
        </w:rPr>
        <w:instrText xml:space="preserve"> PAGEREF _Toc22302 </w:instrText>
      </w:r>
      <w:r>
        <w:rPr>
          <w:rFonts w:hint="eastAsia" w:ascii="宋体" w:hAnsi="宋体" w:cs="宋体"/>
          <w:b/>
          <w:bCs/>
          <w:color w:val="auto"/>
          <w:sz w:val="32"/>
          <w:szCs w:val="32"/>
          <w:lang w:val="en-US" w:eastAsia="zh-CN"/>
        </w:rPr>
        <w:fldChar w:fldCharType="separate"/>
      </w:r>
      <w:r>
        <w:rPr>
          <w:rFonts w:hint="eastAsia" w:ascii="宋体" w:hAnsi="宋体" w:cs="宋体"/>
          <w:b/>
          <w:bCs/>
          <w:color w:val="auto"/>
          <w:sz w:val="32"/>
          <w:szCs w:val="32"/>
          <w:lang w:val="en-US" w:eastAsia="zh-CN"/>
        </w:rPr>
        <w:t>68</w:t>
      </w:r>
      <w:r>
        <w:rPr>
          <w:rFonts w:hint="eastAsia" w:ascii="宋体" w:hAnsi="宋体" w:cs="宋体"/>
          <w:b/>
          <w:bCs/>
          <w:color w:val="auto"/>
          <w:sz w:val="32"/>
          <w:szCs w:val="32"/>
          <w:lang w:val="en-US" w:eastAsia="zh-CN"/>
        </w:rPr>
        <w:fldChar w:fldCharType="end"/>
      </w:r>
      <w:r>
        <w:rPr>
          <w:rFonts w:hint="eastAsia" w:ascii="宋体" w:hAnsi="宋体" w:cs="宋体"/>
          <w:b/>
          <w:bCs/>
          <w:color w:val="auto"/>
          <w:sz w:val="32"/>
          <w:szCs w:val="32"/>
          <w:lang w:val="en-US" w:eastAsia="zh-CN"/>
        </w:rPr>
        <w:fldChar w:fldCharType="end"/>
      </w:r>
    </w:p>
    <w:p>
      <w:pPr>
        <w:pStyle w:val="25"/>
        <w:tabs>
          <w:tab w:val="right" w:leader="dot" w:pos="9643"/>
        </w:tabs>
        <w:spacing w:line="480" w:lineRule="auto"/>
        <w:rPr>
          <w:rFonts w:hint="eastAsia" w:ascii="宋体" w:hAnsi="宋体" w:cs="宋体"/>
          <w:b/>
          <w:bCs/>
          <w:color w:val="auto"/>
          <w:sz w:val="32"/>
          <w:szCs w:val="32"/>
          <w:lang w:val="en-US" w:eastAsia="zh-CN"/>
        </w:rPr>
      </w:pPr>
      <w:r>
        <w:rPr>
          <w:color w:val="auto"/>
        </w:rPr>
        <w:fldChar w:fldCharType="begin"/>
      </w:r>
      <w:r>
        <w:rPr>
          <w:color w:val="auto"/>
        </w:rPr>
        <w:instrText xml:space="preserve"> HYPERLINK \l "_Toc18676" </w:instrText>
      </w:r>
      <w:r>
        <w:rPr>
          <w:color w:val="auto"/>
        </w:rPr>
        <w:fldChar w:fldCharType="separate"/>
      </w:r>
      <w:r>
        <w:rPr>
          <w:rFonts w:hint="eastAsia" w:ascii="宋体" w:hAnsi="宋体" w:cs="宋体"/>
          <w:b/>
          <w:bCs/>
          <w:color w:val="auto"/>
          <w:sz w:val="32"/>
          <w:szCs w:val="32"/>
          <w:lang w:val="en-US" w:eastAsia="zh-CN"/>
        </w:rPr>
        <w:t>第六章  合同</w:t>
      </w:r>
      <w:bookmarkStart w:id="6" w:name="_Hlt137127063"/>
      <w:bookmarkStart w:id="7" w:name="_Hlt137127064"/>
      <w:bookmarkStart w:id="8" w:name="_Hlt135924190"/>
      <w:r>
        <w:rPr>
          <w:rFonts w:hint="eastAsia" w:ascii="宋体" w:hAnsi="宋体" w:cs="宋体"/>
          <w:b/>
          <w:bCs/>
          <w:color w:val="auto"/>
          <w:sz w:val="32"/>
          <w:szCs w:val="32"/>
          <w:lang w:val="en-US" w:eastAsia="zh-CN"/>
        </w:rPr>
        <w:t>文</w:t>
      </w:r>
      <w:bookmarkEnd w:id="6"/>
      <w:bookmarkEnd w:id="7"/>
      <w:bookmarkEnd w:id="8"/>
      <w:bookmarkStart w:id="9" w:name="_Hlt135924166"/>
      <w:bookmarkStart w:id="10" w:name="_Hlt135924167"/>
      <w:r>
        <w:rPr>
          <w:rFonts w:hint="eastAsia" w:ascii="宋体" w:hAnsi="宋体" w:cs="宋体"/>
          <w:b/>
          <w:bCs/>
          <w:color w:val="auto"/>
          <w:sz w:val="32"/>
          <w:szCs w:val="32"/>
          <w:lang w:val="en-US" w:eastAsia="zh-CN"/>
        </w:rPr>
        <w:t>本</w:t>
      </w:r>
      <w:bookmarkEnd w:id="9"/>
      <w:bookmarkEnd w:id="10"/>
      <w:r>
        <w:rPr>
          <w:rFonts w:hint="eastAsia" w:ascii="宋体" w:hAnsi="宋体" w:cs="宋体"/>
          <w:b/>
          <w:bCs/>
          <w:color w:val="auto"/>
          <w:sz w:val="32"/>
          <w:szCs w:val="32"/>
          <w:lang w:val="en-US" w:eastAsia="zh-CN"/>
        </w:rPr>
        <w:tab/>
      </w:r>
      <w:r>
        <w:rPr>
          <w:rFonts w:hint="eastAsia" w:ascii="宋体" w:hAnsi="宋体" w:cs="宋体"/>
          <w:b/>
          <w:bCs/>
          <w:color w:val="auto"/>
          <w:sz w:val="32"/>
          <w:szCs w:val="32"/>
          <w:lang w:val="en-US" w:eastAsia="zh-CN"/>
        </w:rPr>
        <w:fldChar w:fldCharType="begin"/>
      </w:r>
      <w:r>
        <w:rPr>
          <w:rFonts w:hint="eastAsia" w:ascii="宋体" w:hAnsi="宋体" w:cs="宋体"/>
          <w:b/>
          <w:bCs/>
          <w:color w:val="auto"/>
          <w:sz w:val="32"/>
          <w:szCs w:val="32"/>
          <w:lang w:val="en-US" w:eastAsia="zh-CN"/>
        </w:rPr>
        <w:instrText xml:space="preserve"> PAGEREF _Toc18676 </w:instrText>
      </w:r>
      <w:r>
        <w:rPr>
          <w:rFonts w:hint="eastAsia" w:ascii="宋体" w:hAnsi="宋体" w:cs="宋体"/>
          <w:b/>
          <w:bCs/>
          <w:color w:val="auto"/>
          <w:sz w:val="32"/>
          <w:szCs w:val="32"/>
          <w:lang w:val="en-US" w:eastAsia="zh-CN"/>
        </w:rPr>
        <w:fldChar w:fldCharType="separate"/>
      </w:r>
      <w:r>
        <w:rPr>
          <w:rFonts w:hint="eastAsia" w:ascii="宋体" w:hAnsi="宋体" w:cs="宋体"/>
          <w:b/>
          <w:bCs/>
          <w:color w:val="auto"/>
          <w:sz w:val="32"/>
          <w:szCs w:val="32"/>
          <w:lang w:val="en-US" w:eastAsia="zh-CN"/>
        </w:rPr>
        <w:t>96</w:t>
      </w:r>
      <w:r>
        <w:rPr>
          <w:rFonts w:hint="eastAsia" w:ascii="宋体" w:hAnsi="宋体" w:cs="宋体"/>
          <w:b/>
          <w:bCs/>
          <w:color w:val="auto"/>
          <w:sz w:val="32"/>
          <w:szCs w:val="32"/>
          <w:lang w:val="en-US" w:eastAsia="zh-CN"/>
        </w:rPr>
        <w:fldChar w:fldCharType="end"/>
      </w:r>
      <w:r>
        <w:rPr>
          <w:rFonts w:hint="eastAsia" w:ascii="宋体" w:hAnsi="宋体" w:cs="宋体"/>
          <w:b/>
          <w:bCs/>
          <w:color w:val="auto"/>
          <w:sz w:val="32"/>
          <w:szCs w:val="32"/>
          <w:lang w:val="en-US" w:eastAsia="zh-CN"/>
        </w:rPr>
        <w:fldChar w:fldCharType="end"/>
      </w:r>
    </w:p>
    <w:p>
      <w:pPr>
        <w:pStyle w:val="25"/>
        <w:tabs>
          <w:tab w:val="right" w:leader="dot" w:pos="9643"/>
        </w:tabs>
        <w:spacing w:line="480" w:lineRule="auto"/>
        <w:rPr>
          <w:b/>
          <w:bCs/>
          <w:color w:val="auto"/>
          <w:sz w:val="32"/>
          <w:szCs w:val="32"/>
          <w:lang w:val="en-US" w:eastAsia="zh-CN"/>
        </w:rPr>
      </w:pPr>
      <w:r>
        <w:rPr>
          <w:color w:val="auto"/>
        </w:rPr>
        <w:fldChar w:fldCharType="begin"/>
      </w:r>
      <w:r>
        <w:rPr>
          <w:color w:val="auto"/>
        </w:rPr>
        <w:instrText xml:space="preserve"> HYPERLINK \l "_Toc13011" </w:instrText>
      </w:r>
      <w:r>
        <w:rPr>
          <w:color w:val="auto"/>
        </w:rPr>
        <w:fldChar w:fldCharType="separate"/>
      </w:r>
      <w:r>
        <w:rPr>
          <w:rFonts w:hint="eastAsia" w:ascii="宋体" w:hAnsi="宋体" w:cs="宋体"/>
          <w:b/>
          <w:bCs/>
          <w:color w:val="auto"/>
          <w:sz w:val="32"/>
          <w:szCs w:val="32"/>
          <w:lang w:val="en-US" w:eastAsia="zh-CN"/>
        </w:rPr>
        <w:t>第七章  质疑、投诉</w:t>
      </w:r>
      <w:bookmarkStart w:id="11" w:name="_Hlt137580637"/>
      <w:bookmarkStart w:id="12" w:name="_Hlt137580638"/>
      <w:r>
        <w:rPr>
          <w:rFonts w:hint="eastAsia" w:ascii="宋体" w:hAnsi="宋体" w:cs="宋体"/>
          <w:b/>
          <w:bCs/>
          <w:color w:val="auto"/>
          <w:sz w:val="32"/>
          <w:szCs w:val="32"/>
          <w:lang w:val="en-US" w:eastAsia="zh-CN"/>
        </w:rPr>
        <w:t>材</w:t>
      </w:r>
      <w:bookmarkEnd w:id="11"/>
      <w:bookmarkEnd w:id="12"/>
      <w:r>
        <w:rPr>
          <w:rFonts w:hint="eastAsia" w:ascii="宋体" w:hAnsi="宋体" w:cs="宋体"/>
          <w:b/>
          <w:bCs/>
          <w:color w:val="auto"/>
          <w:sz w:val="32"/>
          <w:szCs w:val="32"/>
          <w:lang w:val="en-US" w:eastAsia="zh-CN"/>
        </w:rPr>
        <w:t>料格式</w:t>
      </w:r>
      <w:r>
        <w:rPr>
          <w:rFonts w:hint="eastAsia" w:ascii="宋体" w:hAnsi="宋体" w:cs="宋体"/>
          <w:b/>
          <w:bCs/>
          <w:color w:val="auto"/>
          <w:sz w:val="32"/>
          <w:szCs w:val="32"/>
          <w:lang w:val="en-US" w:eastAsia="zh-CN"/>
        </w:rPr>
        <w:tab/>
      </w:r>
      <w:r>
        <w:rPr>
          <w:rFonts w:hint="eastAsia" w:ascii="宋体" w:hAnsi="宋体" w:cs="宋体"/>
          <w:b/>
          <w:bCs/>
          <w:color w:val="auto"/>
          <w:sz w:val="32"/>
          <w:szCs w:val="32"/>
          <w:lang w:val="en-US" w:eastAsia="zh-CN"/>
        </w:rPr>
        <w:fldChar w:fldCharType="begin"/>
      </w:r>
      <w:r>
        <w:rPr>
          <w:rFonts w:hint="eastAsia" w:ascii="宋体" w:hAnsi="宋体" w:cs="宋体"/>
          <w:b/>
          <w:bCs/>
          <w:color w:val="auto"/>
          <w:sz w:val="32"/>
          <w:szCs w:val="32"/>
          <w:lang w:val="en-US" w:eastAsia="zh-CN"/>
        </w:rPr>
        <w:instrText xml:space="preserve"> PAGEREF _Toc13011 </w:instrText>
      </w:r>
      <w:r>
        <w:rPr>
          <w:rFonts w:hint="eastAsia" w:ascii="宋体" w:hAnsi="宋体" w:cs="宋体"/>
          <w:b/>
          <w:bCs/>
          <w:color w:val="auto"/>
          <w:sz w:val="32"/>
          <w:szCs w:val="32"/>
          <w:lang w:val="en-US" w:eastAsia="zh-CN"/>
        </w:rPr>
        <w:fldChar w:fldCharType="separate"/>
      </w:r>
      <w:r>
        <w:rPr>
          <w:rFonts w:hint="eastAsia" w:ascii="宋体" w:hAnsi="宋体" w:cs="宋体"/>
          <w:b/>
          <w:bCs/>
          <w:color w:val="auto"/>
          <w:sz w:val="32"/>
          <w:szCs w:val="32"/>
          <w:lang w:val="en-US" w:eastAsia="zh-CN"/>
        </w:rPr>
        <w:t>101</w:t>
      </w:r>
      <w:r>
        <w:rPr>
          <w:rFonts w:hint="eastAsia" w:ascii="宋体" w:hAnsi="宋体" w:cs="宋体"/>
          <w:b/>
          <w:bCs/>
          <w:color w:val="auto"/>
          <w:sz w:val="32"/>
          <w:szCs w:val="32"/>
          <w:lang w:val="en-US" w:eastAsia="zh-CN"/>
        </w:rPr>
        <w:fldChar w:fldCharType="end"/>
      </w:r>
      <w:r>
        <w:rPr>
          <w:rFonts w:hint="eastAsia" w:ascii="宋体" w:hAnsi="宋体" w:cs="宋体"/>
          <w:b/>
          <w:bCs/>
          <w:color w:val="auto"/>
          <w:sz w:val="32"/>
          <w:szCs w:val="32"/>
          <w:lang w:val="en-US" w:eastAsia="zh-CN"/>
        </w:rPr>
        <w:fldChar w:fldCharType="end"/>
      </w:r>
    </w:p>
    <w:p>
      <w:pPr>
        <w:pStyle w:val="27"/>
        <w:spacing w:line="480" w:lineRule="auto"/>
        <w:rPr>
          <w:rFonts w:hint="eastAsia"/>
          <w:b/>
          <w:color w:val="auto"/>
          <w:sz w:val="32"/>
          <w:szCs w:val="32"/>
        </w:rPr>
      </w:pPr>
      <w:r>
        <w:rPr>
          <w:rFonts w:hint="eastAsia" w:ascii="宋体" w:hAnsi="宋体" w:cs="宋体"/>
          <w:b/>
          <w:bCs/>
          <w:color w:val="auto"/>
          <w:sz w:val="24"/>
        </w:rPr>
        <w:fldChar w:fldCharType="end"/>
      </w:r>
    </w:p>
    <w:p>
      <w:pPr>
        <w:spacing w:line="400" w:lineRule="exact"/>
        <w:rPr>
          <w:rFonts w:hint="eastAsia"/>
          <w:b/>
          <w:color w:val="auto"/>
          <w:sz w:val="32"/>
          <w:szCs w:val="32"/>
        </w:rPr>
        <w:sectPr>
          <w:headerReference r:id="rId7" w:type="first"/>
          <w:footerReference r:id="rId9" w:type="first"/>
          <w:headerReference r:id="rId6" w:type="default"/>
          <w:footerReference r:id="rId8" w:type="default"/>
          <w:pgSz w:w="11911" w:h="16838"/>
          <w:pgMar w:top="1134" w:right="1134" w:bottom="1134" w:left="1134" w:header="720" w:footer="720" w:gutter="0"/>
          <w:cols w:space="720" w:num="1"/>
          <w:docGrid w:linePitch="312" w:charSpace="0"/>
        </w:sectPr>
      </w:pPr>
    </w:p>
    <w:p>
      <w:pPr>
        <w:pStyle w:val="2"/>
        <w:spacing w:before="360" w:after="360" w:line="400" w:lineRule="exact"/>
        <w:jc w:val="center"/>
        <w:rPr>
          <w:rFonts w:hint="eastAsia" w:ascii="Calibri" w:hAnsi="Calibri"/>
          <w:color w:val="auto"/>
        </w:rPr>
      </w:pPr>
      <w:bookmarkStart w:id="13" w:name="_Toc27000"/>
      <w:bookmarkStart w:id="14" w:name="_Toc11382"/>
      <w:bookmarkStart w:id="15" w:name="_Toc12242"/>
      <w:bookmarkStart w:id="16" w:name="_Toc11989"/>
      <w:bookmarkStart w:id="17" w:name="_Toc32264"/>
      <w:bookmarkStart w:id="18" w:name="_Toc18838"/>
      <w:bookmarkStart w:id="19" w:name="_Toc15624"/>
      <w:bookmarkStart w:id="20" w:name="_Toc80886925"/>
      <w:r>
        <w:rPr>
          <w:rFonts w:hint="eastAsia" w:ascii="Calibri" w:hAnsi="Calibri"/>
          <w:color w:val="auto"/>
        </w:rPr>
        <w:t>第一章 竞争性磋商公告</w:t>
      </w:r>
      <w:bookmarkEnd w:id="13"/>
      <w:bookmarkEnd w:id="14"/>
      <w:bookmarkEnd w:id="15"/>
      <w:bookmarkEnd w:id="16"/>
      <w:bookmarkEnd w:id="17"/>
      <w:bookmarkEnd w:id="18"/>
      <w:bookmarkEnd w:id="19"/>
      <w:bookmarkEnd w:id="20"/>
      <w:bookmarkStart w:id="21" w:name="_Toc35393792"/>
      <w:bookmarkStart w:id="22" w:name="_Toc28359004"/>
      <w:bookmarkStart w:id="23" w:name="_Toc35393798"/>
      <w:bookmarkStart w:id="24" w:name="_Toc28359012"/>
      <w:bookmarkStart w:id="25" w:name="_Toc28359089"/>
      <w:bookmarkStart w:id="26" w:name="_Toc35393623"/>
      <w:bookmarkStart w:id="27" w:name="_Toc44229878"/>
      <w:bookmarkStart w:id="28" w:name="_Toc35393629"/>
      <w:bookmarkStart w:id="29" w:name="_Toc28359081"/>
    </w:p>
    <w:p>
      <w:pPr>
        <w:spacing w:line="360" w:lineRule="auto"/>
        <w:jc w:val="center"/>
        <w:rPr>
          <w:rFonts w:ascii="Times New Roman" w:hAnsi="Times New Roman" w:eastAsia="宋体" w:cs="Times New Roman"/>
          <w:b/>
          <w:color w:val="auto"/>
          <w:sz w:val="32"/>
          <w:szCs w:val="32"/>
        </w:rPr>
      </w:pPr>
    </w:p>
    <w:p>
      <w:pPr>
        <w:jc w:val="center"/>
        <w:rPr>
          <w:rFonts w:hint="eastAsia" w:ascii="宋体" w:hAnsi="宋体" w:eastAsia="宋体" w:cs="宋体"/>
          <w:b/>
          <w:color w:val="auto"/>
          <w:sz w:val="36"/>
          <w:szCs w:val="36"/>
        </w:rPr>
      </w:pPr>
      <w:r>
        <w:rPr>
          <w:rFonts w:hint="eastAsia" w:ascii="宋体" w:hAnsi="宋体" w:eastAsia="宋体" w:cs="宋体"/>
          <w:b/>
          <w:color w:val="auto"/>
          <w:sz w:val="36"/>
          <w:szCs w:val="36"/>
        </w:rPr>
        <w:t>广西科联招标中心有限公司关于</w:t>
      </w:r>
      <w:r>
        <w:rPr>
          <w:rFonts w:hint="eastAsia" w:ascii="宋体" w:hAnsi="宋体" w:cs="宋体"/>
          <w:b/>
          <w:color w:val="auto"/>
          <w:sz w:val="36"/>
          <w:szCs w:val="36"/>
          <w:lang w:eastAsia="zh-CN"/>
        </w:rPr>
        <w:t>统计信息工程维护</w:t>
      </w:r>
      <w:r>
        <w:rPr>
          <w:rFonts w:hint="eastAsia" w:ascii="宋体" w:hAnsi="宋体" w:eastAsia="宋体" w:cs="宋体"/>
          <w:b/>
          <w:color w:val="auto"/>
          <w:sz w:val="36"/>
          <w:szCs w:val="36"/>
        </w:rPr>
        <w:t>（</w:t>
      </w:r>
      <w:r>
        <w:rPr>
          <w:rFonts w:hint="eastAsia" w:ascii="宋体" w:hAnsi="宋体" w:cs="宋体"/>
          <w:b/>
          <w:color w:val="auto"/>
          <w:sz w:val="36"/>
          <w:szCs w:val="36"/>
          <w:lang w:eastAsia="zh-CN"/>
        </w:rPr>
        <w:t>GXZC2025-C3-001545-GXKL</w:t>
      </w:r>
      <w:r>
        <w:rPr>
          <w:rFonts w:hint="eastAsia" w:ascii="宋体" w:hAnsi="宋体" w:eastAsia="宋体" w:cs="宋体"/>
          <w:b/>
          <w:color w:val="auto"/>
          <w:sz w:val="36"/>
          <w:szCs w:val="36"/>
        </w:rPr>
        <w:t>）的竞争性磋商公告</w:t>
      </w:r>
    </w:p>
    <w:p>
      <w:pPr>
        <w:pStyle w:val="23"/>
        <w:rPr>
          <w:color w:val="auto"/>
        </w:rPr>
      </w:pPr>
    </w:p>
    <w:bookmarkEnd w:id="21"/>
    <w:bookmarkEnd w:id="22"/>
    <w:bookmarkEnd w:id="23"/>
    <w:bookmarkEnd w:id="24"/>
    <w:bookmarkEnd w:id="25"/>
    <w:bookmarkEnd w:id="26"/>
    <w:bookmarkEnd w:id="27"/>
    <w:bookmarkEnd w:id="28"/>
    <w:bookmarkEnd w:id="29"/>
    <w:tbl>
      <w:tblPr>
        <w:tblStyle w:val="32"/>
        <w:tblW w:w="98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9" w:type="dxa"/>
          </w:tcPr>
          <w:p>
            <w:pPr>
              <w:spacing w:line="360" w:lineRule="auto"/>
              <w:rPr>
                <w:rFonts w:hint="eastAsia"/>
                <w:color w:val="auto"/>
                <w:szCs w:val="21"/>
              </w:rPr>
            </w:pPr>
            <w:r>
              <w:rPr>
                <w:rFonts w:hint="eastAsia"/>
                <w:color w:val="auto"/>
                <w:szCs w:val="21"/>
              </w:rPr>
              <w:t>项目概况：</w:t>
            </w:r>
          </w:p>
          <w:p>
            <w:pPr>
              <w:spacing w:line="360" w:lineRule="auto"/>
              <w:ind w:firstLine="420" w:firstLineChars="200"/>
              <w:rPr>
                <w:rFonts w:hint="eastAsia" w:ascii="黑体" w:hAnsi="黑体" w:eastAsia="黑体" w:cs="宋体"/>
                <w:bCs/>
                <w:color w:val="auto"/>
                <w:sz w:val="24"/>
              </w:rPr>
            </w:pPr>
            <w:r>
              <w:rPr>
                <w:rFonts w:hint="eastAsia" w:ascii="宋体" w:hAnsi="宋体" w:cs="宋体"/>
                <w:color w:val="auto"/>
                <w:szCs w:val="21"/>
                <w:u w:val="single"/>
                <w:lang w:eastAsia="zh-CN"/>
              </w:rPr>
              <w:t>统计信息工程维护</w:t>
            </w:r>
            <w:r>
              <w:rPr>
                <w:rFonts w:hint="eastAsia" w:ascii="宋体" w:hAnsi="宋体" w:eastAsia="宋体" w:cs="宋体"/>
                <w:color w:val="auto"/>
                <w:szCs w:val="21"/>
              </w:rPr>
              <w:t>采购项目的潜在供应商应在</w:t>
            </w:r>
            <w:r>
              <w:rPr>
                <w:rFonts w:hint="eastAsia" w:ascii="宋体" w:hAnsi="宋体" w:cs="宋体"/>
                <w:color w:val="auto"/>
                <w:szCs w:val="21"/>
                <w:lang w:eastAsia="zh-CN"/>
              </w:rPr>
              <w:t>广西政府采购云平台（https://www.gcy.zfcg.gxzf.gov.cn/）</w:t>
            </w:r>
            <w:r>
              <w:rPr>
                <w:rFonts w:hint="eastAsia" w:ascii="宋体" w:hAnsi="宋体" w:eastAsia="宋体" w:cs="宋体"/>
                <w:color w:val="auto"/>
                <w:szCs w:val="21"/>
              </w:rPr>
              <w:t>获取采购文件，并于</w:t>
            </w:r>
            <w:r>
              <w:rPr>
                <w:rFonts w:hint="eastAsia" w:ascii="宋体" w:hAnsi="宋体" w:cs="宋体"/>
                <w:color w:val="auto"/>
                <w:szCs w:val="21"/>
                <w:lang w:eastAsia="zh-CN"/>
              </w:rPr>
              <w:t>2025年</w:t>
            </w:r>
            <w:r>
              <w:rPr>
                <w:rFonts w:hint="eastAsia" w:ascii="宋体" w:hAnsi="宋体" w:cs="宋体"/>
                <w:color w:val="auto"/>
                <w:szCs w:val="21"/>
                <w:lang w:val="en-US" w:eastAsia="zh-CN"/>
              </w:rPr>
              <w:t>6</w:t>
            </w:r>
            <w:r>
              <w:rPr>
                <w:rFonts w:hint="eastAsia" w:ascii="宋体" w:hAnsi="宋体" w:cs="宋体"/>
                <w:color w:val="auto"/>
                <w:szCs w:val="21"/>
                <w:lang w:eastAsia="zh-CN"/>
              </w:rPr>
              <w:t>月</w:t>
            </w:r>
            <w:r>
              <w:rPr>
                <w:rFonts w:hint="eastAsia" w:ascii="宋体" w:hAnsi="宋体" w:cs="宋体"/>
                <w:color w:val="auto"/>
                <w:szCs w:val="21"/>
                <w:lang w:val="en-US" w:eastAsia="zh-CN"/>
              </w:rPr>
              <w:t>24</w:t>
            </w:r>
            <w:r>
              <w:rPr>
                <w:rFonts w:hint="eastAsia" w:ascii="宋体" w:hAnsi="宋体" w:cs="宋体"/>
                <w:color w:val="auto"/>
                <w:szCs w:val="21"/>
                <w:lang w:eastAsia="zh-CN"/>
              </w:rPr>
              <w:t>日09:00:00</w:t>
            </w:r>
            <w:r>
              <w:rPr>
                <w:rFonts w:hint="eastAsia" w:ascii="宋体" w:hAnsi="宋体" w:eastAsia="宋体" w:cs="宋体"/>
                <w:color w:val="auto"/>
                <w:szCs w:val="21"/>
              </w:rPr>
              <w:t>（北京时间）前提交响应文件。</w:t>
            </w:r>
          </w:p>
        </w:tc>
      </w:tr>
    </w:tbl>
    <w:p>
      <w:pPr>
        <w:spacing w:line="390" w:lineRule="exact"/>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一、项目基本情况</w:t>
      </w:r>
    </w:p>
    <w:p>
      <w:pPr>
        <w:spacing w:line="360" w:lineRule="auto"/>
        <w:ind w:firstLine="422" w:firstLineChars="200"/>
        <w:rPr>
          <w:rFonts w:hint="eastAsia" w:ascii="宋体" w:hAnsi="宋体" w:eastAsia="宋体" w:cs="Times New Roman"/>
          <w:color w:val="auto"/>
          <w:szCs w:val="21"/>
          <w:lang w:eastAsia="zh-CN"/>
        </w:rPr>
      </w:pPr>
      <w:r>
        <w:rPr>
          <w:rFonts w:hint="eastAsia" w:ascii="宋体" w:hAnsi="宋体" w:eastAsia="宋体" w:cs="Times New Roman"/>
          <w:b/>
          <w:bCs/>
          <w:color w:val="auto"/>
          <w:szCs w:val="21"/>
        </w:rPr>
        <w:t>项目编号：</w:t>
      </w:r>
      <w:r>
        <w:rPr>
          <w:rFonts w:hint="eastAsia" w:ascii="宋体" w:hAnsi="宋体" w:cs="Times New Roman"/>
          <w:color w:val="auto"/>
          <w:szCs w:val="21"/>
          <w:lang w:eastAsia="zh-CN"/>
        </w:rPr>
        <w:t>GXZC2025-C3-001545-GXKL</w:t>
      </w:r>
    </w:p>
    <w:p>
      <w:pPr>
        <w:spacing w:line="360" w:lineRule="auto"/>
        <w:ind w:firstLine="422" w:firstLineChars="200"/>
        <w:rPr>
          <w:rFonts w:hint="eastAsia" w:ascii="宋体" w:hAnsi="宋体" w:eastAsia="宋体" w:cs="Times New Roman"/>
          <w:color w:val="auto"/>
          <w:szCs w:val="21"/>
          <w:lang w:eastAsia="zh-CN"/>
        </w:rPr>
      </w:pPr>
      <w:r>
        <w:rPr>
          <w:rFonts w:hint="eastAsia" w:ascii="宋体" w:hAnsi="宋体" w:eastAsia="宋体" w:cs="Times New Roman"/>
          <w:b/>
          <w:bCs/>
          <w:color w:val="auto"/>
          <w:szCs w:val="21"/>
        </w:rPr>
        <w:t>项目名称：</w:t>
      </w:r>
      <w:r>
        <w:rPr>
          <w:rFonts w:hint="eastAsia" w:ascii="宋体" w:hAnsi="宋体" w:cs="Times New Roman"/>
          <w:color w:val="auto"/>
          <w:szCs w:val="21"/>
          <w:lang w:eastAsia="zh-CN"/>
        </w:rPr>
        <w:t>统计信息工程维护</w:t>
      </w:r>
    </w:p>
    <w:p>
      <w:pPr>
        <w:spacing w:line="360" w:lineRule="auto"/>
        <w:ind w:firstLine="422" w:firstLineChars="200"/>
        <w:rPr>
          <w:rFonts w:hint="eastAsia" w:ascii="宋体" w:hAnsi="宋体" w:eastAsia="宋体" w:cs="Times New Roman"/>
          <w:color w:val="auto"/>
          <w:szCs w:val="21"/>
        </w:rPr>
      </w:pPr>
      <w:r>
        <w:rPr>
          <w:rFonts w:hint="eastAsia" w:ascii="宋体" w:hAnsi="宋体" w:eastAsia="宋体" w:cs="Times New Roman"/>
          <w:b/>
          <w:bCs/>
          <w:color w:val="auto"/>
          <w:szCs w:val="21"/>
        </w:rPr>
        <w:t>采购方式：</w:t>
      </w:r>
      <w:r>
        <w:rPr>
          <w:rFonts w:hint="eastAsia" w:ascii="宋体" w:hAnsi="宋体" w:eastAsia="宋体" w:cs="Times New Roman"/>
          <w:color w:val="auto"/>
          <w:szCs w:val="21"/>
        </w:rPr>
        <w:t>竞争性磋商</w:t>
      </w:r>
    </w:p>
    <w:p>
      <w:pPr>
        <w:spacing w:line="360" w:lineRule="auto"/>
        <w:ind w:firstLine="422" w:firstLineChars="200"/>
        <w:rPr>
          <w:rFonts w:hint="eastAsia" w:ascii="宋体" w:hAnsi="宋体" w:eastAsia="宋体" w:cs="Times New Roman"/>
          <w:color w:val="auto"/>
          <w:szCs w:val="21"/>
        </w:rPr>
      </w:pPr>
      <w:r>
        <w:rPr>
          <w:rFonts w:hint="eastAsia" w:ascii="宋体" w:hAnsi="宋体" w:eastAsia="宋体" w:cs="Times New Roman"/>
          <w:b/>
          <w:bCs/>
          <w:color w:val="auto"/>
          <w:szCs w:val="21"/>
        </w:rPr>
        <w:t>预算金额（元）</w:t>
      </w:r>
      <w:r>
        <w:rPr>
          <w:rFonts w:hint="eastAsia" w:ascii="宋体" w:hAnsi="宋体" w:eastAsia="宋体" w:cs="Times New Roman"/>
          <w:color w:val="auto"/>
          <w:szCs w:val="21"/>
        </w:rPr>
        <w:t>：</w:t>
      </w:r>
      <w:r>
        <w:rPr>
          <w:rFonts w:hint="eastAsia" w:ascii="宋体" w:hAnsi="宋体" w:cs="Times New Roman"/>
          <w:color w:val="auto"/>
          <w:szCs w:val="21"/>
          <w:lang w:val="en-US" w:eastAsia="zh-CN"/>
        </w:rPr>
        <w:t>2246000</w:t>
      </w:r>
      <w:r>
        <w:rPr>
          <w:rFonts w:hint="eastAsia" w:ascii="宋体" w:hAnsi="宋体" w:eastAsia="宋体" w:cs="Times New Roman"/>
          <w:color w:val="auto"/>
          <w:szCs w:val="21"/>
        </w:rPr>
        <w:t>.00</w:t>
      </w:r>
    </w:p>
    <w:p>
      <w:pPr>
        <w:spacing w:line="360" w:lineRule="auto"/>
        <w:ind w:firstLine="422" w:firstLineChars="200"/>
        <w:rPr>
          <w:rFonts w:hint="eastAsia" w:ascii="宋体" w:hAnsi="宋体" w:eastAsia="宋体" w:cs="Times New Roman"/>
          <w:b/>
          <w:bCs/>
          <w:color w:val="auto"/>
          <w:szCs w:val="21"/>
        </w:rPr>
      </w:pPr>
      <w:r>
        <w:rPr>
          <w:rFonts w:hint="eastAsia" w:ascii="宋体" w:hAnsi="宋体" w:eastAsia="宋体" w:cs="Times New Roman"/>
          <w:b/>
          <w:bCs/>
          <w:color w:val="auto"/>
          <w:szCs w:val="21"/>
        </w:rPr>
        <w:t>采购需求：</w:t>
      </w:r>
    </w:p>
    <w:p>
      <w:pPr>
        <w:spacing w:line="360" w:lineRule="auto"/>
        <w:ind w:firstLine="422" w:firstLineChars="200"/>
        <w:rPr>
          <w:rFonts w:hint="eastAsia" w:ascii="宋体" w:hAnsi="宋体" w:eastAsia="宋体" w:cs="Times New Roman"/>
          <w:color w:val="auto"/>
          <w:szCs w:val="21"/>
        </w:rPr>
      </w:pPr>
      <w:r>
        <w:rPr>
          <w:rFonts w:hint="eastAsia" w:ascii="宋体" w:hAnsi="宋体" w:eastAsia="宋体" w:cs="宋体"/>
          <w:b/>
          <w:bCs/>
          <w:color w:val="auto"/>
          <w:szCs w:val="21"/>
          <w:highlight w:val="none"/>
          <w:lang w:val="en-US" w:eastAsia="zh-CN"/>
        </w:rPr>
        <w:t>标项（分标）1</w:t>
      </w:r>
    </w:p>
    <w:p>
      <w:pPr>
        <w:spacing w:line="360" w:lineRule="auto"/>
        <w:ind w:firstLine="420" w:firstLineChars="200"/>
        <w:rPr>
          <w:rFonts w:hint="default" w:ascii="宋体" w:hAnsi="宋体" w:eastAsia="宋体" w:cs="Times New Roman"/>
          <w:color w:val="auto"/>
          <w:szCs w:val="21"/>
          <w:lang w:val="en-US" w:eastAsia="zh-CN"/>
        </w:rPr>
      </w:pPr>
      <w:r>
        <w:rPr>
          <w:rFonts w:hint="eastAsia" w:ascii="宋体" w:hAnsi="宋体" w:eastAsia="宋体" w:cs="Times New Roman"/>
          <w:color w:val="auto"/>
          <w:szCs w:val="21"/>
        </w:rPr>
        <w:t>标项名称:</w:t>
      </w:r>
      <w:r>
        <w:rPr>
          <w:rFonts w:hint="eastAsia" w:ascii="宋体" w:hAnsi="宋体" w:cs="Times New Roman"/>
          <w:color w:val="auto"/>
          <w:szCs w:val="21"/>
          <w:lang w:val="en-US" w:eastAsia="zh-CN"/>
        </w:rPr>
        <w:t>统计信息化基础设施运维服务</w:t>
      </w:r>
    </w:p>
    <w:p>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数量:1</w:t>
      </w:r>
    </w:p>
    <w:p>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预算金额（元）:</w:t>
      </w:r>
      <w:r>
        <w:rPr>
          <w:rFonts w:hint="eastAsia" w:ascii="宋体" w:hAnsi="宋体" w:cs="Times New Roman"/>
          <w:color w:val="auto"/>
          <w:szCs w:val="21"/>
          <w:lang w:val="en-US" w:eastAsia="zh-CN"/>
        </w:rPr>
        <w:t>530000</w:t>
      </w:r>
      <w:r>
        <w:rPr>
          <w:rFonts w:hint="eastAsia" w:ascii="宋体" w:hAnsi="宋体" w:eastAsia="宋体" w:cs="Times New Roman"/>
          <w:color w:val="auto"/>
          <w:szCs w:val="21"/>
        </w:rPr>
        <w:t>.00</w:t>
      </w:r>
    </w:p>
    <w:p>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简要规格描述或项目基本概况介绍、用途：</w:t>
      </w:r>
      <w:r>
        <w:rPr>
          <w:rFonts w:hint="eastAsia" w:ascii="宋体" w:hAnsi="宋体" w:cs="Times New Roman"/>
          <w:color w:val="auto"/>
          <w:szCs w:val="21"/>
          <w:lang w:val="en-US" w:eastAsia="zh-CN"/>
        </w:rPr>
        <w:t>统计信息化基础设施运维服务1项</w:t>
      </w:r>
      <w:r>
        <w:rPr>
          <w:rFonts w:hint="eastAsia" w:ascii="宋体" w:hAnsi="宋体" w:eastAsia="宋体" w:cs="Times New Roman"/>
          <w:color w:val="auto"/>
          <w:szCs w:val="21"/>
        </w:rPr>
        <w:t>，详见</w:t>
      </w:r>
      <w:r>
        <w:rPr>
          <w:rFonts w:hint="eastAsia" w:ascii="宋体" w:hAnsi="宋体" w:cs="Times New Roman"/>
          <w:color w:val="auto"/>
          <w:szCs w:val="21"/>
          <w:lang w:val="en-US" w:eastAsia="zh-CN"/>
        </w:rPr>
        <w:t>本</w:t>
      </w:r>
      <w:r>
        <w:rPr>
          <w:rFonts w:hint="eastAsia" w:cs="Times New Roman"/>
          <w:color w:val="auto"/>
          <w:lang w:eastAsia="zh-CN"/>
        </w:rPr>
        <w:t>竞争性磋商公告</w:t>
      </w:r>
      <w:r>
        <w:rPr>
          <w:rFonts w:hint="eastAsia" w:ascii="宋体" w:hAnsi="宋体" w:eastAsia="宋体" w:cs="Times New Roman"/>
          <w:color w:val="auto"/>
          <w:szCs w:val="21"/>
        </w:rPr>
        <w:t>附件。</w:t>
      </w:r>
    </w:p>
    <w:p>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最高限价（如有）：/</w:t>
      </w:r>
    </w:p>
    <w:p>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合同履约期限：</w:t>
      </w:r>
      <w:r>
        <w:rPr>
          <w:rFonts w:hint="eastAsia" w:ascii="宋体" w:hAnsi="宋体" w:cs="宋体"/>
          <w:color w:val="auto"/>
          <w:szCs w:val="21"/>
          <w:lang w:val="en-US" w:eastAsia="zh-CN"/>
        </w:rPr>
        <w:t>自签订合同之日起1年。</w:t>
      </w:r>
    </w:p>
    <w:p>
      <w:pPr>
        <w:spacing w:line="360" w:lineRule="auto"/>
        <w:ind w:firstLine="420" w:firstLineChars="200"/>
        <w:rPr>
          <w:rFonts w:hint="eastAsia" w:ascii="宋体" w:hAnsi="宋体" w:eastAsia="宋体"/>
          <w:color w:val="auto"/>
          <w:szCs w:val="21"/>
          <w:lang w:eastAsia="zh-CN"/>
        </w:rPr>
      </w:pPr>
      <w:r>
        <w:rPr>
          <w:rFonts w:hint="eastAsia" w:ascii="宋体" w:hAnsi="宋体"/>
          <w:color w:val="auto"/>
          <w:szCs w:val="21"/>
        </w:rPr>
        <w:t>本标项</w:t>
      </w:r>
      <w:r>
        <w:rPr>
          <w:rFonts w:hint="eastAsia" w:ascii="宋体" w:hAnsi="宋体"/>
          <w:color w:val="auto"/>
          <w:szCs w:val="21"/>
          <w:lang w:eastAsia="zh-CN"/>
        </w:rPr>
        <w:t>（</w:t>
      </w:r>
      <w:r>
        <w:rPr>
          <w:rFonts w:hint="eastAsia" w:ascii="宋体" w:hAnsi="宋体"/>
          <w:color w:val="auto"/>
          <w:szCs w:val="21"/>
          <w:lang w:val="en-US" w:eastAsia="zh-CN"/>
        </w:rPr>
        <w:t>否</w:t>
      </w:r>
      <w:r>
        <w:rPr>
          <w:rFonts w:hint="eastAsia" w:ascii="宋体" w:hAnsi="宋体"/>
          <w:color w:val="auto"/>
          <w:szCs w:val="21"/>
          <w:lang w:eastAsia="zh-CN"/>
        </w:rPr>
        <w:t>）</w:t>
      </w:r>
      <w:r>
        <w:rPr>
          <w:rFonts w:hint="eastAsia" w:ascii="宋体" w:hAnsi="宋体"/>
          <w:color w:val="auto"/>
          <w:szCs w:val="21"/>
        </w:rPr>
        <w:t>接受联合体竞标</w:t>
      </w:r>
      <w:r>
        <w:rPr>
          <w:rFonts w:hint="eastAsia" w:ascii="宋体" w:hAnsi="宋体"/>
          <w:color w:val="auto"/>
          <w:szCs w:val="21"/>
          <w:lang w:eastAsia="zh-CN"/>
        </w:rPr>
        <w:t>。</w:t>
      </w:r>
    </w:p>
    <w:p>
      <w:pPr>
        <w:spacing w:line="360" w:lineRule="auto"/>
        <w:ind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rPr>
        <w:t>备注：无</w:t>
      </w:r>
    </w:p>
    <w:p>
      <w:pPr>
        <w:spacing w:line="360" w:lineRule="auto"/>
        <w:ind w:firstLine="422" w:firstLineChars="200"/>
        <w:rPr>
          <w:rFonts w:hint="eastAsia" w:ascii="宋体" w:hAnsi="宋体" w:eastAsia="宋体" w:cs="宋体"/>
          <w:b/>
          <w:bCs/>
          <w:color w:val="auto"/>
          <w:szCs w:val="21"/>
          <w:highlight w:val="none"/>
          <w:lang w:val="en-US" w:eastAsia="zh-CN"/>
        </w:rPr>
      </w:pPr>
    </w:p>
    <w:p>
      <w:pPr>
        <w:spacing w:line="360" w:lineRule="auto"/>
        <w:ind w:firstLine="422" w:firstLineChars="200"/>
        <w:rPr>
          <w:rFonts w:hint="eastAsia" w:ascii="宋体" w:hAnsi="宋体" w:eastAsia="宋体" w:cs="Times New Roman"/>
          <w:color w:val="auto"/>
          <w:szCs w:val="21"/>
        </w:rPr>
      </w:pPr>
      <w:r>
        <w:rPr>
          <w:rFonts w:hint="eastAsia" w:ascii="宋体" w:hAnsi="宋体" w:eastAsia="宋体" w:cs="宋体"/>
          <w:b/>
          <w:bCs/>
          <w:color w:val="auto"/>
          <w:szCs w:val="21"/>
          <w:highlight w:val="none"/>
          <w:lang w:val="en-US" w:eastAsia="zh-CN"/>
        </w:rPr>
        <w:t>标项（分标）2</w:t>
      </w:r>
    </w:p>
    <w:p>
      <w:pPr>
        <w:spacing w:line="360" w:lineRule="auto"/>
        <w:ind w:firstLine="420" w:firstLineChars="200"/>
        <w:rPr>
          <w:rFonts w:hint="default" w:ascii="宋体" w:hAnsi="宋体" w:eastAsia="宋体" w:cs="Times New Roman"/>
          <w:color w:val="auto"/>
          <w:szCs w:val="21"/>
          <w:lang w:val="en-US" w:eastAsia="zh-CN"/>
        </w:rPr>
      </w:pPr>
      <w:r>
        <w:rPr>
          <w:rFonts w:hint="eastAsia" w:ascii="宋体" w:hAnsi="宋体" w:eastAsia="宋体" w:cs="Times New Roman"/>
          <w:color w:val="auto"/>
          <w:szCs w:val="21"/>
        </w:rPr>
        <w:t>标项名称:</w:t>
      </w:r>
      <w:r>
        <w:rPr>
          <w:rFonts w:hint="eastAsia" w:ascii="宋体" w:hAnsi="宋体" w:eastAsia="宋体" w:cs="Times New Roman"/>
          <w:color w:val="auto"/>
          <w:szCs w:val="21"/>
          <w:lang w:val="en-US" w:eastAsia="zh-CN"/>
        </w:rPr>
        <w:t>数据中心机房网络安全软件和硬件设备续保及应急演练服务</w:t>
      </w:r>
    </w:p>
    <w:p>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数量:1</w:t>
      </w:r>
    </w:p>
    <w:p>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预算金额（元）:</w:t>
      </w:r>
      <w:bookmarkStart w:id="30" w:name="OLE_LINK28"/>
      <w:r>
        <w:rPr>
          <w:rFonts w:hint="eastAsia" w:ascii="宋体" w:hAnsi="宋体" w:eastAsia="宋体" w:cs="Times New Roman"/>
          <w:color w:val="auto"/>
          <w:szCs w:val="21"/>
          <w:lang w:val="en-US" w:eastAsia="zh-CN"/>
        </w:rPr>
        <w:t>5130</w:t>
      </w:r>
      <w:bookmarkEnd w:id="30"/>
      <w:r>
        <w:rPr>
          <w:rFonts w:hint="eastAsia" w:ascii="宋体" w:hAnsi="宋体" w:eastAsia="宋体" w:cs="Times New Roman"/>
          <w:color w:val="auto"/>
          <w:szCs w:val="21"/>
          <w:lang w:val="en-US" w:eastAsia="zh-CN"/>
        </w:rPr>
        <w:t>00</w:t>
      </w:r>
      <w:r>
        <w:rPr>
          <w:rFonts w:hint="eastAsia" w:ascii="宋体" w:hAnsi="宋体" w:eastAsia="宋体" w:cs="Times New Roman"/>
          <w:color w:val="auto"/>
          <w:szCs w:val="21"/>
        </w:rPr>
        <w:t>.00</w:t>
      </w:r>
    </w:p>
    <w:p>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简要规格描述或项目基本概况介绍、用途：</w:t>
      </w:r>
      <w:r>
        <w:rPr>
          <w:rFonts w:hint="eastAsia" w:ascii="宋体" w:hAnsi="宋体" w:eastAsia="宋体" w:cs="Times New Roman"/>
          <w:color w:val="auto"/>
          <w:szCs w:val="21"/>
          <w:lang w:val="en-US" w:eastAsia="zh-CN"/>
        </w:rPr>
        <w:t>数据中心机房网络安全软件和硬件设备续保及应急演练服务1项</w:t>
      </w:r>
      <w:r>
        <w:rPr>
          <w:rFonts w:hint="eastAsia" w:ascii="宋体" w:hAnsi="宋体" w:eastAsia="宋体" w:cs="Times New Roman"/>
          <w:color w:val="auto"/>
          <w:szCs w:val="21"/>
        </w:rPr>
        <w:t>，详见</w:t>
      </w:r>
      <w:r>
        <w:rPr>
          <w:rFonts w:hint="eastAsia" w:ascii="宋体" w:hAnsi="宋体" w:eastAsia="宋体" w:cs="Times New Roman"/>
          <w:color w:val="auto"/>
          <w:szCs w:val="21"/>
          <w:lang w:val="en-US" w:eastAsia="zh-CN"/>
        </w:rPr>
        <w:t>本</w:t>
      </w:r>
      <w:r>
        <w:rPr>
          <w:rFonts w:hint="eastAsia" w:eastAsia="宋体" w:cs="Times New Roman"/>
          <w:color w:val="auto"/>
          <w:lang w:eastAsia="zh-CN"/>
        </w:rPr>
        <w:t>竞争性磋商公告</w:t>
      </w:r>
      <w:r>
        <w:rPr>
          <w:rFonts w:hint="eastAsia" w:ascii="宋体" w:hAnsi="宋体" w:eastAsia="宋体" w:cs="Times New Roman"/>
          <w:color w:val="auto"/>
          <w:szCs w:val="21"/>
        </w:rPr>
        <w:t>附件。</w:t>
      </w:r>
    </w:p>
    <w:p>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最高限价（如有）：/</w:t>
      </w:r>
    </w:p>
    <w:p>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合同履约期限：</w:t>
      </w:r>
      <w:r>
        <w:rPr>
          <w:rFonts w:hint="eastAsia" w:ascii="宋体" w:hAnsi="宋体" w:cs="宋体"/>
          <w:color w:val="auto"/>
          <w:szCs w:val="21"/>
          <w:lang w:val="en-US" w:eastAsia="zh-CN"/>
        </w:rPr>
        <w:t>自签订合同之日起1年</w:t>
      </w:r>
      <w:r>
        <w:rPr>
          <w:rFonts w:hint="eastAsia" w:ascii="宋体" w:hAnsi="宋体" w:eastAsia="宋体" w:cs="宋体"/>
          <w:color w:val="auto"/>
          <w:szCs w:val="21"/>
          <w:lang w:val="en-US" w:eastAsia="zh-CN"/>
        </w:rPr>
        <w:t>。</w:t>
      </w:r>
    </w:p>
    <w:p>
      <w:pPr>
        <w:spacing w:line="360" w:lineRule="auto"/>
        <w:ind w:firstLine="420" w:firstLineChars="200"/>
        <w:rPr>
          <w:rFonts w:hint="eastAsia" w:ascii="宋体" w:hAnsi="宋体" w:eastAsia="宋体"/>
          <w:color w:val="auto"/>
          <w:szCs w:val="21"/>
          <w:lang w:eastAsia="zh-CN"/>
        </w:rPr>
      </w:pPr>
      <w:r>
        <w:rPr>
          <w:rFonts w:hint="eastAsia" w:ascii="宋体" w:hAnsi="宋体" w:eastAsia="宋体"/>
          <w:color w:val="auto"/>
          <w:szCs w:val="21"/>
        </w:rPr>
        <w:t>本标项</w:t>
      </w:r>
      <w:r>
        <w:rPr>
          <w:rFonts w:hint="eastAsia" w:ascii="宋体" w:hAnsi="宋体" w:eastAsia="宋体"/>
          <w:color w:val="auto"/>
          <w:szCs w:val="21"/>
          <w:lang w:eastAsia="zh-CN"/>
        </w:rPr>
        <w:t>（</w:t>
      </w:r>
      <w:r>
        <w:rPr>
          <w:rFonts w:hint="eastAsia" w:ascii="宋体" w:hAnsi="宋体" w:eastAsia="宋体"/>
          <w:color w:val="auto"/>
          <w:szCs w:val="21"/>
          <w:lang w:val="en-US" w:eastAsia="zh-CN"/>
        </w:rPr>
        <w:t>否</w:t>
      </w:r>
      <w:r>
        <w:rPr>
          <w:rFonts w:hint="eastAsia" w:ascii="宋体" w:hAnsi="宋体" w:eastAsia="宋体"/>
          <w:color w:val="auto"/>
          <w:szCs w:val="21"/>
          <w:lang w:eastAsia="zh-CN"/>
        </w:rPr>
        <w:t>）</w:t>
      </w:r>
      <w:r>
        <w:rPr>
          <w:rFonts w:hint="eastAsia" w:ascii="宋体" w:hAnsi="宋体" w:eastAsia="宋体"/>
          <w:color w:val="auto"/>
          <w:szCs w:val="21"/>
        </w:rPr>
        <w:t>接受联合体竞标</w:t>
      </w:r>
      <w:r>
        <w:rPr>
          <w:rFonts w:hint="eastAsia" w:ascii="宋体" w:hAnsi="宋体" w:eastAsia="宋体"/>
          <w:color w:val="auto"/>
          <w:szCs w:val="21"/>
          <w:lang w:eastAsia="zh-CN"/>
        </w:rPr>
        <w:t>。</w:t>
      </w:r>
    </w:p>
    <w:p>
      <w:pPr>
        <w:spacing w:line="360" w:lineRule="auto"/>
        <w:ind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rPr>
        <w:t>备注：无</w:t>
      </w:r>
    </w:p>
    <w:p>
      <w:pPr>
        <w:spacing w:line="360" w:lineRule="auto"/>
        <w:ind w:firstLine="422" w:firstLineChars="200"/>
        <w:rPr>
          <w:rFonts w:hint="eastAsia" w:ascii="宋体" w:hAnsi="宋体" w:eastAsia="宋体" w:cs="宋体"/>
          <w:b/>
          <w:bCs/>
          <w:color w:val="auto"/>
          <w:szCs w:val="21"/>
          <w:highlight w:val="none"/>
          <w:lang w:val="en-US" w:eastAsia="zh-CN"/>
        </w:rPr>
      </w:pPr>
    </w:p>
    <w:p>
      <w:pPr>
        <w:spacing w:line="360" w:lineRule="auto"/>
        <w:ind w:firstLine="422" w:firstLineChars="200"/>
        <w:rPr>
          <w:rFonts w:hint="eastAsia" w:ascii="宋体" w:hAnsi="宋体" w:eastAsia="宋体" w:cs="Times New Roman"/>
          <w:color w:val="auto"/>
          <w:szCs w:val="21"/>
        </w:rPr>
      </w:pPr>
      <w:r>
        <w:rPr>
          <w:rFonts w:hint="eastAsia" w:ascii="宋体" w:hAnsi="宋体" w:eastAsia="宋体" w:cs="宋体"/>
          <w:b/>
          <w:bCs/>
          <w:color w:val="auto"/>
          <w:szCs w:val="21"/>
          <w:highlight w:val="none"/>
          <w:lang w:val="en-US" w:eastAsia="zh-CN"/>
        </w:rPr>
        <w:t>标项（分标）3</w:t>
      </w:r>
    </w:p>
    <w:p>
      <w:pPr>
        <w:spacing w:line="360" w:lineRule="auto"/>
        <w:ind w:firstLine="420" w:firstLineChars="200"/>
        <w:rPr>
          <w:rFonts w:hint="default" w:ascii="宋体" w:hAnsi="宋体" w:eastAsia="宋体" w:cs="Times New Roman"/>
          <w:color w:val="auto"/>
          <w:szCs w:val="21"/>
          <w:lang w:val="en-US" w:eastAsia="zh-CN"/>
        </w:rPr>
      </w:pPr>
      <w:r>
        <w:rPr>
          <w:rFonts w:hint="eastAsia" w:ascii="宋体" w:hAnsi="宋体" w:eastAsia="宋体" w:cs="Times New Roman"/>
          <w:color w:val="auto"/>
          <w:szCs w:val="21"/>
        </w:rPr>
        <w:t>标项名称:</w:t>
      </w:r>
      <w:r>
        <w:rPr>
          <w:rFonts w:hint="eastAsia" w:ascii="宋体" w:hAnsi="宋体" w:eastAsia="宋体" w:cs="Times New Roman"/>
          <w:color w:val="auto"/>
          <w:szCs w:val="21"/>
          <w:lang w:val="en-US" w:eastAsia="zh-CN"/>
        </w:rPr>
        <w:t>网络安全运维及“重保”服务</w:t>
      </w:r>
    </w:p>
    <w:p>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数量:1</w:t>
      </w:r>
    </w:p>
    <w:p>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预算金额（元）:</w:t>
      </w:r>
      <w:r>
        <w:rPr>
          <w:rFonts w:hint="eastAsia" w:ascii="宋体" w:hAnsi="宋体" w:eastAsia="宋体" w:cs="Times New Roman"/>
          <w:color w:val="auto"/>
          <w:szCs w:val="21"/>
          <w:lang w:val="en-US" w:eastAsia="zh-CN"/>
        </w:rPr>
        <w:t>663000</w:t>
      </w:r>
      <w:r>
        <w:rPr>
          <w:rFonts w:hint="eastAsia" w:ascii="宋体" w:hAnsi="宋体" w:eastAsia="宋体" w:cs="Times New Roman"/>
          <w:color w:val="auto"/>
          <w:szCs w:val="21"/>
        </w:rPr>
        <w:t>.00</w:t>
      </w:r>
    </w:p>
    <w:p>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简要规格描述或项目基本概况介绍、用途：</w:t>
      </w:r>
      <w:r>
        <w:rPr>
          <w:rFonts w:hint="eastAsia" w:ascii="宋体" w:hAnsi="宋体" w:eastAsia="宋体" w:cs="Times New Roman"/>
          <w:color w:val="auto"/>
          <w:szCs w:val="21"/>
          <w:lang w:val="en-US" w:eastAsia="zh-CN"/>
        </w:rPr>
        <w:t>网络安全运维及“重保”服务1项</w:t>
      </w:r>
      <w:r>
        <w:rPr>
          <w:rFonts w:hint="eastAsia" w:ascii="宋体" w:hAnsi="宋体" w:eastAsia="宋体" w:cs="Times New Roman"/>
          <w:color w:val="auto"/>
          <w:szCs w:val="21"/>
        </w:rPr>
        <w:t>，详见</w:t>
      </w:r>
      <w:r>
        <w:rPr>
          <w:rFonts w:hint="eastAsia" w:ascii="宋体" w:hAnsi="宋体" w:eastAsia="宋体" w:cs="Times New Roman"/>
          <w:color w:val="auto"/>
          <w:szCs w:val="21"/>
          <w:lang w:val="en-US" w:eastAsia="zh-CN"/>
        </w:rPr>
        <w:t>本</w:t>
      </w:r>
      <w:r>
        <w:rPr>
          <w:rFonts w:hint="eastAsia" w:eastAsia="宋体" w:cs="Times New Roman"/>
          <w:color w:val="auto"/>
          <w:lang w:eastAsia="zh-CN"/>
        </w:rPr>
        <w:t>竞争性磋商公告</w:t>
      </w:r>
      <w:r>
        <w:rPr>
          <w:rFonts w:hint="eastAsia" w:ascii="宋体" w:hAnsi="宋体" w:eastAsia="宋体" w:cs="Times New Roman"/>
          <w:color w:val="auto"/>
          <w:szCs w:val="21"/>
        </w:rPr>
        <w:t>附件。</w:t>
      </w:r>
    </w:p>
    <w:p>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最高限价（如有）：/</w:t>
      </w:r>
    </w:p>
    <w:p>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合同履约期限：</w:t>
      </w:r>
      <w:r>
        <w:rPr>
          <w:rFonts w:hint="eastAsia" w:ascii="宋体" w:hAnsi="宋体" w:eastAsia="宋体" w:cs="宋体"/>
          <w:color w:val="auto"/>
          <w:szCs w:val="21"/>
          <w:lang w:val="en-US" w:eastAsia="zh-CN"/>
        </w:rPr>
        <w:t>自签订合同之日起1年。</w:t>
      </w:r>
    </w:p>
    <w:p>
      <w:pPr>
        <w:spacing w:line="360" w:lineRule="auto"/>
        <w:ind w:firstLine="420" w:firstLineChars="200"/>
        <w:rPr>
          <w:rFonts w:hint="eastAsia" w:ascii="宋体" w:hAnsi="宋体" w:eastAsia="宋体"/>
          <w:color w:val="auto"/>
          <w:szCs w:val="21"/>
          <w:lang w:eastAsia="zh-CN"/>
        </w:rPr>
      </w:pPr>
      <w:r>
        <w:rPr>
          <w:rFonts w:hint="eastAsia" w:ascii="宋体" w:hAnsi="宋体" w:eastAsia="宋体"/>
          <w:color w:val="auto"/>
          <w:szCs w:val="21"/>
        </w:rPr>
        <w:t>本标项</w:t>
      </w:r>
      <w:r>
        <w:rPr>
          <w:rFonts w:hint="eastAsia" w:ascii="宋体" w:hAnsi="宋体" w:eastAsia="宋体"/>
          <w:color w:val="auto"/>
          <w:szCs w:val="21"/>
          <w:lang w:eastAsia="zh-CN"/>
        </w:rPr>
        <w:t>（</w:t>
      </w:r>
      <w:r>
        <w:rPr>
          <w:rFonts w:hint="eastAsia" w:ascii="宋体" w:hAnsi="宋体" w:eastAsia="宋体"/>
          <w:color w:val="auto"/>
          <w:szCs w:val="21"/>
          <w:lang w:val="en-US" w:eastAsia="zh-CN"/>
        </w:rPr>
        <w:t>否</w:t>
      </w:r>
      <w:r>
        <w:rPr>
          <w:rFonts w:hint="eastAsia" w:ascii="宋体" w:hAnsi="宋体" w:eastAsia="宋体"/>
          <w:color w:val="auto"/>
          <w:szCs w:val="21"/>
          <w:lang w:eastAsia="zh-CN"/>
        </w:rPr>
        <w:t>）</w:t>
      </w:r>
      <w:r>
        <w:rPr>
          <w:rFonts w:hint="eastAsia" w:ascii="宋体" w:hAnsi="宋体" w:eastAsia="宋体"/>
          <w:color w:val="auto"/>
          <w:szCs w:val="21"/>
        </w:rPr>
        <w:t>接受联合体竞标</w:t>
      </w:r>
      <w:r>
        <w:rPr>
          <w:rFonts w:hint="eastAsia" w:ascii="宋体" w:hAnsi="宋体" w:eastAsia="宋体"/>
          <w:color w:val="auto"/>
          <w:szCs w:val="21"/>
          <w:lang w:eastAsia="zh-CN"/>
        </w:rPr>
        <w:t>。</w:t>
      </w:r>
    </w:p>
    <w:p>
      <w:pPr>
        <w:spacing w:line="360" w:lineRule="auto"/>
        <w:ind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rPr>
        <w:t>备注：无</w:t>
      </w:r>
    </w:p>
    <w:p>
      <w:pPr>
        <w:spacing w:line="360" w:lineRule="auto"/>
        <w:ind w:firstLine="422" w:firstLineChars="200"/>
        <w:rPr>
          <w:rFonts w:hint="eastAsia" w:ascii="宋体" w:hAnsi="宋体" w:eastAsia="宋体" w:cs="宋体"/>
          <w:b/>
          <w:bCs/>
          <w:color w:val="auto"/>
          <w:szCs w:val="21"/>
          <w:highlight w:val="none"/>
          <w:lang w:val="en-US" w:eastAsia="zh-CN"/>
        </w:rPr>
      </w:pPr>
    </w:p>
    <w:p>
      <w:pPr>
        <w:spacing w:line="360" w:lineRule="auto"/>
        <w:ind w:firstLine="422" w:firstLineChars="200"/>
        <w:rPr>
          <w:rFonts w:hint="eastAsia" w:ascii="宋体" w:hAnsi="宋体" w:eastAsia="宋体" w:cs="Times New Roman"/>
          <w:color w:val="auto"/>
          <w:szCs w:val="21"/>
        </w:rPr>
      </w:pPr>
      <w:r>
        <w:rPr>
          <w:rFonts w:hint="eastAsia" w:ascii="宋体" w:hAnsi="宋体" w:eastAsia="宋体" w:cs="宋体"/>
          <w:b/>
          <w:bCs/>
          <w:color w:val="auto"/>
          <w:szCs w:val="21"/>
          <w:highlight w:val="none"/>
          <w:lang w:val="en-US" w:eastAsia="zh-CN"/>
        </w:rPr>
        <w:t>标项（分标）4</w:t>
      </w:r>
    </w:p>
    <w:p>
      <w:pPr>
        <w:spacing w:line="360" w:lineRule="auto"/>
        <w:ind w:firstLine="420" w:firstLineChars="200"/>
        <w:rPr>
          <w:rFonts w:hint="default" w:ascii="宋体" w:hAnsi="宋体" w:eastAsia="宋体" w:cs="Times New Roman"/>
          <w:color w:val="auto"/>
          <w:szCs w:val="21"/>
          <w:lang w:val="en-US" w:eastAsia="zh-CN"/>
        </w:rPr>
      </w:pPr>
      <w:r>
        <w:rPr>
          <w:rFonts w:hint="eastAsia" w:ascii="宋体" w:hAnsi="宋体" w:eastAsia="宋体" w:cs="Times New Roman"/>
          <w:color w:val="auto"/>
          <w:szCs w:val="21"/>
        </w:rPr>
        <w:t>标项名称:</w:t>
      </w:r>
      <w:r>
        <w:rPr>
          <w:rFonts w:hint="eastAsia" w:ascii="宋体" w:hAnsi="宋体" w:eastAsia="宋体" w:cs="Times New Roman"/>
          <w:color w:val="auto"/>
          <w:szCs w:val="21"/>
          <w:lang w:val="en-US" w:eastAsia="zh-CN"/>
        </w:rPr>
        <w:t>全局无线设施联调和运维服务</w:t>
      </w:r>
    </w:p>
    <w:p>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数量:1</w:t>
      </w:r>
    </w:p>
    <w:p>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预算金额（元）:</w:t>
      </w:r>
      <w:r>
        <w:rPr>
          <w:rFonts w:hint="eastAsia" w:ascii="宋体" w:hAnsi="宋体" w:eastAsia="宋体" w:cs="Times New Roman"/>
          <w:color w:val="auto"/>
          <w:szCs w:val="21"/>
          <w:lang w:val="en-US" w:eastAsia="zh-CN"/>
        </w:rPr>
        <w:t>200000</w:t>
      </w:r>
      <w:r>
        <w:rPr>
          <w:rFonts w:hint="eastAsia" w:ascii="宋体" w:hAnsi="宋体" w:eastAsia="宋体" w:cs="Times New Roman"/>
          <w:color w:val="auto"/>
          <w:szCs w:val="21"/>
        </w:rPr>
        <w:t>.00</w:t>
      </w:r>
    </w:p>
    <w:p>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简要规格描述或项目基本概况介绍、用途：</w:t>
      </w:r>
      <w:r>
        <w:rPr>
          <w:rFonts w:hint="eastAsia" w:ascii="宋体" w:hAnsi="宋体" w:eastAsia="宋体" w:cs="Times New Roman"/>
          <w:color w:val="auto"/>
          <w:szCs w:val="21"/>
          <w:lang w:val="en-US" w:eastAsia="zh-CN"/>
        </w:rPr>
        <w:t>全局无线设施联调和运维服务1项</w:t>
      </w:r>
      <w:r>
        <w:rPr>
          <w:rFonts w:hint="eastAsia" w:ascii="宋体" w:hAnsi="宋体" w:eastAsia="宋体" w:cs="Times New Roman"/>
          <w:color w:val="auto"/>
          <w:szCs w:val="21"/>
        </w:rPr>
        <w:t>，详见</w:t>
      </w:r>
      <w:r>
        <w:rPr>
          <w:rFonts w:hint="eastAsia" w:ascii="宋体" w:hAnsi="宋体" w:eastAsia="宋体" w:cs="Times New Roman"/>
          <w:color w:val="auto"/>
          <w:szCs w:val="21"/>
          <w:lang w:val="en-US" w:eastAsia="zh-CN"/>
        </w:rPr>
        <w:t>本</w:t>
      </w:r>
      <w:r>
        <w:rPr>
          <w:rFonts w:hint="eastAsia" w:eastAsia="宋体" w:cs="Times New Roman"/>
          <w:color w:val="auto"/>
          <w:lang w:eastAsia="zh-CN"/>
        </w:rPr>
        <w:t>竞争性磋商公告</w:t>
      </w:r>
      <w:r>
        <w:rPr>
          <w:rFonts w:hint="eastAsia" w:ascii="宋体" w:hAnsi="宋体" w:eastAsia="宋体" w:cs="Times New Roman"/>
          <w:color w:val="auto"/>
          <w:szCs w:val="21"/>
        </w:rPr>
        <w:t>附件。</w:t>
      </w:r>
    </w:p>
    <w:p>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最高限价（如有）：/</w:t>
      </w:r>
    </w:p>
    <w:p>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合同履约期限：</w:t>
      </w:r>
      <w:r>
        <w:rPr>
          <w:rFonts w:hint="eastAsia" w:ascii="宋体" w:hAnsi="宋体" w:eastAsia="宋体" w:cs="宋体"/>
          <w:color w:val="auto"/>
          <w:szCs w:val="21"/>
          <w:lang w:val="en-US" w:eastAsia="zh-CN"/>
        </w:rPr>
        <w:t>自签订合同之日起1年</w:t>
      </w:r>
      <w:r>
        <w:rPr>
          <w:rFonts w:hint="eastAsia" w:ascii="宋体" w:hAnsi="宋体" w:eastAsia="宋体" w:cs="宋体"/>
          <w:color w:val="auto"/>
          <w:szCs w:val="21"/>
        </w:rPr>
        <w:t>。</w:t>
      </w:r>
    </w:p>
    <w:p>
      <w:pPr>
        <w:spacing w:line="360" w:lineRule="auto"/>
        <w:ind w:firstLine="420" w:firstLineChars="200"/>
        <w:rPr>
          <w:rFonts w:hint="eastAsia" w:ascii="宋体" w:hAnsi="宋体" w:eastAsia="宋体"/>
          <w:color w:val="auto"/>
          <w:szCs w:val="21"/>
          <w:lang w:eastAsia="zh-CN"/>
        </w:rPr>
      </w:pPr>
      <w:r>
        <w:rPr>
          <w:rFonts w:hint="eastAsia" w:ascii="宋体" w:hAnsi="宋体" w:eastAsia="宋体"/>
          <w:color w:val="auto"/>
          <w:szCs w:val="21"/>
        </w:rPr>
        <w:t>本标项</w:t>
      </w:r>
      <w:r>
        <w:rPr>
          <w:rFonts w:hint="eastAsia" w:ascii="宋体" w:hAnsi="宋体" w:eastAsia="宋体"/>
          <w:color w:val="auto"/>
          <w:szCs w:val="21"/>
          <w:lang w:eastAsia="zh-CN"/>
        </w:rPr>
        <w:t>（</w:t>
      </w:r>
      <w:r>
        <w:rPr>
          <w:rFonts w:hint="eastAsia" w:ascii="宋体" w:hAnsi="宋体" w:eastAsia="宋体"/>
          <w:color w:val="auto"/>
          <w:szCs w:val="21"/>
          <w:lang w:val="en-US" w:eastAsia="zh-CN"/>
        </w:rPr>
        <w:t>否</w:t>
      </w:r>
      <w:r>
        <w:rPr>
          <w:rFonts w:hint="eastAsia" w:ascii="宋体" w:hAnsi="宋体" w:eastAsia="宋体"/>
          <w:color w:val="auto"/>
          <w:szCs w:val="21"/>
          <w:lang w:eastAsia="zh-CN"/>
        </w:rPr>
        <w:t>）</w:t>
      </w:r>
      <w:r>
        <w:rPr>
          <w:rFonts w:hint="eastAsia" w:ascii="宋体" w:hAnsi="宋体" w:eastAsia="宋体"/>
          <w:color w:val="auto"/>
          <w:szCs w:val="21"/>
        </w:rPr>
        <w:t>接受联合体竞标</w:t>
      </w:r>
      <w:r>
        <w:rPr>
          <w:rFonts w:hint="eastAsia" w:ascii="宋体" w:hAnsi="宋体" w:eastAsia="宋体"/>
          <w:color w:val="auto"/>
          <w:szCs w:val="21"/>
          <w:lang w:eastAsia="zh-CN"/>
        </w:rPr>
        <w:t>。</w:t>
      </w:r>
    </w:p>
    <w:p>
      <w:pPr>
        <w:spacing w:line="360" w:lineRule="auto"/>
        <w:ind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rPr>
        <w:t>备注：无</w:t>
      </w:r>
    </w:p>
    <w:p>
      <w:pPr>
        <w:spacing w:line="360" w:lineRule="auto"/>
        <w:ind w:firstLine="422" w:firstLineChars="200"/>
        <w:rPr>
          <w:rFonts w:hint="eastAsia" w:ascii="宋体" w:hAnsi="宋体" w:eastAsia="宋体" w:cs="宋体"/>
          <w:b/>
          <w:bCs/>
          <w:color w:val="auto"/>
          <w:szCs w:val="21"/>
          <w:highlight w:val="none"/>
          <w:lang w:val="en-US" w:eastAsia="zh-CN"/>
        </w:rPr>
      </w:pPr>
    </w:p>
    <w:p>
      <w:pPr>
        <w:spacing w:line="360" w:lineRule="auto"/>
        <w:ind w:firstLine="422" w:firstLineChars="200"/>
        <w:rPr>
          <w:rFonts w:hint="eastAsia" w:ascii="宋体" w:hAnsi="宋体" w:eastAsia="宋体" w:cs="Times New Roman"/>
          <w:color w:val="auto"/>
          <w:szCs w:val="21"/>
        </w:rPr>
      </w:pPr>
      <w:r>
        <w:rPr>
          <w:rFonts w:hint="eastAsia" w:ascii="宋体" w:hAnsi="宋体" w:eastAsia="宋体" w:cs="宋体"/>
          <w:b/>
          <w:bCs/>
          <w:color w:val="auto"/>
          <w:szCs w:val="21"/>
          <w:highlight w:val="none"/>
          <w:lang w:val="en-US" w:eastAsia="zh-CN"/>
        </w:rPr>
        <w:t>标项（分标）5</w:t>
      </w:r>
    </w:p>
    <w:p>
      <w:pPr>
        <w:spacing w:line="360" w:lineRule="auto"/>
        <w:ind w:firstLine="420" w:firstLineChars="200"/>
        <w:rPr>
          <w:rFonts w:hint="default" w:ascii="宋体" w:hAnsi="宋体" w:eastAsia="宋体" w:cs="Times New Roman"/>
          <w:color w:val="auto"/>
          <w:szCs w:val="21"/>
          <w:lang w:val="en-US" w:eastAsia="zh-CN"/>
        </w:rPr>
      </w:pPr>
      <w:r>
        <w:rPr>
          <w:rFonts w:hint="eastAsia" w:ascii="宋体" w:hAnsi="宋体" w:eastAsia="宋体" w:cs="Times New Roman"/>
          <w:color w:val="auto"/>
          <w:szCs w:val="21"/>
        </w:rPr>
        <w:t>标项名称:</w:t>
      </w:r>
      <w:r>
        <w:rPr>
          <w:rFonts w:hint="eastAsia" w:ascii="宋体" w:hAnsi="宋体" w:eastAsia="宋体" w:cs="Times New Roman"/>
          <w:color w:val="auto"/>
          <w:szCs w:val="21"/>
          <w:lang w:val="en-US" w:eastAsia="zh-CN"/>
        </w:rPr>
        <w:t>信息系统等级保护测评</w:t>
      </w:r>
      <w:r>
        <w:rPr>
          <w:rFonts w:hint="eastAsia" w:ascii="宋体" w:hAnsi="宋体" w:cs="Times New Roman"/>
          <w:color w:val="auto"/>
          <w:szCs w:val="21"/>
          <w:lang w:val="en-US" w:eastAsia="zh-CN"/>
        </w:rPr>
        <w:t>和</w:t>
      </w:r>
      <w:r>
        <w:rPr>
          <w:rFonts w:hint="eastAsia" w:ascii="宋体" w:hAnsi="宋体" w:eastAsia="宋体" w:cs="Times New Roman"/>
          <w:color w:val="auto"/>
          <w:szCs w:val="21"/>
          <w:lang w:val="en-US" w:eastAsia="zh-CN"/>
        </w:rPr>
        <w:t>信息系统商用密码应用安全性评估服务</w:t>
      </w:r>
    </w:p>
    <w:p>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数量:1</w:t>
      </w:r>
    </w:p>
    <w:p>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预算金额（元）:</w:t>
      </w:r>
      <w:r>
        <w:rPr>
          <w:rFonts w:hint="eastAsia" w:ascii="宋体" w:hAnsi="宋体" w:eastAsia="宋体" w:cs="Times New Roman"/>
          <w:color w:val="auto"/>
          <w:szCs w:val="21"/>
          <w:lang w:val="en-US" w:eastAsia="zh-CN"/>
        </w:rPr>
        <w:t>340000</w:t>
      </w:r>
      <w:r>
        <w:rPr>
          <w:rFonts w:hint="eastAsia" w:ascii="宋体" w:hAnsi="宋体" w:eastAsia="宋体" w:cs="Times New Roman"/>
          <w:color w:val="auto"/>
          <w:szCs w:val="21"/>
        </w:rPr>
        <w:t>.00</w:t>
      </w:r>
    </w:p>
    <w:p>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简要规格描述或项目基本概况介绍、用途：</w:t>
      </w:r>
      <w:r>
        <w:rPr>
          <w:rFonts w:hint="eastAsia" w:ascii="宋体" w:hAnsi="宋体" w:eastAsia="宋体" w:cs="Times New Roman"/>
          <w:color w:val="auto"/>
          <w:szCs w:val="21"/>
          <w:lang w:val="en-US" w:eastAsia="zh-CN"/>
        </w:rPr>
        <w:t>信息系统等级保护测评1项</w:t>
      </w:r>
      <w:r>
        <w:rPr>
          <w:rFonts w:hint="eastAsia" w:ascii="宋体" w:hAnsi="宋体" w:cs="Times New Roman"/>
          <w:color w:val="auto"/>
          <w:szCs w:val="21"/>
          <w:lang w:val="en-US" w:eastAsia="zh-CN"/>
        </w:rPr>
        <w:t>、</w:t>
      </w:r>
      <w:r>
        <w:rPr>
          <w:rFonts w:hint="eastAsia" w:ascii="宋体" w:hAnsi="宋体" w:eastAsia="宋体" w:cs="Times New Roman"/>
          <w:color w:val="auto"/>
          <w:szCs w:val="21"/>
          <w:lang w:val="en-US" w:eastAsia="zh-CN"/>
        </w:rPr>
        <w:t>信息系统商用密码应用安全性评估服务1项</w:t>
      </w:r>
      <w:r>
        <w:rPr>
          <w:rFonts w:hint="eastAsia" w:ascii="宋体" w:hAnsi="宋体" w:eastAsia="宋体" w:cs="Times New Roman"/>
          <w:color w:val="auto"/>
          <w:szCs w:val="21"/>
        </w:rPr>
        <w:t>，详见</w:t>
      </w:r>
      <w:r>
        <w:rPr>
          <w:rFonts w:hint="eastAsia" w:ascii="宋体" w:hAnsi="宋体" w:eastAsia="宋体" w:cs="Times New Roman"/>
          <w:color w:val="auto"/>
          <w:szCs w:val="21"/>
          <w:lang w:val="en-US" w:eastAsia="zh-CN"/>
        </w:rPr>
        <w:t>本</w:t>
      </w:r>
      <w:r>
        <w:rPr>
          <w:rFonts w:hint="eastAsia" w:eastAsia="宋体" w:cs="Times New Roman"/>
          <w:color w:val="auto"/>
          <w:lang w:eastAsia="zh-CN"/>
        </w:rPr>
        <w:t>竞争性磋商公告</w:t>
      </w:r>
      <w:r>
        <w:rPr>
          <w:rFonts w:hint="eastAsia" w:ascii="宋体" w:hAnsi="宋体" w:eastAsia="宋体" w:cs="Times New Roman"/>
          <w:color w:val="auto"/>
          <w:szCs w:val="21"/>
        </w:rPr>
        <w:t>附件。</w:t>
      </w:r>
    </w:p>
    <w:p>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最高限价（如有）：/</w:t>
      </w:r>
    </w:p>
    <w:p>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合同履约期限：</w:t>
      </w:r>
      <w:bookmarkStart w:id="31" w:name="OLE_LINK10"/>
      <w:r>
        <w:rPr>
          <w:rFonts w:hint="eastAsia" w:ascii="宋体" w:hAnsi="宋体" w:eastAsia="宋体" w:cs="宋体"/>
          <w:color w:val="auto"/>
          <w:szCs w:val="21"/>
          <w:lang w:val="en-US" w:eastAsia="zh-CN"/>
        </w:rPr>
        <w:t>合同生效后，采购人通知进场之日起60个工作日之内完成。</w:t>
      </w:r>
      <w:r>
        <w:rPr>
          <w:rFonts w:hint="eastAsia" w:ascii="宋体" w:hAnsi="宋体" w:eastAsia="宋体" w:cs="宋体"/>
          <w:color w:val="auto"/>
          <w:sz w:val="21"/>
          <w:szCs w:val="21"/>
          <w:lang w:val="en-US" w:eastAsia="zh-CN"/>
        </w:rPr>
        <w:t>出具网络安全等级保护测评报告</w:t>
      </w:r>
      <w:r>
        <w:rPr>
          <w:rFonts w:hint="eastAsia" w:ascii="宋体" w:hAnsi="宋体" w:cs="宋体"/>
          <w:color w:val="auto"/>
          <w:sz w:val="21"/>
          <w:szCs w:val="21"/>
          <w:lang w:val="en-US" w:eastAsia="zh-CN"/>
        </w:rPr>
        <w:t>和</w:t>
      </w:r>
      <w:r>
        <w:rPr>
          <w:rFonts w:hint="eastAsia" w:ascii="宋体" w:hAnsi="宋体" w:eastAsia="宋体" w:cs="宋体"/>
          <w:color w:val="auto"/>
          <w:sz w:val="21"/>
          <w:szCs w:val="21"/>
          <w:highlight w:val="none"/>
        </w:rPr>
        <w:t>商用密码</w:t>
      </w:r>
      <w:r>
        <w:rPr>
          <w:rFonts w:hint="eastAsia" w:ascii="宋体" w:hAnsi="宋体" w:eastAsia="宋体" w:cs="宋体"/>
          <w:color w:val="auto"/>
          <w:sz w:val="21"/>
          <w:szCs w:val="21"/>
          <w:highlight w:val="none"/>
          <w:lang w:eastAsia="zh-CN"/>
        </w:rPr>
        <w:t>应用</w:t>
      </w:r>
      <w:r>
        <w:rPr>
          <w:rFonts w:hint="eastAsia" w:ascii="宋体" w:hAnsi="宋体" w:eastAsia="宋体" w:cs="宋体"/>
          <w:color w:val="auto"/>
          <w:sz w:val="21"/>
          <w:szCs w:val="21"/>
          <w:highlight w:val="none"/>
        </w:rPr>
        <w:t>安全性评估</w:t>
      </w:r>
      <w:r>
        <w:rPr>
          <w:rFonts w:hint="eastAsia" w:ascii="宋体" w:hAnsi="宋体" w:cs="宋体"/>
          <w:color w:val="auto"/>
          <w:sz w:val="21"/>
          <w:szCs w:val="21"/>
          <w:highlight w:val="none"/>
          <w:lang w:eastAsia="zh-CN"/>
        </w:rPr>
        <w:t>报告</w:t>
      </w:r>
      <w:r>
        <w:rPr>
          <w:rFonts w:hint="eastAsia" w:ascii="宋体" w:hAnsi="宋体" w:eastAsia="宋体" w:cs="宋体"/>
          <w:color w:val="auto"/>
          <w:sz w:val="21"/>
          <w:szCs w:val="21"/>
          <w:lang w:val="en-US" w:eastAsia="zh-CN"/>
        </w:rPr>
        <w:t>并验收合格后，服务结束。</w:t>
      </w:r>
    </w:p>
    <w:bookmarkEnd w:id="31"/>
    <w:p>
      <w:pPr>
        <w:spacing w:line="360" w:lineRule="auto"/>
        <w:ind w:firstLine="420" w:firstLineChars="200"/>
        <w:rPr>
          <w:rFonts w:hint="eastAsia" w:ascii="宋体" w:hAnsi="宋体" w:eastAsia="宋体"/>
          <w:color w:val="auto"/>
          <w:szCs w:val="21"/>
          <w:lang w:eastAsia="zh-CN"/>
        </w:rPr>
      </w:pPr>
      <w:r>
        <w:rPr>
          <w:rFonts w:hint="eastAsia" w:ascii="宋体" w:hAnsi="宋体" w:eastAsia="宋体"/>
          <w:color w:val="auto"/>
          <w:szCs w:val="21"/>
        </w:rPr>
        <w:t>本标项</w:t>
      </w:r>
      <w:r>
        <w:rPr>
          <w:rFonts w:hint="eastAsia" w:ascii="宋体" w:hAnsi="宋体" w:eastAsia="宋体"/>
          <w:color w:val="auto"/>
          <w:szCs w:val="21"/>
          <w:lang w:eastAsia="zh-CN"/>
        </w:rPr>
        <w:t>（</w:t>
      </w:r>
      <w:r>
        <w:rPr>
          <w:rFonts w:hint="eastAsia" w:ascii="宋体" w:hAnsi="宋体" w:eastAsia="宋体"/>
          <w:color w:val="auto"/>
          <w:szCs w:val="21"/>
          <w:lang w:val="en-US" w:eastAsia="zh-CN"/>
        </w:rPr>
        <w:t>否</w:t>
      </w:r>
      <w:r>
        <w:rPr>
          <w:rFonts w:hint="eastAsia" w:ascii="宋体" w:hAnsi="宋体" w:eastAsia="宋体"/>
          <w:color w:val="auto"/>
          <w:szCs w:val="21"/>
          <w:lang w:eastAsia="zh-CN"/>
        </w:rPr>
        <w:t>）</w:t>
      </w:r>
      <w:r>
        <w:rPr>
          <w:rFonts w:hint="eastAsia" w:ascii="宋体" w:hAnsi="宋体" w:eastAsia="宋体"/>
          <w:color w:val="auto"/>
          <w:szCs w:val="21"/>
        </w:rPr>
        <w:t>接受联合体竞标</w:t>
      </w:r>
      <w:r>
        <w:rPr>
          <w:rFonts w:hint="eastAsia" w:ascii="宋体" w:hAnsi="宋体" w:eastAsia="宋体"/>
          <w:color w:val="auto"/>
          <w:szCs w:val="21"/>
          <w:lang w:eastAsia="zh-CN"/>
        </w:rPr>
        <w:t>。</w:t>
      </w:r>
    </w:p>
    <w:p>
      <w:pPr>
        <w:spacing w:line="360" w:lineRule="auto"/>
        <w:ind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rPr>
        <w:t>备注：无</w:t>
      </w:r>
    </w:p>
    <w:p>
      <w:pPr>
        <w:spacing w:line="390" w:lineRule="exact"/>
        <w:ind w:firstLine="482" w:firstLineChars="200"/>
        <w:rPr>
          <w:rFonts w:hint="eastAsia" w:ascii="宋体" w:hAnsi="宋体" w:eastAsia="宋体" w:cs="宋体"/>
          <w:b/>
          <w:bCs/>
          <w:color w:val="auto"/>
          <w:sz w:val="24"/>
        </w:rPr>
      </w:pPr>
      <w:bookmarkStart w:id="32" w:name="_Toc28359013"/>
      <w:bookmarkStart w:id="33" w:name="_Toc35393630"/>
      <w:bookmarkStart w:id="34" w:name="_Toc28359090"/>
      <w:bookmarkStart w:id="35" w:name="_Toc44229879"/>
      <w:bookmarkStart w:id="36" w:name="_Toc35393799"/>
      <w:r>
        <w:rPr>
          <w:rFonts w:hint="eastAsia" w:ascii="宋体" w:hAnsi="宋体" w:eastAsia="宋体" w:cs="宋体"/>
          <w:b/>
          <w:bCs/>
          <w:color w:val="auto"/>
          <w:sz w:val="24"/>
        </w:rPr>
        <w:t>二、申请人的资格</w:t>
      </w:r>
      <w:bookmarkEnd w:id="32"/>
      <w:bookmarkEnd w:id="33"/>
      <w:bookmarkEnd w:id="34"/>
      <w:bookmarkEnd w:id="35"/>
      <w:bookmarkEnd w:id="36"/>
      <w:r>
        <w:rPr>
          <w:rFonts w:hint="eastAsia" w:ascii="宋体" w:hAnsi="宋体" w:eastAsia="宋体" w:cs="宋体"/>
          <w:b/>
          <w:bCs/>
          <w:color w:val="auto"/>
          <w:sz w:val="24"/>
        </w:rPr>
        <w:t>要求</w:t>
      </w:r>
    </w:p>
    <w:p>
      <w:pPr>
        <w:spacing w:line="390" w:lineRule="exact"/>
        <w:ind w:firstLine="420" w:firstLineChars="200"/>
        <w:rPr>
          <w:rFonts w:hint="eastAsia" w:ascii="宋体" w:hAnsi="宋体" w:cs="宋体"/>
          <w:color w:val="auto"/>
          <w:szCs w:val="21"/>
        </w:rPr>
      </w:pPr>
      <w:r>
        <w:rPr>
          <w:rFonts w:hint="eastAsia" w:ascii="宋体" w:hAnsi="宋体" w:cs="宋体"/>
          <w:color w:val="auto"/>
          <w:szCs w:val="21"/>
        </w:rPr>
        <w:t>1.满足《中华人民共和国政府采购法》第二十二条规定；</w:t>
      </w:r>
    </w:p>
    <w:p>
      <w:pPr>
        <w:spacing w:line="390" w:lineRule="exact"/>
        <w:ind w:firstLine="420" w:firstLineChars="200"/>
        <w:rPr>
          <w:rFonts w:hint="eastAsia" w:ascii="宋体" w:hAnsi="宋体"/>
          <w:color w:val="auto"/>
          <w:szCs w:val="21"/>
        </w:rPr>
      </w:pPr>
      <w:r>
        <w:rPr>
          <w:rFonts w:hint="eastAsia" w:ascii="宋体" w:hAnsi="宋体"/>
          <w:color w:val="auto"/>
          <w:szCs w:val="21"/>
        </w:rPr>
        <w:t>2.落实政府采购政策需满足的资格要求：</w:t>
      </w:r>
      <w:r>
        <w:rPr>
          <w:rFonts w:hint="eastAsia" w:ascii="宋体" w:hAnsi="宋体"/>
          <w:b/>
          <w:bCs/>
          <w:color w:val="auto"/>
          <w:szCs w:val="21"/>
          <w:lang w:val="en-US" w:eastAsia="zh-CN"/>
        </w:rPr>
        <w:t>分标1、2、3：</w:t>
      </w:r>
      <w:r>
        <w:rPr>
          <w:rFonts w:hint="eastAsia" w:ascii="宋体" w:hAnsi="宋体"/>
          <w:color w:val="auto"/>
          <w:szCs w:val="21"/>
          <w:lang w:val="en-US" w:eastAsia="zh-CN"/>
        </w:rPr>
        <w:t>专门面向小微企业采购的项目，供应商应为小微企业或监狱企业或残疾人福利性单位</w:t>
      </w:r>
      <w:r>
        <w:rPr>
          <w:rFonts w:hint="eastAsia" w:ascii="宋体" w:hAnsi="宋体"/>
          <w:color w:val="auto"/>
          <w:szCs w:val="21"/>
        </w:rPr>
        <w:t>；</w:t>
      </w:r>
      <w:r>
        <w:rPr>
          <w:rFonts w:hint="eastAsia" w:ascii="宋体" w:hAnsi="宋体"/>
          <w:b/>
          <w:bCs/>
          <w:color w:val="auto"/>
          <w:szCs w:val="21"/>
        </w:rPr>
        <w:t>分标</w:t>
      </w:r>
      <w:r>
        <w:rPr>
          <w:rFonts w:hint="eastAsia" w:ascii="宋体" w:hAnsi="宋体"/>
          <w:b/>
          <w:bCs/>
          <w:color w:val="auto"/>
          <w:szCs w:val="21"/>
          <w:lang w:val="en-US" w:eastAsia="zh-CN"/>
        </w:rPr>
        <w:t>4</w:t>
      </w:r>
      <w:r>
        <w:rPr>
          <w:rFonts w:hint="eastAsia" w:ascii="宋体" w:hAnsi="宋体"/>
          <w:b/>
          <w:bCs/>
          <w:color w:val="auto"/>
          <w:szCs w:val="21"/>
        </w:rPr>
        <w:t>：</w:t>
      </w:r>
      <w:r>
        <w:rPr>
          <w:rFonts w:hint="eastAsia" w:ascii="宋体" w:hAnsi="宋体"/>
          <w:color w:val="auto"/>
          <w:szCs w:val="21"/>
          <w:lang w:val="en-US" w:eastAsia="zh-CN"/>
        </w:rPr>
        <w:t>无</w:t>
      </w:r>
      <w:r>
        <w:rPr>
          <w:rFonts w:hint="eastAsia" w:ascii="宋体" w:hAnsi="宋体"/>
          <w:color w:val="auto"/>
          <w:szCs w:val="21"/>
        </w:rPr>
        <w:t>；</w:t>
      </w:r>
      <w:r>
        <w:rPr>
          <w:rFonts w:hint="eastAsia" w:ascii="宋体" w:hAnsi="宋体"/>
          <w:b/>
          <w:bCs/>
          <w:color w:val="auto"/>
          <w:szCs w:val="21"/>
        </w:rPr>
        <w:t>分标</w:t>
      </w:r>
      <w:r>
        <w:rPr>
          <w:rFonts w:hint="eastAsia" w:ascii="宋体" w:hAnsi="宋体"/>
          <w:b/>
          <w:bCs/>
          <w:color w:val="auto"/>
          <w:szCs w:val="21"/>
          <w:lang w:val="en-US" w:eastAsia="zh-CN"/>
        </w:rPr>
        <w:t>5</w:t>
      </w:r>
      <w:r>
        <w:rPr>
          <w:rFonts w:hint="eastAsia" w:ascii="宋体" w:hAnsi="宋体"/>
          <w:b/>
          <w:bCs/>
          <w:color w:val="auto"/>
          <w:szCs w:val="21"/>
        </w:rPr>
        <w:t>：</w:t>
      </w:r>
      <w:bookmarkStart w:id="37" w:name="OLE_LINK19"/>
      <w:r>
        <w:rPr>
          <w:rFonts w:hint="eastAsia" w:ascii="宋体" w:hAnsi="宋体"/>
          <w:color w:val="auto"/>
          <w:szCs w:val="21"/>
        </w:rPr>
        <w:t>专门面向</w:t>
      </w:r>
      <w:r>
        <w:rPr>
          <w:rFonts w:hint="eastAsia" w:ascii="宋体" w:hAnsi="宋体"/>
          <w:color w:val="auto"/>
          <w:szCs w:val="21"/>
          <w:lang w:val="en-US" w:eastAsia="zh-CN"/>
        </w:rPr>
        <w:t>中</w:t>
      </w:r>
      <w:r>
        <w:rPr>
          <w:rFonts w:hint="eastAsia" w:ascii="宋体" w:hAnsi="宋体"/>
          <w:color w:val="auto"/>
          <w:szCs w:val="21"/>
        </w:rPr>
        <w:t>小企业采购的项目，供应商应为中小企业或监狱企业或残疾人福利性单位</w:t>
      </w:r>
      <w:bookmarkEnd w:id="37"/>
      <w:r>
        <w:rPr>
          <w:rFonts w:hint="eastAsia" w:ascii="宋体" w:hAnsi="宋体"/>
          <w:color w:val="auto"/>
          <w:szCs w:val="21"/>
        </w:rPr>
        <w:t>；</w:t>
      </w:r>
    </w:p>
    <w:p>
      <w:pPr>
        <w:spacing w:line="390" w:lineRule="exact"/>
        <w:ind w:firstLine="420" w:firstLineChars="200"/>
        <w:rPr>
          <w:rFonts w:hint="eastAsia" w:ascii="宋体" w:hAnsi="宋体" w:cs="宋体"/>
          <w:color w:val="auto"/>
          <w:szCs w:val="21"/>
        </w:rPr>
      </w:pPr>
      <w:r>
        <w:rPr>
          <w:rFonts w:hint="eastAsia" w:ascii="宋体" w:hAnsi="宋体" w:cs="宋体"/>
          <w:color w:val="auto"/>
          <w:szCs w:val="21"/>
        </w:rPr>
        <w:t>3.本项目的特定资格要求：</w:t>
      </w:r>
      <w:r>
        <w:rPr>
          <w:rFonts w:hint="eastAsia" w:ascii="宋体" w:hAnsi="宋体"/>
          <w:b/>
          <w:bCs/>
          <w:color w:val="auto"/>
          <w:szCs w:val="21"/>
          <w:lang w:val="en-US" w:eastAsia="zh-CN"/>
        </w:rPr>
        <w:t>分标1、2、3、4：</w:t>
      </w:r>
      <w:r>
        <w:rPr>
          <w:rFonts w:hint="eastAsia" w:ascii="宋体" w:hAnsi="宋体"/>
          <w:b w:val="0"/>
          <w:bCs w:val="0"/>
          <w:color w:val="auto"/>
          <w:szCs w:val="21"/>
          <w:lang w:val="en-US" w:eastAsia="zh-CN"/>
        </w:rPr>
        <w:t>无，</w:t>
      </w:r>
      <w:r>
        <w:rPr>
          <w:rFonts w:hint="eastAsia" w:ascii="宋体" w:hAnsi="宋体"/>
          <w:b/>
          <w:bCs/>
          <w:color w:val="auto"/>
          <w:szCs w:val="21"/>
          <w:lang w:val="en-US" w:eastAsia="zh-CN"/>
        </w:rPr>
        <w:t>分标5：</w:t>
      </w:r>
      <w:r>
        <w:rPr>
          <w:rFonts w:hint="eastAsia" w:ascii="宋体" w:hAnsi="宋体" w:cs="宋体"/>
          <w:color w:val="auto"/>
          <w:szCs w:val="21"/>
        </w:rPr>
        <w:t>国家密码管理局颁发的</w:t>
      </w:r>
      <w:bookmarkStart w:id="38" w:name="OLE_LINK20"/>
      <w:r>
        <w:rPr>
          <w:rFonts w:hint="eastAsia" w:ascii="宋体" w:hAnsi="宋体" w:cs="宋体"/>
          <w:color w:val="auto"/>
          <w:szCs w:val="21"/>
        </w:rPr>
        <w:t>商用密码检测机构资质证书</w:t>
      </w:r>
      <w:bookmarkEnd w:id="38"/>
      <w:r>
        <w:rPr>
          <w:rFonts w:hint="eastAsia" w:ascii="宋体" w:hAnsi="宋体" w:cs="宋体"/>
          <w:color w:val="auto"/>
          <w:szCs w:val="21"/>
        </w:rPr>
        <w:t>。</w:t>
      </w:r>
    </w:p>
    <w:p>
      <w:pPr>
        <w:spacing w:line="390" w:lineRule="exact"/>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三、获取采购文件</w:t>
      </w:r>
    </w:p>
    <w:p>
      <w:pPr>
        <w:spacing w:line="390" w:lineRule="exact"/>
        <w:ind w:firstLine="420" w:firstLineChars="200"/>
        <w:rPr>
          <w:rFonts w:hint="eastAsia" w:ascii="宋体" w:hAnsi="宋体" w:cs="宋体"/>
          <w:bCs/>
          <w:color w:val="auto"/>
          <w:kern w:val="0"/>
          <w:szCs w:val="21"/>
        </w:rPr>
      </w:pPr>
      <w:bookmarkStart w:id="39" w:name="_Toc28359005"/>
      <w:bookmarkStart w:id="40" w:name="_Toc35393624"/>
      <w:bookmarkStart w:id="41" w:name="_Toc35393793"/>
      <w:bookmarkStart w:id="42" w:name="_Toc28359082"/>
      <w:r>
        <w:rPr>
          <w:rFonts w:hint="eastAsia" w:ascii="宋体" w:hAnsi="宋体" w:cs="宋体"/>
          <w:bCs/>
          <w:color w:val="auto"/>
          <w:kern w:val="0"/>
          <w:szCs w:val="21"/>
        </w:rPr>
        <w:t>时间：</w:t>
      </w:r>
      <w:r>
        <w:rPr>
          <w:rFonts w:hint="eastAsia" w:ascii="宋体" w:hAnsi="宋体" w:cs="宋体"/>
          <w:bCs/>
          <w:color w:val="auto"/>
          <w:kern w:val="0"/>
          <w:szCs w:val="21"/>
          <w:lang w:eastAsia="zh-CN"/>
        </w:rPr>
        <w:t>2025年</w:t>
      </w:r>
      <w:r>
        <w:rPr>
          <w:rFonts w:hint="eastAsia" w:ascii="宋体" w:hAnsi="宋体" w:cs="宋体"/>
          <w:bCs/>
          <w:color w:val="auto"/>
          <w:kern w:val="0"/>
          <w:szCs w:val="21"/>
          <w:lang w:val="en-US" w:eastAsia="zh-CN"/>
        </w:rPr>
        <w:t>6</w:t>
      </w:r>
      <w:r>
        <w:rPr>
          <w:rFonts w:hint="eastAsia" w:ascii="宋体" w:hAnsi="宋体" w:cs="宋体"/>
          <w:bCs/>
          <w:color w:val="auto"/>
          <w:kern w:val="0"/>
          <w:szCs w:val="21"/>
          <w:lang w:eastAsia="zh-CN"/>
        </w:rPr>
        <w:t>月</w:t>
      </w:r>
      <w:r>
        <w:rPr>
          <w:rFonts w:hint="eastAsia" w:ascii="宋体" w:hAnsi="宋体" w:cs="宋体"/>
          <w:bCs/>
          <w:color w:val="auto"/>
          <w:kern w:val="0"/>
          <w:szCs w:val="21"/>
          <w:lang w:val="en-US" w:eastAsia="zh-CN"/>
        </w:rPr>
        <w:t>13</w:t>
      </w:r>
      <w:r>
        <w:rPr>
          <w:rFonts w:hint="eastAsia" w:ascii="宋体" w:hAnsi="宋体" w:cs="宋体"/>
          <w:bCs/>
          <w:color w:val="auto"/>
          <w:kern w:val="0"/>
          <w:szCs w:val="21"/>
          <w:lang w:eastAsia="zh-CN"/>
        </w:rPr>
        <w:t>日</w:t>
      </w:r>
      <w:r>
        <w:rPr>
          <w:rFonts w:hint="eastAsia" w:ascii="宋体" w:hAnsi="宋体" w:cs="宋体"/>
          <w:bCs/>
          <w:color w:val="auto"/>
          <w:kern w:val="0"/>
          <w:szCs w:val="21"/>
        </w:rPr>
        <w:t>至</w:t>
      </w:r>
      <w:r>
        <w:rPr>
          <w:rFonts w:hint="eastAsia" w:ascii="宋体" w:hAnsi="宋体" w:cs="宋体"/>
          <w:bCs/>
          <w:color w:val="auto"/>
          <w:kern w:val="0"/>
          <w:szCs w:val="21"/>
          <w:lang w:eastAsia="zh-CN"/>
        </w:rPr>
        <w:t>2025年</w:t>
      </w:r>
      <w:r>
        <w:rPr>
          <w:rFonts w:hint="eastAsia" w:ascii="宋体" w:hAnsi="宋体" w:cs="宋体"/>
          <w:bCs/>
          <w:color w:val="auto"/>
          <w:kern w:val="0"/>
          <w:szCs w:val="21"/>
          <w:lang w:val="en-US" w:eastAsia="zh-CN"/>
        </w:rPr>
        <w:t>6</w:t>
      </w:r>
      <w:r>
        <w:rPr>
          <w:rFonts w:hint="eastAsia" w:ascii="宋体" w:hAnsi="宋体" w:cs="宋体"/>
          <w:bCs/>
          <w:color w:val="auto"/>
          <w:kern w:val="0"/>
          <w:szCs w:val="21"/>
          <w:lang w:eastAsia="zh-CN"/>
        </w:rPr>
        <w:t>月</w:t>
      </w:r>
      <w:r>
        <w:rPr>
          <w:rFonts w:hint="eastAsia" w:ascii="宋体" w:hAnsi="宋体" w:cs="宋体"/>
          <w:bCs/>
          <w:color w:val="auto"/>
          <w:kern w:val="0"/>
          <w:szCs w:val="21"/>
          <w:lang w:val="en-US" w:eastAsia="zh-CN"/>
        </w:rPr>
        <w:t>20</w:t>
      </w:r>
      <w:r>
        <w:rPr>
          <w:rFonts w:hint="eastAsia" w:ascii="宋体" w:hAnsi="宋体" w:cs="宋体"/>
          <w:bCs/>
          <w:color w:val="auto"/>
          <w:kern w:val="0"/>
          <w:szCs w:val="21"/>
          <w:lang w:eastAsia="zh-CN"/>
        </w:rPr>
        <w:t>日</w:t>
      </w:r>
      <w:r>
        <w:rPr>
          <w:rFonts w:hint="eastAsia" w:ascii="宋体" w:hAnsi="宋体" w:cs="宋体"/>
          <w:bCs/>
          <w:color w:val="auto"/>
          <w:kern w:val="0"/>
          <w:szCs w:val="21"/>
        </w:rPr>
        <w:t>，每天上午00:00至11:59，下午12:00至23:59（北京时间，法定节假日除外）；</w:t>
      </w:r>
    </w:p>
    <w:p>
      <w:pPr>
        <w:spacing w:line="390" w:lineRule="exact"/>
        <w:ind w:firstLine="420" w:firstLineChars="200"/>
        <w:rPr>
          <w:rFonts w:hint="eastAsia" w:ascii="宋体" w:hAnsi="宋体" w:eastAsia="宋体" w:cs="宋体"/>
          <w:color w:val="auto"/>
          <w:szCs w:val="21"/>
          <w:lang w:eastAsia="zh-CN"/>
        </w:rPr>
      </w:pPr>
      <w:r>
        <w:rPr>
          <w:rFonts w:hint="eastAsia" w:ascii="宋体" w:hAnsi="宋体" w:cs="宋体"/>
          <w:bCs/>
          <w:color w:val="auto"/>
          <w:kern w:val="0"/>
          <w:szCs w:val="21"/>
        </w:rPr>
        <w:t>地点（网址）：</w:t>
      </w:r>
      <w:r>
        <w:rPr>
          <w:rFonts w:hint="eastAsia" w:ascii="宋体" w:hAnsi="宋体" w:cs="宋体"/>
          <w:color w:val="auto"/>
          <w:szCs w:val="21"/>
          <w:lang w:eastAsia="zh-CN"/>
        </w:rPr>
        <w:t>广西政府采购云平台（https://www.gcy.zfcg.gxzf.gov.cn/）</w:t>
      </w:r>
    </w:p>
    <w:p>
      <w:pPr>
        <w:pStyle w:val="13"/>
        <w:spacing w:line="390" w:lineRule="exact"/>
        <w:rPr>
          <w:rFonts w:hint="eastAsia" w:ascii="宋体" w:hAnsi="宋体" w:eastAsia="宋体" w:cs="宋体"/>
          <w:b/>
          <w:bCs/>
          <w:color w:val="auto"/>
          <w:sz w:val="24"/>
        </w:rPr>
      </w:pPr>
      <w:r>
        <w:rPr>
          <w:rFonts w:hint="eastAsia" w:ascii="宋体" w:hAnsi="宋体" w:cs="宋体"/>
          <w:color w:val="auto"/>
          <w:szCs w:val="21"/>
        </w:rPr>
        <w:t>　　方式：网上下载。本</w:t>
      </w:r>
      <w:r>
        <w:rPr>
          <w:rFonts w:hint="eastAsia" w:ascii="宋体" w:hAnsi="宋体" w:eastAsia="宋体" w:cs="宋体"/>
          <w:color w:val="auto"/>
          <w:szCs w:val="21"/>
        </w:rPr>
        <w:t>项目不发放纸质文件，潜在供应商可自行登录广西政府采购云平台下载</w:t>
      </w:r>
      <w:r>
        <w:rPr>
          <w:rFonts w:hint="eastAsia" w:ascii="宋体" w:hAnsi="宋体" w:cs="宋体"/>
          <w:color w:val="auto"/>
          <w:szCs w:val="21"/>
          <w:lang w:eastAsia="zh-CN"/>
        </w:rPr>
        <w:t>采购文件</w:t>
      </w:r>
      <w:r>
        <w:rPr>
          <w:rFonts w:hint="eastAsia" w:ascii="宋体" w:hAnsi="宋体" w:eastAsia="宋体" w:cs="宋体"/>
          <w:color w:val="auto"/>
          <w:szCs w:val="21"/>
        </w:rPr>
        <w:t>，电子</w:t>
      </w:r>
      <w:r>
        <w:rPr>
          <w:rFonts w:hint="eastAsia" w:ascii="宋体" w:hAnsi="宋体" w:cs="宋体"/>
          <w:color w:val="auto"/>
          <w:szCs w:val="21"/>
          <w:lang w:eastAsia="zh-CN"/>
        </w:rPr>
        <w:t>响应文件</w:t>
      </w:r>
      <w:r>
        <w:rPr>
          <w:rFonts w:hint="eastAsia" w:ascii="宋体" w:hAnsi="宋体" w:eastAsia="宋体" w:cs="宋体"/>
          <w:color w:val="auto"/>
          <w:szCs w:val="21"/>
        </w:rPr>
        <w:t>制作需要基于广西政府采购云平台获取的采购文件编制。</w:t>
      </w:r>
    </w:p>
    <w:p>
      <w:pPr>
        <w:snapToGrid w:val="0"/>
        <w:spacing w:line="39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售价（元）：0</w:t>
      </w:r>
    </w:p>
    <w:p>
      <w:pPr>
        <w:spacing w:line="390" w:lineRule="exact"/>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四、</w:t>
      </w:r>
      <w:bookmarkEnd w:id="39"/>
      <w:bookmarkEnd w:id="40"/>
      <w:bookmarkEnd w:id="41"/>
      <w:bookmarkEnd w:id="42"/>
      <w:r>
        <w:rPr>
          <w:rFonts w:hint="eastAsia" w:ascii="宋体" w:hAnsi="宋体" w:eastAsia="宋体" w:cs="宋体"/>
          <w:b/>
          <w:bCs/>
          <w:color w:val="auto"/>
          <w:sz w:val="24"/>
        </w:rPr>
        <w:t>响应文件提交</w:t>
      </w:r>
    </w:p>
    <w:p>
      <w:pPr>
        <w:spacing w:line="390" w:lineRule="exact"/>
        <w:ind w:firstLine="420" w:firstLineChars="200"/>
        <w:rPr>
          <w:rFonts w:hint="eastAsia" w:ascii="宋体" w:hAnsi="宋体" w:eastAsia="宋体" w:cs="宋体"/>
          <w:bCs/>
          <w:color w:val="auto"/>
          <w:szCs w:val="21"/>
        </w:rPr>
      </w:pPr>
      <w:r>
        <w:rPr>
          <w:rFonts w:hint="eastAsia" w:ascii="宋体" w:hAnsi="宋体" w:eastAsia="宋体" w:cs="宋体"/>
          <w:color w:val="auto"/>
          <w:szCs w:val="21"/>
        </w:rPr>
        <w:t>1、首次响应文件提交截止时间</w:t>
      </w:r>
      <w:r>
        <w:rPr>
          <w:rFonts w:hint="eastAsia" w:ascii="宋体" w:hAnsi="宋体" w:eastAsia="宋体" w:cs="宋体"/>
          <w:bCs/>
          <w:color w:val="auto"/>
          <w:szCs w:val="21"/>
        </w:rPr>
        <w:t>：</w:t>
      </w:r>
      <w:r>
        <w:rPr>
          <w:rFonts w:hint="eastAsia" w:ascii="宋体" w:hAnsi="宋体" w:cs="宋体"/>
          <w:bCs/>
          <w:color w:val="auto"/>
          <w:szCs w:val="21"/>
          <w:lang w:eastAsia="zh-CN"/>
        </w:rPr>
        <w:t>2025年</w:t>
      </w:r>
      <w:r>
        <w:rPr>
          <w:rFonts w:hint="eastAsia" w:ascii="宋体" w:hAnsi="宋体" w:cs="宋体"/>
          <w:bCs/>
          <w:color w:val="auto"/>
          <w:szCs w:val="21"/>
          <w:lang w:val="en-US" w:eastAsia="zh-CN"/>
        </w:rPr>
        <w:t>6</w:t>
      </w:r>
      <w:r>
        <w:rPr>
          <w:rFonts w:hint="eastAsia" w:ascii="宋体" w:hAnsi="宋体" w:cs="宋体"/>
          <w:bCs/>
          <w:color w:val="auto"/>
          <w:szCs w:val="21"/>
          <w:lang w:eastAsia="zh-CN"/>
        </w:rPr>
        <w:t>月</w:t>
      </w:r>
      <w:r>
        <w:rPr>
          <w:rFonts w:hint="eastAsia" w:ascii="宋体" w:hAnsi="宋体" w:cs="宋体"/>
          <w:bCs/>
          <w:color w:val="auto"/>
          <w:szCs w:val="21"/>
          <w:lang w:val="en-US" w:eastAsia="zh-CN"/>
        </w:rPr>
        <w:t>24</w:t>
      </w:r>
      <w:r>
        <w:rPr>
          <w:rFonts w:hint="eastAsia" w:ascii="宋体" w:hAnsi="宋体" w:cs="宋体"/>
          <w:bCs/>
          <w:color w:val="auto"/>
          <w:szCs w:val="21"/>
          <w:lang w:eastAsia="zh-CN"/>
        </w:rPr>
        <w:t>日</w:t>
      </w:r>
      <w:r>
        <w:rPr>
          <w:rFonts w:hint="eastAsia" w:ascii="宋体" w:hAnsi="宋体" w:eastAsia="宋体" w:cs="宋体"/>
          <w:bCs/>
          <w:color w:val="auto"/>
          <w:szCs w:val="21"/>
          <w:lang w:eastAsia="zh-CN"/>
        </w:rPr>
        <w:t>09:00:00</w:t>
      </w:r>
      <w:r>
        <w:rPr>
          <w:rFonts w:hint="eastAsia" w:ascii="宋体" w:hAnsi="宋体" w:eastAsia="宋体" w:cs="宋体"/>
          <w:bCs/>
          <w:color w:val="auto"/>
          <w:szCs w:val="21"/>
        </w:rPr>
        <w:t>（北京时间）</w:t>
      </w:r>
    </w:p>
    <w:p>
      <w:pPr>
        <w:spacing w:line="39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 xml:space="preserve">2、首次响应文件提交地点： </w:t>
      </w:r>
      <w:r>
        <w:rPr>
          <w:rFonts w:hint="eastAsia" w:ascii="宋体" w:hAnsi="宋体" w:eastAsia="宋体" w:cs="宋体"/>
          <w:color w:val="auto"/>
          <w:szCs w:val="21"/>
          <w:lang w:eastAsia="zh-CN"/>
        </w:rPr>
        <w:t>广西政府采购云平台（https://www.gcy.zfcg.gxzf.gov.cn/）</w:t>
      </w:r>
    </w:p>
    <w:p>
      <w:pPr>
        <w:spacing w:line="390" w:lineRule="exact"/>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五、开启（首次响应文件开启时间）</w:t>
      </w:r>
    </w:p>
    <w:p>
      <w:pPr>
        <w:spacing w:line="390" w:lineRule="exact"/>
        <w:ind w:firstLine="420" w:firstLineChars="200"/>
        <w:rPr>
          <w:rFonts w:hint="eastAsia" w:ascii="宋体" w:hAnsi="宋体" w:eastAsia="宋体" w:cs="宋体"/>
          <w:bCs/>
          <w:color w:val="auto"/>
          <w:szCs w:val="21"/>
        </w:rPr>
      </w:pPr>
      <w:r>
        <w:rPr>
          <w:rFonts w:hint="eastAsia" w:ascii="宋体" w:hAnsi="宋体" w:eastAsia="宋体" w:cs="宋体"/>
          <w:color w:val="auto"/>
          <w:szCs w:val="21"/>
        </w:rPr>
        <w:t>时间：</w:t>
      </w:r>
      <w:r>
        <w:rPr>
          <w:rFonts w:hint="eastAsia" w:ascii="宋体" w:hAnsi="宋体" w:cs="宋体"/>
          <w:color w:val="auto"/>
          <w:szCs w:val="21"/>
          <w:lang w:eastAsia="zh-CN"/>
        </w:rPr>
        <w:t>2025年</w:t>
      </w:r>
      <w:r>
        <w:rPr>
          <w:rFonts w:hint="eastAsia" w:ascii="宋体" w:hAnsi="宋体" w:cs="宋体"/>
          <w:color w:val="auto"/>
          <w:szCs w:val="21"/>
          <w:lang w:val="en-US" w:eastAsia="zh-CN"/>
        </w:rPr>
        <w:t>6</w:t>
      </w:r>
      <w:r>
        <w:rPr>
          <w:rFonts w:hint="eastAsia" w:ascii="宋体" w:hAnsi="宋体" w:cs="宋体"/>
          <w:color w:val="auto"/>
          <w:szCs w:val="21"/>
          <w:lang w:eastAsia="zh-CN"/>
        </w:rPr>
        <w:t>月</w:t>
      </w:r>
      <w:r>
        <w:rPr>
          <w:rFonts w:hint="eastAsia" w:ascii="宋体" w:hAnsi="宋体" w:cs="宋体"/>
          <w:color w:val="auto"/>
          <w:szCs w:val="21"/>
          <w:lang w:val="en-US" w:eastAsia="zh-CN"/>
        </w:rPr>
        <w:t>24</w:t>
      </w:r>
      <w:r>
        <w:rPr>
          <w:rFonts w:hint="eastAsia" w:ascii="宋体" w:hAnsi="宋体" w:cs="宋体"/>
          <w:color w:val="auto"/>
          <w:szCs w:val="21"/>
          <w:lang w:eastAsia="zh-CN"/>
        </w:rPr>
        <w:t>日</w:t>
      </w:r>
      <w:r>
        <w:rPr>
          <w:rFonts w:hint="eastAsia" w:ascii="宋体" w:hAnsi="宋体" w:eastAsia="宋体" w:cs="宋体"/>
          <w:color w:val="auto"/>
          <w:szCs w:val="21"/>
          <w:lang w:eastAsia="zh-CN"/>
        </w:rPr>
        <w:t>09:00:00</w:t>
      </w:r>
      <w:r>
        <w:rPr>
          <w:rFonts w:hint="eastAsia" w:ascii="宋体" w:hAnsi="宋体" w:eastAsia="宋体" w:cs="宋体"/>
          <w:bCs/>
          <w:color w:val="auto"/>
          <w:szCs w:val="21"/>
        </w:rPr>
        <w:t>（北京时间）</w:t>
      </w:r>
      <w:r>
        <w:rPr>
          <w:rFonts w:hint="eastAsia" w:ascii="宋体" w:hAnsi="宋体" w:eastAsia="宋体" w:cs="宋体"/>
          <w:color w:val="auto"/>
          <w:szCs w:val="21"/>
        </w:rPr>
        <w:t>后</w:t>
      </w:r>
    </w:p>
    <w:p>
      <w:pPr>
        <w:spacing w:line="390" w:lineRule="exact"/>
        <w:ind w:firstLine="420" w:firstLineChars="200"/>
        <w:rPr>
          <w:rFonts w:hint="eastAsia" w:ascii="宋体" w:hAnsi="宋体" w:eastAsia="宋体" w:cs="宋体"/>
          <w:bCs/>
          <w:color w:val="auto"/>
          <w:szCs w:val="21"/>
          <w:u w:val="single"/>
        </w:rPr>
      </w:pPr>
      <w:r>
        <w:rPr>
          <w:rFonts w:hint="eastAsia" w:ascii="宋体" w:hAnsi="宋体" w:eastAsia="宋体" w:cs="宋体"/>
          <w:color w:val="auto"/>
          <w:szCs w:val="21"/>
        </w:rPr>
        <w:t>地点：</w:t>
      </w:r>
      <w:r>
        <w:rPr>
          <w:rFonts w:hint="eastAsia" w:ascii="宋体" w:hAnsi="宋体" w:eastAsia="宋体" w:cs="宋体"/>
          <w:color w:val="auto"/>
          <w:szCs w:val="21"/>
          <w:lang w:eastAsia="zh-CN"/>
        </w:rPr>
        <w:t>广西政府采购云平台电子开标大厅</w:t>
      </w:r>
    </w:p>
    <w:p>
      <w:pPr>
        <w:spacing w:line="390" w:lineRule="exact"/>
        <w:ind w:firstLine="482" w:firstLineChars="200"/>
        <w:rPr>
          <w:rFonts w:hint="eastAsia" w:ascii="宋体" w:hAnsi="宋体" w:eastAsia="宋体" w:cs="宋体"/>
          <w:b/>
          <w:bCs/>
          <w:color w:val="auto"/>
          <w:sz w:val="24"/>
        </w:rPr>
      </w:pPr>
      <w:bookmarkStart w:id="43" w:name="_Toc35393794"/>
      <w:bookmarkStart w:id="44" w:name="_Toc28359084"/>
      <w:bookmarkStart w:id="45" w:name="_Toc28359007"/>
      <w:bookmarkStart w:id="46" w:name="_Toc35393625"/>
      <w:r>
        <w:rPr>
          <w:rFonts w:hint="eastAsia" w:ascii="宋体" w:hAnsi="宋体" w:eastAsia="宋体" w:cs="宋体"/>
          <w:b/>
          <w:bCs/>
          <w:color w:val="auto"/>
          <w:sz w:val="24"/>
        </w:rPr>
        <w:t>六、公告期限</w:t>
      </w:r>
      <w:bookmarkEnd w:id="43"/>
      <w:bookmarkEnd w:id="44"/>
      <w:bookmarkEnd w:id="45"/>
      <w:bookmarkEnd w:id="46"/>
    </w:p>
    <w:p>
      <w:pPr>
        <w:spacing w:line="390" w:lineRule="exact"/>
        <w:ind w:firstLine="420" w:firstLineChars="200"/>
        <w:rPr>
          <w:rFonts w:hint="eastAsia" w:ascii="宋体" w:hAnsi="宋体" w:eastAsia="宋体" w:cs="宋体"/>
          <w:color w:val="auto"/>
          <w:kern w:val="0"/>
          <w:szCs w:val="21"/>
        </w:rPr>
      </w:pPr>
      <w:r>
        <w:rPr>
          <w:rFonts w:hint="eastAsia" w:ascii="宋体" w:hAnsi="宋体" w:eastAsia="宋体" w:cs="宋体"/>
          <w:color w:val="auto"/>
          <w:kern w:val="0"/>
          <w:szCs w:val="21"/>
        </w:rPr>
        <w:t>自本公告发布之日起</w:t>
      </w:r>
      <w:r>
        <w:rPr>
          <w:rFonts w:hint="eastAsia" w:ascii="宋体" w:hAnsi="宋体" w:cs="宋体"/>
          <w:color w:val="auto"/>
          <w:kern w:val="0"/>
          <w:szCs w:val="21"/>
          <w:lang w:val="en-US" w:eastAsia="zh-CN"/>
        </w:rPr>
        <w:t>5</w:t>
      </w:r>
      <w:r>
        <w:rPr>
          <w:rFonts w:hint="eastAsia" w:ascii="宋体" w:hAnsi="宋体" w:eastAsia="宋体" w:cs="宋体"/>
          <w:color w:val="auto"/>
          <w:kern w:val="0"/>
          <w:szCs w:val="21"/>
        </w:rPr>
        <w:t>个工作日。</w:t>
      </w:r>
    </w:p>
    <w:p>
      <w:pPr>
        <w:spacing w:line="390" w:lineRule="exact"/>
        <w:ind w:firstLine="482" w:firstLineChars="200"/>
        <w:rPr>
          <w:rFonts w:hint="eastAsia" w:ascii="宋体" w:hAnsi="宋体" w:eastAsia="宋体" w:cs="宋体"/>
          <w:b/>
          <w:bCs/>
          <w:color w:val="auto"/>
          <w:sz w:val="24"/>
        </w:rPr>
      </w:pPr>
      <w:bookmarkStart w:id="47" w:name="_Toc35393626"/>
      <w:bookmarkStart w:id="48" w:name="_Toc35393795"/>
      <w:r>
        <w:rPr>
          <w:rFonts w:hint="eastAsia" w:ascii="宋体" w:hAnsi="宋体" w:eastAsia="宋体" w:cs="宋体"/>
          <w:b/>
          <w:bCs/>
          <w:color w:val="auto"/>
          <w:sz w:val="24"/>
        </w:rPr>
        <w:t>七、其他补充事宜</w:t>
      </w:r>
      <w:bookmarkEnd w:id="47"/>
      <w:bookmarkEnd w:id="48"/>
    </w:p>
    <w:p>
      <w:pPr>
        <w:spacing w:line="390" w:lineRule="exact"/>
        <w:ind w:firstLine="420" w:firstLineChars="200"/>
        <w:rPr>
          <w:rFonts w:hint="eastAsia" w:ascii="宋体" w:hAnsi="宋体" w:cs="宋体"/>
          <w:color w:val="auto"/>
          <w:kern w:val="0"/>
          <w:szCs w:val="21"/>
          <w:lang w:val="en-US" w:eastAsia="zh-CN"/>
        </w:rPr>
      </w:pPr>
      <w:bookmarkStart w:id="49" w:name="_Hlk37429585"/>
      <w:r>
        <w:rPr>
          <w:rFonts w:hint="eastAsia" w:ascii="宋体" w:hAnsi="宋体" w:cs="宋体"/>
          <w:color w:val="auto"/>
          <w:kern w:val="0"/>
          <w:szCs w:val="21"/>
          <w:lang w:val="en-US" w:eastAsia="zh-CN"/>
        </w:rPr>
        <w:t>1.磋商保证金：</w:t>
      </w:r>
    </w:p>
    <w:p>
      <w:pPr>
        <w:spacing w:line="390" w:lineRule="exact"/>
        <w:ind w:firstLine="420" w:firstLineChars="200"/>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磋商保证金金额：</w:t>
      </w:r>
      <w:r>
        <w:rPr>
          <w:rFonts w:hint="eastAsia" w:ascii="宋体" w:hAnsi="宋体" w:cs="宋体"/>
          <w:b/>
          <w:bCs/>
          <w:color w:val="auto"/>
          <w:kern w:val="0"/>
          <w:szCs w:val="21"/>
          <w:lang w:val="en-US" w:eastAsia="zh-CN"/>
        </w:rPr>
        <w:t>分标1：</w:t>
      </w:r>
      <w:r>
        <w:rPr>
          <w:rFonts w:hint="eastAsia" w:ascii="宋体" w:hAnsi="宋体" w:cs="宋体"/>
          <w:color w:val="auto"/>
          <w:kern w:val="0"/>
          <w:szCs w:val="21"/>
          <w:lang w:val="en-US" w:eastAsia="zh-CN"/>
        </w:rPr>
        <w:t>¥</w:t>
      </w:r>
      <w:bookmarkStart w:id="50" w:name="OLE_LINK27"/>
      <w:r>
        <w:rPr>
          <w:rFonts w:hint="eastAsia" w:ascii="宋体" w:hAnsi="宋体" w:cs="宋体"/>
          <w:color w:val="auto"/>
          <w:kern w:val="0"/>
          <w:szCs w:val="21"/>
          <w:lang w:val="en-US" w:eastAsia="zh-CN"/>
        </w:rPr>
        <w:t>5300</w:t>
      </w:r>
      <w:bookmarkEnd w:id="50"/>
      <w:r>
        <w:rPr>
          <w:rFonts w:hint="eastAsia" w:ascii="宋体" w:hAnsi="宋体" w:cs="宋体"/>
          <w:color w:val="auto"/>
          <w:kern w:val="0"/>
          <w:szCs w:val="21"/>
          <w:lang w:val="en-US" w:eastAsia="zh-CN"/>
        </w:rPr>
        <w:t>.00；</w:t>
      </w:r>
      <w:r>
        <w:rPr>
          <w:rFonts w:hint="eastAsia" w:ascii="宋体" w:hAnsi="宋体" w:cs="宋体"/>
          <w:b/>
          <w:bCs/>
          <w:color w:val="auto"/>
          <w:kern w:val="0"/>
          <w:szCs w:val="21"/>
          <w:lang w:val="en-US" w:eastAsia="zh-CN"/>
        </w:rPr>
        <w:t>分标2：</w:t>
      </w:r>
      <w:r>
        <w:rPr>
          <w:rFonts w:hint="eastAsia" w:ascii="宋体" w:hAnsi="宋体" w:cs="宋体"/>
          <w:color w:val="auto"/>
          <w:kern w:val="0"/>
          <w:szCs w:val="21"/>
          <w:lang w:val="en-US" w:eastAsia="zh-CN"/>
        </w:rPr>
        <w:t>¥5130.00；</w:t>
      </w:r>
      <w:r>
        <w:rPr>
          <w:rFonts w:hint="eastAsia" w:ascii="宋体" w:hAnsi="宋体" w:cs="宋体"/>
          <w:b/>
          <w:bCs/>
          <w:color w:val="auto"/>
          <w:kern w:val="0"/>
          <w:szCs w:val="21"/>
          <w:lang w:val="en-US" w:eastAsia="zh-CN"/>
        </w:rPr>
        <w:t>分标3：</w:t>
      </w:r>
      <w:r>
        <w:rPr>
          <w:rFonts w:hint="eastAsia" w:ascii="宋体" w:hAnsi="宋体" w:cs="宋体"/>
          <w:color w:val="auto"/>
          <w:kern w:val="0"/>
          <w:szCs w:val="21"/>
          <w:lang w:val="en-US" w:eastAsia="zh-CN"/>
        </w:rPr>
        <w:t>¥6630.00；</w:t>
      </w:r>
      <w:r>
        <w:rPr>
          <w:rFonts w:hint="eastAsia" w:ascii="宋体" w:hAnsi="宋体" w:cs="宋体"/>
          <w:b/>
          <w:bCs/>
          <w:color w:val="auto"/>
          <w:kern w:val="0"/>
          <w:szCs w:val="21"/>
          <w:lang w:val="en-US" w:eastAsia="zh-CN"/>
        </w:rPr>
        <w:t>分标4：</w:t>
      </w:r>
      <w:r>
        <w:rPr>
          <w:rFonts w:hint="eastAsia" w:ascii="宋体" w:hAnsi="宋体" w:cs="宋体"/>
          <w:color w:val="auto"/>
          <w:kern w:val="0"/>
          <w:szCs w:val="21"/>
          <w:lang w:val="en-US" w:eastAsia="zh-CN"/>
        </w:rPr>
        <w:t>¥2000.00；</w:t>
      </w:r>
      <w:r>
        <w:rPr>
          <w:rFonts w:hint="eastAsia" w:ascii="宋体" w:hAnsi="宋体" w:cs="宋体"/>
          <w:b/>
          <w:bCs/>
          <w:color w:val="auto"/>
          <w:kern w:val="0"/>
          <w:szCs w:val="21"/>
          <w:lang w:val="en-US" w:eastAsia="zh-CN"/>
        </w:rPr>
        <w:t>分标5：</w:t>
      </w:r>
      <w:r>
        <w:rPr>
          <w:rFonts w:hint="eastAsia" w:ascii="宋体" w:hAnsi="宋体" w:cs="宋体"/>
          <w:color w:val="auto"/>
          <w:kern w:val="0"/>
          <w:szCs w:val="21"/>
          <w:lang w:val="en-US" w:eastAsia="zh-CN"/>
        </w:rPr>
        <w:t>¥3400.00；</w:t>
      </w:r>
    </w:p>
    <w:p>
      <w:pPr>
        <w:spacing w:line="390" w:lineRule="exact"/>
        <w:ind w:firstLine="420" w:firstLineChars="200"/>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磋商保证金的缴纳方式：银行转账、支票、汇票、本票或者金融机构、担保机构出具的保函等非现金形式提交。采用银行转账方式的，在首次响应文件提交截止时间前交至采购代理机构指定账户并且到账；缴纳磋商保证金指定账户的信息：</w:t>
      </w:r>
    </w:p>
    <w:p>
      <w:pPr>
        <w:spacing w:line="390" w:lineRule="exact"/>
        <w:ind w:firstLine="420" w:firstLineChars="200"/>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开户名称：广西科联招标中心有限公司</w:t>
      </w:r>
    </w:p>
    <w:p>
      <w:pPr>
        <w:spacing w:line="390" w:lineRule="exact"/>
        <w:ind w:firstLine="420" w:firstLineChars="200"/>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开户银行：</w:t>
      </w:r>
      <w:bookmarkStart w:id="51" w:name="OLE_LINK29"/>
      <w:r>
        <w:rPr>
          <w:rFonts w:hint="eastAsia" w:ascii="宋体" w:hAnsi="宋体" w:cs="宋体"/>
          <w:color w:val="auto"/>
          <w:kern w:val="0"/>
          <w:szCs w:val="21"/>
          <w:lang w:val="en-US" w:eastAsia="zh-CN"/>
        </w:rPr>
        <w:t>招商银行南宁市金浦路支行</w:t>
      </w:r>
      <w:bookmarkEnd w:id="51"/>
    </w:p>
    <w:p>
      <w:pPr>
        <w:spacing w:line="390" w:lineRule="exact"/>
        <w:ind w:firstLine="420" w:firstLineChars="200"/>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银行账号：</w:t>
      </w:r>
    </w:p>
    <w:p>
      <w:pPr>
        <w:spacing w:line="390" w:lineRule="exact"/>
        <w:ind w:firstLine="422" w:firstLineChars="200"/>
        <w:rPr>
          <w:rFonts w:hint="eastAsia" w:ascii="宋体" w:hAnsi="宋体" w:cs="宋体"/>
          <w:color w:val="auto"/>
          <w:kern w:val="0"/>
          <w:szCs w:val="21"/>
          <w:lang w:val="en-US" w:eastAsia="zh-CN"/>
        </w:rPr>
      </w:pPr>
      <w:r>
        <w:rPr>
          <w:rFonts w:hint="eastAsia" w:ascii="宋体" w:hAnsi="宋体" w:cs="宋体"/>
          <w:b/>
          <w:bCs/>
          <w:color w:val="auto"/>
          <w:kern w:val="0"/>
          <w:szCs w:val="21"/>
          <w:lang w:val="en-US" w:eastAsia="zh-CN"/>
        </w:rPr>
        <w:t>分标1：</w:t>
      </w:r>
      <w:r>
        <w:rPr>
          <w:rFonts w:hint="eastAsia" w:ascii="宋体" w:hAnsi="宋体" w:cs="宋体"/>
          <w:color w:val="auto"/>
          <w:kern w:val="0"/>
          <w:szCs w:val="21"/>
          <w:lang w:val="en-US" w:eastAsia="zh-CN"/>
        </w:rPr>
        <w:t>7719011969103333000009291</w:t>
      </w:r>
    </w:p>
    <w:p>
      <w:pPr>
        <w:spacing w:line="390" w:lineRule="exact"/>
        <w:ind w:firstLine="422" w:firstLineChars="200"/>
        <w:rPr>
          <w:rFonts w:hint="eastAsia" w:ascii="宋体" w:hAnsi="宋体" w:cs="宋体"/>
          <w:color w:val="auto"/>
          <w:kern w:val="0"/>
          <w:szCs w:val="21"/>
          <w:lang w:val="en-US" w:eastAsia="zh-CN"/>
        </w:rPr>
      </w:pPr>
      <w:r>
        <w:rPr>
          <w:rFonts w:hint="eastAsia" w:ascii="宋体" w:hAnsi="宋体" w:cs="宋体"/>
          <w:b/>
          <w:bCs/>
          <w:color w:val="auto"/>
          <w:kern w:val="0"/>
          <w:szCs w:val="21"/>
          <w:lang w:val="en-US" w:eastAsia="zh-CN"/>
        </w:rPr>
        <w:t>分标2：</w:t>
      </w:r>
      <w:r>
        <w:rPr>
          <w:rFonts w:hint="eastAsia" w:ascii="宋体" w:hAnsi="宋体" w:cs="宋体"/>
          <w:color w:val="auto"/>
          <w:kern w:val="0"/>
          <w:szCs w:val="21"/>
          <w:lang w:val="en-US" w:eastAsia="zh-CN"/>
        </w:rPr>
        <w:t>7719011969103333000009292</w:t>
      </w:r>
    </w:p>
    <w:p>
      <w:pPr>
        <w:spacing w:line="390" w:lineRule="exact"/>
        <w:ind w:firstLine="422" w:firstLineChars="200"/>
        <w:rPr>
          <w:rFonts w:hint="eastAsia" w:ascii="宋体" w:hAnsi="宋体" w:cs="宋体"/>
          <w:color w:val="auto"/>
          <w:kern w:val="0"/>
          <w:szCs w:val="21"/>
          <w:lang w:val="en-US" w:eastAsia="zh-CN"/>
        </w:rPr>
      </w:pPr>
      <w:r>
        <w:rPr>
          <w:rFonts w:hint="eastAsia" w:ascii="宋体" w:hAnsi="宋体" w:cs="宋体"/>
          <w:b/>
          <w:bCs/>
          <w:color w:val="auto"/>
          <w:kern w:val="0"/>
          <w:szCs w:val="21"/>
          <w:lang w:val="en-US" w:eastAsia="zh-CN"/>
        </w:rPr>
        <w:t>分标3：</w:t>
      </w:r>
      <w:r>
        <w:rPr>
          <w:rFonts w:hint="eastAsia" w:ascii="宋体" w:hAnsi="宋体" w:cs="宋体"/>
          <w:color w:val="auto"/>
          <w:kern w:val="0"/>
          <w:szCs w:val="21"/>
          <w:lang w:val="en-US" w:eastAsia="zh-CN"/>
        </w:rPr>
        <w:t>7719011969103333000009293</w:t>
      </w:r>
    </w:p>
    <w:p>
      <w:pPr>
        <w:spacing w:line="390" w:lineRule="exact"/>
        <w:ind w:firstLine="422" w:firstLineChars="200"/>
        <w:rPr>
          <w:rFonts w:hint="eastAsia" w:ascii="宋体" w:hAnsi="宋体" w:cs="宋体"/>
          <w:color w:val="auto"/>
          <w:kern w:val="0"/>
          <w:szCs w:val="21"/>
          <w:lang w:val="en-US" w:eastAsia="zh-CN"/>
        </w:rPr>
      </w:pPr>
      <w:r>
        <w:rPr>
          <w:rFonts w:hint="eastAsia" w:ascii="宋体" w:hAnsi="宋体" w:cs="宋体"/>
          <w:b/>
          <w:bCs/>
          <w:color w:val="auto"/>
          <w:kern w:val="0"/>
          <w:szCs w:val="21"/>
          <w:lang w:val="en-US" w:eastAsia="zh-CN"/>
        </w:rPr>
        <w:t>分标4：</w:t>
      </w:r>
      <w:r>
        <w:rPr>
          <w:rFonts w:hint="eastAsia" w:ascii="宋体" w:hAnsi="宋体" w:cs="宋体"/>
          <w:color w:val="auto"/>
          <w:kern w:val="0"/>
          <w:szCs w:val="21"/>
          <w:lang w:val="en-US" w:eastAsia="zh-CN"/>
        </w:rPr>
        <w:t>7719011969103333000009294</w:t>
      </w:r>
    </w:p>
    <w:p>
      <w:pPr>
        <w:spacing w:line="390" w:lineRule="exact"/>
        <w:ind w:firstLine="422" w:firstLineChars="200"/>
        <w:rPr>
          <w:rFonts w:hint="eastAsia" w:ascii="宋体" w:hAnsi="宋体" w:cs="宋体"/>
          <w:color w:val="auto"/>
          <w:kern w:val="0"/>
          <w:szCs w:val="21"/>
          <w:lang w:val="en-US" w:eastAsia="zh-CN"/>
        </w:rPr>
      </w:pPr>
      <w:r>
        <w:rPr>
          <w:rFonts w:hint="eastAsia" w:ascii="宋体" w:hAnsi="宋体" w:cs="宋体"/>
          <w:b/>
          <w:bCs/>
          <w:color w:val="auto"/>
          <w:kern w:val="0"/>
          <w:szCs w:val="21"/>
          <w:lang w:val="en-US" w:eastAsia="zh-CN"/>
        </w:rPr>
        <w:t>分标5：</w:t>
      </w:r>
      <w:r>
        <w:rPr>
          <w:rFonts w:hint="eastAsia" w:ascii="宋体" w:hAnsi="宋体" w:cs="宋体"/>
          <w:color w:val="auto"/>
          <w:kern w:val="0"/>
          <w:szCs w:val="21"/>
          <w:lang w:val="en-US" w:eastAsia="zh-CN"/>
        </w:rPr>
        <w:t>7719011969103333000009295</w:t>
      </w:r>
    </w:p>
    <w:p>
      <w:pPr>
        <w:spacing w:line="390" w:lineRule="exact"/>
        <w:ind w:firstLine="420" w:firstLineChars="200"/>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开户行行号：308611000112</w:t>
      </w:r>
    </w:p>
    <w:p>
      <w:pPr>
        <w:spacing w:line="390" w:lineRule="exact"/>
        <w:ind w:firstLine="420" w:firstLineChars="200"/>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采用支票、汇票、本票或者保函等方式的，在首次响应文件提交截止时间前，供应商必须提交支票、汇票、本票或者保函（电子保函除外）等原件给采购代理机构。否则视为无效磋商保证金。</w:t>
      </w:r>
    </w:p>
    <w:p>
      <w:pPr>
        <w:spacing w:line="390" w:lineRule="exact"/>
        <w:ind w:firstLine="420" w:firstLineChars="200"/>
        <w:rPr>
          <w:rFonts w:hint="eastAsia" w:ascii="宋体" w:hAnsi="宋体" w:eastAsia="宋体" w:cs="宋体"/>
          <w:color w:val="auto"/>
          <w:kern w:val="0"/>
          <w:szCs w:val="21"/>
        </w:rPr>
      </w:pPr>
      <w:r>
        <w:rPr>
          <w:rFonts w:hint="eastAsia" w:ascii="宋体" w:hAnsi="宋体" w:cs="宋体"/>
          <w:color w:val="auto"/>
          <w:kern w:val="0"/>
          <w:szCs w:val="21"/>
          <w:lang w:val="en-US" w:eastAsia="zh-CN"/>
        </w:rPr>
        <w:t>2</w:t>
      </w:r>
      <w:r>
        <w:rPr>
          <w:rFonts w:hint="eastAsia" w:ascii="宋体" w:hAnsi="宋体" w:eastAsia="宋体" w:cs="宋体"/>
          <w:color w:val="auto"/>
          <w:kern w:val="0"/>
          <w:szCs w:val="21"/>
        </w:rPr>
        <w:t>.</w:t>
      </w:r>
      <w:bookmarkStart w:id="52" w:name="_Hlk37429595"/>
      <w:r>
        <w:rPr>
          <w:rFonts w:hint="eastAsia" w:ascii="宋体" w:hAnsi="宋体" w:eastAsia="宋体" w:cs="宋体"/>
          <w:color w:val="auto"/>
          <w:kern w:val="0"/>
          <w:szCs w:val="21"/>
        </w:rPr>
        <w:t>网上查询地址</w:t>
      </w:r>
    </w:p>
    <w:bookmarkEnd w:id="49"/>
    <w:bookmarkEnd w:id="52"/>
    <w:p>
      <w:pPr>
        <w:spacing w:line="390" w:lineRule="exact"/>
        <w:ind w:firstLine="420" w:firstLineChars="200"/>
        <w:rPr>
          <w:rFonts w:hint="eastAsia" w:ascii="宋体" w:hAnsi="宋体" w:eastAsia="宋体" w:cs="宋体"/>
          <w:color w:val="auto"/>
          <w:kern w:val="0"/>
          <w:szCs w:val="21"/>
        </w:rPr>
      </w:pPr>
      <w:bookmarkStart w:id="53" w:name="_Hlk37429674"/>
      <w:r>
        <w:rPr>
          <w:rFonts w:hint="eastAsia" w:ascii="宋体" w:hAnsi="宋体" w:eastAsia="宋体" w:cs="宋体"/>
          <w:color w:val="auto"/>
          <w:kern w:val="0"/>
          <w:szCs w:val="21"/>
        </w:rPr>
        <w:t>http://www.ccgp-guangxi.gov.cn/ (中国政府采购网广西分网)。</w:t>
      </w:r>
    </w:p>
    <w:bookmarkEnd w:id="53"/>
    <w:p>
      <w:pPr>
        <w:spacing w:line="390" w:lineRule="exact"/>
        <w:ind w:firstLine="420" w:firstLineChars="200"/>
        <w:rPr>
          <w:rFonts w:hint="eastAsia" w:ascii="宋体" w:hAnsi="宋体" w:cs="宋体"/>
          <w:color w:val="auto"/>
          <w:kern w:val="0"/>
          <w:szCs w:val="21"/>
        </w:rPr>
      </w:pPr>
      <w:r>
        <w:rPr>
          <w:rFonts w:hint="eastAsia" w:ascii="宋体" w:hAnsi="宋体" w:cs="宋体"/>
          <w:color w:val="auto"/>
          <w:kern w:val="0"/>
          <w:szCs w:val="21"/>
          <w:lang w:val="en-US" w:eastAsia="zh-CN"/>
        </w:rPr>
        <w:t>3</w:t>
      </w:r>
      <w:r>
        <w:rPr>
          <w:rFonts w:hint="eastAsia" w:ascii="宋体" w:hAnsi="宋体" w:cs="宋体"/>
          <w:color w:val="auto"/>
          <w:kern w:val="0"/>
          <w:szCs w:val="21"/>
        </w:rPr>
        <w:t>. 本项目需要落实的政府采购政策</w:t>
      </w:r>
    </w:p>
    <w:p>
      <w:pPr>
        <w:spacing w:line="390" w:lineRule="exact"/>
        <w:ind w:firstLine="420" w:firstLineChars="200"/>
        <w:rPr>
          <w:rFonts w:hint="eastAsia" w:ascii="宋体" w:hAnsi="宋体" w:cs="宋体"/>
          <w:color w:val="auto"/>
          <w:kern w:val="0"/>
          <w:szCs w:val="21"/>
        </w:rPr>
      </w:pPr>
      <w:r>
        <w:rPr>
          <w:rFonts w:hint="eastAsia" w:ascii="宋体" w:hAnsi="宋体" w:cs="宋体"/>
          <w:color w:val="auto"/>
          <w:kern w:val="0"/>
          <w:szCs w:val="21"/>
        </w:rPr>
        <w:t>（1）政府采购促进中小企业发展。</w:t>
      </w:r>
    </w:p>
    <w:p>
      <w:pPr>
        <w:spacing w:line="390" w:lineRule="exact"/>
        <w:ind w:firstLine="420" w:firstLineChars="200"/>
        <w:rPr>
          <w:rFonts w:hint="eastAsia" w:ascii="宋体" w:hAnsi="宋体" w:cs="宋体"/>
          <w:color w:val="auto"/>
          <w:kern w:val="0"/>
          <w:szCs w:val="21"/>
        </w:rPr>
      </w:pPr>
      <w:r>
        <w:rPr>
          <w:rFonts w:hint="eastAsia" w:ascii="宋体" w:hAnsi="宋体" w:cs="宋体"/>
          <w:color w:val="auto"/>
          <w:kern w:val="0"/>
          <w:szCs w:val="21"/>
        </w:rPr>
        <w:t>（2）政府采购支持采用本国产品的政策。</w:t>
      </w:r>
    </w:p>
    <w:p>
      <w:pPr>
        <w:spacing w:line="390" w:lineRule="exact"/>
        <w:ind w:firstLine="420" w:firstLineChars="200"/>
        <w:rPr>
          <w:rFonts w:hint="eastAsia" w:ascii="宋体" w:hAnsi="宋体" w:cs="宋体"/>
          <w:color w:val="auto"/>
          <w:kern w:val="0"/>
          <w:szCs w:val="21"/>
        </w:rPr>
      </w:pPr>
      <w:r>
        <w:rPr>
          <w:rFonts w:hint="eastAsia" w:ascii="宋体" w:hAnsi="宋体" w:cs="宋体"/>
          <w:color w:val="auto"/>
          <w:kern w:val="0"/>
          <w:szCs w:val="21"/>
        </w:rPr>
        <w:t>（3）强制采购节能产品；优先采购节能产品、环境标志产品。</w:t>
      </w:r>
    </w:p>
    <w:p>
      <w:pPr>
        <w:spacing w:line="390" w:lineRule="exact"/>
        <w:ind w:firstLine="420" w:firstLineChars="200"/>
        <w:rPr>
          <w:rFonts w:hint="eastAsia" w:ascii="宋体" w:hAnsi="宋体" w:cs="宋体"/>
          <w:color w:val="auto"/>
          <w:kern w:val="0"/>
          <w:szCs w:val="21"/>
        </w:rPr>
      </w:pPr>
      <w:r>
        <w:rPr>
          <w:rFonts w:hint="eastAsia" w:ascii="宋体" w:hAnsi="宋体" w:cs="宋体"/>
          <w:color w:val="auto"/>
          <w:kern w:val="0"/>
          <w:szCs w:val="21"/>
        </w:rPr>
        <w:t>（4）政府采购促进残疾人就业政策。</w:t>
      </w:r>
    </w:p>
    <w:p>
      <w:pPr>
        <w:spacing w:line="390" w:lineRule="exact"/>
        <w:ind w:firstLine="420" w:firstLineChars="200"/>
        <w:rPr>
          <w:rFonts w:hint="eastAsia" w:ascii="宋体" w:hAnsi="宋体" w:cs="宋体"/>
          <w:color w:val="auto"/>
          <w:kern w:val="0"/>
          <w:szCs w:val="21"/>
        </w:rPr>
      </w:pPr>
      <w:r>
        <w:rPr>
          <w:rFonts w:hint="eastAsia" w:ascii="宋体" w:hAnsi="宋体" w:cs="宋体"/>
          <w:color w:val="auto"/>
          <w:kern w:val="0"/>
          <w:szCs w:val="21"/>
        </w:rPr>
        <w:t>（5）政府采购支持监狱企业发展。</w:t>
      </w:r>
    </w:p>
    <w:p>
      <w:pPr>
        <w:spacing w:line="390" w:lineRule="exact"/>
        <w:ind w:firstLine="420" w:firstLineChars="200"/>
        <w:rPr>
          <w:rFonts w:hint="eastAsia" w:ascii="宋体" w:hAnsi="宋体" w:cs="宋体"/>
          <w:color w:val="auto"/>
          <w:kern w:val="0"/>
          <w:szCs w:val="21"/>
        </w:rPr>
      </w:pPr>
      <w:r>
        <w:rPr>
          <w:rFonts w:hint="eastAsia" w:ascii="宋体" w:hAnsi="宋体" w:cs="宋体"/>
          <w:color w:val="auto"/>
          <w:kern w:val="0"/>
          <w:szCs w:val="21"/>
          <w:lang w:val="en-US" w:eastAsia="zh-CN"/>
        </w:rPr>
        <w:t>4</w:t>
      </w:r>
      <w:r>
        <w:rPr>
          <w:rFonts w:hint="eastAsia" w:ascii="宋体" w:hAnsi="宋体" w:cs="宋体"/>
          <w:color w:val="auto"/>
          <w:kern w:val="0"/>
          <w:szCs w:val="21"/>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pPr>
        <w:spacing w:line="390" w:lineRule="exact"/>
        <w:ind w:firstLine="420" w:firstLineChars="200"/>
        <w:rPr>
          <w:rFonts w:hint="eastAsia" w:ascii="宋体" w:hAnsi="宋体" w:cs="宋体"/>
          <w:color w:val="auto"/>
          <w:kern w:val="0"/>
          <w:szCs w:val="21"/>
        </w:rPr>
      </w:pPr>
      <w:r>
        <w:rPr>
          <w:rFonts w:hint="eastAsia" w:ascii="宋体" w:hAnsi="宋体" w:cs="宋体"/>
          <w:color w:val="auto"/>
          <w:kern w:val="0"/>
          <w:szCs w:val="21"/>
          <w:lang w:val="en-US" w:eastAsia="zh-CN"/>
        </w:rPr>
        <w:t>5</w:t>
      </w:r>
      <w:r>
        <w:rPr>
          <w:rFonts w:hint="eastAsia" w:ascii="宋体" w:hAnsi="宋体" w:cs="宋体"/>
          <w:color w:val="auto"/>
          <w:kern w:val="0"/>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pPr>
        <w:spacing w:line="390" w:lineRule="exact"/>
        <w:ind w:firstLine="422" w:firstLineChars="200"/>
        <w:rPr>
          <w:rFonts w:hint="eastAsia" w:ascii="宋体" w:hAnsi="宋体" w:cs="宋体"/>
          <w:b/>
          <w:bCs/>
          <w:color w:val="auto"/>
          <w:kern w:val="0"/>
          <w:szCs w:val="21"/>
        </w:rPr>
      </w:pPr>
      <w:r>
        <w:rPr>
          <w:rFonts w:hint="eastAsia" w:ascii="宋体" w:hAnsi="宋体" w:cs="宋体"/>
          <w:b/>
          <w:bCs/>
          <w:color w:val="auto"/>
          <w:kern w:val="0"/>
          <w:szCs w:val="21"/>
          <w:lang w:val="en-US" w:eastAsia="zh-CN"/>
        </w:rPr>
        <w:t>6</w:t>
      </w:r>
      <w:r>
        <w:rPr>
          <w:rFonts w:hint="eastAsia" w:ascii="宋体" w:hAnsi="宋体" w:cs="宋体"/>
          <w:b/>
          <w:bCs/>
          <w:color w:val="auto"/>
          <w:kern w:val="0"/>
          <w:szCs w:val="21"/>
        </w:rPr>
        <w:t>.在线竞标的有关说明：</w:t>
      </w:r>
    </w:p>
    <w:p>
      <w:pPr>
        <w:spacing w:line="390" w:lineRule="exact"/>
        <w:ind w:firstLine="420" w:firstLineChars="200"/>
        <w:rPr>
          <w:rFonts w:hint="eastAsia" w:ascii="宋体" w:hAnsi="宋体" w:cs="宋体"/>
          <w:color w:val="auto"/>
          <w:kern w:val="0"/>
          <w:szCs w:val="21"/>
        </w:rPr>
      </w:pPr>
      <w:r>
        <w:rPr>
          <w:rFonts w:hint="eastAsia" w:ascii="宋体" w:hAnsi="宋体" w:cs="宋体"/>
          <w:color w:val="auto"/>
          <w:kern w:val="0"/>
          <w:szCs w:val="21"/>
        </w:rPr>
        <w:t>（1）响应文件提交方式：本项目为全流程电子化项目，通过</w:t>
      </w:r>
      <w:r>
        <w:rPr>
          <w:rFonts w:hint="eastAsia" w:ascii="宋体" w:hAnsi="宋体" w:cs="宋体"/>
          <w:color w:val="auto"/>
          <w:kern w:val="0"/>
          <w:szCs w:val="21"/>
          <w:lang w:eastAsia="zh-CN"/>
        </w:rPr>
        <w:t>广西政府采购云平台（https://www.gcy.zfcg.gxzf.gov.cn/）</w:t>
      </w:r>
      <w:r>
        <w:rPr>
          <w:rFonts w:hint="eastAsia" w:ascii="宋体" w:hAnsi="宋体" w:cs="宋体"/>
          <w:color w:val="auto"/>
          <w:kern w:val="0"/>
          <w:szCs w:val="21"/>
        </w:rPr>
        <w:t>实行在线电子响应，</w:t>
      </w:r>
      <w:r>
        <w:rPr>
          <w:rFonts w:hint="eastAsia"/>
          <w:color w:val="auto"/>
        </w:rPr>
        <w:t>供应商应先安装广西政府采购云平台新版客户端（新版客户端下载路径：广西政府采购网（访问地</w:t>
      </w:r>
      <w:r>
        <w:rPr>
          <w:rFonts w:hint="eastAsia" w:ascii="宋体" w:hAnsi="宋体" w:eastAsia="宋体" w:cs="宋体"/>
          <w:color w:val="auto"/>
        </w:rPr>
        <w:t>址http://zfcg.gxzf.gov.cn/</w:t>
      </w:r>
      <w:r>
        <w:rPr>
          <w:rFonts w:hint="eastAsia"/>
          <w:color w:val="auto"/>
        </w:rPr>
        <w:t>）—办事服务—下载专区</w:t>
      </w:r>
      <w:r>
        <w:rPr>
          <w:rFonts w:hint="eastAsia"/>
          <w:color w:val="auto"/>
          <w:lang w:eastAsia="zh-CN"/>
        </w:rPr>
        <w:t>）</w:t>
      </w:r>
      <w:r>
        <w:rPr>
          <w:rFonts w:hint="eastAsia" w:ascii="宋体" w:hAnsi="宋体" w:cs="宋体"/>
          <w:color w:val="auto"/>
          <w:kern w:val="0"/>
          <w:szCs w:val="21"/>
        </w:rPr>
        <w:t>，并按照本项目采购文件和</w:t>
      </w:r>
      <w:r>
        <w:rPr>
          <w:rFonts w:hint="eastAsia" w:ascii="宋体" w:hAnsi="宋体" w:cs="宋体"/>
          <w:color w:val="auto"/>
          <w:kern w:val="0"/>
          <w:szCs w:val="21"/>
          <w:lang w:eastAsia="zh-CN"/>
        </w:rPr>
        <w:t>广西政府采购云平台</w:t>
      </w:r>
      <w:r>
        <w:rPr>
          <w:rFonts w:hint="eastAsia" w:ascii="宋体" w:hAnsi="宋体" w:cs="宋体"/>
          <w:color w:val="auto"/>
          <w:kern w:val="0"/>
          <w:szCs w:val="21"/>
        </w:rPr>
        <w:t>的要求编制、加密后在响应文件提交截止时间前通过网络上传至</w:t>
      </w:r>
      <w:r>
        <w:rPr>
          <w:rFonts w:hint="eastAsia" w:ascii="宋体" w:hAnsi="宋体" w:cs="宋体"/>
          <w:color w:val="auto"/>
          <w:kern w:val="0"/>
          <w:szCs w:val="21"/>
          <w:lang w:eastAsia="zh-CN"/>
        </w:rPr>
        <w:t>广西政府采购云平台</w:t>
      </w:r>
      <w:r>
        <w:rPr>
          <w:rFonts w:hint="eastAsia" w:ascii="宋体" w:hAnsi="宋体" w:cs="宋体"/>
          <w:color w:val="auto"/>
          <w:kern w:val="0"/>
          <w:szCs w:val="21"/>
        </w:rPr>
        <w:t>，</w:t>
      </w:r>
      <w:r>
        <w:rPr>
          <w:rFonts w:hint="eastAsia" w:ascii="宋体" w:hAnsi="宋体" w:cs="宋体"/>
          <w:b/>
          <w:bCs/>
          <w:color w:val="auto"/>
          <w:kern w:val="0"/>
          <w:szCs w:val="21"/>
        </w:rPr>
        <w:t>供应商在</w:t>
      </w:r>
      <w:r>
        <w:rPr>
          <w:rFonts w:hint="eastAsia" w:ascii="宋体" w:hAnsi="宋体" w:cs="宋体"/>
          <w:b/>
          <w:bCs/>
          <w:color w:val="auto"/>
          <w:kern w:val="0"/>
          <w:szCs w:val="21"/>
          <w:lang w:eastAsia="zh-CN"/>
        </w:rPr>
        <w:t>广西政府采购云平台</w:t>
      </w:r>
      <w:r>
        <w:rPr>
          <w:rFonts w:hint="eastAsia" w:ascii="宋体" w:hAnsi="宋体" w:cs="宋体"/>
          <w:b/>
          <w:bCs/>
          <w:color w:val="auto"/>
          <w:kern w:val="0"/>
          <w:szCs w:val="21"/>
        </w:rPr>
        <w:t>提交电子版响应文件时，请填写参加远程开标活动经办人联系方式</w:t>
      </w:r>
      <w:r>
        <w:rPr>
          <w:rFonts w:hint="eastAsia" w:ascii="宋体" w:hAnsi="宋体" w:cs="宋体"/>
          <w:color w:val="auto"/>
          <w:kern w:val="0"/>
          <w:szCs w:val="21"/>
        </w:rPr>
        <w:t>。</w:t>
      </w:r>
    </w:p>
    <w:p>
      <w:pPr>
        <w:spacing w:line="390" w:lineRule="exact"/>
        <w:ind w:firstLine="420" w:firstLineChars="200"/>
        <w:rPr>
          <w:rFonts w:hint="eastAsia" w:ascii="宋体" w:hAnsi="宋体" w:cs="宋体"/>
          <w:color w:val="auto"/>
          <w:kern w:val="0"/>
          <w:szCs w:val="21"/>
        </w:rPr>
      </w:pPr>
      <w:r>
        <w:rPr>
          <w:rFonts w:hint="eastAsia" w:ascii="宋体" w:hAnsi="宋体" w:cs="宋体"/>
          <w:color w:val="auto"/>
          <w:kern w:val="0"/>
          <w:szCs w:val="21"/>
        </w:rPr>
        <w:t>（2）未进行网上注册并办理数字证书（CA认证）的供应商将无法参与本项目政府采购活动，潜在供应商应当在首次响应文件提交截止时间前，完成电子交易平台上的CA数字证书办理及响应文件的提交。</w:t>
      </w:r>
    </w:p>
    <w:p>
      <w:pPr>
        <w:spacing w:line="390" w:lineRule="exact"/>
        <w:ind w:firstLine="420" w:firstLineChars="200"/>
        <w:rPr>
          <w:rFonts w:hint="eastAsia" w:ascii="宋体" w:hAnsi="宋体" w:cs="宋体"/>
          <w:color w:val="auto"/>
          <w:kern w:val="0"/>
          <w:szCs w:val="21"/>
        </w:rPr>
      </w:pPr>
      <w:r>
        <w:rPr>
          <w:rFonts w:hint="eastAsia" w:ascii="宋体" w:hAnsi="宋体" w:cs="宋体"/>
          <w:color w:val="auto"/>
          <w:kern w:val="0"/>
          <w:szCs w:val="21"/>
        </w:rPr>
        <w:t>（3）为确保网上操作合法、有效和安全，请供应商确保在电子响应过程中能够对相关数据电文进行加密和使用电子签章，妥善保管CA数字证书并使用有效的CA数字证书参与整个采购活动。</w:t>
      </w:r>
    </w:p>
    <w:p>
      <w:pPr>
        <w:spacing w:line="390" w:lineRule="exact"/>
        <w:ind w:firstLine="422" w:firstLineChars="200"/>
        <w:rPr>
          <w:rFonts w:hint="eastAsia" w:ascii="宋体" w:hAnsi="宋体" w:cs="宋体"/>
          <w:b/>
          <w:bCs/>
          <w:color w:val="auto"/>
          <w:kern w:val="0"/>
          <w:szCs w:val="21"/>
        </w:rPr>
      </w:pPr>
      <w:r>
        <w:rPr>
          <w:rFonts w:hint="eastAsia" w:ascii="宋体" w:hAnsi="宋体" w:cs="宋体"/>
          <w:b/>
          <w:bCs/>
          <w:color w:val="auto"/>
          <w:kern w:val="0"/>
          <w:szCs w:val="21"/>
        </w:rPr>
        <w:t>注：供应商应当在首次响应文件提交截止时间前完成电子响应文件的上传、递交，响应文件提交截止时间前可以补充、修改或者撤回响应文件。补充或者修改响应文件的，应当先行撤回原文件，补充、修改后重新上传、递交。响应文件提交截止时间前未完成上传、递交的，视为撤回响应文件。响应文件提交截止时间以后上传递交的响应文件的，</w:t>
      </w:r>
      <w:r>
        <w:rPr>
          <w:rFonts w:hint="eastAsia" w:ascii="宋体" w:hAnsi="宋体" w:cs="宋体"/>
          <w:b/>
          <w:bCs/>
          <w:color w:val="auto"/>
          <w:kern w:val="0"/>
          <w:szCs w:val="21"/>
          <w:lang w:eastAsia="zh-CN"/>
        </w:rPr>
        <w:t>广西政府采购云平台</w:t>
      </w:r>
      <w:r>
        <w:rPr>
          <w:rFonts w:hint="eastAsia" w:ascii="宋体" w:hAnsi="宋体" w:cs="宋体"/>
          <w:b/>
          <w:bCs/>
          <w:color w:val="auto"/>
          <w:kern w:val="0"/>
          <w:szCs w:val="21"/>
        </w:rPr>
        <w:t>将予以拒收。</w:t>
      </w:r>
    </w:p>
    <w:p>
      <w:pPr>
        <w:spacing w:line="390" w:lineRule="exact"/>
        <w:ind w:firstLine="420" w:firstLineChars="200"/>
        <w:rPr>
          <w:rFonts w:hint="eastAsia" w:ascii="宋体" w:hAnsi="宋体" w:cs="宋体"/>
          <w:color w:val="auto"/>
          <w:kern w:val="0"/>
          <w:szCs w:val="21"/>
        </w:rPr>
      </w:pPr>
      <w:r>
        <w:rPr>
          <w:rFonts w:hint="eastAsia" w:ascii="宋体" w:hAnsi="宋体" w:cs="宋体"/>
          <w:color w:val="auto"/>
          <w:kern w:val="0"/>
          <w:szCs w:val="21"/>
        </w:rPr>
        <w:t>（4）CA证书在线解密：首次响应文件开启时，需要供应商携带制作响应文件时用来加密的有效数字证书（CA认证）登录</w:t>
      </w:r>
      <w:r>
        <w:rPr>
          <w:rFonts w:hint="eastAsia" w:ascii="宋体" w:hAnsi="宋体" w:cs="宋体"/>
          <w:color w:val="auto"/>
          <w:kern w:val="0"/>
          <w:szCs w:val="21"/>
          <w:lang w:eastAsia="zh-CN"/>
        </w:rPr>
        <w:t>广西政府采购云平台</w:t>
      </w:r>
      <w:r>
        <w:rPr>
          <w:rFonts w:hint="eastAsia" w:ascii="宋体" w:hAnsi="宋体" w:cs="宋体"/>
          <w:color w:val="auto"/>
          <w:kern w:val="0"/>
          <w:szCs w:val="21"/>
        </w:rPr>
        <w:t>电子开标大厅现场按规定时间对加密的响应文件进行解密。</w:t>
      </w:r>
    </w:p>
    <w:p>
      <w:pPr>
        <w:spacing w:line="390" w:lineRule="exact"/>
        <w:ind w:firstLine="420" w:firstLineChars="200"/>
        <w:rPr>
          <w:rFonts w:hint="eastAsia" w:ascii="宋体" w:hAnsi="宋体" w:cs="宋体"/>
          <w:color w:val="auto"/>
          <w:kern w:val="0"/>
          <w:szCs w:val="21"/>
        </w:rPr>
      </w:pPr>
      <w:r>
        <w:rPr>
          <w:rFonts w:hint="eastAsia" w:ascii="宋体" w:hAnsi="宋体" w:cs="宋体"/>
          <w:color w:val="auto"/>
          <w:kern w:val="0"/>
          <w:szCs w:val="21"/>
        </w:rPr>
        <w:t>（5）供应商需要在具备有摄像头及语音功能且互联网网络状况良好的电脑登录</w:t>
      </w:r>
      <w:r>
        <w:rPr>
          <w:rFonts w:hint="eastAsia" w:ascii="宋体" w:hAnsi="宋体" w:cs="宋体"/>
          <w:color w:val="auto"/>
          <w:kern w:val="0"/>
          <w:szCs w:val="21"/>
          <w:lang w:eastAsia="zh-CN"/>
        </w:rPr>
        <w:t>广西政府采购云平台</w:t>
      </w:r>
      <w:r>
        <w:rPr>
          <w:rFonts w:hint="eastAsia" w:ascii="宋体" w:hAnsi="宋体" w:cs="宋体"/>
          <w:color w:val="auto"/>
          <w:kern w:val="0"/>
          <w:szCs w:val="21"/>
        </w:rPr>
        <w:t>远程开标大厅参与本次磋商，否则后果自负。</w:t>
      </w:r>
    </w:p>
    <w:p>
      <w:pPr>
        <w:spacing w:line="390" w:lineRule="exact"/>
        <w:ind w:firstLine="420" w:firstLineChars="200"/>
        <w:rPr>
          <w:rFonts w:hint="eastAsia" w:ascii="宋体" w:hAnsi="宋体" w:cs="宋体"/>
          <w:color w:val="auto"/>
          <w:kern w:val="0"/>
          <w:szCs w:val="21"/>
        </w:rPr>
      </w:pPr>
      <w:r>
        <w:rPr>
          <w:rFonts w:hint="eastAsia" w:ascii="宋体" w:hAnsi="宋体" w:cs="宋体"/>
          <w:color w:val="auto"/>
          <w:kern w:val="0"/>
          <w:szCs w:val="21"/>
          <w:lang w:val="en-US" w:eastAsia="zh-CN"/>
        </w:rPr>
        <w:t>7</w:t>
      </w:r>
      <w:r>
        <w:rPr>
          <w:rFonts w:hint="eastAsia" w:ascii="宋体" w:hAnsi="宋体" w:cs="宋体"/>
          <w:color w:val="auto"/>
          <w:kern w:val="0"/>
          <w:szCs w:val="21"/>
        </w:rPr>
        <w:t>. 若对项目采购电子交易系统操作有疑问，可登录</w:t>
      </w:r>
      <w:r>
        <w:rPr>
          <w:rFonts w:hint="eastAsia" w:ascii="宋体" w:hAnsi="宋体" w:cs="宋体"/>
          <w:color w:val="auto"/>
          <w:kern w:val="0"/>
          <w:szCs w:val="21"/>
          <w:lang w:eastAsia="zh-CN"/>
        </w:rPr>
        <w:t>广西政府采购云平台（https://www.gcy.zfcg.gxzf.gov.cn/）</w:t>
      </w:r>
      <w:r>
        <w:rPr>
          <w:rFonts w:hint="eastAsia" w:ascii="宋体" w:hAnsi="宋体" w:cs="宋体"/>
          <w:color w:val="auto"/>
          <w:kern w:val="0"/>
          <w:szCs w:val="21"/>
        </w:rPr>
        <w:t>，点击右侧咨询小采，获取采小蜜智能服务管家帮助，或拨打</w:t>
      </w:r>
      <w:r>
        <w:rPr>
          <w:rFonts w:hint="eastAsia" w:ascii="宋体" w:hAnsi="宋体" w:cs="宋体"/>
          <w:color w:val="auto"/>
          <w:kern w:val="0"/>
          <w:szCs w:val="21"/>
          <w:lang w:eastAsia="zh-CN"/>
        </w:rPr>
        <w:t>广西政府采购云平台</w:t>
      </w:r>
      <w:r>
        <w:rPr>
          <w:rFonts w:hint="eastAsia" w:ascii="宋体" w:hAnsi="宋体" w:cs="宋体"/>
          <w:color w:val="auto"/>
          <w:kern w:val="0"/>
          <w:szCs w:val="21"/>
        </w:rPr>
        <w:t xml:space="preserve">服务热线95763获取热线服务帮助。 </w:t>
      </w:r>
    </w:p>
    <w:p>
      <w:pPr>
        <w:spacing w:line="390" w:lineRule="exact"/>
        <w:ind w:firstLine="482" w:firstLineChars="200"/>
        <w:rPr>
          <w:rFonts w:hint="eastAsia" w:ascii="黑体" w:hAnsi="黑体" w:eastAsia="黑体" w:cs="宋体"/>
          <w:bCs/>
          <w:color w:val="auto"/>
          <w:sz w:val="24"/>
        </w:rPr>
      </w:pPr>
      <w:r>
        <w:rPr>
          <w:rFonts w:hint="eastAsia" w:ascii="黑体" w:hAnsi="黑体" w:eastAsia="黑体" w:cs="宋体"/>
          <w:b/>
          <w:color w:val="auto"/>
          <w:kern w:val="44"/>
          <w:sz w:val="24"/>
        </w:rPr>
        <w:t>八、凡对本次采购提出询问，请按</w:t>
      </w:r>
      <w:r>
        <w:rPr>
          <w:rFonts w:ascii="黑体" w:hAnsi="黑体" w:eastAsia="黑体" w:cs="宋体"/>
          <w:b/>
          <w:color w:val="auto"/>
          <w:kern w:val="44"/>
          <w:sz w:val="24"/>
        </w:rPr>
        <w:t>以下方式</w:t>
      </w:r>
      <w:r>
        <w:rPr>
          <w:rFonts w:hint="eastAsia" w:ascii="黑体" w:hAnsi="黑体" w:eastAsia="黑体" w:cs="宋体"/>
          <w:b/>
          <w:color w:val="auto"/>
          <w:kern w:val="44"/>
          <w:sz w:val="24"/>
        </w:rPr>
        <w:t>联系。</w:t>
      </w:r>
    </w:p>
    <w:p>
      <w:pPr>
        <w:spacing w:line="360" w:lineRule="auto"/>
        <w:ind w:firstLine="420" w:firstLineChars="200"/>
        <w:rPr>
          <w:rFonts w:ascii="宋体" w:hAnsi="宋体" w:eastAsia="宋体" w:cs="宋体"/>
          <w:color w:val="auto"/>
          <w:kern w:val="0"/>
          <w:szCs w:val="21"/>
        </w:rPr>
      </w:pPr>
      <w:r>
        <w:rPr>
          <w:rFonts w:hint="eastAsia" w:ascii="宋体" w:hAnsi="宋体" w:eastAsia="宋体" w:cs="宋体"/>
          <w:color w:val="auto"/>
          <w:kern w:val="0"/>
          <w:szCs w:val="21"/>
        </w:rPr>
        <w:t>1.采购人信息</w:t>
      </w:r>
    </w:p>
    <w:p>
      <w:pPr>
        <w:spacing w:line="360" w:lineRule="auto"/>
        <w:ind w:firstLine="630" w:firstLineChars="300"/>
        <w:rPr>
          <w:rFonts w:hint="eastAsia" w:ascii="宋体" w:hAnsi="宋体" w:eastAsia="宋体" w:cs="宋体"/>
          <w:color w:val="auto"/>
          <w:kern w:val="0"/>
          <w:szCs w:val="21"/>
          <w:lang w:eastAsia="zh-CN"/>
        </w:rPr>
      </w:pPr>
      <w:r>
        <w:rPr>
          <w:rFonts w:hint="eastAsia" w:ascii="宋体" w:hAnsi="宋体" w:eastAsia="宋体" w:cs="宋体"/>
          <w:color w:val="auto"/>
          <w:kern w:val="0"/>
          <w:szCs w:val="21"/>
        </w:rPr>
        <w:t>名称：</w:t>
      </w:r>
      <w:r>
        <w:rPr>
          <w:rFonts w:hint="eastAsia" w:ascii="宋体" w:hAnsi="宋体" w:cs="宋体"/>
          <w:color w:val="auto"/>
          <w:kern w:val="0"/>
          <w:szCs w:val="21"/>
          <w:lang w:eastAsia="zh-CN"/>
        </w:rPr>
        <w:t>广西壮族自治区统计局数据管理中心</w:t>
      </w:r>
    </w:p>
    <w:p>
      <w:pPr>
        <w:spacing w:line="360" w:lineRule="auto"/>
        <w:ind w:firstLine="630" w:firstLineChars="300"/>
        <w:rPr>
          <w:rFonts w:hint="eastAsia" w:ascii="宋体" w:hAnsi="宋体" w:eastAsia="宋体" w:cs="宋体"/>
          <w:color w:val="auto"/>
          <w:kern w:val="0"/>
          <w:szCs w:val="21"/>
          <w:lang w:eastAsia="zh-CN"/>
        </w:rPr>
      </w:pPr>
      <w:r>
        <w:rPr>
          <w:rFonts w:hint="eastAsia" w:ascii="宋体" w:hAnsi="宋体" w:eastAsia="宋体" w:cs="宋体"/>
          <w:color w:val="auto"/>
          <w:kern w:val="0"/>
          <w:szCs w:val="21"/>
        </w:rPr>
        <w:t>地址：</w:t>
      </w:r>
      <w:r>
        <w:rPr>
          <w:rFonts w:hint="eastAsia" w:ascii="宋体" w:hAnsi="宋体" w:cs="宋体"/>
          <w:color w:val="auto"/>
          <w:kern w:val="0"/>
          <w:szCs w:val="21"/>
          <w:lang w:eastAsia="zh-CN"/>
        </w:rPr>
        <w:t>南宁市兴宁区建宁路6号</w:t>
      </w:r>
    </w:p>
    <w:p>
      <w:pPr>
        <w:spacing w:line="360" w:lineRule="auto"/>
        <w:ind w:firstLine="630" w:firstLineChars="300"/>
        <w:rPr>
          <w:rFonts w:hint="eastAsia" w:ascii="宋体" w:hAnsi="宋体" w:eastAsia="宋体" w:cs="宋体"/>
          <w:color w:val="auto"/>
          <w:kern w:val="0"/>
          <w:szCs w:val="21"/>
          <w:lang w:eastAsia="zh-CN"/>
        </w:rPr>
      </w:pPr>
      <w:r>
        <w:rPr>
          <w:rFonts w:hint="eastAsia" w:ascii="宋体" w:hAnsi="宋体" w:eastAsia="宋体" w:cs="宋体"/>
          <w:color w:val="auto"/>
          <w:kern w:val="0"/>
          <w:szCs w:val="21"/>
        </w:rPr>
        <w:t>项目联系人：</w:t>
      </w:r>
      <w:r>
        <w:rPr>
          <w:rFonts w:hint="eastAsia" w:ascii="宋体" w:hAnsi="宋体" w:cs="宋体"/>
          <w:color w:val="auto"/>
          <w:kern w:val="0"/>
          <w:szCs w:val="21"/>
          <w:lang w:eastAsia="zh-CN"/>
        </w:rPr>
        <w:t>石健</w:t>
      </w:r>
    </w:p>
    <w:p>
      <w:pPr>
        <w:spacing w:line="360" w:lineRule="auto"/>
        <w:ind w:firstLine="630" w:firstLineChars="300"/>
        <w:rPr>
          <w:rFonts w:hint="default" w:ascii="宋体" w:hAnsi="宋体" w:eastAsia="宋体" w:cs="宋体"/>
          <w:color w:val="auto"/>
          <w:kern w:val="0"/>
          <w:szCs w:val="21"/>
          <w:lang w:val="en-US" w:eastAsia="zh-CN"/>
        </w:rPr>
      </w:pPr>
      <w:r>
        <w:rPr>
          <w:rFonts w:hint="eastAsia" w:ascii="宋体" w:hAnsi="宋体" w:eastAsia="宋体" w:cs="宋体"/>
          <w:color w:val="auto"/>
          <w:kern w:val="0"/>
          <w:szCs w:val="21"/>
        </w:rPr>
        <w:t>项目联系方式：</w:t>
      </w:r>
      <w:r>
        <w:rPr>
          <w:rFonts w:hint="eastAsia" w:ascii="宋体" w:hAnsi="宋体" w:cs="宋体"/>
          <w:color w:val="auto"/>
          <w:kern w:val="0"/>
          <w:szCs w:val="21"/>
          <w:lang w:eastAsia="zh-CN"/>
        </w:rPr>
        <w:t>0771-5874201</w:t>
      </w:r>
    </w:p>
    <w:p>
      <w:pPr>
        <w:spacing w:line="360" w:lineRule="auto"/>
        <w:ind w:firstLine="420" w:firstLineChars="200"/>
        <w:rPr>
          <w:rFonts w:ascii="宋体" w:hAnsi="宋体" w:eastAsia="宋体" w:cs="宋体"/>
          <w:color w:val="auto"/>
          <w:kern w:val="0"/>
          <w:szCs w:val="21"/>
        </w:rPr>
      </w:pPr>
      <w:r>
        <w:rPr>
          <w:rFonts w:hint="eastAsia" w:ascii="宋体" w:hAnsi="宋体" w:eastAsia="宋体" w:cs="宋体"/>
          <w:color w:val="auto"/>
          <w:kern w:val="0"/>
          <w:szCs w:val="21"/>
        </w:rPr>
        <w:t>2.采购代理机构信息</w:t>
      </w:r>
    </w:p>
    <w:p>
      <w:pPr>
        <w:spacing w:line="360" w:lineRule="auto"/>
        <w:ind w:firstLine="630" w:firstLineChars="300"/>
        <w:rPr>
          <w:rFonts w:ascii="宋体" w:hAnsi="宋体" w:eastAsia="宋体" w:cs="宋体"/>
          <w:color w:val="auto"/>
          <w:kern w:val="0"/>
          <w:szCs w:val="21"/>
        </w:rPr>
      </w:pPr>
      <w:r>
        <w:rPr>
          <w:rFonts w:hint="eastAsia" w:ascii="宋体" w:hAnsi="宋体" w:eastAsia="宋体" w:cs="宋体"/>
          <w:color w:val="auto"/>
          <w:kern w:val="0"/>
          <w:szCs w:val="21"/>
        </w:rPr>
        <w:t>名称：</w:t>
      </w:r>
      <w:bookmarkStart w:id="54" w:name="PO_3000001866_PM031_1"/>
      <w:r>
        <w:rPr>
          <w:rFonts w:hint="eastAsia" w:ascii="宋体" w:hAnsi="宋体" w:eastAsia="宋体" w:cs="宋体"/>
          <w:color w:val="auto"/>
          <w:kern w:val="0"/>
          <w:szCs w:val="21"/>
        </w:rPr>
        <w:t>广西科联招标中心有限公司</w:t>
      </w:r>
      <w:bookmarkEnd w:id="54"/>
    </w:p>
    <w:p>
      <w:pPr>
        <w:spacing w:line="360" w:lineRule="auto"/>
        <w:ind w:firstLine="630" w:firstLineChars="300"/>
        <w:rPr>
          <w:rFonts w:ascii="宋体" w:hAnsi="宋体" w:eastAsia="宋体" w:cs="宋体"/>
          <w:color w:val="auto"/>
          <w:kern w:val="0"/>
          <w:szCs w:val="21"/>
        </w:rPr>
      </w:pPr>
      <w:r>
        <w:rPr>
          <w:rFonts w:hint="eastAsia" w:ascii="宋体" w:hAnsi="宋体" w:eastAsia="宋体" w:cs="宋体"/>
          <w:color w:val="auto"/>
          <w:kern w:val="0"/>
          <w:szCs w:val="21"/>
        </w:rPr>
        <w:t>地址：</w:t>
      </w:r>
      <w:bookmarkStart w:id="55" w:name="PO_3000001866_PM035_1"/>
      <w:r>
        <w:rPr>
          <w:rFonts w:hint="eastAsia" w:ascii="宋体" w:hAnsi="宋体" w:eastAsia="宋体" w:cs="宋体"/>
          <w:color w:val="auto"/>
          <w:kern w:val="0"/>
          <w:szCs w:val="21"/>
        </w:rPr>
        <w:t>广西南宁市大学东路170号</w:t>
      </w:r>
      <w:bookmarkEnd w:id="55"/>
    </w:p>
    <w:p>
      <w:pPr>
        <w:spacing w:line="360" w:lineRule="auto"/>
        <w:ind w:firstLine="630" w:firstLineChars="300"/>
        <w:rPr>
          <w:rFonts w:ascii="宋体" w:hAnsi="宋体" w:eastAsia="宋体" w:cs="宋体"/>
          <w:color w:val="auto"/>
          <w:kern w:val="0"/>
          <w:szCs w:val="21"/>
        </w:rPr>
      </w:pPr>
      <w:r>
        <w:rPr>
          <w:rFonts w:hint="eastAsia" w:ascii="宋体" w:hAnsi="宋体" w:eastAsia="宋体" w:cs="宋体"/>
          <w:color w:val="auto"/>
          <w:kern w:val="0"/>
          <w:szCs w:val="21"/>
        </w:rPr>
        <w:t>项目联系人：</w:t>
      </w:r>
      <w:r>
        <w:rPr>
          <w:rFonts w:hint="eastAsia" w:ascii="宋体" w:hAnsi="宋体" w:cs="宋体"/>
          <w:color w:val="auto"/>
          <w:kern w:val="0"/>
          <w:szCs w:val="21"/>
          <w:lang w:val="en-US" w:eastAsia="zh-CN"/>
        </w:rPr>
        <w:t>欧明聪、</w:t>
      </w:r>
      <w:r>
        <w:rPr>
          <w:rFonts w:hint="eastAsia" w:ascii="宋体" w:hAnsi="宋体" w:eastAsia="宋体" w:cs="宋体"/>
          <w:color w:val="auto"/>
          <w:kern w:val="0"/>
          <w:szCs w:val="21"/>
        </w:rPr>
        <w:t>韦毅锋</w:t>
      </w:r>
    </w:p>
    <w:p>
      <w:pPr>
        <w:spacing w:line="360" w:lineRule="auto"/>
        <w:ind w:firstLine="630" w:firstLineChars="300"/>
        <w:rPr>
          <w:rFonts w:hint="default" w:eastAsia="宋体"/>
          <w:color w:val="auto"/>
          <w:sz w:val="32"/>
          <w:szCs w:val="32"/>
          <w:lang w:val="en-US" w:eastAsia="zh-CN"/>
        </w:rPr>
      </w:pPr>
      <w:r>
        <w:rPr>
          <w:rFonts w:hint="eastAsia" w:ascii="宋体" w:hAnsi="宋体" w:eastAsia="宋体" w:cs="宋体"/>
          <w:color w:val="auto"/>
          <w:kern w:val="0"/>
          <w:szCs w:val="21"/>
        </w:rPr>
        <w:t>项目联系方式：0771-</w:t>
      </w:r>
      <w:r>
        <w:rPr>
          <w:rFonts w:hint="eastAsia" w:ascii="宋体" w:hAnsi="宋体" w:cs="宋体"/>
          <w:color w:val="auto"/>
          <w:kern w:val="0"/>
          <w:szCs w:val="21"/>
          <w:lang w:val="en-US" w:eastAsia="zh-CN"/>
        </w:rPr>
        <w:t>3482237</w:t>
      </w:r>
    </w:p>
    <w:p>
      <w:pPr>
        <w:rPr>
          <w:rFonts w:hint="eastAsia" w:ascii="Cambria" w:hAnsi="Cambria"/>
          <w:bCs w:val="0"/>
          <w:color w:val="auto"/>
          <w:sz w:val="32"/>
          <w:szCs w:val="32"/>
        </w:rPr>
      </w:pPr>
      <w:bookmarkStart w:id="56" w:name="_Toc26836"/>
      <w:bookmarkStart w:id="57" w:name="_Toc11093"/>
      <w:bookmarkStart w:id="58" w:name="_Toc9127"/>
      <w:bookmarkStart w:id="59" w:name="_Toc7184"/>
      <w:bookmarkStart w:id="60" w:name="_Toc80886926"/>
      <w:bookmarkStart w:id="61" w:name="_Toc22325"/>
      <w:bookmarkStart w:id="62" w:name="_Toc25520"/>
      <w:bookmarkStart w:id="63" w:name="_Toc22760"/>
      <w:r>
        <w:rPr>
          <w:rFonts w:hint="eastAsia" w:ascii="Cambria" w:hAnsi="Cambria"/>
          <w:bCs w:val="0"/>
          <w:color w:val="auto"/>
          <w:sz w:val="32"/>
          <w:szCs w:val="32"/>
        </w:rPr>
        <w:br w:type="page"/>
      </w:r>
    </w:p>
    <w:p>
      <w:pPr>
        <w:pStyle w:val="2"/>
        <w:spacing w:before="100" w:after="90" w:line="240" w:lineRule="auto"/>
        <w:jc w:val="center"/>
        <w:rPr>
          <w:rFonts w:hint="eastAsia" w:ascii="Cambria" w:hAnsi="Cambria"/>
          <w:bCs w:val="0"/>
          <w:color w:val="auto"/>
          <w:sz w:val="32"/>
          <w:szCs w:val="32"/>
        </w:rPr>
      </w:pPr>
      <w:r>
        <w:rPr>
          <w:rFonts w:hint="eastAsia" w:ascii="Cambria" w:hAnsi="Cambria"/>
          <w:bCs w:val="0"/>
          <w:color w:val="auto"/>
          <w:sz w:val="32"/>
          <w:szCs w:val="32"/>
        </w:rPr>
        <w:t>第二章 采购需求</w:t>
      </w:r>
      <w:bookmarkEnd w:id="56"/>
      <w:bookmarkEnd w:id="57"/>
      <w:bookmarkEnd w:id="58"/>
      <w:bookmarkEnd w:id="59"/>
      <w:bookmarkEnd w:id="60"/>
      <w:bookmarkEnd w:id="61"/>
      <w:bookmarkEnd w:id="62"/>
    </w:p>
    <w:bookmarkEnd w:id="63"/>
    <w:p>
      <w:pPr>
        <w:spacing w:line="450" w:lineRule="exact"/>
        <w:jc w:val="left"/>
        <w:rPr>
          <w:rFonts w:hint="eastAsia" w:cs="宋体"/>
          <w:b/>
          <w:bCs/>
          <w:color w:val="auto"/>
          <w:szCs w:val="21"/>
        </w:rPr>
      </w:pPr>
      <w:r>
        <w:rPr>
          <w:rFonts w:hint="eastAsia" w:cs="宋体"/>
          <w:b/>
          <w:bCs/>
          <w:color w:val="auto"/>
          <w:szCs w:val="21"/>
        </w:rPr>
        <w:t>说明：</w:t>
      </w:r>
    </w:p>
    <w:p>
      <w:pPr>
        <w:spacing w:line="450" w:lineRule="exact"/>
        <w:ind w:firstLine="420" w:firstLineChars="200"/>
        <w:jc w:val="left"/>
        <w:rPr>
          <w:rFonts w:hint="eastAsia" w:ascii="宋体" w:hAnsi="宋体" w:cs="宋体"/>
          <w:color w:val="auto"/>
          <w:szCs w:val="21"/>
        </w:rPr>
      </w:pPr>
      <w:r>
        <w:rPr>
          <w:rFonts w:hint="eastAsia" w:ascii="宋体" w:hAnsi="宋体" w:cs="宋体"/>
          <w:color w:val="auto"/>
        </w:rPr>
        <w:t>1、为落实政府采购政策需满足的要求：</w:t>
      </w:r>
    </w:p>
    <w:p>
      <w:pPr>
        <w:spacing w:line="450" w:lineRule="exact"/>
        <w:ind w:firstLine="420" w:firstLineChars="200"/>
        <w:jc w:val="left"/>
        <w:rPr>
          <w:rFonts w:hint="eastAsia" w:ascii="宋体" w:hAnsi="宋体" w:cs="宋体"/>
          <w:color w:val="auto"/>
          <w:szCs w:val="21"/>
        </w:rPr>
      </w:pPr>
      <w:r>
        <w:rPr>
          <w:rFonts w:hint="eastAsia" w:ascii="宋体" w:hAnsi="宋体" w:cs="宋体"/>
          <w:color w:val="auto"/>
          <w:szCs w:val="21"/>
        </w:rPr>
        <w:t>（1）本竞争性磋商文件所称中小企业必须符合《政府采购促进中小企业发展管理办法》（财库〔2020〕46号）的规定。</w:t>
      </w:r>
    </w:p>
    <w:p>
      <w:pPr>
        <w:spacing w:line="450" w:lineRule="exact"/>
        <w:ind w:firstLine="420" w:firstLineChars="200"/>
        <w:jc w:val="left"/>
        <w:rPr>
          <w:rFonts w:hint="eastAsia" w:ascii="宋体" w:hAnsi="宋体" w:cs="宋体"/>
          <w:color w:val="auto"/>
          <w:szCs w:val="21"/>
        </w:rPr>
      </w:pPr>
      <w:r>
        <w:rPr>
          <w:rFonts w:hint="eastAsia" w:ascii="宋体" w:hAnsi="宋体" w:cs="宋体"/>
          <w:color w:val="auto"/>
          <w:szCs w:val="21"/>
        </w:rPr>
        <w:t>（2）服务项目中包含货物的，根据《财政部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有效期内的节能产品认证证书复印件（加盖供应商公章），</w:t>
      </w:r>
      <w:r>
        <w:rPr>
          <w:rFonts w:hint="eastAsia" w:ascii="宋体" w:hAnsi="宋体" w:cs="宋体"/>
          <w:b/>
          <w:bCs/>
          <w:color w:val="auto"/>
          <w:szCs w:val="21"/>
        </w:rPr>
        <w:t>否则响应文件按无效处理</w:t>
      </w:r>
      <w:r>
        <w:rPr>
          <w:rFonts w:hint="eastAsia" w:ascii="宋体" w:hAnsi="宋体" w:cs="宋体"/>
          <w:color w:val="auto"/>
          <w:szCs w:val="21"/>
        </w:rPr>
        <w:t xml:space="preserve">。如本项目包含的配套货物属于品目清单内非标注“★”的产品时，应优先采购，具体详见“第四章 </w:t>
      </w:r>
      <w:r>
        <w:rPr>
          <w:rStyle w:val="40"/>
          <w:rFonts w:hint="eastAsia" w:ascii="宋体" w:hAnsi="宋体" w:cs="宋体"/>
          <w:color w:val="auto"/>
        </w:rPr>
        <w:t>评审程序、评审方法和评审标准</w:t>
      </w:r>
      <w:r>
        <w:rPr>
          <w:rFonts w:hint="eastAsia" w:ascii="宋体" w:hAnsi="宋体" w:cs="宋体"/>
          <w:color w:val="auto"/>
          <w:szCs w:val="21"/>
        </w:rPr>
        <w:t>”。</w:t>
      </w:r>
    </w:p>
    <w:p>
      <w:pPr>
        <w:spacing w:line="450" w:lineRule="exact"/>
        <w:ind w:firstLine="413" w:firstLineChars="196"/>
        <w:rPr>
          <w:rFonts w:hint="eastAsia" w:ascii="宋体" w:hAnsi="宋体" w:cs="宋体"/>
          <w:b/>
          <w:bCs/>
          <w:color w:val="auto"/>
          <w:szCs w:val="21"/>
        </w:rPr>
      </w:pPr>
      <w:r>
        <w:rPr>
          <w:rFonts w:hint="eastAsia" w:ascii="宋体" w:hAnsi="宋体" w:cs="宋体"/>
          <w:b/>
          <w:bCs/>
          <w:color w:val="auto"/>
          <w:szCs w:val="21"/>
        </w:rPr>
        <w:t>2、“实质性要求”是指磋商文件中已经指明不满足响应文件则按无效响应处理的条款，或者不能负偏离的条款，或者采购需求中带“▲”的条款。</w:t>
      </w:r>
    </w:p>
    <w:p>
      <w:pPr>
        <w:pStyle w:val="13"/>
        <w:spacing w:line="450" w:lineRule="exact"/>
        <w:ind w:firstLine="420" w:firstLineChars="200"/>
        <w:rPr>
          <w:rFonts w:hint="eastAsia" w:ascii="宋体" w:hAnsi="宋体" w:cs="宋体"/>
          <w:color w:val="auto"/>
        </w:rPr>
      </w:pPr>
      <w:r>
        <w:rPr>
          <w:rFonts w:hint="eastAsia" w:ascii="宋体" w:hAnsi="宋体" w:cs="宋体"/>
          <w:color w:val="auto"/>
        </w:rPr>
        <w:t>3、如竞标产品存在侵犯他人的知识产权或者专利成果行为的，应承担相应法律责任。</w:t>
      </w:r>
    </w:p>
    <w:p>
      <w:pPr>
        <w:pStyle w:val="13"/>
        <w:spacing w:line="450" w:lineRule="exact"/>
        <w:ind w:firstLine="420" w:firstLineChars="200"/>
        <w:rPr>
          <w:rFonts w:hint="eastAsia"/>
          <w:color w:val="auto"/>
        </w:rPr>
      </w:pPr>
      <w:r>
        <w:rPr>
          <w:rFonts w:hint="eastAsia" w:ascii="宋体" w:hAnsi="宋体" w:cs="宋体"/>
          <w:color w:val="auto"/>
          <w:szCs w:val="21"/>
        </w:rPr>
        <w:t>4、</w:t>
      </w:r>
      <w:r>
        <w:rPr>
          <w:rFonts w:hint="eastAsia"/>
          <w:color w:val="auto"/>
        </w:rPr>
        <w:t>供应商必须自行为其竞标产品侵犯他人的知识产权或者专利成果的行为承担相应法律责任。</w:t>
      </w:r>
    </w:p>
    <w:p>
      <w:pPr>
        <w:pStyle w:val="13"/>
        <w:spacing w:line="450" w:lineRule="exact"/>
        <w:ind w:firstLine="420" w:firstLineChars="200"/>
        <w:rPr>
          <w:rFonts w:hint="default" w:ascii="宋体" w:hAnsi="宋体" w:eastAsia="宋体" w:cs="宋体"/>
          <w:b w:val="0"/>
          <w:bCs w:val="0"/>
          <w:i/>
          <w:iCs/>
          <w:color w:val="auto"/>
          <w:u w:val="none"/>
          <w:lang w:val="en-US" w:eastAsia="zh-CN"/>
        </w:rPr>
      </w:pPr>
      <w:r>
        <w:rPr>
          <w:rFonts w:hint="eastAsia" w:ascii="宋体" w:hAnsi="宋体" w:cs="宋体"/>
          <w:color w:val="auto"/>
        </w:rPr>
        <w:t>5、本项目采购标的对应的中小企业划分标准所属行业名称：</w:t>
      </w:r>
      <w:r>
        <w:rPr>
          <w:rFonts w:hint="eastAsia" w:ascii="宋体" w:hAnsi="宋体" w:cs="宋体"/>
          <w:b/>
          <w:bCs/>
          <w:color w:val="auto"/>
          <w:szCs w:val="21"/>
          <w:u w:val="single"/>
          <w:lang w:val="en-US" w:eastAsia="zh-CN"/>
        </w:rPr>
        <w:t>软件和信息技术服务业</w:t>
      </w:r>
      <w:r>
        <w:rPr>
          <w:rFonts w:hint="eastAsia" w:ascii="宋体" w:hAnsi="宋体" w:cs="宋体"/>
          <w:b w:val="0"/>
          <w:bCs w:val="0"/>
          <w:color w:val="auto"/>
          <w:szCs w:val="21"/>
          <w:u w:val="none"/>
          <w:lang w:val="en-US" w:eastAsia="zh-CN"/>
        </w:rPr>
        <w:t>。中小企业划分标准详见本章附件1。</w:t>
      </w:r>
    </w:p>
    <w:p>
      <w:pPr>
        <w:pStyle w:val="13"/>
        <w:spacing w:line="450" w:lineRule="exact"/>
        <w:rPr>
          <w:rFonts w:hint="eastAsia" w:ascii="宋体" w:hAnsi="宋体" w:cs="宋体"/>
          <w:i/>
          <w:iCs/>
          <w:color w:val="auto"/>
          <w:u w:val="single"/>
        </w:rPr>
      </w:pPr>
    </w:p>
    <w:tbl>
      <w:tblPr>
        <w:tblStyle w:val="32"/>
        <w:tblW w:w="9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
        <w:gridCol w:w="596"/>
        <w:gridCol w:w="1136"/>
        <w:gridCol w:w="944"/>
        <w:gridCol w:w="6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9650" w:type="dxa"/>
            <w:gridSpan w:val="5"/>
            <w:tcBorders>
              <w:top w:val="single" w:color="auto" w:sz="4" w:space="0"/>
              <w:left w:val="single" w:color="auto" w:sz="4" w:space="0"/>
              <w:bottom w:val="single" w:color="auto" w:sz="4" w:space="0"/>
              <w:right w:val="single" w:color="auto" w:sz="4" w:space="0"/>
            </w:tcBorders>
            <w:vAlign w:val="center"/>
          </w:tcPr>
          <w:p>
            <w:pPr>
              <w:spacing w:line="380" w:lineRule="exact"/>
              <w:jc w:val="left"/>
              <w:rPr>
                <w:rFonts w:hint="eastAsia" w:ascii="宋体" w:hAnsi="宋体" w:eastAsia="宋体" w:cs="宋体"/>
                <w:color w:val="auto"/>
                <w:szCs w:val="21"/>
                <w:lang w:eastAsia="zh-CN"/>
              </w:rPr>
            </w:pPr>
            <w:r>
              <w:rPr>
                <w:rFonts w:hint="eastAsia" w:ascii="宋体" w:hAnsi="宋体" w:cs="宋体"/>
                <w:b/>
                <w:bCs/>
                <w:color w:val="auto"/>
                <w:szCs w:val="21"/>
              </w:rPr>
              <w:t>分标：</w:t>
            </w:r>
            <w:r>
              <w:rPr>
                <w:rFonts w:hint="eastAsia" w:ascii="宋体" w:hAnsi="宋体" w:cs="宋体"/>
                <w:b/>
                <w:bCs/>
                <w:color w:val="auto"/>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423" w:type="dxa"/>
            <w:vMerge w:val="restart"/>
            <w:tcBorders>
              <w:top w:val="single" w:color="auto" w:sz="4" w:space="0"/>
            </w:tcBorders>
            <w:vAlign w:val="center"/>
          </w:tcPr>
          <w:p>
            <w:pPr>
              <w:spacing w:line="380" w:lineRule="exact"/>
              <w:jc w:val="center"/>
              <w:rPr>
                <w:rFonts w:hint="eastAsia" w:ascii="宋体" w:hAnsi="宋体" w:cs="宋体"/>
                <w:b/>
                <w:bCs/>
                <w:color w:val="auto"/>
                <w:szCs w:val="21"/>
              </w:rPr>
            </w:pPr>
            <w:r>
              <w:rPr>
                <w:rFonts w:hint="eastAsia" w:ascii="宋体" w:hAnsi="宋体" w:cs="宋体"/>
                <w:b/>
                <w:bCs/>
                <w:color w:val="auto"/>
                <w:szCs w:val="21"/>
              </w:rPr>
              <w:t>需求一览表</w:t>
            </w:r>
          </w:p>
        </w:tc>
        <w:tc>
          <w:tcPr>
            <w:tcW w:w="596" w:type="dxa"/>
            <w:tcBorders>
              <w:top w:val="single" w:color="auto" w:sz="4" w:space="0"/>
            </w:tcBorders>
            <w:vAlign w:val="center"/>
          </w:tcPr>
          <w:p>
            <w:pPr>
              <w:spacing w:line="380" w:lineRule="exact"/>
              <w:jc w:val="center"/>
              <w:rPr>
                <w:rFonts w:hint="eastAsia" w:ascii="宋体" w:hAnsi="宋体" w:cs="宋体"/>
                <w:color w:val="auto"/>
                <w:szCs w:val="21"/>
              </w:rPr>
            </w:pPr>
            <w:r>
              <w:rPr>
                <w:rFonts w:hint="eastAsia" w:ascii="宋体" w:hAnsi="宋体" w:cs="宋体"/>
                <w:color w:val="auto"/>
                <w:szCs w:val="21"/>
              </w:rPr>
              <w:t>序号</w:t>
            </w:r>
          </w:p>
        </w:tc>
        <w:tc>
          <w:tcPr>
            <w:tcW w:w="1136" w:type="dxa"/>
            <w:tcBorders>
              <w:top w:val="single" w:color="auto" w:sz="4" w:space="0"/>
            </w:tcBorders>
            <w:vAlign w:val="center"/>
          </w:tcPr>
          <w:p>
            <w:pPr>
              <w:spacing w:line="380" w:lineRule="exact"/>
              <w:jc w:val="center"/>
              <w:rPr>
                <w:rFonts w:hint="eastAsia" w:ascii="宋体" w:hAnsi="宋体" w:cs="宋体"/>
                <w:color w:val="auto"/>
                <w:szCs w:val="21"/>
              </w:rPr>
            </w:pPr>
            <w:r>
              <w:rPr>
                <w:rFonts w:hint="eastAsia" w:ascii="宋体" w:hAnsi="宋体" w:cs="宋体"/>
                <w:color w:val="auto"/>
                <w:szCs w:val="21"/>
              </w:rPr>
              <w:t>标的名称</w:t>
            </w:r>
          </w:p>
        </w:tc>
        <w:tc>
          <w:tcPr>
            <w:tcW w:w="944" w:type="dxa"/>
            <w:tcBorders>
              <w:top w:val="single" w:color="auto" w:sz="4" w:space="0"/>
            </w:tcBorders>
            <w:vAlign w:val="center"/>
          </w:tcPr>
          <w:p>
            <w:pPr>
              <w:spacing w:line="380" w:lineRule="exact"/>
              <w:jc w:val="center"/>
              <w:rPr>
                <w:rFonts w:hint="eastAsia" w:ascii="宋体" w:hAnsi="宋体" w:cs="宋体"/>
                <w:color w:val="auto"/>
                <w:szCs w:val="21"/>
              </w:rPr>
            </w:pPr>
            <w:r>
              <w:rPr>
                <w:rFonts w:hint="eastAsia" w:ascii="宋体" w:hAnsi="宋体" w:cs="宋体"/>
                <w:color w:val="auto"/>
                <w:szCs w:val="21"/>
              </w:rPr>
              <w:t>数量及单位</w:t>
            </w:r>
          </w:p>
        </w:tc>
        <w:tc>
          <w:tcPr>
            <w:tcW w:w="6551" w:type="dxa"/>
            <w:tcBorders>
              <w:top w:val="single" w:color="auto" w:sz="4" w:space="0"/>
            </w:tcBorders>
            <w:vAlign w:val="center"/>
          </w:tcPr>
          <w:p>
            <w:pPr>
              <w:spacing w:line="380" w:lineRule="exact"/>
              <w:jc w:val="center"/>
              <w:rPr>
                <w:rFonts w:hint="eastAsia" w:ascii="宋体" w:hAnsi="宋体" w:eastAsia="宋体" w:cs="宋体"/>
                <w:color w:val="auto"/>
                <w:szCs w:val="21"/>
                <w:lang w:eastAsia="zh-CN"/>
              </w:rPr>
            </w:pPr>
            <w:r>
              <w:rPr>
                <w:rFonts w:hint="eastAsia" w:ascii="宋体" w:hAnsi="宋体" w:cs="宋体"/>
                <w:color w:val="auto"/>
                <w:szCs w:val="21"/>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3" w:type="dxa"/>
            <w:vMerge w:val="continue"/>
            <w:vAlign w:val="center"/>
          </w:tcPr>
          <w:p>
            <w:pPr>
              <w:spacing w:line="380" w:lineRule="exact"/>
              <w:jc w:val="center"/>
              <w:rPr>
                <w:rFonts w:hint="eastAsia" w:ascii="宋体" w:hAnsi="宋体" w:cs="宋体"/>
                <w:color w:val="auto"/>
                <w:szCs w:val="21"/>
              </w:rPr>
            </w:pPr>
          </w:p>
        </w:tc>
        <w:tc>
          <w:tcPr>
            <w:tcW w:w="596" w:type="dxa"/>
            <w:vAlign w:val="center"/>
          </w:tcPr>
          <w:p>
            <w:pPr>
              <w:spacing w:line="380" w:lineRule="exact"/>
              <w:jc w:val="center"/>
              <w:rPr>
                <w:rFonts w:hint="eastAsia" w:ascii="宋体" w:hAnsi="宋体" w:cs="宋体"/>
                <w:color w:val="auto"/>
                <w:szCs w:val="21"/>
              </w:rPr>
            </w:pPr>
            <w:r>
              <w:rPr>
                <w:rFonts w:hint="eastAsia" w:ascii="宋体" w:hAnsi="宋体" w:cs="宋体"/>
                <w:color w:val="auto"/>
                <w:szCs w:val="21"/>
              </w:rPr>
              <w:t>1</w:t>
            </w:r>
          </w:p>
        </w:tc>
        <w:tc>
          <w:tcPr>
            <w:tcW w:w="1136" w:type="dxa"/>
            <w:vAlign w:val="center"/>
          </w:tcPr>
          <w:p>
            <w:pPr>
              <w:pageBreakBefore w:val="0"/>
              <w:kinsoku/>
              <w:wordWrap/>
              <w:overflowPunct/>
              <w:topLinePunct w:val="0"/>
              <w:autoSpaceDE/>
              <w:autoSpaceDN/>
              <w:bidi w:val="0"/>
              <w:snapToGrid w:val="0"/>
              <w:spacing w:line="240" w:lineRule="auto"/>
              <w:jc w:val="center"/>
              <w:outlineLvl w:val="0"/>
              <w:rPr>
                <w:rFonts w:hint="eastAsia" w:ascii="宋体" w:hAnsi="宋体" w:cs="宋体"/>
                <w:color w:val="auto"/>
                <w:szCs w:val="21"/>
              </w:rPr>
            </w:pPr>
            <w:r>
              <w:rPr>
                <w:rFonts w:hint="eastAsia" w:ascii="宋体" w:hAnsi="宋体" w:cs="宋体"/>
                <w:color w:val="auto"/>
                <w:szCs w:val="21"/>
              </w:rPr>
              <w:t>统计信息化基础设施运维服务</w:t>
            </w:r>
          </w:p>
        </w:tc>
        <w:tc>
          <w:tcPr>
            <w:tcW w:w="944" w:type="dxa"/>
            <w:vAlign w:val="center"/>
          </w:tcPr>
          <w:p>
            <w:pPr>
              <w:pageBreakBefore w:val="0"/>
              <w:kinsoku/>
              <w:wordWrap/>
              <w:overflowPunct/>
              <w:topLinePunct w:val="0"/>
              <w:autoSpaceDE/>
              <w:autoSpaceDN/>
              <w:bidi w:val="0"/>
              <w:snapToGrid w:val="0"/>
              <w:spacing w:line="240" w:lineRule="auto"/>
              <w:jc w:val="center"/>
              <w:outlineLvl w:val="0"/>
              <w:rPr>
                <w:rFonts w:hint="default" w:ascii="宋体" w:hAnsi="宋体" w:eastAsia="宋体" w:cs="宋体"/>
                <w:color w:val="auto"/>
                <w:szCs w:val="21"/>
                <w:lang w:val="en-US" w:eastAsia="zh-CN"/>
              </w:rPr>
            </w:pPr>
            <w:bookmarkStart w:id="64" w:name="OLE_LINK23"/>
            <w:r>
              <w:rPr>
                <w:rFonts w:hint="eastAsia" w:ascii="宋体" w:hAnsi="宋体" w:cs="宋体"/>
                <w:color w:val="auto"/>
                <w:szCs w:val="21"/>
                <w:lang w:val="en-US" w:eastAsia="zh-CN"/>
              </w:rPr>
              <w:t>1项</w:t>
            </w:r>
            <w:bookmarkEnd w:id="64"/>
          </w:p>
        </w:tc>
        <w:tc>
          <w:tcPr>
            <w:tcW w:w="6551"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380" w:lineRule="exact"/>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运维及驻场服务</w:t>
            </w:r>
          </w:p>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380" w:lineRule="exact"/>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▲为采购人的系统平台提供各类信息技术服务，主要包括：</w:t>
            </w:r>
          </w:p>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380" w:lineRule="exact"/>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1、信息化机房运维服务：</w:t>
            </w:r>
          </w:p>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380" w:lineRule="exact"/>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1.1为采购人中心机房的空调系统、动力环境监控系统、七氟丙烷气体消防系统、防雷接地保护系统、配电系统、机房综合布线、视频安防监控系统等机房基础环境提供例行检查及状态监控、响应支持、故障处理、查线打标等服务。</w:t>
            </w:r>
          </w:p>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380" w:lineRule="exact"/>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1.2要求提供不少于1年2次的机房清洁服务，包括机房静电地板、设备机柜、机柜设备表面等设施的清洁除尘工作。</w:t>
            </w:r>
          </w:p>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380" w:lineRule="exact"/>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1.3提供不少于1年4次的机房空调主机除尘、外机清洗、更换过滤网易耗品件工作。</w:t>
            </w:r>
          </w:p>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380" w:lineRule="exact"/>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1.4提供不少于1年4次的UPS不间断电源系统蓄电池的内阻检测，并形成报告。</w:t>
            </w:r>
          </w:p>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380" w:lineRule="exact"/>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2、网络运维服务：</w:t>
            </w:r>
          </w:p>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380" w:lineRule="exact"/>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为采购人办公楼网络、联网直报系统、邮件系统、办公系统等业务系统所涉及的网络设备和安全设备提供网络运维服务，要求如下：</w:t>
            </w:r>
          </w:p>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380" w:lineRule="exact"/>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2.1日常维护：网络设备清洁；网络设备运行状态巡查；线路连接状态巡查；设备标签制作、粘贴检查；线路整理；设备日志记录检查；日常维护工作日志生成并提交。</w:t>
            </w:r>
          </w:p>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380" w:lineRule="exact"/>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2.2故障处理：故障的排除、恢复；确认排除、恢复的结果；提交故障处理报告。</w:t>
            </w:r>
          </w:p>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380" w:lineRule="exact"/>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2.3实时监控：线路连接状态监控；设备供电状态监控；设备状态灯监控；设备风扇状态监控；网络丢包率；CPU使用率；内存使用率；网络连通性监控；网络延时监控；监控报告；网络设备端口/链路流量监控；网络链路错误率测试等。</w:t>
            </w:r>
          </w:p>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380" w:lineRule="exact"/>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2.4定期巡检：系统可用性检查；系统性能检查；提交巡检报告。</w:t>
            </w:r>
          </w:p>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380" w:lineRule="exact"/>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2.5性能优化：定期评估网络运行状况，软件版本、特征库等升级并及时更新网络安全策略，对网络健壮性、安全性、负载冗余等内容做网络链路状况、设备负荷、传输质量等专业分析，提供全面、合理的网络架构优化方案。</w:t>
            </w:r>
          </w:p>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380" w:lineRule="exact"/>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3、主机运维服务：</w:t>
            </w:r>
          </w:p>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380" w:lineRule="exact"/>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为采购人管理的主机设备（包括服务器、存储及小型机）提供以下运维服务。</w:t>
            </w:r>
          </w:p>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380" w:lineRule="exact"/>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3.1定期对主机设备性能进行监控，对于主机设备性能存在异常或超出阈值的，应及时记录并反馈。</w:t>
            </w:r>
          </w:p>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380" w:lineRule="exact"/>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3.2根据管理需求，对主机设备进行添加、修改及删除等操作，并及时操作记录形成纸质或留痕。</w:t>
            </w:r>
          </w:p>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380" w:lineRule="exact"/>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3.3日常维护：CPU、内存扩容升级、RAID重建、更换损坏备件等；微码升级服务；主机设备清洁；标签制作、粘贴；线路整理；磁盘检查；逻辑卷空间调整；设备日志检查；周期性日志清理；日常维护工作日志生成并提交。</w:t>
            </w:r>
          </w:p>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380" w:lineRule="exact"/>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3.4设备巡检：系统可用性检查；系统性能检查；提交巡检报告。</w:t>
            </w:r>
          </w:p>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380" w:lineRule="exact"/>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3.5故障处理：故障的排查、分析；故障的排除、恢复；确认排除、恢复的结果；提交故障处理报告。</w:t>
            </w:r>
          </w:p>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380" w:lineRule="exact"/>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3.6日常监测：设备状态灯检查；设备连接线检查；设备电源状态检查；设备风扇状态检查；设备硬件检测；服务器CPU使用率；服务器内存使用率；文件系统使用率；交换区使用率；服务器连通性状况检测。存储设备状态灯检查；存储设备连通状态检查；存储阵列状态；硬盘物理状态；硬盘逻辑状态；热备盘接管状态；存储CACHE状态；磁盘适配卡状态；磁盘通道状态；主机通道卡状态；主机通道状态；电源模块状态。</w:t>
            </w:r>
          </w:p>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380" w:lineRule="exact"/>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3.7性能优化：分析性能瓶颈；优化措施制定；优化措施执行。</w:t>
            </w:r>
          </w:p>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380" w:lineRule="exact"/>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3.8服务器、存储等设备硬件维保服务：为采购人主机设备（设备清单详见本分标</w:t>
            </w:r>
            <w:bookmarkStart w:id="65" w:name="OLE_LINK30"/>
            <w:r>
              <w:rPr>
                <w:rFonts w:hint="eastAsia" w:ascii="宋体" w:hAnsi="宋体" w:eastAsia="宋体" w:cs="宋体"/>
                <w:color w:val="auto"/>
                <w:kern w:val="2"/>
                <w:sz w:val="21"/>
                <w:szCs w:val="21"/>
                <w:highlight w:val="none"/>
                <w:lang w:val="en-US" w:eastAsia="zh-CN" w:bidi="ar-SA"/>
              </w:rPr>
              <w:t>附表1</w:t>
            </w:r>
            <w:bookmarkEnd w:id="65"/>
            <w:r>
              <w:rPr>
                <w:rFonts w:hint="eastAsia" w:ascii="宋体" w:hAnsi="宋体" w:eastAsia="宋体" w:cs="宋体"/>
                <w:color w:val="auto"/>
                <w:kern w:val="2"/>
                <w:sz w:val="21"/>
                <w:szCs w:val="21"/>
                <w:highlight w:val="none"/>
                <w:lang w:val="en-US" w:eastAsia="zh-CN" w:bidi="ar-SA"/>
              </w:rPr>
              <w:t>）提供运维期间的硬件维保服务，必要时提供备件以保证系统的正常运行。</w:t>
            </w:r>
          </w:p>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380" w:lineRule="exact"/>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3.9网络存储设备版本升级服务：为采购人网络存储设备进行版本升级，升级时需确保数据安全</w:t>
            </w:r>
            <w:r>
              <w:rPr>
                <w:rFonts w:hint="eastAsia" w:ascii="宋体" w:hAnsi="宋体" w:eastAsia="宋体" w:cs="宋体"/>
                <w:b/>
                <w:bCs/>
                <w:color w:val="auto"/>
                <w:kern w:val="2"/>
                <w:sz w:val="21"/>
                <w:szCs w:val="21"/>
                <w:highlight w:val="none"/>
                <w:lang w:val="en-US" w:eastAsia="zh-CN" w:bidi="ar-SA"/>
              </w:rPr>
              <w:t>。</w:t>
            </w:r>
          </w:p>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380" w:lineRule="exact"/>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4、桌面终端运维服务：</w:t>
            </w:r>
          </w:p>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380" w:lineRule="exact"/>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4.1区局办公楼办公终端及外设（台式机、便携式计算机、一体机、打印机、复印机、投影机、扫描仪、传真机等）的使用支持、故障排除、操作系统安装配置调试等。</w:t>
            </w:r>
          </w:p>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380" w:lineRule="exact"/>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4.2日常办公软件维护（WPS、PDF等基础支撑软件）。</w:t>
            </w:r>
          </w:p>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380" w:lineRule="exact"/>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4.3终端安全软件维护：及时处理终端设备的木马病毒防护、补丁工作。</w:t>
            </w:r>
          </w:p>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380" w:lineRule="exact"/>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5、视频会议系统运维服务：</w:t>
            </w:r>
          </w:p>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380" w:lineRule="exact"/>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5.1视频会议包括国家统计局和区局召开的涉及全区统计系统的会议，负责区局视频会议系统的操作和保障，提供会议前准备工作，包含区局会场扩声系统调试、视频会议系统联调、网络优化服务，会议召开期间提供经过现系统认证的视频会议工程师进行驻场会议保障服务，确保相关设备稳定运行、会议正常召开。</w:t>
            </w:r>
          </w:p>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380" w:lineRule="exact"/>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5.2负责区局7楼大会议室及多功能厅视频会议系统中涉及的子系统主要包含会议环境系统、显示系统、扩声系统、会议发言系统、指挥坐席系统、会议管理系统、综合布线系统的维护。</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6、超融合、存储设备</w:t>
            </w:r>
            <w:r>
              <w:rPr>
                <w:rFonts w:hint="eastAsia" w:ascii="宋体" w:hAnsi="宋体" w:eastAsia="宋体" w:cs="宋体"/>
                <w:b/>
                <w:bCs/>
                <w:color w:val="auto"/>
                <w:highlight w:val="none"/>
              </w:rPr>
              <w:t>系统</w:t>
            </w:r>
            <w:r>
              <w:rPr>
                <w:rFonts w:hint="eastAsia" w:ascii="宋体" w:hAnsi="宋体" w:eastAsia="宋体" w:cs="宋体"/>
                <w:b/>
                <w:bCs/>
                <w:color w:val="auto"/>
                <w:highlight w:val="none"/>
                <w:lang w:val="en-US" w:eastAsia="zh-CN"/>
              </w:rPr>
              <w:t>升级服务</w:t>
            </w:r>
            <w:r>
              <w:rPr>
                <w:rFonts w:hint="eastAsia" w:ascii="宋体" w:hAnsi="宋体" w:eastAsia="宋体" w:cs="宋体"/>
                <w:b/>
                <w:bCs/>
                <w:color w:val="auto"/>
                <w:highlight w:val="none"/>
              </w:rPr>
              <w:t>：</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auto"/>
                <w:highlight w:val="none"/>
                <w:lang w:val="en-US" w:eastAsia="zh-CN"/>
              </w:rPr>
            </w:pPr>
            <w:r>
              <w:rPr>
                <w:rFonts w:hint="eastAsia" w:ascii="宋体" w:hAnsi="宋体" w:eastAsia="宋体" w:cs="宋体"/>
                <w:color w:val="auto"/>
                <w:szCs w:val="21"/>
                <w:highlight w:val="none"/>
                <w:lang w:eastAsia="zh-CN"/>
              </w:rPr>
              <w:t>服务期内对所列</w:t>
            </w:r>
            <w:r>
              <w:rPr>
                <w:rFonts w:hint="eastAsia" w:ascii="宋体" w:hAnsi="宋体" w:eastAsia="宋体" w:cs="宋体"/>
                <w:color w:val="auto"/>
                <w:szCs w:val="21"/>
                <w:highlight w:val="none"/>
                <w:lang w:val="en-US" w:eastAsia="zh-CN"/>
              </w:rPr>
              <w:t>超融合、存储设备</w:t>
            </w:r>
            <w:r>
              <w:rPr>
                <w:rFonts w:hint="eastAsia" w:ascii="宋体" w:hAnsi="宋体" w:eastAsia="宋体" w:cs="宋体"/>
                <w:color w:val="auto"/>
                <w:szCs w:val="21"/>
                <w:highlight w:val="none"/>
                <w:lang w:eastAsia="zh-CN"/>
              </w:rPr>
              <w:t>从脱保之日起至</w:t>
            </w:r>
            <w:r>
              <w:rPr>
                <w:rFonts w:hint="eastAsia" w:ascii="宋体" w:hAnsi="宋体" w:eastAsia="宋体" w:cs="宋体"/>
                <w:color w:val="auto"/>
                <w:szCs w:val="21"/>
                <w:highlight w:val="none"/>
                <w:lang w:val="en-US" w:eastAsia="zh-CN"/>
              </w:rPr>
              <w:t>2026年12月31日提供维保升级服务。</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6.1</w:t>
            </w:r>
            <w:r>
              <w:rPr>
                <w:rFonts w:hint="eastAsia" w:ascii="宋体" w:hAnsi="宋体" w:eastAsia="宋体" w:cs="宋体"/>
                <w:b w:val="0"/>
                <w:bCs w:val="0"/>
                <w:color w:val="auto"/>
                <w:highlight w:val="none"/>
              </w:rPr>
              <w:t>超融合计算节点系统</w:t>
            </w:r>
            <w:r>
              <w:rPr>
                <w:rFonts w:hint="eastAsia" w:ascii="宋体" w:hAnsi="宋体" w:eastAsia="宋体" w:cs="宋体"/>
                <w:b w:val="0"/>
                <w:bCs w:val="0"/>
                <w:color w:val="auto"/>
                <w:highlight w:val="none"/>
                <w:lang w:val="en-US" w:eastAsia="zh-CN"/>
              </w:rPr>
              <w:t>升级</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服务要求：提供深信服超融合计算节点软件升级服务，服务期限为合同签订之日起1年：设备型号为：深信服超融合计算节点aServer-2300，数量：16台，设备于202</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年</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月</w:t>
            </w:r>
            <w:r>
              <w:rPr>
                <w:rFonts w:hint="eastAsia" w:ascii="宋体" w:hAnsi="宋体" w:eastAsia="宋体" w:cs="宋体"/>
                <w:color w:val="auto"/>
                <w:highlight w:val="none"/>
                <w:lang w:val="en-US" w:eastAsia="zh-CN"/>
              </w:rPr>
              <w:t>30</w:t>
            </w:r>
            <w:r>
              <w:rPr>
                <w:rFonts w:hint="eastAsia" w:ascii="宋体" w:hAnsi="宋体" w:eastAsia="宋体" w:cs="宋体"/>
                <w:color w:val="auto"/>
                <w:highlight w:val="none"/>
              </w:rPr>
              <w:t>日过保。升级后要求支持具备内存纠错保障业务连续稳定运行、集群动态资源调度功能、定时自动备份和立即备份两种备份方式，可设置备份策略、补丁机制支持升级与回滚等功能。在</w:t>
            </w:r>
            <w:r>
              <w:rPr>
                <w:rFonts w:hint="eastAsia" w:ascii="宋体" w:hAnsi="宋体" w:eastAsia="宋体" w:cs="宋体"/>
                <w:color w:val="auto"/>
                <w:highlight w:val="none"/>
                <w:lang w:eastAsia="zh-CN"/>
              </w:rPr>
              <w:t>响应文件</w:t>
            </w:r>
            <w:r>
              <w:rPr>
                <w:rFonts w:hint="eastAsia" w:ascii="宋体" w:hAnsi="宋体" w:eastAsia="宋体" w:cs="宋体"/>
                <w:color w:val="auto"/>
                <w:highlight w:val="none"/>
              </w:rPr>
              <w:t>中提供软件升级方案，升级后</w:t>
            </w:r>
            <w:r>
              <w:rPr>
                <w:rFonts w:hint="eastAsia" w:ascii="宋体" w:hAnsi="宋体" w:eastAsia="宋体" w:cs="宋体"/>
                <w:color w:val="auto"/>
                <w:highlight w:val="none"/>
                <w:lang w:val="en-US" w:eastAsia="zh-CN"/>
              </w:rPr>
              <w:t>原有系统</w:t>
            </w:r>
            <w:r>
              <w:rPr>
                <w:rFonts w:hint="eastAsia" w:ascii="宋体" w:hAnsi="宋体" w:eastAsia="宋体" w:cs="宋体"/>
                <w:color w:val="auto"/>
                <w:highlight w:val="none"/>
              </w:rPr>
              <w:t>服务内容说明文件，包含服务期内</w:t>
            </w:r>
            <w:r>
              <w:rPr>
                <w:rFonts w:hint="eastAsia" w:ascii="宋体" w:hAnsi="宋体" w:eastAsia="宋体" w:cs="宋体"/>
                <w:color w:val="auto"/>
                <w:highlight w:val="none"/>
                <w:lang w:val="en-US" w:eastAsia="zh-CN"/>
              </w:rPr>
              <w:t>软件</w:t>
            </w:r>
            <w:r>
              <w:rPr>
                <w:rFonts w:hint="eastAsia" w:ascii="宋体" w:hAnsi="宋体" w:eastAsia="宋体" w:cs="宋体"/>
                <w:color w:val="auto"/>
                <w:highlight w:val="none"/>
              </w:rPr>
              <w:t>升级条款、服务响应机制、售后服务机构的设置及售后工程师名单</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联系方式。</w:t>
            </w:r>
          </w:p>
          <w:p>
            <w:pPr>
              <w:shd w:val="clear" w:color="auto" w:fill="auto"/>
              <w:tabs>
                <w:tab w:val="center" w:pos="4153"/>
                <w:tab w:val="right" w:pos="8306"/>
              </w:tabs>
              <w:snapToGrid/>
              <w:spacing w:line="380" w:lineRule="exact"/>
              <w:rPr>
                <w:rFonts w:hint="eastAsia" w:ascii="宋体" w:hAnsi="宋体" w:eastAsia="宋体" w:cs="宋体"/>
                <w:color w:val="auto"/>
                <w:kern w:val="2"/>
                <w:szCs w:val="24"/>
                <w:highlight w:val="none"/>
                <w:lang w:val="en-US" w:eastAsia="zh-CN" w:bidi="ar"/>
              </w:rPr>
            </w:pPr>
            <w:r>
              <w:rPr>
                <w:rFonts w:hint="eastAsia" w:ascii="宋体" w:hAnsi="宋体" w:eastAsia="宋体" w:cs="宋体"/>
                <w:color w:val="auto"/>
                <w:highlight w:val="none"/>
                <w:lang w:val="en-US" w:eastAsia="zh-CN"/>
              </w:rPr>
              <w:t>6.2</w:t>
            </w:r>
            <w:r>
              <w:rPr>
                <w:rFonts w:hint="eastAsia" w:ascii="宋体" w:hAnsi="宋体" w:eastAsia="宋体" w:cs="宋体"/>
                <w:color w:val="auto"/>
                <w:kern w:val="2"/>
                <w:szCs w:val="24"/>
                <w:highlight w:val="none"/>
                <w:lang w:val="en-US" w:eastAsia="zh-CN" w:bidi="ar"/>
              </w:rPr>
              <w:t>存储设备系统升级</w:t>
            </w:r>
          </w:p>
          <w:p>
            <w:pPr>
              <w:shd w:val="clear" w:color="auto" w:fill="auto"/>
              <w:snapToGrid/>
              <w:spacing w:beforeLines="0" w:afterLines="0" w:line="380" w:lineRule="exact"/>
              <w:rPr>
                <w:rFonts w:hint="eastAsia" w:ascii="宋体" w:hAnsi="宋体" w:eastAsia="宋体" w:cs="宋体"/>
                <w:color w:val="auto"/>
                <w:kern w:val="2"/>
                <w:szCs w:val="21"/>
                <w:highlight w:val="none"/>
                <w:lang w:val="en-US" w:eastAsia="zh-CN" w:bidi="ar-SA"/>
              </w:rPr>
            </w:pPr>
            <w:r>
              <w:rPr>
                <w:rFonts w:hint="eastAsia" w:ascii="宋体" w:hAnsi="宋体" w:eastAsia="宋体" w:cs="宋体"/>
                <w:color w:val="auto"/>
                <w:kern w:val="2"/>
                <w:szCs w:val="21"/>
                <w:highlight w:val="none"/>
                <w:lang w:val="en-US" w:eastAsia="zh-CN" w:bidi="ar-SA"/>
              </w:rPr>
              <w:t>服务要求：对以下存储设备购买原厂升级服务，设备软件在服务期内升级到最新稳定版本，包含硬件保修服务。</w:t>
            </w:r>
            <w:r>
              <w:rPr>
                <w:rFonts w:hint="eastAsia" w:ascii="宋体" w:hAnsi="宋体" w:eastAsia="宋体" w:cs="宋体"/>
                <w:color w:val="auto"/>
                <w:kern w:val="2"/>
                <w:sz w:val="21"/>
                <w:szCs w:val="21"/>
                <w:highlight w:val="none"/>
                <w:lang w:val="en-US" w:eastAsia="zh-CN" w:bidi="ar-SA"/>
              </w:rPr>
              <w:t>设备清单：</w:t>
            </w:r>
            <w:r>
              <w:rPr>
                <w:rFonts w:hint="eastAsia" w:ascii="宋体" w:hAnsi="宋体" w:eastAsia="宋体" w:cs="宋体"/>
                <w:color w:val="auto"/>
                <w:kern w:val="2"/>
                <w:szCs w:val="21"/>
                <w:highlight w:val="none"/>
                <w:lang w:val="en-US" w:eastAsia="zh-CN" w:bidi="ar-SA"/>
              </w:rPr>
              <w:t>1台</w:t>
            </w:r>
            <w:r>
              <w:rPr>
                <w:rFonts w:hint="eastAsia" w:ascii="宋体" w:hAnsi="宋体" w:eastAsia="宋体" w:cs="宋体"/>
                <w:color w:val="auto"/>
                <w:kern w:val="2"/>
                <w:szCs w:val="21"/>
                <w:highlight w:val="none"/>
                <w:lang w:bidi="ar-SA"/>
              </w:rPr>
              <w:t>备份一体机爱数VX2400</w:t>
            </w:r>
            <w:r>
              <w:rPr>
                <w:rFonts w:hint="eastAsia" w:ascii="宋体" w:hAnsi="宋体" w:eastAsia="宋体" w:cs="宋体"/>
                <w:color w:val="auto"/>
                <w:kern w:val="2"/>
                <w:szCs w:val="21"/>
                <w:highlight w:val="none"/>
                <w:lang w:eastAsia="zh-CN" w:bidi="ar-SA"/>
              </w:rPr>
              <w:t>，</w:t>
            </w:r>
            <w:r>
              <w:rPr>
                <w:rFonts w:hint="eastAsia" w:ascii="宋体" w:hAnsi="宋体" w:eastAsia="宋体" w:cs="宋体"/>
                <w:color w:val="auto"/>
                <w:kern w:val="2"/>
                <w:szCs w:val="21"/>
                <w:highlight w:val="none"/>
                <w:lang w:val="en-US" w:eastAsia="zh-CN" w:bidi="ar-SA"/>
              </w:rPr>
              <w:t>2台</w:t>
            </w:r>
            <w:r>
              <w:rPr>
                <w:rFonts w:hint="eastAsia" w:ascii="宋体" w:hAnsi="宋体" w:eastAsia="宋体" w:cs="宋体"/>
                <w:color w:val="auto"/>
                <w:kern w:val="2"/>
                <w:szCs w:val="21"/>
                <w:highlight w:val="none"/>
                <w:lang w:bidi="ar-SA"/>
              </w:rPr>
              <w:t>华为CE6881-48S6CQ-B交换机</w:t>
            </w:r>
            <w:r>
              <w:rPr>
                <w:rFonts w:hint="eastAsia" w:ascii="宋体" w:hAnsi="宋体" w:eastAsia="宋体" w:cs="宋体"/>
                <w:color w:val="auto"/>
                <w:kern w:val="2"/>
                <w:szCs w:val="21"/>
                <w:highlight w:val="none"/>
                <w:lang w:eastAsia="zh-CN" w:bidi="ar-SA"/>
              </w:rPr>
              <w:t>，</w:t>
            </w:r>
            <w:r>
              <w:rPr>
                <w:rFonts w:hint="eastAsia" w:ascii="宋体" w:hAnsi="宋体" w:eastAsia="宋体" w:cs="宋体"/>
                <w:color w:val="auto"/>
                <w:kern w:val="2"/>
                <w:szCs w:val="21"/>
                <w:highlight w:val="none"/>
                <w:lang w:val="en-US" w:eastAsia="zh-CN" w:bidi="ar-SA"/>
              </w:rPr>
              <w:t>2台</w:t>
            </w:r>
            <w:r>
              <w:rPr>
                <w:rFonts w:hint="eastAsia" w:ascii="宋体" w:hAnsi="宋体" w:eastAsia="宋体" w:cs="宋体"/>
                <w:color w:val="auto"/>
                <w:kern w:val="2"/>
                <w:szCs w:val="21"/>
                <w:highlight w:val="none"/>
                <w:lang w:bidi="ar-SA"/>
              </w:rPr>
              <w:t>华为OceanStor 5300 v5</w:t>
            </w:r>
            <w:r>
              <w:rPr>
                <w:rFonts w:hint="eastAsia" w:ascii="宋体" w:hAnsi="宋体" w:eastAsia="宋体" w:cs="宋体"/>
                <w:color w:val="auto"/>
                <w:kern w:val="2"/>
                <w:szCs w:val="21"/>
                <w:highlight w:val="none"/>
                <w:lang w:val="en-US" w:eastAsia="zh-CN" w:bidi="ar-SA"/>
              </w:rPr>
              <w:t>及扩展柜，2台</w:t>
            </w:r>
            <w:r>
              <w:rPr>
                <w:rFonts w:hint="eastAsia" w:ascii="宋体" w:hAnsi="宋体" w:eastAsia="宋体" w:cs="宋体"/>
                <w:color w:val="auto"/>
                <w:kern w:val="2"/>
                <w:szCs w:val="21"/>
                <w:highlight w:val="none"/>
                <w:lang w:bidi="ar-SA"/>
              </w:rPr>
              <w:t>华为DPA3610</w:t>
            </w:r>
            <w:r>
              <w:rPr>
                <w:rFonts w:hint="eastAsia" w:ascii="宋体" w:hAnsi="宋体" w:eastAsia="宋体" w:cs="宋体"/>
                <w:color w:val="auto"/>
                <w:kern w:val="2"/>
                <w:szCs w:val="21"/>
                <w:highlight w:val="none"/>
                <w:lang w:eastAsia="zh-CN" w:bidi="ar-SA"/>
              </w:rPr>
              <w:t>，</w:t>
            </w:r>
            <w:r>
              <w:rPr>
                <w:rFonts w:hint="eastAsia" w:ascii="宋体" w:hAnsi="宋体" w:eastAsia="宋体" w:cs="宋体"/>
                <w:color w:val="auto"/>
                <w:kern w:val="2"/>
                <w:szCs w:val="21"/>
                <w:highlight w:val="none"/>
                <w:lang w:val="en-US" w:eastAsia="zh-CN" w:bidi="ar-SA"/>
              </w:rPr>
              <w:t>1台爱数E6020</w:t>
            </w:r>
            <w:r>
              <w:rPr>
                <w:rFonts w:hint="eastAsia" w:ascii="宋体" w:hAnsi="宋体" w:eastAsia="宋体" w:cs="宋体"/>
                <w:color w:val="auto"/>
                <w:kern w:val="2"/>
                <w:sz w:val="21"/>
                <w:szCs w:val="21"/>
                <w:highlight w:val="none"/>
                <w:lang w:val="en-US" w:eastAsia="zh-CN" w:bidi="ar-SA"/>
              </w:rPr>
              <w:t>。</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val="en-US" w:eastAsia="zh-CN"/>
              </w:rPr>
              <w:t>7、</w:t>
            </w:r>
            <w:r>
              <w:rPr>
                <w:rFonts w:hint="eastAsia" w:ascii="宋体" w:hAnsi="宋体" w:eastAsia="宋体" w:cs="宋体"/>
                <w:b/>
                <w:bCs/>
                <w:color w:val="auto"/>
                <w:highlight w:val="none"/>
              </w:rPr>
              <w:t>IT运维可视化服务</w:t>
            </w:r>
            <w:r>
              <w:rPr>
                <w:rFonts w:hint="eastAsia" w:ascii="宋体" w:hAnsi="宋体" w:eastAsia="宋体" w:cs="宋体"/>
                <w:b/>
                <w:bCs/>
                <w:color w:val="auto"/>
                <w:highlight w:val="none"/>
                <w:lang w:eastAsia="zh-CN"/>
              </w:rPr>
              <w:t>：</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服务要求：提供一套IT运维可视化软件，使用许可期限为合同签订之日起1年，</w:t>
            </w:r>
            <w:r>
              <w:rPr>
                <w:rFonts w:hint="eastAsia" w:ascii="宋体" w:hAnsi="宋体" w:eastAsia="宋体" w:cs="宋体"/>
                <w:color w:val="auto"/>
                <w:highlight w:val="none"/>
                <w:lang w:val="en-US" w:eastAsia="zh-CN"/>
              </w:rPr>
              <w:t>部署方式：本地部署，用于</w:t>
            </w:r>
            <w:r>
              <w:rPr>
                <w:rFonts w:hint="eastAsia" w:ascii="宋体" w:hAnsi="宋体" w:eastAsia="宋体" w:cs="宋体"/>
                <w:color w:val="auto"/>
                <w:highlight w:val="none"/>
              </w:rPr>
              <w:t>提高运维效率,提升服务质量,降低运维成本,改变孤立、分散的IT管理。功能要求如下：</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7.1</w:t>
            </w:r>
            <w:r>
              <w:rPr>
                <w:rFonts w:hint="eastAsia" w:ascii="宋体" w:hAnsi="宋体" w:eastAsia="宋体" w:cs="宋体"/>
                <w:color w:val="auto"/>
                <w:highlight w:val="none"/>
              </w:rPr>
              <w:t>平台采用B/S架构，支持在发行版Linux和国产信创操作系统等不同平台下部署，采用模块化开发，支持分布式部署。</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rPr>
              <w:t>2可管理IT资产数（IP）：500；支持资产包括网络设备、安全设备、存储设备、虚拟化平台及机房动环系统等，并提供灵活的自定义方式，具备多种类型的动态效果，可自定义视图。</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rPr>
              <w:t>3支持大屏展示、告警模块、拓扑管理、主机管理、模板管理、报表管理、用户管理、配置管理等运维管理模块。</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rPr>
              <w:t>4支持配置拓扑图，并对拓扑图中的告警设备进行实时的轮询动态播放。</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rPr>
              <w:t>5支持定制模板，可基于ICMP、SNMP、SQL、JMX、IPMI、TELNET、SSH等方式进行定义，支持指标以自定义方式展示到相应的资源，支持折线、表格、仪表盘等多种展示方式；</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rPr>
              <w:t>6支持对操作系统监控，包括Windows 2012/2016/2019的32位/64位（中英文各版本）、Linux等操作系统，支持对CPU利用率、内存利用率、磁盘利用率、网卡状态、进程等信息的采集，支持自定义脚本采集。</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rPr>
              <w:t>7支持对数据库监控，包含MySQL、oracle、SqlServer、redis、mongdb等数据库的监控，支持对数据库状态、连接数、表空间、表空间使用率、服务进程等信息的采集，支持自定义脚本采集。</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rPr>
              <w:t>8支持对Tomcat、weblogic、websphere、jboss等中间件的监测，包括连接响应时间、servlet运行池情况、节点状态、内存空间和使用率、线程数、传输字节速率等信息的采集，支持自定义脚本采集。</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rPr>
              <w:t>9支持对WEB应用进行状态监控</w:t>
            </w:r>
            <w:r>
              <w:rPr>
                <w:rFonts w:hint="eastAsia" w:ascii="宋体" w:hAnsi="宋体" w:eastAsia="宋体" w:cs="宋体"/>
                <w:color w:val="auto"/>
                <w:highlight w:val="none"/>
                <w:lang w:eastAsia="zh-CN"/>
              </w:rPr>
              <w:t>。</w:t>
            </w:r>
          </w:p>
          <w:p>
            <w:pPr>
              <w:numPr>
                <w:ilvl w:val="0"/>
                <w:numId w:val="0"/>
              </w:numPr>
              <w:shd w:val="clear" w:color="auto" w:fill="auto"/>
              <w:tabs>
                <w:tab w:val="center" w:pos="4153"/>
                <w:tab w:val="right" w:pos="8306"/>
              </w:tabs>
              <w:snapToGrid/>
              <w:spacing w:beforeLines="0" w:afterLines="0" w:line="380" w:lineRule="exact"/>
              <w:jc w:val="both"/>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kern w:val="2"/>
                <w:sz w:val="21"/>
                <w:szCs w:val="21"/>
                <w:highlight w:val="none"/>
                <w:lang w:val="en-US" w:eastAsia="zh-CN" w:bidi="ar-SA"/>
              </w:rPr>
              <w:t>8</w:t>
            </w:r>
            <w:r>
              <w:rPr>
                <w:rFonts w:hint="eastAsia" w:ascii="宋体" w:hAnsi="宋体" w:eastAsia="宋体" w:cs="宋体"/>
                <w:b/>
                <w:bCs/>
                <w:color w:val="auto"/>
                <w:szCs w:val="21"/>
                <w:highlight w:val="none"/>
                <w:lang w:val="en-US" w:eastAsia="zh-CN"/>
              </w:rPr>
              <w:t>、业务系统渗透测试服务：</w:t>
            </w:r>
          </w:p>
          <w:p>
            <w:pPr>
              <w:numPr>
                <w:ilvl w:val="0"/>
                <w:numId w:val="0"/>
              </w:numPr>
              <w:shd w:val="clear" w:color="auto" w:fill="auto"/>
              <w:tabs>
                <w:tab w:val="center" w:pos="4153"/>
                <w:tab w:val="right" w:pos="8306"/>
              </w:tabs>
              <w:snapToGrid/>
              <w:spacing w:beforeLines="0" w:afterLines="0" w:line="380" w:lineRule="exact"/>
              <w:jc w:val="both"/>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服务内容：提供一次二级站点业务系统的渗透测试服务，通过情报搜集工作，进行威胁建模和攻击规划，以主流渗透工具模拟黑客攻击为主要手段，发现常见的高中危漏洞为主要目标，将发现的安全漏洞进行整理，给出详细说明，并针对安全漏洞逐一提供的解决方法。渗透测试工作全部完成后输出《业务系统渗透测试报告》，报告中阐明客户系统中存在的安全隐患以及专业的漏洞风险处置建议。</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Lines="0" w:afterLines="0" w:line="380" w:lineRule="exact"/>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9、为采购人提供指定的信息技术咨询：</w:t>
            </w:r>
          </w:p>
          <w:p>
            <w:pPr>
              <w:numPr>
                <w:ilvl w:val="0"/>
                <w:numId w:val="0"/>
              </w:numPr>
              <w:shd w:val="clear" w:color="auto" w:fill="auto"/>
              <w:tabs>
                <w:tab w:val="center" w:pos="4153"/>
                <w:tab w:val="right" w:pos="8306"/>
              </w:tabs>
              <w:snapToGrid/>
              <w:spacing w:beforeLines="0" w:afterLines="0" w:line="380" w:lineRule="exact"/>
              <w:jc w:val="both"/>
              <w:rPr>
                <w:rFonts w:hint="default" w:ascii="Times New Roman" w:hAnsi="Times New Roman" w:eastAsia="宋体" w:cs="Times New Roman"/>
                <w:color w:val="auto"/>
                <w:highlight w:val="none"/>
                <w:lang w:val="en-US" w:eastAsia="zh-CN"/>
              </w:rPr>
            </w:pPr>
            <w:r>
              <w:rPr>
                <w:rFonts w:hint="eastAsia" w:ascii="宋体" w:hAnsi="宋体" w:eastAsia="宋体" w:cs="宋体"/>
                <w:b w:val="0"/>
                <w:bCs w:val="0"/>
                <w:color w:val="auto"/>
                <w:kern w:val="2"/>
                <w:sz w:val="21"/>
                <w:szCs w:val="21"/>
                <w:highlight w:val="none"/>
                <w:lang w:val="en-US" w:eastAsia="zh-CN" w:bidi="ar-SA"/>
              </w:rPr>
              <w:t>对采购人服务器、网络设备、网络安全部署现状提出合理化建议。</w:t>
            </w:r>
            <w:r>
              <w:rPr>
                <w:rFonts w:hint="eastAsia" w:ascii="宋体" w:hAnsi="宋体" w:eastAsia="宋体" w:cs="宋体"/>
                <w:color w:val="auto"/>
                <w:kern w:val="2"/>
                <w:sz w:val="21"/>
                <w:szCs w:val="21"/>
                <w:highlight w:val="none"/>
                <w:lang w:val="en-US" w:eastAsia="zh-CN" w:bidi="ar-SA"/>
              </w:rPr>
              <w:t>采购人发生网络调整改造、硬件安装升级时，协助采购人进行网络规划及配置，以及相关技术培训服务。</w:t>
            </w:r>
          </w:p>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380" w:lineRule="exact"/>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10、重大活动期间（如两会、中国--东盟博览会等）提供重点保障服务:</w:t>
            </w:r>
          </w:p>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380" w:lineRule="exact"/>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重大节假日期间（重大节假日：如元旦、春节、端午节、中秋节、国庆节等国家/自治区法定节假日）提供轮值保障服务，同时按要求提供现场值班服务。</w:t>
            </w:r>
          </w:p>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380" w:lineRule="exact"/>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11、运维人员要求：</w:t>
            </w:r>
          </w:p>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380" w:lineRule="exact"/>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在合同约定的维护期内提供至少一名具有3年相关IT运维工作经验的驻场工程师。驻场工程师上班时间与采购人同步，每天按采购人上班时间进行考核。成交供应商运维人员在服务期间，必须遵守采购人制定的各项关于机房设备及业务系统运维的管理制度。</w:t>
            </w:r>
          </w:p>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380" w:lineRule="exact"/>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12、故障处理响应要求：</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故障电话响应（365天×24小时/天）；故障现场服务（7天/周×24小时/天）；</w:t>
            </w:r>
            <w:r>
              <w:rPr>
                <w:rFonts w:hint="eastAsia" w:ascii="宋体" w:hAnsi="宋体" w:eastAsia="宋体" w:cs="宋体"/>
                <w:color w:val="auto"/>
                <w:sz w:val="21"/>
                <w:szCs w:val="21"/>
                <w:highlight w:val="none"/>
                <w:lang w:val="en-US" w:eastAsia="zh-CN"/>
              </w:rPr>
              <w:t>发生故障时，驻场工程师如无法排查恢复，</w:t>
            </w:r>
            <w:r>
              <w:rPr>
                <w:rFonts w:hint="eastAsia" w:ascii="宋体" w:hAnsi="宋体" w:eastAsia="宋体" w:cs="宋体"/>
                <w:color w:val="auto"/>
                <w:sz w:val="21"/>
                <w:szCs w:val="21"/>
                <w:highlight w:val="none"/>
                <w:lang w:eastAsia="zh-CN"/>
              </w:rPr>
              <w:t>成交供应商</w:t>
            </w:r>
            <w:r>
              <w:rPr>
                <w:rFonts w:hint="eastAsia" w:ascii="宋体" w:hAnsi="宋体" w:eastAsia="宋体" w:cs="宋体"/>
                <w:color w:val="auto"/>
                <w:sz w:val="21"/>
                <w:szCs w:val="21"/>
                <w:highlight w:val="none"/>
                <w:lang w:val="en-US" w:eastAsia="zh-CN"/>
              </w:rPr>
              <w:t>的</w:t>
            </w:r>
            <w:r>
              <w:rPr>
                <w:rFonts w:hint="eastAsia" w:ascii="宋体" w:hAnsi="宋体" w:eastAsia="宋体" w:cs="宋体"/>
                <w:bCs/>
                <w:color w:val="auto"/>
                <w:highlight w:val="none"/>
              </w:rPr>
              <w:t>运维保障支持团队人员</w:t>
            </w:r>
            <w:r>
              <w:rPr>
                <w:rFonts w:hint="eastAsia" w:ascii="宋体" w:hAnsi="宋体" w:eastAsia="宋体" w:cs="宋体"/>
                <w:color w:val="auto"/>
                <w:sz w:val="21"/>
                <w:szCs w:val="21"/>
                <w:highlight w:val="none"/>
                <w:lang w:val="en-US" w:eastAsia="zh-CN"/>
              </w:rPr>
              <w:t>在1小时内到达现场并进行故障恢复。</w:t>
            </w:r>
          </w:p>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380" w:lineRule="exact"/>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13、运维文档管理：</w:t>
            </w:r>
          </w:p>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380" w:lineRule="exact"/>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13.1按采购人相关制度要求，运维服务过程中定期备份必要的记录和日志文件，这些文件包括但不限于信息资产清单表、网络拓扑图、机房日常巡检记录表、驻场运维工作日报、月度运维服务报告、季度运维服务报告、年度运维服务报告、故障处理登记表、机房设备登记表、安全检查总结报告。</w:t>
            </w:r>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kern w:val="2"/>
                <w:sz w:val="21"/>
                <w:szCs w:val="21"/>
                <w:highlight w:val="none"/>
                <w:lang w:val="en-US" w:eastAsia="zh-CN" w:bidi="ar-SA"/>
              </w:rPr>
              <w:t>13.2合同期满前两周，驻场运维工程师须全面整理整个服务项目内完成的各项文档、数据，进行必要的资源移交工作准备。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3" w:type="dxa"/>
            <w:vAlign w:val="center"/>
          </w:tcPr>
          <w:p>
            <w:pPr>
              <w:pStyle w:val="23"/>
              <w:spacing w:line="360" w:lineRule="exact"/>
              <w:jc w:val="center"/>
              <w:rPr>
                <w:rFonts w:hint="eastAsia" w:ascii="宋体" w:hAnsi="宋体" w:eastAsia="宋体" w:cs="宋体"/>
                <w:color w:val="auto"/>
                <w:sz w:val="21"/>
                <w:szCs w:val="21"/>
              </w:rPr>
            </w:pPr>
            <w:r>
              <w:rPr>
                <w:rFonts w:hint="eastAsia" w:ascii="宋体" w:hAnsi="宋体" w:eastAsia="宋体" w:cs="宋体"/>
                <w:b/>
                <w:bCs/>
                <w:color w:val="auto"/>
                <w:sz w:val="21"/>
                <w:szCs w:val="21"/>
              </w:rPr>
              <w:t>商务条款</w:t>
            </w:r>
          </w:p>
        </w:tc>
        <w:tc>
          <w:tcPr>
            <w:tcW w:w="9227" w:type="dxa"/>
            <w:gridSpan w:val="4"/>
            <w:vAlign w:val="center"/>
          </w:tcPr>
          <w:p>
            <w:pPr>
              <w:pStyle w:val="23"/>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规范标准：</w:t>
            </w:r>
          </w:p>
          <w:p>
            <w:pPr>
              <w:pStyle w:val="23"/>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采购标的需执行的国家标准、行业标准、地方标准或者其他标准、规范。</w:t>
            </w:r>
          </w:p>
          <w:p>
            <w:pPr>
              <w:pStyle w:val="23"/>
              <w:rPr>
                <w:rFonts w:hint="eastAsia" w:ascii="宋体" w:hAnsi="宋体" w:eastAsia="宋体" w:cs="宋体"/>
                <w:b/>
                <w:bCs/>
                <w:color w:val="auto"/>
                <w:sz w:val="21"/>
                <w:szCs w:val="21"/>
                <w:lang w:val="en-US" w:eastAsia="zh-CN"/>
              </w:rPr>
            </w:pPr>
          </w:p>
          <w:p>
            <w:pPr>
              <w:pStyle w:val="23"/>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服务期限及地点：</w:t>
            </w:r>
          </w:p>
          <w:p>
            <w:pPr>
              <w:pStyle w:val="23"/>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1、服务期限：自签订合同之日起1年。</w:t>
            </w:r>
          </w:p>
          <w:p>
            <w:pPr>
              <w:pStyle w:val="23"/>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2、服务地点：广西南宁市内采购人指定地点。</w:t>
            </w:r>
          </w:p>
          <w:p>
            <w:pPr>
              <w:pStyle w:val="23"/>
              <w:rPr>
                <w:rFonts w:hint="eastAsia" w:ascii="宋体" w:hAnsi="宋体" w:eastAsia="宋体" w:cs="宋体"/>
                <w:color w:val="auto"/>
                <w:sz w:val="21"/>
                <w:szCs w:val="21"/>
                <w:lang w:val="en-US" w:eastAsia="zh-CN"/>
              </w:rPr>
            </w:pPr>
          </w:p>
          <w:p>
            <w:pPr>
              <w:pStyle w:val="23"/>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付款条件：</w:t>
            </w:r>
          </w:p>
          <w:p>
            <w:pPr>
              <w:pStyle w:val="23"/>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ab/>
            </w:r>
            <w:r>
              <w:rPr>
                <w:rFonts w:hint="eastAsia" w:ascii="宋体" w:hAnsi="宋体" w:eastAsia="宋体" w:cs="宋体"/>
                <w:color w:val="auto"/>
                <w:sz w:val="21"/>
                <w:szCs w:val="21"/>
                <w:lang w:val="en-US" w:eastAsia="zh-CN"/>
              </w:rPr>
              <w:t>在合同签订后</w:t>
            </w:r>
            <w:bookmarkStart w:id="66" w:name="OLE_LINK35"/>
            <w:r>
              <w:rPr>
                <w:rFonts w:hint="eastAsia" w:ascii="宋体" w:hAnsi="宋体" w:eastAsia="宋体" w:cs="宋体"/>
                <w:color w:val="auto"/>
                <w:sz w:val="21"/>
                <w:szCs w:val="21"/>
                <w:lang w:val="en-US" w:eastAsia="zh-CN"/>
              </w:rPr>
              <w:t>10个工作日内</w:t>
            </w:r>
            <w:bookmarkEnd w:id="66"/>
            <w:r>
              <w:rPr>
                <w:rFonts w:hint="eastAsia" w:ascii="宋体" w:hAnsi="宋体" w:eastAsia="宋体" w:cs="宋体"/>
                <w:color w:val="auto"/>
                <w:sz w:val="21"/>
                <w:szCs w:val="21"/>
                <w:lang w:val="en-US" w:eastAsia="zh-CN"/>
              </w:rPr>
              <w:t>，成交供应商向采购人提交</w:t>
            </w:r>
            <w:bookmarkStart w:id="67" w:name="OLE_LINK39"/>
            <w:bookmarkStart w:id="68" w:name="OLE_LINK32"/>
            <w:r>
              <w:rPr>
                <w:rFonts w:hint="eastAsia" w:ascii="宋体" w:hAnsi="宋体" w:eastAsia="宋体" w:cs="宋体"/>
                <w:color w:val="auto"/>
                <w:sz w:val="21"/>
                <w:szCs w:val="21"/>
                <w:lang w:val="en-US" w:eastAsia="zh-CN"/>
              </w:rPr>
              <w:t>初步</w:t>
            </w:r>
            <w:bookmarkEnd w:id="67"/>
            <w:bookmarkStart w:id="69" w:name="OLE_LINK34"/>
            <w:r>
              <w:rPr>
                <w:rFonts w:hint="eastAsia" w:ascii="宋体" w:hAnsi="宋体" w:eastAsia="宋体" w:cs="宋体"/>
                <w:color w:val="auto"/>
                <w:sz w:val="21"/>
                <w:szCs w:val="21"/>
                <w:lang w:val="en-US" w:eastAsia="zh-CN"/>
              </w:rPr>
              <w:t>运维方案</w:t>
            </w:r>
            <w:bookmarkEnd w:id="68"/>
            <w:bookmarkEnd w:id="69"/>
            <w:r>
              <w:rPr>
                <w:rFonts w:hint="eastAsia" w:ascii="宋体" w:hAnsi="宋体" w:eastAsia="宋体" w:cs="宋体"/>
                <w:color w:val="auto"/>
                <w:sz w:val="21"/>
                <w:szCs w:val="21"/>
                <w:lang w:val="en-US" w:eastAsia="zh-CN"/>
              </w:rPr>
              <w:t>。采购人确认运维方案后，向成交供应商支付合同价款的70%。余款由采购人视工作开展、验收情况及预算执行情况支付（验收工作如需外聘专家，专家评审费由成交供应商承担）。</w:t>
            </w:r>
          </w:p>
          <w:p>
            <w:pPr>
              <w:pStyle w:val="23"/>
              <w:rPr>
                <w:rFonts w:hint="eastAsia" w:ascii="宋体" w:hAnsi="宋体" w:eastAsia="宋体" w:cs="宋体"/>
                <w:b/>
                <w:bCs/>
                <w:color w:val="auto"/>
                <w:sz w:val="21"/>
                <w:szCs w:val="21"/>
                <w:lang w:val="en-US" w:eastAsia="zh-CN"/>
              </w:rPr>
            </w:pPr>
          </w:p>
          <w:p>
            <w:pPr>
              <w:pStyle w:val="23"/>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其他要求：</w:t>
            </w:r>
          </w:p>
          <w:p>
            <w:pPr>
              <w:pStyle w:val="23"/>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一、总体要求</w:t>
            </w:r>
          </w:p>
          <w:p>
            <w:pPr>
              <w:pStyle w:val="23"/>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1、响应文件中可提供针</w:t>
            </w:r>
            <w:bookmarkStart w:id="70" w:name="OLE_LINK38"/>
            <w:r>
              <w:rPr>
                <w:rFonts w:hint="eastAsia" w:ascii="宋体" w:hAnsi="宋体" w:eastAsia="宋体" w:cs="宋体"/>
                <w:color w:val="auto"/>
                <w:sz w:val="21"/>
                <w:szCs w:val="21"/>
                <w:lang w:val="en-US" w:eastAsia="zh-CN"/>
              </w:rPr>
              <w:t>对本项目的运维服务方案</w:t>
            </w:r>
            <w:bookmarkEnd w:id="70"/>
            <w:r>
              <w:rPr>
                <w:rFonts w:hint="eastAsia" w:ascii="宋体" w:hAnsi="宋体" w:eastAsia="宋体" w:cs="宋体"/>
                <w:color w:val="auto"/>
                <w:sz w:val="21"/>
                <w:szCs w:val="21"/>
                <w:lang w:val="en-US" w:eastAsia="zh-CN"/>
              </w:rPr>
              <w:t>、服务能力保障方案、服务技术能力材料、信誉及业绩材料。</w:t>
            </w:r>
          </w:p>
          <w:p>
            <w:pPr>
              <w:pStyle w:val="23"/>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二、验收要求及标准</w:t>
            </w:r>
          </w:p>
          <w:p>
            <w:pPr>
              <w:pStyle w:val="23"/>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1、根据采购需求的要求进行验收。</w:t>
            </w:r>
          </w:p>
          <w:p>
            <w:pPr>
              <w:pStyle w:val="23"/>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三、其它</w:t>
            </w:r>
          </w:p>
          <w:p>
            <w:pPr>
              <w:pStyle w:val="23"/>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1、供应商须具备独立完成项目，不得以任何形式转包；</w:t>
            </w:r>
          </w:p>
          <w:p>
            <w:pPr>
              <w:pStyle w:val="23"/>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2、供应商可在响应文件中对采购需求做出响应。一旦成交之后须严格按照采购要求及</w:t>
            </w:r>
            <w:r>
              <w:rPr>
                <w:rFonts w:hint="eastAsia" w:ascii="宋体" w:hAnsi="宋体" w:cs="宋体"/>
                <w:color w:val="auto"/>
                <w:sz w:val="21"/>
                <w:szCs w:val="21"/>
                <w:lang w:val="en-US" w:eastAsia="zh-CN"/>
              </w:rPr>
              <w:t>响应</w:t>
            </w:r>
            <w:r>
              <w:rPr>
                <w:rFonts w:hint="eastAsia" w:ascii="宋体" w:hAnsi="宋体" w:eastAsia="宋体" w:cs="宋体"/>
                <w:color w:val="auto"/>
                <w:sz w:val="21"/>
                <w:szCs w:val="21"/>
                <w:lang w:val="en-US" w:eastAsia="zh-CN"/>
              </w:rPr>
              <w:t>承诺提供服务，确保系统的正常运行。在维护过程中必须承担数据丢失、设备损坏等方面的风险，若由于成交供应商自身技术不足或违规操作等原因造成的数据丢失、设备损坏等，须承担相应的责任。</w:t>
            </w:r>
          </w:p>
          <w:p>
            <w:pPr>
              <w:pStyle w:val="23"/>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3、要求具备及时的故障响应及处理机制，针对运维系统制定相应的咨询和培训服务计划，提供相应的咨询和培训服务。</w:t>
            </w:r>
          </w:p>
          <w:p>
            <w:pPr>
              <w:pStyle w:val="23"/>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4、成交供应商及提供技术服务的工程师需与采购人签订保密协议，不得泄露采购人组织及系统信息。</w:t>
            </w:r>
          </w:p>
          <w:p>
            <w:pPr>
              <w:pStyle w:val="23"/>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5、供应商拟投入的技术服务人员须为</w:t>
            </w:r>
            <w:r>
              <w:rPr>
                <w:rFonts w:hint="eastAsia" w:ascii="宋体" w:hAnsi="宋体" w:cs="宋体"/>
                <w:color w:val="auto"/>
                <w:sz w:val="21"/>
                <w:szCs w:val="21"/>
                <w:lang w:val="en-US" w:eastAsia="zh-CN"/>
              </w:rPr>
              <w:t>供应商</w:t>
            </w:r>
            <w:r>
              <w:rPr>
                <w:rFonts w:hint="eastAsia" w:ascii="宋体" w:hAnsi="宋体" w:eastAsia="宋体" w:cs="宋体"/>
                <w:color w:val="auto"/>
                <w:sz w:val="21"/>
                <w:szCs w:val="21"/>
                <w:lang w:val="en-US" w:eastAsia="zh-CN"/>
              </w:rPr>
              <w:t>的在职员工，成交后，成交供应商须向采购人提交技术服务人员的基本信息及成交供应商为其缴纳近一年内</w:t>
            </w:r>
            <w:bookmarkStart w:id="71" w:name="OLE_LINK5"/>
            <w:r>
              <w:rPr>
                <w:rFonts w:hint="eastAsia" w:ascii="宋体" w:hAnsi="宋体" w:cs="宋体"/>
                <w:color w:val="auto"/>
                <w:sz w:val="21"/>
                <w:szCs w:val="21"/>
                <w:lang w:val="en-US" w:eastAsia="zh-CN"/>
              </w:rPr>
              <w:t>任意连续1个月</w:t>
            </w:r>
            <w:bookmarkEnd w:id="71"/>
            <w:r>
              <w:rPr>
                <w:rFonts w:hint="eastAsia" w:ascii="宋体" w:hAnsi="宋体" w:eastAsia="宋体" w:cs="宋体"/>
                <w:color w:val="auto"/>
                <w:sz w:val="21"/>
                <w:szCs w:val="21"/>
                <w:lang w:val="en-US" w:eastAsia="zh-CN"/>
              </w:rPr>
              <w:t>的</w:t>
            </w:r>
            <w:bookmarkStart w:id="72" w:name="OLE_LINK6"/>
            <w:bookmarkStart w:id="73" w:name="OLE_LINK8"/>
            <w:r>
              <w:rPr>
                <w:rFonts w:hint="eastAsia" w:ascii="宋体" w:hAnsi="宋体" w:eastAsia="宋体" w:cs="宋体"/>
                <w:color w:val="auto"/>
                <w:sz w:val="21"/>
                <w:szCs w:val="21"/>
                <w:lang w:val="en-US" w:eastAsia="zh-CN"/>
              </w:rPr>
              <w:t>社保</w:t>
            </w:r>
            <w:bookmarkEnd w:id="72"/>
            <w:r>
              <w:rPr>
                <w:rFonts w:hint="eastAsia" w:ascii="宋体" w:hAnsi="宋体" w:eastAsia="宋体" w:cs="宋体"/>
                <w:color w:val="auto"/>
                <w:sz w:val="21"/>
                <w:szCs w:val="21"/>
                <w:lang w:val="en-US" w:eastAsia="zh-CN"/>
              </w:rPr>
              <w:t>证明</w:t>
            </w:r>
            <w:bookmarkEnd w:id="73"/>
            <w:bookmarkStart w:id="74" w:name="OLE_LINK9"/>
            <w:r>
              <w:rPr>
                <w:rFonts w:hint="eastAsia" w:ascii="宋体" w:hAnsi="宋体" w:eastAsia="宋体" w:cs="宋体"/>
                <w:color w:val="auto"/>
                <w:sz w:val="21"/>
                <w:szCs w:val="21"/>
                <w:lang w:val="en-US" w:eastAsia="zh-CN"/>
              </w:rPr>
              <w:t>材料</w:t>
            </w:r>
            <w:bookmarkEnd w:id="74"/>
            <w:r>
              <w:rPr>
                <w:rFonts w:hint="eastAsia" w:ascii="宋体" w:hAnsi="宋体" w:eastAsia="宋体" w:cs="宋体"/>
                <w:color w:val="auto"/>
                <w:sz w:val="21"/>
                <w:szCs w:val="21"/>
                <w:lang w:val="en-US" w:eastAsia="zh-CN"/>
              </w:rPr>
              <w:t>、资质证书复印件等，无法提供材料或提供的材料中人员信息与响应文件不符的，采购人有权不予签订合同并上报监督部门依法追究其责任。</w:t>
            </w:r>
          </w:p>
        </w:tc>
      </w:tr>
    </w:tbl>
    <w:p>
      <w:pPr>
        <w:spacing w:line="240" w:lineRule="auto"/>
        <w:rPr>
          <w:rFonts w:hint="eastAsia" w:ascii="宋体" w:hAnsi="宋体" w:eastAsia="宋体" w:cs="宋体"/>
          <w:color w:val="auto"/>
          <w:sz w:val="21"/>
          <w:szCs w:val="21"/>
        </w:rPr>
      </w:pPr>
    </w:p>
    <w:p>
      <w:pPr>
        <w:shd w:val="clear" w:color="auto" w:fill="auto"/>
        <w:spacing w:beforeLines="0" w:after="120" w:afterLines="0"/>
        <w:rPr>
          <w:rFonts w:hint="eastAsia" w:ascii="宋体" w:hAnsi="宋体" w:eastAsia="宋体" w:cs="宋体"/>
          <w:color w:val="auto"/>
          <w:sz w:val="28"/>
          <w:szCs w:val="28"/>
          <w:highlight w:val="none"/>
        </w:rPr>
      </w:pPr>
      <w:r>
        <w:rPr>
          <w:rFonts w:hint="eastAsia" w:ascii="宋体" w:hAnsi="宋体" w:eastAsia="宋体" w:cs="宋体"/>
          <w:b/>
          <w:color w:val="auto"/>
          <w:sz w:val="28"/>
          <w:szCs w:val="28"/>
          <w:highlight w:val="none"/>
          <w:lang w:val="en-US" w:eastAsia="zh-CN"/>
        </w:rPr>
        <w:t xml:space="preserve">分标1 </w:t>
      </w:r>
      <w:r>
        <w:rPr>
          <w:rFonts w:hint="eastAsia" w:ascii="宋体" w:hAnsi="宋体" w:eastAsia="宋体" w:cs="宋体"/>
          <w:b/>
          <w:color w:val="auto"/>
          <w:sz w:val="28"/>
          <w:szCs w:val="28"/>
          <w:highlight w:val="none"/>
          <w:lang w:eastAsia="zh-Hans"/>
        </w:rPr>
        <w:t>附表1</w:t>
      </w:r>
    </w:p>
    <w:p>
      <w:pPr>
        <w:shd w:val="clear" w:color="auto" w:fill="auto"/>
        <w:snapToGrid w:val="0"/>
        <w:spacing w:beforeLines="0" w:afterLines="0" w:line="276" w:lineRule="auto"/>
        <w:jc w:val="center"/>
        <w:rPr>
          <w:rFonts w:hint="eastAsia" w:ascii="宋体" w:hAnsi="宋体" w:eastAsia="宋体" w:cs="Times New Roman"/>
          <w:b/>
          <w:color w:val="auto"/>
          <w:sz w:val="32"/>
          <w:szCs w:val="24"/>
          <w:highlight w:val="none"/>
        </w:rPr>
      </w:pPr>
      <w:r>
        <w:rPr>
          <w:rFonts w:hint="eastAsia" w:ascii="宋体" w:hAnsi="宋体" w:eastAsia="宋体" w:cs="Times New Roman"/>
          <w:b/>
          <w:color w:val="auto"/>
          <w:sz w:val="32"/>
          <w:szCs w:val="24"/>
          <w:highlight w:val="none"/>
        </w:rPr>
        <w:t>设备清单</w:t>
      </w:r>
    </w:p>
    <w:tbl>
      <w:tblPr>
        <w:tblStyle w:val="32"/>
        <w:tblW w:w="96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2299"/>
        <w:gridCol w:w="4175"/>
        <w:gridCol w:w="1042"/>
        <w:gridCol w:w="1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napToGrid w:val="0"/>
              <w:spacing w:beforeLines="0" w:afterLines="0"/>
              <w:jc w:val="center"/>
              <w:rPr>
                <w:rFonts w:hint="eastAsia" w:ascii="宋体" w:hAnsi="宋体" w:eastAsia="宋体" w:cs="Arial"/>
                <w:color w:val="auto"/>
                <w:sz w:val="21"/>
                <w:szCs w:val="21"/>
                <w:highlight w:val="none"/>
              </w:rPr>
            </w:pPr>
            <w:r>
              <w:rPr>
                <w:rFonts w:hint="eastAsia" w:ascii="宋体" w:hAnsi="宋体" w:eastAsia="宋体" w:cs="Arial"/>
                <w:color w:val="auto"/>
                <w:sz w:val="21"/>
                <w:szCs w:val="21"/>
                <w:highlight w:val="none"/>
              </w:rPr>
              <w:t>序号</w:t>
            </w:r>
          </w:p>
        </w:tc>
        <w:tc>
          <w:tcPr>
            <w:tcW w:w="2299" w:type="dxa"/>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napToGrid w:val="0"/>
              <w:spacing w:beforeLines="0" w:afterLines="0"/>
              <w:jc w:val="center"/>
              <w:rPr>
                <w:rFonts w:hint="eastAsia" w:ascii="宋体" w:hAnsi="宋体" w:eastAsia="宋体" w:cs="Arial"/>
                <w:color w:val="auto"/>
                <w:sz w:val="21"/>
                <w:szCs w:val="21"/>
                <w:highlight w:val="none"/>
                <w:lang w:eastAsia="zh-CN"/>
              </w:rPr>
            </w:pPr>
            <w:r>
              <w:rPr>
                <w:rFonts w:hint="eastAsia" w:ascii="宋体" w:hAnsi="宋体" w:eastAsia="宋体" w:cs="Arial"/>
                <w:color w:val="auto"/>
                <w:sz w:val="21"/>
                <w:szCs w:val="21"/>
                <w:highlight w:val="none"/>
                <w:lang w:eastAsia="zh-Hans"/>
              </w:rPr>
              <w:t>设备</w:t>
            </w:r>
            <w:r>
              <w:rPr>
                <w:rFonts w:hint="eastAsia" w:ascii="宋体" w:hAnsi="宋体" w:eastAsia="宋体" w:cs="Arial"/>
                <w:color w:val="auto"/>
                <w:sz w:val="21"/>
                <w:szCs w:val="21"/>
                <w:highlight w:val="none"/>
                <w:lang w:eastAsia="zh-CN"/>
              </w:rPr>
              <w:t>名称</w:t>
            </w:r>
          </w:p>
        </w:tc>
        <w:tc>
          <w:tcPr>
            <w:tcW w:w="4175" w:type="dxa"/>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napToGrid w:val="0"/>
              <w:spacing w:beforeLines="0" w:afterLines="0"/>
              <w:jc w:val="center"/>
              <w:rPr>
                <w:rFonts w:hint="eastAsia" w:ascii="宋体" w:hAnsi="宋体" w:eastAsia="宋体" w:cs="Arial"/>
                <w:color w:val="auto"/>
                <w:sz w:val="21"/>
                <w:szCs w:val="21"/>
                <w:highlight w:val="none"/>
                <w:lang w:eastAsia="zh-Hans"/>
              </w:rPr>
            </w:pPr>
            <w:r>
              <w:rPr>
                <w:rFonts w:hint="eastAsia" w:ascii="宋体" w:hAnsi="宋体" w:eastAsia="宋体" w:cs="Arial"/>
                <w:color w:val="auto"/>
                <w:sz w:val="21"/>
                <w:szCs w:val="21"/>
                <w:highlight w:val="none"/>
              </w:rPr>
              <w:t>品牌</w:t>
            </w:r>
            <w:r>
              <w:rPr>
                <w:rFonts w:hint="eastAsia" w:ascii="宋体" w:hAnsi="宋体" w:eastAsia="宋体" w:cs="Arial"/>
                <w:color w:val="auto"/>
                <w:sz w:val="21"/>
                <w:szCs w:val="21"/>
                <w:highlight w:val="none"/>
                <w:lang w:eastAsia="zh-Hans"/>
              </w:rPr>
              <w:t>型号</w:t>
            </w:r>
          </w:p>
        </w:tc>
        <w:tc>
          <w:tcPr>
            <w:tcW w:w="1042" w:type="dxa"/>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napToGrid w:val="0"/>
              <w:spacing w:beforeLines="0" w:afterLines="0"/>
              <w:jc w:val="center"/>
              <w:rPr>
                <w:rFonts w:hint="eastAsia" w:ascii="宋体" w:hAnsi="宋体" w:eastAsia="宋体" w:cs="Arial"/>
                <w:color w:val="auto"/>
                <w:sz w:val="21"/>
                <w:szCs w:val="21"/>
                <w:highlight w:val="none"/>
              </w:rPr>
            </w:pPr>
            <w:r>
              <w:rPr>
                <w:rFonts w:hint="eastAsia" w:ascii="宋体" w:hAnsi="宋体" w:eastAsia="宋体" w:cs="Arial"/>
                <w:color w:val="auto"/>
                <w:sz w:val="21"/>
                <w:szCs w:val="21"/>
                <w:highlight w:val="none"/>
              </w:rPr>
              <w:t>数量</w:t>
            </w:r>
          </w:p>
        </w:tc>
        <w:tc>
          <w:tcPr>
            <w:tcW w:w="1357" w:type="dxa"/>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napToGrid w:val="0"/>
              <w:spacing w:beforeLines="0" w:afterLines="0"/>
              <w:jc w:val="center"/>
              <w:rPr>
                <w:rFonts w:hint="eastAsia" w:ascii="宋体" w:hAnsi="宋体" w:eastAsia="宋体" w:cs="Arial"/>
                <w:color w:val="auto"/>
                <w:sz w:val="21"/>
                <w:szCs w:val="21"/>
                <w:highlight w:val="none"/>
              </w:rPr>
            </w:pPr>
            <w:r>
              <w:rPr>
                <w:rFonts w:hint="eastAsia" w:ascii="宋体" w:hAnsi="宋体" w:eastAsia="宋体" w:cs="Arial"/>
                <w:color w:val="auto"/>
                <w:sz w:val="21"/>
                <w:szCs w:val="21"/>
                <w:highlight w:val="none"/>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tcBorders>
              <w:top w:val="single" w:color="auto" w:sz="4" w:space="0"/>
              <w:left w:val="single" w:color="auto" w:sz="4" w:space="0"/>
              <w:right w:val="single" w:color="auto" w:sz="4" w:space="0"/>
              <w:tl2br w:val="nil"/>
              <w:tr2bl w:val="nil"/>
            </w:tcBorders>
            <w:noWrap w:val="0"/>
            <w:vAlign w:val="center"/>
          </w:tcPr>
          <w:p>
            <w:pPr>
              <w:shd w:val="clear" w:color="auto" w:fill="auto"/>
              <w:snapToGrid w:val="0"/>
              <w:spacing w:beforeLines="0" w:afterLines="0"/>
              <w:jc w:val="center"/>
              <w:rPr>
                <w:rFonts w:hint="eastAsia" w:ascii="宋体" w:hAnsi="宋体" w:eastAsia="宋体" w:cs="Arial"/>
                <w:color w:val="auto"/>
                <w:sz w:val="21"/>
                <w:szCs w:val="21"/>
                <w:highlight w:val="none"/>
              </w:rPr>
            </w:pPr>
            <w:r>
              <w:rPr>
                <w:rFonts w:hint="eastAsia" w:ascii="宋体" w:hAnsi="宋体" w:eastAsia="宋体" w:cs="Arial"/>
                <w:color w:val="auto"/>
                <w:sz w:val="21"/>
                <w:szCs w:val="21"/>
                <w:highlight w:val="none"/>
              </w:rPr>
              <w:t>1</w:t>
            </w:r>
          </w:p>
        </w:tc>
        <w:tc>
          <w:tcPr>
            <w:tcW w:w="2299" w:type="dxa"/>
            <w:tcBorders>
              <w:top w:val="single" w:color="auto" w:sz="4" w:space="0"/>
              <w:left w:val="single" w:color="auto" w:sz="4" w:space="0"/>
              <w:right w:val="single" w:color="auto" w:sz="4" w:space="0"/>
              <w:tl2br w:val="nil"/>
              <w:tr2bl w:val="nil"/>
            </w:tcBorders>
            <w:noWrap w:val="0"/>
            <w:vAlign w:val="center"/>
          </w:tcPr>
          <w:p>
            <w:pPr>
              <w:widowControl/>
              <w:shd w:val="clear" w:color="auto" w:fill="auto"/>
              <w:jc w:val="both"/>
              <w:textAlignment w:val="center"/>
              <w:rPr>
                <w:rFonts w:hint="eastAsia" w:ascii="宋体" w:hAnsi="宋体" w:eastAsia="宋体" w:cs="Arial"/>
                <w:color w:val="auto"/>
                <w:sz w:val="21"/>
                <w:szCs w:val="21"/>
                <w:highlight w:val="none"/>
              </w:rPr>
            </w:pPr>
            <w:r>
              <w:rPr>
                <w:rFonts w:hint="eastAsia" w:ascii="宋体" w:hAnsi="宋体" w:eastAsia="宋体" w:cs="宋体"/>
                <w:color w:val="auto"/>
                <w:kern w:val="0"/>
                <w:szCs w:val="21"/>
                <w:highlight w:val="none"/>
                <w:lang w:bidi="ar"/>
              </w:rPr>
              <w:t>服务器</w:t>
            </w:r>
          </w:p>
        </w:tc>
        <w:tc>
          <w:tcPr>
            <w:tcW w:w="4175"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hd w:val="clear" w:color="auto" w:fill="auto"/>
              <w:textAlignment w:val="center"/>
              <w:rPr>
                <w:rFonts w:hint="eastAsia" w:ascii="宋体" w:hAnsi="宋体" w:eastAsia="宋体" w:cs="Arial"/>
                <w:color w:val="auto"/>
                <w:sz w:val="21"/>
                <w:szCs w:val="21"/>
                <w:highlight w:val="none"/>
              </w:rPr>
            </w:pPr>
            <w:r>
              <w:rPr>
                <w:rFonts w:hint="eastAsia" w:ascii="宋体" w:hAnsi="宋体" w:eastAsia="宋体" w:cs="宋体"/>
                <w:color w:val="auto"/>
                <w:kern w:val="0"/>
                <w:szCs w:val="21"/>
                <w:highlight w:val="none"/>
                <w:lang w:bidi="ar"/>
              </w:rPr>
              <w:t>浪潮英信NF8480M4</w:t>
            </w:r>
          </w:p>
        </w:tc>
        <w:tc>
          <w:tcPr>
            <w:tcW w:w="1042"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hd w:val="clear" w:color="auto" w:fill="auto"/>
              <w:jc w:val="center"/>
              <w:textAlignment w:val="center"/>
              <w:rPr>
                <w:rFonts w:hint="eastAsia" w:ascii="宋体" w:hAnsi="宋体" w:eastAsia="宋体" w:cs="Arial"/>
                <w:color w:val="auto"/>
                <w:sz w:val="21"/>
                <w:szCs w:val="21"/>
                <w:highlight w:val="none"/>
              </w:rPr>
            </w:pPr>
            <w:r>
              <w:rPr>
                <w:rFonts w:hint="eastAsia" w:ascii="宋体" w:hAnsi="宋体" w:eastAsia="宋体" w:cs="宋体"/>
                <w:color w:val="auto"/>
                <w:kern w:val="0"/>
                <w:szCs w:val="21"/>
                <w:highlight w:val="none"/>
                <w:lang w:bidi="ar"/>
              </w:rPr>
              <w:t>13</w:t>
            </w:r>
          </w:p>
        </w:tc>
        <w:tc>
          <w:tcPr>
            <w:tcW w:w="1357" w:type="dxa"/>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napToGrid w:val="0"/>
              <w:spacing w:beforeLines="0" w:afterLines="0"/>
              <w:jc w:val="center"/>
              <w:rPr>
                <w:rFonts w:hint="eastAsia" w:ascii="宋体" w:hAnsi="宋体" w:eastAsia="宋体" w:cs="Arial"/>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tcBorders>
              <w:left w:val="single" w:color="auto" w:sz="4" w:space="0"/>
              <w:right w:val="single" w:color="auto" w:sz="4" w:space="0"/>
              <w:tl2br w:val="nil"/>
              <w:tr2bl w:val="nil"/>
            </w:tcBorders>
            <w:noWrap w:val="0"/>
            <w:vAlign w:val="center"/>
          </w:tcPr>
          <w:p>
            <w:pPr>
              <w:shd w:val="clear" w:color="auto" w:fill="auto"/>
              <w:snapToGrid w:val="0"/>
              <w:spacing w:beforeLines="0" w:afterLines="0"/>
              <w:jc w:val="center"/>
              <w:rPr>
                <w:rFonts w:hint="eastAsia" w:ascii="宋体" w:hAnsi="宋体" w:eastAsia="宋体" w:cs="Arial"/>
                <w:color w:val="auto"/>
                <w:sz w:val="21"/>
                <w:szCs w:val="21"/>
                <w:highlight w:val="none"/>
                <w:lang w:val="en-US" w:eastAsia="zh-CN"/>
              </w:rPr>
            </w:pPr>
            <w:r>
              <w:rPr>
                <w:rFonts w:hint="eastAsia" w:ascii="宋体" w:hAnsi="宋体" w:eastAsia="宋体" w:cs="Arial"/>
                <w:color w:val="auto"/>
                <w:sz w:val="21"/>
                <w:szCs w:val="21"/>
                <w:highlight w:val="none"/>
                <w:lang w:val="en-US" w:eastAsia="zh-CN"/>
              </w:rPr>
              <w:t>2</w:t>
            </w:r>
          </w:p>
        </w:tc>
        <w:tc>
          <w:tcPr>
            <w:tcW w:w="2299" w:type="dxa"/>
            <w:tcBorders>
              <w:left w:val="single" w:color="auto" w:sz="4" w:space="0"/>
              <w:right w:val="single" w:color="auto" w:sz="4" w:space="0"/>
              <w:tl2br w:val="nil"/>
              <w:tr2bl w:val="nil"/>
            </w:tcBorders>
            <w:noWrap w:val="0"/>
            <w:vAlign w:val="center"/>
          </w:tcPr>
          <w:p>
            <w:pPr>
              <w:shd w:val="clear" w:color="auto" w:fill="auto"/>
              <w:jc w:val="both"/>
              <w:rPr>
                <w:rFonts w:hint="eastAsia" w:ascii="宋体" w:hAnsi="宋体" w:eastAsia="宋体" w:cs="Arial"/>
                <w:color w:val="auto"/>
                <w:sz w:val="21"/>
                <w:szCs w:val="21"/>
                <w:highlight w:val="none"/>
              </w:rPr>
            </w:pPr>
            <w:r>
              <w:rPr>
                <w:rFonts w:hint="eastAsia" w:ascii="宋体" w:hAnsi="宋体" w:eastAsia="宋体" w:cs="宋体"/>
                <w:color w:val="auto"/>
                <w:kern w:val="0"/>
                <w:szCs w:val="21"/>
                <w:highlight w:val="none"/>
                <w:lang w:bidi="ar"/>
              </w:rPr>
              <w:t>服务器</w:t>
            </w:r>
          </w:p>
        </w:tc>
        <w:tc>
          <w:tcPr>
            <w:tcW w:w="4175"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hd w:val="clear" w:color="auto" w:fill="auto"/>
              <w:textAlignment w:val="center"/>
              <w:rPr>
                <w:rFonts w:hint="eastAsia" w:ascii="宋体" w:hAnsi="宋体" w:eastAsia="宋体" w:cs="Arial"/>
                <w:color w:val="auto"/>
                <w:sz w:val="21"/>
                <w:szCs w:val="21"/>
                <w:highlight w:val="none"/>
              </w:rPr>
            </w:pPr>
            <w:r>
              <w:rPr>
                <w:rFonts w:hint="eastAsia" w:ascii="宋体" w:hAnsi="宋体" w:eastAsia="宋体" w:cs="宋体"/>
                <w:color w:val="auto"/>
                <w:kern w:val="0"/>
                <w:szCs w:val="21"/>
                <w:highlight w:val="none"/>
                <w:lang w:bidi="ar"/>
              </w:rPr>
              <w:t>浪潮天梭TS860G3</w:t>
            </w:r>
          </w:p>
        </w:tc>
        <w:tc>
          <w:tcPr>
            <w:tcW w:w="1042"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hd w:val="clear" w:color="auto" w:fill="auto"/>
              <w:jc w:val="center"/>
              <w:textAlignment w:val="center"/>
              <w:rPr>
                <w:rFonts w:hint="eastAsia" w:ascii="宋体" w:hAnsi="宋体" w:eastAsia="宋体" w:cs="Arial"/>
                <w:color w:val="auto"/>
                <w:sz w:val="21"/>
                <w:szCs w:val="21"/>
                <w:highlight w:val="none"/>
              </w:rPr>
            </w:pPr>
            <w:r>
              <w:rPr>
                <w:rFonts w:hint="eastAsia" w:ascii="宋体" w:hAnsi="宋体" w:eastAsia="宋体" w:cs="宋体"/>
                <w:color w:val="auto"/>
                <w:kern w:val="0"/>
                <w:szCs w:val="21"/>
                <w:highlight w:val="none"/>
                <w:lang w:bidi="ar"/>
              </w:rPr>
              <w:t>1</w:t>
            </w:r>
          </w:p>
        </w:tc>
        <w:tc>
          <w:tcPr>
            <w:tcW w:w="1357" w:type="dxa"/>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napToGrid w:val="0"/>
              <w:spacing w:beforeLines="0" w:afterLines="0"/>
              <w:jc w:val="center"/>
              <w:rPr>
                <w:rFonts w:hint="eastAsia" w:ascii="宋体" w:hAnsi="宋体" w:eastAsia="宋体" w:cs="Arial"/>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tcBorders>
              <w:left w:val="single" w:color="auto" w:sz="4" w:space="0"/>
              <w:right w:val="single" w:color="auto" w:sz="4" w:space="0"/>
              <w:tl2br w:val="nil"/>
              <w:tr2bl w:val="nil"/>
            </w:tcBorders>
            <w:noWrap w:val="0"/>
            <w:vAlign w:val="center"/>
          </w:tcPr>
          <w:p>
            <w:pPr>
              <w:shd w:val="clear" w:color="auto" w:fill="auto"/>
              <w:snapToGrid w:val="0"/>
              <w:spacing w:beforeLines="0" w:afterLines="0"/>
              <w:jc w:val="center"/>
              <w:rPr>
                <w:rFonts w:hint="eastAsia" w:ascii="宋体" w:hAnsi="宋体" w:eastAsia="宋体" w:cs="Arial"/>
                <w:color w:val="auto"/>
                <w:sz w:val="21"/>
                <w:szCs w:val="21"/>
                <w:highlight w:val="none"/>
                <w:lang w:val="en-US" w:eastAsia="zh-CN"/>
              </w:rPr>
            </w:pPr>
            <w:r>
              <w:rPr>
                <w:rFonts w:hint="eastAsia" w:ascii="宋体" w:hAnsi="宋体" w:eastAsia="宋体" w:cs="Arial"/>
                <w:color w:val="auto"/>
                <w:sz w:val="21"/>
                <w:szCs w:val="21"/>
                <w:highlight w:val="none"/>
                <w:lang w:val="en-US" w:eastAsia="zh-CN"/>
              </w:rPr>
              <w:t>3</w:t>
            </w:r>
          </w:p>
        </w:tc>
        <w:tc>
          <w:tcPr>
            <w:tcW w:w="2299" w:type="dxa"/>
            <w:tcBorders>
              <w:left w:val="single" w:color="auto" w:sz="4" w:space="0"/>
              <w:right w:val="single" w:color="auto" w:sz="4" w:space="0"/>
              <w:tl2br w:val="nil"/>
              <w:tr2bl w:val="nil"/>
            </w:tcBorders>
            <w:noWrap w:val="0"/>
            <w:vAlign w:val="center"/>
          </w:tcPr>
          <w:p>
            <w:pPr>
              <w:shd w:val="clear" w:color="auto" w:fill="auto"/>
              <w:jc w:val="both"/>
              <w:rPr>
                <w:rFonts w:hint="eastAsia" w:ascii="宋体" w:hAnsi="宋体" w:eastAsia="宋体" w:cs="Arial"/>
                <w:color w:val="auto"/>
                <w:sz w:val="21"/>
                <w:szCs w:val="21"/>
                <w:highlight w:val="none"/>
              </w:rPr>
            </w:pPr>
            <w:r>
              <w:rPr>
                <w:rFonts w:hint="eastAsia" w:ascii="宋体" w:hAnsi="宋体" w:eastAsia="宋体" w:cs="宋体"/>
                <w:color w:val="auto"/>
                <w:kern w:val="0"/>
                <w:szCs w:val="21"/>
                <w:highlight w:val="none"/>
                <w:lang w:bidi="ar"/>
              </w:rPr>
              <w:t>服务器</w:t>
            </w:r>
          </w:p>
        </w:tc>
        <w:tc>
          <w:tcPr>
            <w:tcW w:w="4175"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hd w:val="clear" w:color="auto" w:fill="auto"/>
              <w:textAlignment w:val="center"/>
              <w:rPr>
                <w:rFonts w:hint="eastAsia" w:ascii="宋体" w:hAnsi="宋体" w:eastAsia="宋体" w:cs="Arial"/>
                <w:color w:val="auto"/>
                <w:sz w:val="21"/>
                <w:szCs w:val="21"/>
                <w:highlight w:val="none"/>
              </w:rPr>
            </w:pPr>
            <w:r>
              <w:rPr>
                <w:rFonts w:hint="eastAsia" w:ascii="宋体" w:hAnsi="宋体" w:eastAsia="宋体" w:cs="宋体"/>
                <w:color w:val="auto"/>
                <w:kern w:val="0"/>
                <w:szCs w:val="21"/>
                <w:highlight w:val="none"/>
                <w:lang w:bidi="ar"/>
              </w:rPr>
              <w:t>浪潮英信NF5280M4</w:t>
            </w:r>
          </w:p>
        </w:tc>
        <w:tc>
          <w:tcPr>
            <w:tcW w:w="1042"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hd w:val="clear" w:color="auto" w:fill="auto"/>
              <w:jc w:val="center"/>
              <w:textAlignment w:val="center"/>
              <w:rPr>
                <w:rFonts w:hint="eastAsia" w:ascii="宋体" w:hAnsi="宋体" w:eastAsia="宋体" w:cs="Arial"/>
                <w:color w:val="auto"/>
                <w:sz w:val="21"/>
                <w:szCs w:val="21"/>
                <w:highlight w:val="none"/>
              </w:rPr>
            </w:pPr>
            <w:r>
              <w:rPr>
                <w:rFonts w:hint="eastAsia" w:ascii="宋体" w:hAnsi="宋体" w:eastAsia="宋体" w:cs="宋体"/>
                <w:color w:val="auto"/>
                <w:kern w:val="0"/>
                <w:szCs w:val="21"/>
                <w:highlight w:val="none"/>
                <w:lang w:bidi="ar"/>
              </w:rPr>
              <w:t>2</w:t>
            </w:r>
          </w:p>
        </w:tc>
        <w:tc>
          <w:tcPr>
            <w:tcW w:w="1357" w:type="dxa"/>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napToGrid w:val="0"/>
              <w:spacing w:beforeLines="0" w:afterLines="0"/>
              <w:jc w:val="center"/>
              <w:rPr>
                <w:rFonts w:hint="eastAsia" w:ascii="宋体" w:hAnsi="宋体" w:eastAsia="宋体" w:cs="Arial"/>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tcBorders>
              <w:left w:val="single" w:color="auto" w:sz="4" w:space="0"/>
              <w:right w:val="single" w:color="auto" w:sz="4" w:space="0"/>
              <w:tl2br w:val="nil"/>
              <w:tr2bl w:val="nil"/>
            </w:tcBorders>
            <w:noWrap w:val="0"/>
            <w:vAlign w:val="center"/>
          </w:tcPr>
          <w:p>
            <w:pPr>
              <w:shd w:val="clear" w:color="auto" w:fill="auto"/>
              <w:snapToGrid w:val="0"/>
              <w:spacing w:beforeLines="0" w:afterLines="0"/>
              <w:jc w:val="center"/>
              <w:rPr>
                <w:rFonts w:hint="eastAsia" w:ascii="宋体" w:hAnsi="宋体" w:eastAsia="宋体" w:cs="Arial"/>
                <w:color w:val="auto"/>
                <w:sz w:val="21"/>
                <w:szCs w:val="21"/>
                <w:highlight w:val="none"/>
                <w:lang w:val="en-US" w:eastAsia="zh-CN"/>
              </w:rPr>
            </w:pPr>
            <w:r>
              <w:rPr>
                <w:rFonts w:hint="eastAsia" w:ascii="宋体" w:hAnsi="宋体" w:eastAsia="宋体" w:cs="Arial"/>
                <w:color w:val="auto"/>
                <w:sz w:val="21"/>
                <w:szCs w:val="21"/>
                <w:highlight w:val="none"/>
                <w:lang w:val="en-US" w:eastAsia="zh-CN"/>
              </w:rPr>
              <w:t>4</w:t>
            </w:r>
          </w:p>
        </w:tc>
        <w:tc>
          <w:tcPr>
            <w:tcW w:w="2299" w:type="dxa"/>
            <w:tcBorders>
              <w:left w:val="single" w:color="auto" w:sz="4" w:space="0"/>
              <w:right w:val="single" w:color="auto" w:sz="4" w:space="0"/>
              <w:tl2br w:val="nil"/>
              <w:tr2bl w:val="nil"/>
            </w:tcBorders>
            <w:noWrap w:val="0"/>
            <w:vAlign w:val="center"/>
          </w:tcPr>
          <w:p>
            <w:pPr>
              <w:widowControl/>
              <w:shd w:val="clear" w:color="auto" w:fill="auto"/>
              <w:jc w:val="both"/>
              <w:textAlignment w:val="center"/>
              <w:rPr>
                <w:rFonts w:hint="eastAsia" w:ascii="宋体" w:hAnsi="宋体" w:eastAsia="宋体" w:cs="Arial"/>
                <w:color w:val="auto"/>
                <w:sz w:val="21"/>
                <w:szCs w:val="21"/>
                <w:highlight w:val="none"/>
              </w:rPr>
            </w:pPr>
            <w:r>
              <w:rPr>
                <w:rFonts w:hint="eastAsia" w:ascii="宋体" w:hAnsi="宋体" w:eastAsia="宋体" w:cs="宋体"/>
                <w:color w:val="auto"/>
                <w:kern w:val="0"/>
                <w:szCs w:val="21"/>
                <w:highlight w:val="none"/>
                <w:lang w:bidi="ar"/>
              </w:rPr>
              <w:t>超融合计算节点</w:t>
            </w:r>
          </w:p>
        </w:tc>
        <w:tc>
          <w:tcPr>
            <w:tcW w:w="4175"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hd w:val="clear" w:color="auto" w:fill="auto"/>
              <w:textAlignment w:val="center"/>
              <w:rPr>
                <w:rFonts w:hint="eastAsia" w:ascii="宋体" w:hAnsi="宋体" w:eastAsia="宋体" w:cs="Arial"/>
                <w:color w:val="auto"/>
                <w:sz w:val="21"/>
                <w:szCs w:val="21"/>
                <w:highlight w:val="none"/>
              </w:rPr>
            </w:pPr>
            <w:r>
              <w:rPr>
                <w:rFonts w:hint="eastAsia" w:ascii="宋体" w:hAnsi="宋体" w:eastAsia="宋体" w:cs="宋体"/>
                <w:color w:val="auto"/>
                <w:kern w:val="0"/>
                <w:szCs w:val="21"/>
                <w:highlight w:val="none"/>
                <w:lang w:bidi="ar"/>
              </w:rPr>
              <w:t>深信服超融合计算节点aServer-2300</w:t>
            </w:r>
          </w:p>
        </w:tc>
        <w:tc>
          <w:tcPr>
            <w:tcW w:w="1042"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hd w:val="clear" w:color="auto" w:fill="auto"/>
              <w:jc w:val="center"/>
              <w:textAlignment w:val="center"/>
              <w:rPr>
                <w:rFonts w:hint="eastAsia" w:ascii="宋体" w:hAnsi="宋体" w:eastAsia="宋体" w:cs="Arial"/>
                <w:color w:val="auto"/>
                <w:sz w:val="21"/>
                <w:szCs w:val="21"/>
                <w:highlight w:val="none"/>
              </w:rPr>
            </w:pPr>
            <w:r>
              <w:rPr>
                <w:rFonts w:hint="eastAsia" w:ascii="宋体" w:hAnsi="宋体" w:eastAsia="宋体" w:cs="宋体"/>
                <w:color w:val="auto"/>
                <w:kern w:val="0"/>
                <w:szCs w:val="21"/>
                <w:highlight w:val="none"/>
                <w:lang w:bidi="ar"/>
              </w:rPr>
              <w:t>16</w:t>
            </w:r>
          </w:p>
        </w:tc>
        <w:tc>
          <w:tcPr>
            <w:tcW w:w="1357" w:type="dxa"/>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napToGrid w:val="0"/>
              <w:spacing w:beforeLines="0" w:afterLines="0"/>
              <w:jc w:val="center"/>
              <w:rPr>
                <w:rFonts w:hint="eastAsia" w:ascii="宋体" w:hAnsi="宋体" w:eastAsia="宋体" w:cs="Arial"/>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tcBorders>
              <w:left w:val="single" w:color="auto" w:sz="4" w:space="0"/>
              <w:right w:val="single" w:color="auto" w:sz="4" w:space="0"/>
              <w:tl2br w:val="nil"/>
              <w:tr2bl w:val="nil"/>
            </w:tcBorders>
            <w:noWrap w:val="0"/>
            <w:vAlign w:val="center"/>
          </w:tcPr>
          <w:p>
            <w:pPr>
              <w:shd w:val="clear" w:color="auto" w:fill="auto"/>
              <w:snapToGrid w:val="0"/>
              <w:spacing w:beforeLines="0" w:afterLines="0"/>
              <w:jc w:val="center"/>
              <w:rPr>
                <w:rFonts w:hint="eastAsia" w:ascii="宋体" w:hAnsi="宋体" w:eastAsia="宋体" w:cs="Arial"/>
                <w:color w:val="auto"/>
                <w:sz w:val="21"/>
                <w:szCs w:val="21"/>
                <w:highlight w:val="none"/>
                <w:lang w:val="en-US" w:eastAsia="zh-CN"/>
              </w:rPr>
            </w:pPr>
            <w:r>
              <w:rPr>
                <w:rFonts w:hint="eastAsia" w:ascii="宋体" w:hAnsi="宋体" w:eastAsia="宋体" w:cs="Arial"/>
                <w:color w:val="auto"/>
                <w:sz w:val="21"/>
                <w:szCs w:val="21"/>
                <w:highlight w:val="none"/>
                <w:lang w:val="en-US" w:eastAsia="zh-CN"/>
              </w:rPr>
              <w:t>5</w:t>
            </w:r>
          </w:p>
        </w:tc>
        <w:tc>
          <w:tcPr>
            <w:tcW w:w="2299" w:type="dxa"/>
            <w:tcBorders>
              <w:left w:val="single" w:color="auto" w:sz="4" w:space="0"/>
              <w:right w:val="single" w:color="auto" w:sz="4" w:space="0"/>
              <w:tl2br w:val="nil"/>
              <w:tr2bl w:val="nil"/>
            </w:tcBorders>
            <w:noWrap w:val="0"/>
            <w:vAlign w:val="center"/>
          </w:tcPr>
          <w:p>
            <w:pPr>
              <w:shd w:val="clear" w:color="auto" w:fill="auto"/>
              <w:jc w:val="both"/>
              <w:rPr>
                <w:rFonts w:hint="eastAsia" w:ascii="宋体" w:hAnsi="宋体" w:eastAsia="宋体" w:cs="Arial"/>
                <w:color w:val="auto"/>
                <w:sz w:val="21"/>
                <w:szCs w:val="21"/>
                <w:highlight w:val="none"/>
              </w:rPr>
            </w:pPr>
            <w:r>
              <w:rPr>
                <w:rFonts w:hint="eastAsia" w:ascii="宋体" w:hAnsi="宋体" w:eastAsia="宋体" w:cs="宋体"/>
                <w:color w:val="auto"/>
                <w:kern w:val="0"/>
                <w:szCs w:val="21"/>
                <w:highlight w:val="none"/>
                <w:lang w:bidi="ar"/>
              </w:rPr>
              <w:t>服务器</w:t>
            </w:r>
          </w:p>
        </w:tc>
        <w:tc>
          <w:tcPr>
            <w:tcW w:w="4175"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hd w:val="clear" w:color="auto" w:fill="auto"/>
              <w:textAlignment w:val="center"/>
              <w:rPr>
                <w:rFonts w:hint="eastAsia" w:ascii="宋体" w:hAnsi="宋体" w:eastAsia="宋体" w:cs="Arial"/>
                <w:color w:val="auto"/>
                <w:sz w:val="21"/>
                <w:szCs w:val="21"/>
                <w:highlight w:val="none"/>
              </w:rPr>
            </w:pPr>
            <w:r>
              <w:rPr>
                <w:rFonts w:hint="eastAsia" w:ascii="宋体" w:hAnsi="宋体" w:eastAsia="宋体" w:cs="宋体"/>
                <w:color w:val="auto"/>
                <w:kern w:val="0"/>
                <w:szCs w:val="21"/>
                <w:highlight w:val="none"/>
                <w:lang w:bidi="ar"/>
              </w:rPr>
              <w:t>华为RH5885v3</w:t>
            </w:r>
          </w:p>
        </w:tc>
        <w:tc>
          <w:tcPr>
            <w:tcW w:w="1042"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hd w:val="clear" w:color="auto" w:fill="auto"/>
              <w:jc w:val="center"/>
              <w:textAlignment w:val="center"/>
              <w:rPr>
                <w:rFonts w:hint="eastAsia" w:ascii="宋体" w:hAnsi="宋体" w:eastAsia="宋体" w:cs="Arial"/>
                <w:color w:val="auto"/>
                <w:sz w:val="21"/>
                <w:szCs w:val="21"/>
                <w:highlight w:val="none"/>
              </w:rPr>
            </w:pPr>
            <w:r>
              <w:rPr>
                <w:rFonts w:hint="eastAsia" w:ascii="宋体" w:hAnsi="宋体" w:eastAsia="宋体" w:cs="宋体"/>
                <w:color w:val="auto"/>
                <w:kern w:val="0"/>
                <w:szCs w:val="21"/>
                <w:highlight w:val="none"/>
                <w:lang w:bidi="ar"/>
              </w:rPr>
              <w:t>3</w:t>
            </w:r>
          </w:p>
        </w:tc>
        <w:tc>
          <w:tcPr>
            <w:tcW w:w="1357" w:type="dxa"/>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napToGrid w:val="0"/>
              <w:spacing w:beforeLines="0" w:afterLines="0"/>
              <w:jc w:val="center"/>
              <w:rPr>
                <w:rFonts w:hint="eastAsia" w:ascii="宋体" w:hAnsi="宋体" w:eastAsia="宋体" w:cs="Arial"/>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tcBorders>
              <w:left w:val="single" w:color="auto" w:sz="4" w:space="0"/>
              <w:right w:val="single" w:color="auto" w:sz="4" w:space="0"/>
              <w:tl2br w:val="nil"/>
              <w:tr2bl w:val="nil"/>
            </w:tcBorders>
            <w:noWrap w:val="0"/>
            <w:vAlign w:val="center"/>
          </w:tcPr>
          <w:p>
            <w:pPr>
              <w:shd w:val="clear" w:color="auto" w:fill="auto"/>
              <w:snapToGrid w:val="0"/>
              <w:spacing w:beforeLines="0" w:afterLines="0"/>
              <w:jc w:val="center"/>
              <w:rPr>
                <w:rFonts w:hint="eastAsia" w:ascii="宋体" w:hAnsi="宋体" w:eastAsia="宋体" w:cs="Arial"/>
                <w:color w:val="auto"/>
                <w:sz w:val="21"/>
                <w:szCs w:val="21"/>
                <w:highlight w:val="none"/>
                <w:lang w:val="en-US" w:eastAsia="zh-CN"/>
              </w:rPr>
            </w:pPr>
            <w:r>
              <w:rPr>
                <w:rFonts w:hint="eastAsia" w:ascii="宋体" w:hAnsi="宋体" w:eastAsia="宋体" w:cs="Arial"/>
                <w:color w:val="auto"/>
                <w:sz w:val="21"/>
                <w:szCs w:val="21"/>
                <w:highlight w:val="none"/>
                <w:lang w:val="en-US" w:eastAsia="zh-CN"/>
              </w:rPr>
              <w:t>6</w:t>
            </w:r>
          </w:p>
        </w:tc>
        <w:tc>
          <w:tcPr>
            <w:tcW w:w="2299" w:type="dxa"/>
            <w:tcBorders>
              <w:left w:val="single" w:color="auto" w:sz="4" w:space="0"/>
              <w:right w:val="single" w:color="auto" w:sz="4" w:space="0"/>
              <w:tl2br w:val="nil"/>
              <w:tr2bl w:val="nil"/>
            </w:tcBorders>
            <w:noWrap w:val="0"/>
            <w:vAlign w:val="center"/>
          </w:tcPr>
          <w:p>
            <w:pPr>
              <w:shd w:val="clear" w:color="auto" w:fill="auto"/>
              <w:jc w:val="both"/>
              <w:rPr>
                <w:rFonts w:hint="eastAsia" w:ascii="宋体" w:hAnsi="宋体" w:eastAsia="宋体" w:cs="Arial"/>
                <w:color w:val="auto"/>
                <w:sz w:val="21"/>
                <w:szCs w:val="21"/>
                <w:highlight w:val="none"/>
              </w:rPr>
            </w:pPr>
            <w:r>
              <w:rPr>
                <w:rFonts w:hint="eastAsia" w:ascii="宋体" w:hAnsi="宋体" w:eastAsia="宋体" w:cs="宋体"/>
                <w:color w:val="auto"/>
                <w:kern w:val="0"/>
                <w:szCs w:val="21"/>
                <w:highlight w:val="none"/>
                <w:lang w:bidi="ar"/>
              </w:rPr>
              <w:t>服务器</w:t>
            </w:r>
          </w:p>
        </w:tc>
        <w:tc>
          <w:tcPr>
            <w:tcW w:w="4175"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hd w:val="clear" w:color="auto" w:fill="auto"/>
              <w:textAlignment w:val="center"/>
              <w:rPr>
                <w:rFonts w:hint="eastAsia" w:ascii="宋体" w:hAnsi="宋体" w:eastAsia="宋体" w:cs="Arial"/>
                <w:color w:val="auto"/>
                <w:sz w:val="21"/>
                <w:szCs w:val="21"/>
                <w:highlight w:val="none"/>
              </w:rPr>
            </w:pPr>
            <w:r>
              <w:rPr>
                <w:rFonts w:hint="eastAsia" w:ascii="宋体" w:hAnsi="宋体" w:eastAsia="宋体" w:cs="宋体"/>
                <w:color w:val="auto"/>
                <w:kern w:val="0"/>
                <w:szCs w:val="21"/>
                <w:highlight w:val="none"/>
                <w:lang w:bidi="ar"/>
              </w:rPr>
              <w:t>华为RH2288v3</w:t>
            </w:r>
          </w:p>
        </w:tc>
        <w:tc>
          <w:tcPr>
            <w:tcW w:w="1042"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hd w:val="clear" w:color="auto" w:fill="auto"/>
              <w:jc w:val="center"/>
              <w:textAlignment w:val="center"/>
              <w:rPr>
                <w:rFonts w:hint="eastAsia" w:ascii="宋体" w:hAnsi="宋体" w:eastAsia="宋体" w:cs="Arial"/>
                <w:color w:val="auto"/>
                <w:sz w:val="21"/>
                <w:szCs w:val="21"/>
                <w:highlight w:val="none"/>
              </w:rPr>
            </w:pPr>
            <w:r>
              <w:rPr>
                <w:rFonts w:hint="eastAsia" w:ascii="宋体" w:hAnsi="宋体" w:eastAsia="宋体" w:cs="宋体"/>
                <w:color w:val="auto"/>
                <w:kern w:val="0"/>
                <w:szCs w:val="21"/>
                <w:highlight w:val="none"/>
                <w:lang w:bidi="ar"/>
              </w:rPr>
              <w:t>5</w:t>
            </w:r>
          </w:p>
        </w:tc>
        <w:tc>
          <w:tcPr>
            <w:tcW w:w="1357" w:type="dxa"/>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napToGrid w:val="0"/>
              <w:spacing w:beforeLines="0" w:afterLines="0"/>
              <w:jc w:val="center"/>
              <w:rPr>
                <w:rFonts w:hint="eastAsia" w:ascii="宋体" w:hAnsi="宋体" w:eastAsia="宋体" w:cs="Arial"/>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tcBorders>
              <w:left w:val="single" w:color="auto" w:sz="4" w:space="0"/>
              <w:right w:val="single" w:color="auto" w:sz="4" w:space="0"/>
              <w:tl2br w:val="nil"/>
              <w:tr2bl w:val="nil"/>
            </w:tcBorders>
            <w:noWrap w:val="0"/>
            <w:vAlign w:val="center"/>
          </w:tcPr>
          <w:p>
            <w:pPr>
              <w:shd w:val="clear" w:color="auto" w:fill="auto"/>
              <w:snapToGrid w:val="0"/>
              <w:spacing w:beforeLines="0" w:afterLines="0"/>
              <w:jc w:val="center"/>
              <w:rPr>
                <w:rFonts w:hint="eastAsia" w:ascii="宋体" w:hAnsi="宋体" w:eastAsia="宋体" w:cs="Arial"/>
                <w:color w:val="auto"/>
                <w:sz w:val="21"/>
                <w:szCs w:val="21"/>
                <w:highlight w:val="none"/>
                <w:lang w:val="en-US" w:eastAsia="zh-CN"/>
              </w:rPr>
            </w:pPr>
            <w:r>
              <w:rPr>
                <w:rFonts w:hint="eastAsia" w:ascii="宋体" w:hAnsi="宋体" w:eastAsia="宋体" w:cs="Arial"/>
                <w:color w:val="auto"/>
                <w:sz w:val="21"/>
                <w:szCs w:val="21"/>
                <w:highlight w:val="none"/>
                <w:lang w:val="en-US" w:eastAsia="zh-CN"/>
              </w:rPr>
              <w:t>7</w:t>
            </w:r>
          </w:p>
        </w:tc>
        <w:tc>
          <w:tcPr>
            <w:tcW w:w="2299" w:type="dxa"/>
            <w:tcBorders>
              <w:left w:val="single" w:color="auto" w:sz="4" w:space="0"/>
              <w:right w:val="single" w:color="auto" w:sz="4" w:space="0"/>
              <w:tl2br w:val="nil"/>
              <w:tr2bl w:val="nil"/>
            </w:tcBorders>
            <w:noWrap w:val="0"/>
            <w:vAlign w:val="center"/>
          </w:tcPr>
          <w:p>
            <w:pPr>
              <w:shd w:val="clear" w:color="auto" w:fill="auto"/>
              <w:jc w:val="both"/>
              <w:rPr>
                <w:rFonts w:hint="eastAsia" w:ascii="宋体" w:hAnsi="宋体" w:eastAsia="宋体" w:cs="Arial"/>
                <w:color w:val="auto"/>
                <w:sz w:val="21"/>
                <w:szCs w:val="21"/>
                <w:highlight w:val="none"/>
              </w:rPr>
            </w:pPr>
            <w:r>
              <w:rPr>
                <w:rFonts w:hint="eastAsia" w:ascii="宋体" w:hAnsi="宋体" w:eastAsia="宋体" w:cs="宋体"/>
                <w:color w:val="auto"/>
                <w:kern w:val="0"/>
                <w:szCs w:val="21"/>
                <w:highlight w:val="none"/>
                <w:lang w:bidi="ar"/>
              </w:rPr>
              <w:t>服务器</w:t>
            </w:r>
          </w:p>
        </w:tc>
        <w:tc>
          <w:tcPr>
            <w:tcW w:w="4175"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hd w:val="clear" w:color="auto" w:fill="auto"/>
              <w:textAlignment w:val="center"/>
              <w:rPr>
                <w:rFonts w:hint="eastAsia" w:ascii="宋体" w:hAnsi="宋体" w:eastAsia="宋体" w:cs="Arial"/>
                <w:color w:val="auto"/>
                <w:sz w:val="21"/>
                <w:szCs w:val="21"/>
                <w:highlight w:val="none"/>
              </w:rPr>
            </w:pPr>
            <w:r>
              <w:rPr>
                <w:rFonts w:hint="eastAsia" w:ascii="宋体" w:hAnsi="宋体" w:eastAsia="宋体" w:cs="宋体"/>
                <w:color w:val="auto"/>
                <w:kern w:val="0"/>
                <w:szCs w:val="21"/>
                <w:highlight w:val="none"/>
                <w:lang w:bidi="ar"/>
              </w:rPr>
              <w:t>曙光SugonI980-G20</w:t>
            </w:r>
          </w:p>
        </w:tc>
        <w:tc>
          <w:tcPr>
            <w:tcW w:w="1042"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hd w:val="clear" w:color="auto" w:fill="auto"/>
              <w:jc w:val="center"/>
              <w:textAlignment w:val="center"/>
              <w:rPr>
                <w:rFonts w:hint="eastAsia" w:ascii="宋体" w:hAnsi="宋体" w:eastAsia="宋体" w:cs="Arial"/>
                <w:color w:val="auto"/>
                <w:sz w:val="21"/>
                <w:szCs w:val="21"/>
                <w:highlight w:val="none"/>
              </w:rPr>
            </w:pPr>
            <w:r>
              <w:rPr>
                <w:rFonts w:hint="eastAsia" w:ascii="宋体" w:hAnsi="宋体" w:eastAsia="宋体" w:cs="宋体"/>
                <w:color w:val="auto"/>
                <w:kern w:val="0"/>
                <w:szCs w:val="21"/>
                <w:highlight w:val="none"/>
                <w:lang w:bidi="ar"/>
              </w:rPr>
              <w:t>1</w:t>
            </w:r>
          </w:p>
        </w:tc>
        <w:tc>
          <w:tcPr>
            <w:tcW w:w="1357" w:type="dxa"/>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napToGrid w:val="0"/>
              <w:spacing w:beforeLines="0" w:afterLines="0"/>
              <w:jc w:val="center"/>
              <w:rPr>
                <w:rFonts w:hint="eastAsia" w:ascii="宋体" w:hAnsi="宋体" w:eastAsia="宋体" w:cs="Arial"/>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tcBorders>
              <w:left w:val="single" w:color="auto" w:sz="4" w:space="0"/>
              <w:bottom w:val="single" w:color="auto" w:sz="4" w:space="0"/>
              <w:right w:val="single" w:color="auto" w:sz="4" w:space="0"/>
              <w:tl2br w:val="nil"/>
              <w:tr2bl w:val="nil"/>
            </w:tcBorders>
            <w:noWrap w:val="0"/>
            <w:vAlign w:val="center"/>
          </w:tcPr>
          <w:p>
            <w:pPr>
              <w:shd w:val="clear" w:color="auto" w:fill="auto"/>
              <w:snapToGrid w:val="0"/>
              <w:spacing w:beforeLines="0" w:afterLines="0"/>
              <w:jc w:val="center"/>
              <w:rPr>
                <w:rFonts w:hint="eastAsia" w:ascii="宋体" w:hAnsi="宋体" w:eastAsia="宋体" w:cs="Arial"/>
                <w:color w:val="auto"/>
                <w:sz w:val="21"/>
                <w:szCs w:val="21"/>
                <w:highlight w:val="none"/>
                <w:lang w:val="en-US" w:eastAsia="zh-CN"/>
              </w:rPr>
            </w:pPr>
            <w:r>
              <w:rPr>
                <w:rFonts w:hint="eastAsia" w:ascii="宋体" w:hAnsi="宋体" w:eastAsia="宋体" w:cs="Arial"/>
                <w:color w:val="auto"/>
                <w:sz w:val="21"/>
                <w:szCs w:val="21"/>
                <w:highlight w:val="none"/>
                <w:lang w:val="en-US" w:eastAsia="zh-CN"/>
              </w:rPr>
              <w:t>8</w:t>
            </w:r>
          </w:p>
        </w:tc>
        <w:tc>
          <w:tcPr>
            <w:tcW w:w="2299" w:type="dxa"/>
            <w:tcBorders>
              <w:left w:val="single" w:color="auto" w:sz="4" w:space="0"/>
              <w:bottom w:val="single" w:color="auto" w:sz="4" w:space="0"/>
              <w:right w:val="single" w:color="auto" w:sz="4" w:space="0"/>
              <w:tl2br w:val="nil"/>
              <w:tr2bl w:val="nil"/>
            </w:tcBorders>
            <w:noWrap w:val="0"/>
            <w:vAlign w:val="center"/>
          </w:tcPr>
          <w:p>
            <w:pPr>
              <w:shd w:val="clear" w:color="auto" w:fill="auto"/>
              <w:jc w:val="both"/>
              <w:rPr>
                <w:rFonts w:hint="eastAsia" w:ascii="宋体" w:hAnsi="宋体" w:eastAsia="宋体" w:cs="Arial"/>
                <w:color w:val="auto"/>
                <w:sz w:val="21"/>
                <w:szCs w:val="21"/>
                <w:highlight w:val="none"/>
              </w:rPr>
            </w:pPr>
            <w:r>
              <w:rPr>
                <w:rFonts w:hint="eastAsia" w:ascii="宋体" w:hAnsi="宋体" w:eastAsia="宋体" w:cs="宋体"/>
                <w:color w:val="auto"/>
                <w:kern w:val="0"/>
                <w:szCs w:val="21"/>
                <w:highlight w:val="none"/>
                <w:lang w:bidi="ar"/>
              </w:rPr>
              <w:t>服务器</w:t>
            </w:r>
          </w:p>
        </w:tc>
        <w:tc>
          <w:tcPr>
            <w:tcW w:w="4175"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hd w:val="clear" w:color="auto" w:fill="auto"/>
              <w:textAlignment w:val="center"/>
              <w:rPr>
                <w:rFonts w:hint="eastAsia" w:ascii="宋体" w:hAnsi="宋体" w:eastAsia="宋体" w:cs="Arial"/>
                <w:color w:val="auto"/>
                <w:sz w:val="21"/>
                <w:szCs w:val="21"/>
                <w:highlight w:val="none"/>
              </w:rPr>
            </w:pPr>
            <w:r>
              <w:rPr>
                <w:rFonts w:hint="eastAsia" w:ascii="宋体" w:hAnsi="宋体" w:eastAsia="宋体" w:cs="宋体"/>
                <w:color w:val="auto"/>
                <w:kern w:val="0"/>
                <w:szCs w:val="21"/>
                <w:highlight w:val="none"/>
                <w:lang w:bidi="ar"/>
              </w:rPr>
              <w:t>华为RH2488H v5</w:t>
            </w:r>
          </w:p>
        </w:tc>
        <w:tc>
          <w:tcPr>
            <w:tcW w:w="1042"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hd w:val="clear" w:color="auto" w:fill="auto"/>
              <w:jc w:val="center"/>
              <w:textAlignment w:val="center"/>
              <w:rPr>
                <w:rFonts w:hint="eastAsia" w:ascii="宋体" w:hAnsi="宋体" w:eastAsia="宋体" w:cs="Arial"/>
                <w:color w:val="auto"/>
                <w:sz w:val="21"/>
                <w:szCs w:val="21"/>
                <w:highlight w:val="none"/>
              </w:rPr>
            </w:pPr>
            <w:r>
              <w:rPr>
                <w:rFonts w:hint="eastAsia" w:ascii="宋体" w:hAnsi="宋体" w:eastAsia="宋体" w:cs="宋体"/>
                <w:color w:val="auto"/>
                <w:kern w:val="0"/>
                <w:szCs w:val="21"/>
                <w:highlight w:val="none"/>
                <w:lang w:bidi="ar"/>
              </w:rPr>
              <w:t>2</w:t>
            </w:r>
          </w:p>
        </w:tc>
        <w:tc>
          <w:tcPr>
            <w:tcW w:w="1357" w:type="dxa"/>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napToGrid w:val="0"/>
              <w:spacing w:beforeLines="0" w:afterLines="0"/>
              <w:jc w:val="center"/>
              <w:rPr>
                <w:rFonts w:hint="eastAsia" w:ascii="宋体" w:hAnsi="宋体" w:eastAsia="宋体" w:cs="Arial"/>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hd w:val="clear" w:color="auto" w:fill="auto"/>
              <w:jc w:val="center"/>
              <w:textAlignment w:val="center"/>
              <w:rPr>
                <w:rFonts w:hint="eastAsia" w:ascii="宋体" w:hAnsi="宋体" w:eastAsia="宋体" w:cs="Arial"/>
                <w:color w:val="auto"/>
                <w:sz w:val="21"/>
                <w:szCs w:val="21"/>
                <w:highlight w:val="none"/>
                <w:lang w:eastAsia="zh-CN"/>
              </w:rPr>
            </w:pPr>
            <w:r>
              <w:rPr>
                <w:rFonts w:hint="eastAsia" w:ascii="宋体" w:hAnsi="宋体" w:eastAsia="宋体" w:cs="宋体"/>
                <w:color w:val="auto"/>
                <w:kern w:val="0"/>
                <w:szCs w:val="21"/>
                <w:highlight w:val="none"/>
                <w:lang w:val="en-US" w:eastAsia="zh-CN" w:bidi="ar"/>
              </w:rPr>
              <w:t>9</w:t>
            </w:r>
          </w:p>
        </w:tc>
        <w:tc>
          <w:tcPr>
            <w:tcW w:w="2299"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hd w:val="clear" w:color="auto" w:fill="auto"/>
              <w:jc w:val="both"/>
              <w:textAlignment w:val="center"/>
              <w:rPr>
                <w:rFonts w:hint="eastAsia" w:ascii="宋体" w:hAnsi="宋体" w:eastAsia="宋体" w:cs="宋体"/>
                <w:color w:val="auto"/>
                <w:kern w:val="0"/>
                <w:sz w:val="24"/>
                <w:szCs w:val="24"/>
                <w:highlight w:val="none"/>
                <w:lang w:eastAsia="zh-Hans" w:bidi="ar"/>
              </w:rPr>
            </w:pPr>
            <w:r>
              <w:rPr>
                <w:rFonts w:hint="eastAsia" w:ascii="宋体" w:hAnsi="宋体" w:eastAsia="宋体" w:cs="宋体"/>
                <w:color w:val="auto"/>
                <w:kern w:val="0"/>
                <w:szCs w:val="21"/>
                <w:highlight w:val="none"/>
                <w:lang w:bidi="ar"/>
              </w:rPr>
              <w:t>备份一体机</w:t>
            </w:r>
          </w:p>
        </w:tc>
        <w:tc>
          <w:tcPr>
            <w:tcW w:w="4175"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hd w:val="clear" w:color="auto" w:fill="auto"/>
              <w:textAlignment w:val="center"/>
              <w:rPr>
                <w:rFonts w:hint="eastAsia" w:ascii="宋体" w:hAnsi="宋体" w:eastAsia="宋体" w:cs="Arial"/>
                <w:color w:val="auto"/>
                <w:sz w:val="21"/>
                <w:szCs w:val="21"/>
                <w:highlight w:val="none"/>
              </w:rPr>
            </w:pPr>
            <w:r>
              <w:rPr>
                <w:rFonts w:hint="eastAsia" w:ascii="宋体" w:hAnsi="宋体" w:eastAsia="宋体" w:cs="宋体"/>
                <w:color w:val="auto"/>
                <w:kern w:val="0"/>
                <w:szCs w:val="21"/>
                <w:highlight w:val="none"/>
                <w:lang w:bidi="ar"/>
              </w:rPr>
              <w:t>爱数VX2400</w:t>
            </w:r>
          </w:p>
        </w:tc>
        <w:tc>
          <w:tcPr>
            <w:tcW w:w="1042"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hd w:val="clear" w:color="auto" w:fill="auto"/>
              <w:jc w:val="center"/>
              <w:textAlignment w:val="center"/>
              <w:rPr>
                <w:rFonts w:hint="eastAsia" w:ascii="宋体" w:hAnsi="宋体" w:eastAsia="宋体" w:cs="Arial"/>
                <w:color w:val="auto"/>
                <w:sz w:val="21"/>
                <w:szCs w:val="21"/>
                <w:highlight w:val="none"/>
              </w:rPr>
            </w:pPr>
            <w:r>
              <w:rPr>
                <w:rFonts w:hint="eastAsia" w:ascii="宋体" w:hAnsi="宋体" w:eastAsia="宋体" w:cs="宋体"/>
                <w:color w:val="auto"/>
                <w:kern w:val="0"/>
                <w:szCs w:val="21"/>
                <w:highlight w:val="none"/>
                <w:lang w:bidi="ar"/>
              </w:rPr>
              <w:t>1</w:t>
            </w:r>
          </w:p>
        </w:tc>
        <w:tc>
          <w:tcPr>
            <w:tcW w:w="1357" w:type="dxa"/>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napToGrid w:val="0"/>
              <w:spacing w:beforeLines="0" w:afterLines="0"/>
              <w:jc w:val="center"/>
              <w:rPr>
                <w:rFonts w:hint="eastAsia" w:ascii="宋体" w:hAnsi="宋体" w:eastAsia="宋体" w:cs="Arial"/>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hd w:val="clear" w:color="auto" w:fill="auto"/>
              <w:jc w:val="center"/>
              <w:textAlignment w:val="center"/>
              <w:rPr>
                <w:rFonts w:hint="default" w:ascii="宋体" w:hAnsi="宋体" w:eastAsia="宋体" w:cs="Arial"/>
                <w:color w:val="auto"/>
                <w:sz w:val="21"/>
                <w:szCs w:val="21"/>
                <w:highlight w:val="none"/>
                <w:lang w:val="en-US" w:eastAsia="zh-CN"/>
              </w:rPr>
            </w:pPr>
            <w:r>
              <w:rPr>
                <w:rFonts w:hint="eastAsia" w:ascii="宋体" w:hAnsi="宋体" w:eastAsia="宋体" w:cs="Arial"/>
                <w:color w:val="auto"/>
                <w:sz w:val="21"/>
                <w:szCs w:val="21"/>
                <w:highlight w:val="none"/>
                <w:lang w:val="en-US" w:eastAsia="zh-CN"/>
              </w:rPr>
              <w:t>10</w:t>
            </w:r>
          </w:p>
        </w:tc>
        <w:tc>
          <w:tcPr>
            <w:tcW w:w="2299"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hd w:val="clear" w:color="auto" w:fill="auto"/>
              <w:jc w:val="both"/>
              <w:textAlignment w:val="center"/>
              <w:rPr>
                <w:rFonts w:hint="eastAsia" w:ascii="宋体" w:hAnsi="宋体" w:eastAsia="宋体" w:cs="宋体"/>
                <w:color w:val="auto"/>
                <w:kern w:val="0"/>
                <w:sz w:val="22"/>
                <w:szCs w:val="22"/>
                <w:highlight w:val="none"/>
                <w:lang w:bidi="ar"/>
              </w:rPr>
            </w:pPr>
            <w:r>
              <w:rPr>
                <w:rFonts w:hint="eastAsia" w:ascii="宋体" w:hAnsi="宋体" w:eastAsia="宋体" w:cs="宋体"/>
                <w:color w:val="auto"/>
                <w:kern w:val="0"/>
                <w:szCs w:val="21"/>
                <w:highlight w:val="none"/>
                <w:lang w:bidi="ar"/>
              </w:rPr>
              <w:t>存储</w:t>
            </w:r>
          </w:p>
        </w:tc>
        <w:tc>
          <w:tcPr>
            <w:tcW w:w="4175"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hd w:val="clear" w:color="auto" w:fill="auto"/>
              <w:textAlignment w:val="center"/>
              <w:rPr>
                <w:rFonts w:hint="eastAsia" w:ascii="宋体" w:hAnsi="宋体" w:eastAsia="宋体" w:cs="Arial"/>
                <w:color w:val="auto"/>
                <w:sz w:val="21"/>
                <w:szCs w:val="21"/>
                <w:highlight w:val="none"/>
              </w:rPr>
            </w:pPr>
            <w:r>
              <w:rPr>
                <w:rFonts w:hint="eastAsia" w:ascii="宋体" w:hAnsi="宋体" w:eastAsia="宋体" w:cs="宋体"/>
                <w:color w:val="auto"/>
                <w:kern w:val="0"/>
                <w:szCs w:val="21"/>
                <w:highlight w:val="none"/>
                <w:lang w:bidi="ar"/>
              </w:rPr>
              <w:t>浪潮AS8000-M2</w:t>
            </w:r>
          </w:p>
        </w:tc>
        <w:tc>
          <w:tcPr>
            <w:tcW w:w="1042"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hd w:val="clear" w:color="auto" w:fill="auto"/>
              <w:jc w:val="center"/>
              <w:textAlignment w:val="center"/>
              <w:rPr>
                <w:rFonts w:hint="eastAsia" w:ascii="宋体" w:hAnsi="宋体" w:eastAsia="宋体" w:cs="Arial"/>
                <w:color w:val="auto"/>
                <w:sz w:val="21"/>
                <w:szCs w:val="21"/>
                <w:highlight w:val="none"/>
              </w:rPr>
            </w:pPr>
            <w:r>
              <w:rPr>
                <w:rFonts w:hint="eastAsia" w:ascii="宋体" w:hAnsi="宋体" w:eastAsia="宋体" w:cs="宋体"/>
                <w:color w:val="auto"/>
                <w:kern w:val="0"/>
                <w:szCs w:val="21"/>
                <w:highlight w:val="none"/>
                <w:lang w:bidi="ar"/>
              </w:rPr>
              <w:t>2</w:t>
            </w:r>
          </w:p>
        </w:tc>
        <w:tc>
          <w:tcPr>
            <w:tcW w:w="1357" w:type="dxa"/>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napToGrid w:val="0"/>
              <w:spacing w:beforeLines="0" w:afterLines="0"/>
              <w:jc w:val="center"/>
              <w:rPr>
                <w:rFonts w:hint="eastAsia" w:ascii="宋体" w:hAnsi="宋体" w:eastAsia="宋体" w:cs="Arial"/>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hd w:val="clear" w:color="auto" w:fill="auto"/>
              <w:jc w:val="center"/>
              <w:textAlignment w:val="center"/>
              <w:rPr>
                <w:rFonts w:hint="default" w:ascii="宋体" w:hAnsi="宋体" w:eastAsia="宋体" w:cs="Arial"/>
                <w:color w:val="auto"/>
                <w:sz w:val="21"/>
                <w:szCs w:val="21"/>
                <w:highlight w:val="none"/>
                <w:lang w:val="en-US" w:eastAsia="zh-CN"/>
              </w:rPr>
            </w:pPr>
            <w:r>
              <w:rPr>
                <w:rFonts w:hint="eastAsia" w:ascii="宋体" w:hAnsi="宋体" w:eastAsia="宋体" w:cs="Arial"/>
                <w:color w:val="auto"/>
                <w:sz w:val="21"/>
                <w:szCs w:val="21"/>
                <w:highlight w:val="none"/>
                <w:lang w:val="en-US" w:eastAsia="zh-CN"/>
              </w:rPr>
              <w:t>11</w:t>
            </w:r>
          </w:p>
        </w:tc>
        <w:tc>
          <w:tcPr>
            <w:tcW w:w="2299"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hd w:val="clear" w:color="auto" w:fill="auto"/>
              <w:jc w:val="both"/>
              <w:textAlignment w:val="center"/>
              <w:rPr>
                <w:rFonts w:hint="eastAsia" w:ascii="宋体" w:hAnsi="宋体" w:eastAsia="宋体" w:cs="宋体"/>
                <w:color w:val="auto"/>
                <w:kern w:val="0"/>
                <w:sz w:val="22"/>
                <w:szCs w:val="22"/>
                <w:highlight w:val="none"/>
                <w:lang w:bidi="ar"/>
              </w:rPr>
            </w:pPr>
            <w:r>
              <w:rPr>
                <w:rFonts w:hint="eastAsia" w:ascii="宋体" w:hAnsi="宋体" w:eastAsia="宋体" w:cs="宋体"/>
                <w:color w:val="auto"/>
                <w:kern w:val="0"/>
                <w:szCs w:val="21"/>
                <w:highlight w:val="none"/>
                <w:lang w:bidi="ar"/>
              </w:rPr>
              <w:t>万兆交换机</w:t>
            </w:r>
          </w:p>
        </w:tc>
        <w:tc>
          <w:tcPr>
            <w:tcW w:w="4175"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hd w:val="clear" w:color="auto" w:fill="auto"/>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Cs w:val="21"/>
                <w:highlight w:val="none"/>
                <w:lang w:bidi="ar"/>
              </w:rPr>
              <w:t>华为CE6881-48S6CQ-B交换机</w:t>
            </w:r>
          </w:p>
        </w:tc>
        <w:tc>
          <w:tcPr>
            <w:tcW w:w="1042"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hd w:val="clear" w:color="auto" w:fill="auto"/>
              <w:jc w:val="center"/>
              <w:textAlignment w:val="center"/>
              <w:rPr>
                <w:rFonts w:hint="eastAsia" w:ascii="宋体" w:hAnsi="宋体" w:eastAsia="宋体" w:cs="Arial"/>
                <w:color w:val="auto"/>
                <w:sz w:val="21"/>
                <w:szCs w:val="21"/>
                <w:highlight w:val="none"/>
              </w:rPr>
            </w:pPr>
            <w:r>
              <w:rPr>
                <w:rFonts w:hint="eastAsia" w:ascii="宋体" w:hAnsi="宋体" w:eastAsia="宋体" w:cs="宋体"/>
                <w:color w:val="auto"/>
                <w:kern w:val="0"/>
                <w:szCs w:val="21"/>
                <w:highlight w:val="none"/>
                <w:lang w:bidi="ar"/>
              </w:rPr>
              <w:t>2</w:t>
            </w:r>
          </w:p>
        </w:tc>
        <w:tc>
          <w:tcPr>
            <w:tcW w:w="1357" w:type="dxa"/>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napToGrid w:val="0"/>
              <w:spacing w:beforeLines="0" w:afterLines="0"/>
              <w:jc w:val="center"/>
              <w:rPr>
                <w:rFonts w:hint="eastAsia" w:ascii="宋体" w:hAnsi="宋体" w:eastAsia="宋体" w:cs="Arial"/>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hd w:val="clear" w:color="auto" w:fill="auto"/>
              <w:jc w:val="center"/>
              <w:textAlignment w:val="center"/>
              <w:rPr>
                <w:rFonts w:hint="default" w:ascii="宋体" w:hAnsi="宋体" w:eastAsia="宋体" w:cs="Arial"/>
                <w:color w:val="auto"/>
                <w:sz w:val="21"/>
                <w:szCs w:val="21"/>
                <w:highlight w:val="none"/>
                <w:lang w:val="en-US" w:eastAsia="zh-CN"/>
              </w:rPr>
            </w:pPr>
            <w:r>
              <w:rPr>
                <w:rFonts w:hint="eastAsia" w:ascii="宋体" w:hAnsi="宋体" w:eastAsia="宋体" w:cs="Arial"/>
                <w:color w:val="auto"/>
                <w:sz w:val="21"/>
                <w:szCs w:val="21"/>
                <w:highlight w:val="none"/>
                <w:lang w:val="en-US" w:eastAsia="zh-CN"/>
              </w:rPr>
              <w:t>12</w:t>
            </w:r>
          </w:p>
        </w:tc>
        <w:tc>
          <w:tcPr>
            <w:tcW w:w="2299"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hd w:val="clear" w:color="auto" w:fill="auto"/>
              <w:jc w:val="both"/>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Cs w:val="21"/>
                <w:highlight w:val="none"/>
                <w:lang w:bidi="ar"/>
              </w:rPr>
              <w:t>存储</w:t>
            </w:r>
          </w:p>
        </w:tc>
        <w:tc>
          <w:tcPr>
            <w:tcW w:w="4175"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hd w:val="clear" w:color="auto" w:fill="auto"/>
              <w:textAlignment w:val="center"/>
              <w:rPr>
                <w:rFonts w:hint="eastAsia" w:ascii="宋体" w:hAnsi="宋体" w:eastAsia="宋体" w:cs="Arial"/>
                <w:color w:val="auto"/>
                <w:sz w:val="21"/>
                <w:szCs w:val="21"/>
                <w:highlight w:val="none"/>
              </w:rPr>
            </w:pPr>
            <w:r>
              <w:rPr>
                <w:rFonts w:hint="eastAsia" w:ascii="宋体" w:hAnsi="宋体" w:eastAsia="宋体" w:cs="宋体"/>
                <w:color w:val="auto"/>
                <w:kern w:val="0"/>
                <w:szCs w:val="21"/>
                <w:highlight w:val="none"/>
                <w:lang w:bidi="ar"/>
              </w:rPr>
              <w:t>华为OceanStor 5300 v5</w:t>
            </w:r>
          </w:p>
        </w:tc>
        <w:tc>
          <w:tcPr>
            <w:tcW w:w="1042"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hd w:val="clear" w:color="auto" w:fill="auto"/>
              <w:jc w:val="center"/>
              <w:textAlignment w:val="center"/>
              <w:rPr>
                <w:rFonts w:hint="eastAsia" w:ascii="宋体" w:hAnsi="宋体" w:eastAsia="宋体" w:cs="Arial"/>
                <w:color w:val="auto"/>
                <w:sz w:val="21"/>
                <w:szCs w:val="21"/>
                <w:highlight w:val="none"/>
              </w:rPr>
            </w:pPr>
            <w:r>
              <w:rPr>
                <w:rFonts w:hint="eastAsia" w:ascii="宋体" w:hAnsi="宋体" w:eastAsia="宋体" w:cs="宋体"/>
                <w:color w:val="auto"/>
                <w:kern w:val="0"/>
                <w:szCs w:val="21"/>
                <w:highlight w:val="none"/>
                <w:lang w:bidi="ar"/>
              </w:rPr>
              <w:t>2</w:t>
            </w:r>
          </w:p>
        </w:tc>
        <w:tc>
          <w:tcPr>
            <w:tcW w:w="1357" w:type="dxa"/>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napToGrid w:val="0"/>
              <w:spacing w:beforeLines="0" w:afterLines="0"/>
              <w:jc w:val="center"/>
              <w:rPr>
                <w:rFonts w:hint="eastAsia" w:ascii="宋体" w:hAnsi="宋体" w:eastAsia="宋体" w:cs="Arial"/>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hd w:val="clear" w:color="auto" w:fill="auto"/>
              <w:jc w:val="center"/>
              <w:textAlignment w:val="center"/>
              <w:rPr>
                <w:rFonts w:hint="default" w:ascii="宋体" w:hAnsi="宋体" w:eastAsia="宋体" w:cs="Arial"/>
                <w:color w:val="auto"/>
                <w:sz w:val="21"/>
                <w:szCs w:val="21"/>
                <w:highlight w:val="none"/>
                <w:lang w:val="en-US" w:eastAsia="zh-CN"/>
              </w:rPr>
            </w:pPr>
            <w:r>
              <w:rPr>
                <w:rFonts w:hint="eastAsia" w:ascii="宋体" w:hAnsi="宋体" w:eastAsia="宋体" w:cs="Arial"/>
                <w:color w:val="auto"/>
                <w:sz w:val="21"/>
                <w:szCs w:val="21"/>
                <w:highlight w:val="none"/>
                <w:lang w:val="en-US" w:eastAsia="zh-CN"/>
              </w:rPr>
              <w:t>13</w:t>
            </w:r>
          </w:p>
        </w:tc>
        <w:tc>
          <w:tcPr>
            <w:tcW w:w="2299"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hd w:val="clear" w:color="auto" w:fill="auto"/>
              <w:jc w:val="both"/>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Cs w:val="21"/>
                <w:highlight w:val="none"/>
                <w:lang w:bidi="ar"/>
              </w:rPr>
              <w:t>存储扩展柜</w:t>
            </w:r>
          </w:p>
        </w:tc>
        <w:tc>
          <w:tcPr>
            <w:tcW w:w="4175"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hd w:val="clear" w:color="auto" w:fill="auto"/>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Cs w:val="21"/>
                <w:highlight w:val="none"/>
                <w:lang w:bidi="ar"/>
              </w:rPr>
              <w:t>华为硬盘框</w:t>
            </w:r>
          </w:p>
        </w:tc>
        <w:tc>
          <w:tcPr>
            <w:tcW w:w="1042" w:type="dxa"/>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jc w:val="center"/>
              <w:rPr>
                <w:rFonts w:hint="eastAsia" w:ascii="宋体" w:hAnsi="宋体" w:eastAsia="宋体" w:cs="Arial"/>
                <w:color w:val="auto"/>
                <w:sz w:val="21"/>
                <w:szCs w:val="21"/>
                <w:highlight w:val="none"/>
                <w:lang w:val="en-US" w:eastAsia="zh-CN"/>
              </w:rPr>
            </w:pPr>
            <w:r>
              <w:rPr>
                <w:rFonts w:hint="eastAsia" w:ascii="宋体" w:hAnsi="宋体" w:eastAsia="宋体" w:cs="Arial"/>
                <w:color w:val="auto"/>
                <w:sz w:val="21"/>
                <w:szCs w:val="21"/>
                <w:highlight w:val="none"/>
                <w:lang w:val="en-US" w:eastAsia="zh-CN"/>
              </w:rPr>
              <w:t>2</w:t>
            </w:r>
          </w:p>
        </w:tc>
        <w:tc>
          <w:tcPr>
            <w:tcW w:w="1357" w:type="dxa"/>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napToGrid w:val="0"/>
              <w:spacing w:beforeLines="0" w:afterLines="0"/>
              <w:jc w:val="center"/>
              <w:rPr>
                <w:rFonts w:hint="eastAsia" w:ascii="宋体" w:hAnsi="宋体" w:eastAsia="宋体" w:cs="Arial"/>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hd w:val="clear" w:color="auto" w:fill="auto"/>
              <w:jc w:val="center"/>
              <w:textAlignment w:val="center"/>
              <w:rPr>
                <w:rFonts w:hint="default" w:ascii="宋体" w:hAnsi="宋体" w:eastAsia="宋体" w:cs="Arial"/>
                <w:color w:val="auto"/>
                <w:sz w:val="21"/>
                <w:szCs w:val="21"/>
                <w:highlight w:val="none"/>
                <w:lang w:val="en-US" w:eastAsia="zh-CN"/>
              </w:rPr>
            </w:pPr>
            <w:r>
              <w:rPr>
                <w:rFonts w:hint="eastAsia" w:ascii="宋体" w:hAnsi="宋体" w:eastAsia="宋体" w:cs="Arial"/>
                <w:color w:val="auto"/>
                <w:sz w:val="21"/>
                <w:szCs w:val="21"/>
                <w:highlight w:val="none"/>
                <w:lang w:val="en-US" w:eastAsia="zh-CN"/>
              </w:rPr>
              <w:t>14</w:t>
            </w:r>
          </w:p>
        </w:tc>
        <w:tc>
          <w:tcPr>
            <w:tcW w:w="2299"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hd w:val="clear" w:color="auto" w:fill="auto"/>
              <w:jc w:val="both"/>
              <w:textAlignment w:val="center"/>
              <w:rPr>
                <w:rFonts w:hint="eastAsia" w:ascii="宋体" w:hAnsi="宋体" w:eastAsia="宋体" w:cs="Arial"/>
                <w:color w:val="auto"/>
                <w:sz w:val="21"/>
                <w:szCs w:val="21"/>
                <w:highlight w:val="none"/>
              </w:rPr>
            </w:pPr>
            <w:r>
              <w:rPr>
                <w:rFonts w:hint="eastAsia" w:ascii="宋体" w:hAnsi="宋体" w:eastAsia="宋体" w:cs="宋体"/>
                <w:color w:val="auto"/>
                <w:kern w:val="0"/>
                <w:szCs w:val="21"/>
                <w:highlight w:val="none"/>
                <w:lang w:bidi="ar"/>
              </w:rPr>
              <w:t>100T备份一体机</w:t>
            </w:r>
          </w:p>
        </w:tc>
        <w:tc>
          <w:tcPr>
            <w:tcW w:w="4175"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hd w:val="clear" w:color="auto" w:fill="auto"/>
              <w:textAlignment w:val="center"/>
              <w:rPr>
                <w:rFonts w:hint="eastAsia" w:ascii="宋体" w:hAnsi="宋体" w:eastAsia="宋体" w:cs="Arial"/>
                <w:color w:val="auto"/>
                <w:sz w:val="21"/>
                <w:szCs w:val="21"/>
                <w:highlight w:val="none"/>
              </w:rPr>
            </w:pPr>
            <w:r>
              <w:rPr>
                <w:rFonts w:hint="eastAsia" w:ascii="宋体" w:hAnsi="宋体" w:eastAsia="宋体" w:cs="宋体"/>
                <w:color w:val="auto"/>
                <w:kern w:val="0"/>
                <w:szCs w:val="21"/>
                <w:highlight w:val="none"/>
                <w:lang w:bidi="ar"/>
              </w:rPr>
              <w:t>华为DPA3610</w:t>
            </w:r>
          </w:p>
        </w:tc>
        <w:tc>
          <w:tcPr>
            <w:tcW w:w="1042"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hd w:val="clear" w:color="auto" w:fill="auto"/>
              <w:jc w:val="center"/>
              <w:textAlignment w:val="center"/>
              <w:rPr>
                <w:rFonts w:hint="eastAsia" w:ascii="宋体" w:hAnsi="宋体" w:eastAsia="宋体" w:cs="Arial"/>
                <w:color w:val="auto"/>
                <w:sz w:val="21"/>
                <w:szCs w:val="21"/>
                <w:highlight w:val="none"/>
              </w:rPr>
            </w:pPr>
            <w:r>
              <w:rPr>
                <w:rFonts w:hint="eastAsia" w:ascii="宋体" w:hAnsi="宋体" w:eastAsia="宋体" w:cs="宋体"/>
                <w:color w:val="auto"/>
                <w:kern w:val="0"/>
                <w:szCs w:val="21"/>
                <w:highlight w:val="none"/>
                <w:lang w:bidi="ar"/>
              </w:rPr>
              <w:t>2</w:t>
            </w:r>
          </w:p>
        </w:tc>
        <w:tc>
          <w:tcPr>
            <w:tcW w:w="1357" w:type="dxa"/>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napToGrid w:val="0"/>
              <w:spacing w:beforeLines="0" w:afterLines="0"/>
              <w:jc w:val="center"/>
              <w:rPr>
                <w:rFonts w:hint="eastAsia" w:ascii="宋体" w:hAnsi="宋体" w:eastAsia="宋体" w:cs="Times New Roman"/>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hd w:val="clear" w:color="auto" w:fill="auto"/>
              <w:jc w:val="center"/>
              <w:textAlignment w:val="center"/>
              <w:rPr>
                <w:rFonts w:hint="default" w:ascii="宋体" w:hAnsi="宋体" w:eastAsia="宋体" w:cs="Arial"/>
                <w:color w:val="auto"/>
                <w:sz w:val="21"/>
                <w:szCs w:val="21"/>
                <w:highlight w:val="none"/>
                <w:lang w:val="en-US" w:eastAsia="zh-CN"/>
              </w:rPr>
            </w:pPr>
            <w:r>
              <w:rPr>
                <w:rFonts w:hint="eastAsia" w:ascii="宋体" w:hAnsi="宋体" w:eastAsia="宋体" w:cs="Arial"/>
                <w:color w:val="auto"/>
                <w:sz w:val="21"/>
                <w:szCs w:val="21"/>
                <w:highlight w:val="none"/>
                <w:lang w:val="en-US" w:eastAsia="zh-CN"/>
              </w:rPr>
              <w:t>15</w:t>
            </w:r>
          </w:p>
        </w:tc>
        <w:tc>
          <w:tcPr>
            <w:tcW w:w="2299"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hd w:val="clear" w:color="auto" w:fill="auto"/>
              <w:jc w:val="both"/>
              <w:textAlignment w:val="center"/>
              <w:rPr>
                <w:rFonts w:hint="eastAsia" w:ascii="宋体" w:hAnsi="宋体" w:eastAsia="宋体" w:cs="Arial"/>
                <w:color w:val="auto"/>
                <w:sz w:val="21"/>
                <w:szCs w:val="21"/>
                <w:highlight w:val="none"/>
              </w:rPr>
            </w:pPr>
            <w:r>
              <w:rPr>
                <w:rFonts w:hint="eastAsia" w:ascii="宋体" w:hAnsi="宋体" w:eastAsia="宋体" w:cs="宋体"/>
                <w:color w:val="auto"/>
                <w:kern w:val="0"/>
                <w:szCs w:val="21"/>
                <w:highlight w:val="none"/>
                <w:lang w:bidi="ar"/>
              </w:rPr>
              <w:t>备份一体机</w:t>
            </w:r>
          </w:p>
        </w:tc>
        <w:tc>
          <w:tcPr>
            <w:tcW w:w="4175"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hd w:val="clear" w:color="auto" w:fill="auto"/>
              <w:textAlignment w:val="center"/>
              <w:rPr>
                <w:rFonts w:hint="eastAsia" w:ascii="宋体" w:hAnsi="宋体" w:eastAsia="宋体" w:cs="Arial"/>
                <w:color w:val="auto"/>
                <w:sz w:val="21"/>
                <w:szCs w:val="21"/>
                <w:highlight w:val="none"/>
              </w:rPr>
            </w:pPr>
            <w:r>
              <w:rPr>
                <w:rFonts w:hint="eastAsia" w:ascii="宋体" w:hAnsi="宋体" w:eastAsia="宋体" w:cs="宋体"/>
                <w:color w:val="auto"/>
                <w:kern w:val="0"/>
                <w:szCs w:val="21"/>
                <w:highlight w:val="none"/>
                <w:lang w:bidi="ar"/>
              </w:rPr>
              <w:t>爱数连续业务应急保护设备E6020</w:t>
            </w:r>
          </w:p>
        </w:tc>
        <w:tc>
          <w:tcPr>
            <w:tcW w:w="1042"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hd w:val="clear" w:color="auto" w:fill="auto"/>
              <w:jc w:val="center"/>
              <w:textAlignment w:val="center"/>
              <w:rPr>
                <w:rFonts w:hint="eastAsia" w:ascii="宋体" w:hAnsi="宋体" w:eastAsia="宋体" w:cs="Arial"/>
                <w:color w:val="auto"/>
                <w:sz w:val="21"/>
                <w:szCs w:val="21"/>
                <w:highlight w:val="none"/>
              </w:rPr>
            </w:pPr>
            <w:r>
              <w:rPr>
                <w:rFonts w:hint="eastAsia" w:ascii="宋体" w:hAnsi="宋体" w:eastAsia="宋体" w:cs="宋体"/>
                <w:color w:val="auto"/>
                <w:kern w:val="0"/>
                <w:szCs w:val="21"/>
                <w:highlight w:val="none"/>
                <w:lang w:bidi="ar"/>
              </w:rPr>
              <w:t>1</w:t>
            </w:r>
          </w:p>
        </w:tc>
        <w:tc>
          <w:tcPr>
            <w:tcW w:w="1357" w:type="dxa"/>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napToGrid w:val="0"/>
              <w:spacing w:beforeLines="0" w:afterLines="0"/>
              <w:jc w:val="center"/>
              <w:rPr>
                <w:rFonts w:hint="eastAsia" w:ascii="宋体" w:hAnsi="宋体" w:eastAsia="宋体" w:cs="Arial"/>
                <w:color w:val="auto"/>
                <w:sz w:val="21"/>
                <w:szCs w:val="21"/>
                <w:highlight w:val="none"/>
              </w:rPr>
            </w:pPr>
          </w:p>
        </w:tc>
      </w:tr>
    </w:tbl>
    <w:p>
      <w:pPr>
        <w:rPr>
          <w:rFonts w:hint="eastAsia" w:ascii="宋体" w:hAnsi="宋体" w:cs="宋体"/>
          <w:i/>
          <w:iCs/>
          <w:color w:val="auto"/>
          <w:u w:val="single"/>
        </w:rPr>
      </w:pPr>
      <w:r>
        <w:rPr>
          <w:rFonts w:hint="eastAsia" w:ascii="宋体" w:hAnsi="宋体" w:cs="宋体"/>
          <w:i/>
          <w:iCs/>
          <w:color w:val="auto"/>
          <w:u w:val="single"/>
        </w:rPr>
        <w:br w:type="page"/>
      </w:r>
    </w:p>
    <w:p>
      <w:pPr>
        <w:pStyle w:val="13"/>
        <w:spacing w:line="450" w:lineRule="exact"/>
        <w:rPr>
          <w:rFonts w:hint="eastAsia" w:ascii="宋体" w:hAnsi="宋体" w:cs="宋体"/>
          <w:i/>
          <w:iCs/>
          <w:color w:val="auto"/>
          <w:u w:val="single"/>
        </w:rPr>
      </w:pPr>
    </w:p>
    <w:tbl>
      <w:tblPr>
        <w:tblStyle w:val="32"/>
        <w:tblW w:w="9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
        <w:gridCol w:w="596"/>
        <w:gridCol w:w="1136"/>
        <w:gridCol w:w="944"/>
        <w:gridCol w:w="6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9650" w:type="dxa"/>
            <w:gridSpan w:val="5"/>
            <w:tcBorders>
              <w:top w:val="single" w:color="auto" w:sz="4" w:space="0"/>
              <w:left w:val="single" w:color="auto" w:sz="4" w:space="0"/>
              <w:bottom w:val="single" w:color="auto" w:sz="4" w:space="0"/>
              <w:right w:val="single" w:color="auto" w:sz="4" w:space="0"/>
            </w:tcBorders>
            <w:vAlign w:val="center"/>
          </w:tcPr>
          <w:p>
            <w:pPr>
              <w:spacing w:line="380" w:lineRule="exact"/>
              <w:jc w:val="left"/>
              <w:rPr>
                <w:rFonts w:hint="eastAsia" w:ascii="宋体" w:hAnsi="宋体" w:eastAsia="宋体" w:cs="宋体"/>
                <w:color w:val="auto"/>
                <w:szCs w:val="21"/>
                <w:lang w:eastAsia="zh-CN"/>
              </w:rPr>
            </w:pPr>
            <w:r>
              <w:rPr>
                <w:rFonts w:hint="eastAsia" w:ascii="宋体" w:hAnsi="宋体" w:cs="宋体"/>
                <w:b/>
                <w:bCs/>
                <w:color w:val="auto"/>
                <w:szCs w:val="21"/>
              </w:rPr>
              <w:t>分标：</w:t>
            </w:r>
            <w:r>
              <w:rPr>
                <w:rFonts w:hint="eastAsia" w:ascii="宋体" w:hAnsi="宋体" w:cs="宋体"/>
                <w:b/>
                <w:bCs/>
                <w:color w:val="auto"/>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423" w:type="dxa"/>
            <w:vMerge w:val="restart"/>
            <w:tcBorders>
              <w:top w:val="single" w:color="auto" w:sz="4" w:space="0"/>
            </w:tcBorders>
            <w:vAlign w:val="center"/>
          </w:tcPr>
          <w:p>
            <w:pPr>
              <w:spacing w:line="380" w:lineRule="exact"/>
              <w:jc w:val="center"/>
              <w:rPr>
                <w:rFonts w:hint="eastAsia" w:ascii="宋体" w:hAnsi="宋体" w:cs="宋体"/>
                <w:b/>
                <w:bCs/>
                <w:color w:val="auto"/>
                <w:szCs w:val="21"/>
              </w:rPr>
            </w:pPr>
            <w:r>
              <w:rPr>
                <w:rFonts w:hint="eastAsia" w:ascii="宋体" w:hAnsi="宋体" w:cs="宋体"/>
                <w:b/>
                <w:bCs/>
                <w:color w:val="auto"/>
                <w:szCs w:val="21"/>
              </w:rPr>
              <w:t>需求一览表</w:t>
            </w:r>
          </w:p>
        </w:tc>
        <w:tc>
          <w:tcPr>
            <w:tcW w:w="596" w:type="dxa"/>
            <w:tcBorders>
              <w:top w:val="single" w:color="auto" w:sz="4" w:space="0"/>
            </w:tcBorders>
            <w:vAlign w:val="center"/>
          </w:tcPr>
          <w:p>
            <w:pPr>
              <w:spacing w:line="380" w:lineRule="exact"/>
              <w:jc w:val="center"/>
              <w:rPr>
                <w:rFonts w:hint="eastAsia" w:ascii="宋体" w:hAnsi="宋体" w:cs="宋体"/>
                <w:color w:val="auto"/>
                <w:szCs w:val="21"/>
              </w:rPr>
            </w:pPr>
            <w:r>
              <w:rPr>
                <w:rFonts w:hint="eastAsia" w:ascii="宋体" w:hAnsi="宋体" w:cs="宋体"/>
                <w:color w:val="auto"/>
                <w:szCs w:val="21"/>
              </w:rPr>
              <w:t>序号</w:t>
            </w:r>
          </w:p>
        </w:tc>
        <w:tc>
          <w:tcPr>
            <w:tcW w:w="1136" w:type="dxa"/>
            <w:tcBorders>
              <w:top w:val="single" w:color="auto" w:sz="4" w:space="0"/>
            </w:tcBorders>
            <w:vAlign w:val="center"/>
          </w:tcPr>
          <w:p>
            <w:pPr>
              <w:spacing w:line="380" w:lineRule="exact"/>
              <w:jc w:val="center"/>
              <w:rPr>
                <w:rFonts w:hint="eastAsia" w:ascii="宋体" w:hAnsi="宋体" w:cs="宋体"/>
                <w:color w:val="auto"/>
                <w:szCs w:val="21"/>
              </w:rPr>
            </w:pPr>
            <w:r>
              <w:rPr>
                <w:rFonts w:hint="eastAsia" w:ascii="宋体" w:hAnsi="宋体" w:cs="宋体"/>
                <w:color w:val="auto"/>
                <w:szCs w:val="21"/>
              </w:rPr>
              <w:t>标的名称</w:t>
            </w:r>
          </w:p>
        </w:tc>
        <w:tc>
          <w:tcPr>
            <w:tcW w:w="944" w:type="dxa"/>
            <w:tcBorders>
              <w:top w:val="single" w:color="auto" w:sz="4" w:space="0"/>
            </w:tcBorders>
            <w:vAlign w:val="center"/>
          </w:tcPr>
          <w:p>
            <w:pPr>
              <w:spacing w:line="380" w:lineRule="exact"/>
              <w:jc w:val="center"/>
              <w:rPr>
                <w:rFonts w:hint="eastAsia" w:ascii="宋体" w:hAnsi="宋体" w:cs="宋体"/>
                <w:color w:val="auto"/>
                <w:szCs w:val="21"/>
              </w:rPr>
            </w:pPr>
            <w:r>
              <w:rPr>
                <w:rFonts w:hint="eastAsia" w:ascii="宋体" w:hAnsi="宋体" w:cs="宋体"/>
                <w:color w:val="auto"/>
                <w:szCs w:val="21"/>
              </w:rPr>
              <w:t>数量及单位</w:t>
            </w:r>
          </w:p>
        </w:tc>
        <w:tc>
          <w:tcPr>
            <w:tcW w:w="6551" w:type="dxa"/>
            <w:tcBorders>
              <w:top w:val="single" w:color="auto" w:sz="4" w:space="0"/>
            </w:tcBorders>
            <w:vAlign w:val="center"/>
          </w:tcPr>
          <w:p>
            <w:pPr>
              <w:spacing w:line="380" w:lineRule="exact"/>
              <w:jc w:val="center"/>
              <w:rPr>
                <w:rFonts w:hint="eastAsia" w:ascii="宋体" w:hAnsi="宋体" w:eastAsia="宋体" w:cs="宋体"/>
                <w:color w:val="auto"/>
                <w:szCs w:val="21"/>
                <w:lang w:eastAsia="zh-CN"/>
              </w:rPr>
            </w:pPr>
            <w:r>
              <w:rPr>
                <w:rFonts w:hint="eastAsia" w:ascii="宋体" w:hAnsi="宋体" w:cs="宋体"/>
                <w:color w:val="auto"/>
                <w:szCs w:val="21"/>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3" w:type="dxa"/>
            <w:vMerge w:val="continue"/>
            <w:vAlign w:val="center"/>
          </w:tcPr>
          <w:p>
            <w:pPr>
              <w:spacing w:line="380" w:lineRule="exact"/>
              <w:jc w:val="center"/>
              <w:rPr>
                <w:rFonts w:hint="eastAsia" w:ascii="宋体" w:hAnsi="宋体" w:cs="宋体"/>
                <w:color w:val="auto"/>
                <w:szCs w:val="21"/>
              </w:rPr>
            </w:pPr>
          </w:p>
        </w:tc>
        <w:tc>
          <w:tcPr>
            <w:tcW w:w="596" w:type="dxa"/>
            <w:vAlign w:val="center"/>
          </w:tcPr>
          <w:p>
            <w:pPr>
              <w:spacing w:line="380" w:lineRule="exact"/>
              <w:jc w:val="center"/>
              <w:rPr>
                <w:rFonts w:hint="eastAsia" w:ascii="宋体" w:hAnsi="宋体" w:cs="宋体"/>
                <w:color w:val="auto"/>
                <w:szCs w:val="21"/>
              </w:rPr>
            </w:pPr>
            <w:r>
              <w:rPr>
                <w:rFonts w:hint="eastAsia" w:ascii="宋体" w:hAnsi="宋体" w:cs="宋体"/>
                <w:color w:val="auto"/>
                <w:szCs w:val="21"/>
              </w:rPr>
              <w:t>1</w:t>
            </w:r>
          </w:p>
        </w:tc>
        <w:tc>
          <w:tcPr>
            <w:tcW w:w="1136" w:type="dxa"/>
            <w:vAlign w:val="center"/>
          </w:tcPr>
          <w:p>
            <w:pPr>
              <w:pageBreakBefore w:val="0"/>
              <w:kinsoku/>
              <w:wordWrap/>
              <w:overflowPunct/>
              <w:topLinePunct w:val="0"/>
              <w:autoSpaceDE/>
              <w:autoSpaceDN/>
              <w:bidi w:val="0"/>
              <w:snapToGrid w:val="0"/>
              <w:spacing w:line="240" w:lineRule="auto"/>
              <w:jc w:val="center"/>
              <w:outlineLvl w:val="0"/>
              <w:rPr>
                <w:rFonts w:hint="eastAsia" w:ascii="宋体" w:hAnsi="宋体" w:cs="宋体"/>
                <w:color w:val="auto"/>
                <w:szCs w:val="21"/>
              </w:rPr>
            </w:pPr>
            <w:r>
              <w:rPr>
                <w:rFonts w:hint="eastAsia" w:ascii="宋体" w:hAnsi="宋体" w:cs="宋体"/>
                <w:color w:val="auto"/>
                <w:szCs w:val="21"/>
              </w:rPr>
              <w:t>数据中心机房网络安全软件和硬件设备续保及应急演练服务</w:t>
            </w:r>
          </w:p>
        </w:tc>
        <w:tc>
          <w:tcPr>
            <w:tcW w:w="944" w:type="dxa"/>
            <w:vAlign w:val="center"/>
          </w:tcPr>
          <w:p>
            <w:pPr>
              <w:pageBreakBefore w:val="0"/>
              <w:kinsoku/>
              <w:wordWrap/>
              <w:overflowPunct/>
              <w:topLinePunct w:val="0"/>
              <w:autoSpaceDE/>
              <w:autoSpaceDN/>
              <w:bidi w:val="0"/>
              <w:snapToGrid w:val="0"/>
              <w:spacing w:line="240" w:lineRule="auto"/>
              <w:jc w:val="center"/>
              <w:outlineLvl w:val="0"/>
              <w:rPr>
                <w:rFonts w:hint="default" w:ascii="宋体" w:hAnsi="宋体" w:eastAsia="宋体" w:cs="宋体"/>
                <w:color w:val="auto"/>
                <w:szCs w:val="21"/>
                <w:lang w:val="en-US" w:eastAsia="zh-CN"/>
              </w:rPr>
            </w:pPr>
            <w:r>
              <w:rPr>
                <w:rFonts w:hint="eastAsia" w:ascii="宋体" w:hAnsi="宋体" w:cs="宋体"/>
                <w:color w:val="auto"/>
                <w:szCs w:val="21"/>
                <w:lang w:val="en-US" w:eastAsia="zh-CN"/>
              </w:rPr>
              <w:t>1项</w:t>
            </w:r>
          </w:p>
        </w:tc>
        <w:tc>
          <w:tcPr>
            <w:tcW w:w="6551"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一、服务涉及对象产品清单列表如下</w:t>
            </w:r>
            <w:r>
              <w:rPr>
                <w:rFonts w:hint="eastAsia" w:ascii="宋体" w:hAnsi="宋体" w:eastAsia="宋体" w:cs="宋体"/>
                <w:b/>
                <w:color w:val="auto"/>
                <w:kern w:val="28"/>
                <w:szCs w:val="21"/>
                <w:highlight w:val="none"/>
              </w:rPr>
              <w:t>(设备清单仅供参考，具体以采购人现场安装设备为准)</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ind w:firstLine="0" w:firstLineChars="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Hans" w:bidi="ar-SA"/>
              </w:rPr>
              <w:t>一</w:t>
            </w: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Hans" w:bidi="ar-SA"/>
              </w:rPr>
              <w:t>安全设备</w:t>
            </w:r>
            <w:r>
              <w:rPr>
                <w:rFonts w:hint="eastAsia" w:ascii="宋体" w:hAnsi="宋体" w:eastAsia="宋体" w:cs="宋体"/>
                <w:color w:val="auto"/>
                <w:kern w:val="2"/>
                <w:sz w:val="21"/>
                <w:szCs w:val="21"/>
                <w:highlight w:val="none"/>
                <w:lang w:val="en-US" w:eastAsia="zh-CN" w:bidi="ar-SA"/>
              </w:rPr>
              <w:t>产品类：</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eastAsia="zh-Hans"/>
              </w:rPr>
              <w:t>1、深信服防火墙</w:t>
            </w:r>
            <w:r>
              <w:rPr>
                <w:rFonts w:hint="eastAsia" w:ascii="宋体" w:hAnsi="宋体" w:eastAsia="宋体" w:cs="宋体"/>
                <w:color w:val="auto"/>
                <w:szCs w:val="21"/>
                <w:highlight w:val="none"/>
                <w:lang w:eastAsia="zh-Hans"/>
              </w:rPr>
              <w:tab/>
            </w:r>
            <w:r>
              <w:rPr>
                <w:rFonts w:hint="eastAsia" w:ascii="宋体" w:hAnsi="宋体" w:eastAsia="宋体" w:cs="宋体"/>
                <w:color w:val="auto"/>
                <w:szCs w:val="21"/>
                <w:highlight w:val="none"/>
                <w:lang w:eastAsia="zh-Hans"/>
              </w:rPr>
              <w:t>AF-1820-</w:t>
            </w:r>
            <w:r>
              <w:rPr>
                <w:rFonts w:hint="eastAsia" w:ascii="宋体" w:hAnsi="宋体" w:eastAsia="宋体" w:cs="宋体"/>
                <w:color w:val="auto"/>
                <w:szCs w:val="21"/>
                <w:highlight w:val="none"/>
                <w:lang w:val="en-US" w:eastAsia="zh-CN"/>
              </w:rPr>
              <w:t>F5</w:t>
            </w:r>
            <w:r>
              <w:rPr>
                <w:rFonts w:hint="eastAsia" w:ascii="宋体" w:hAnsi="宋体" w:eastAsia="宋体" w:cs="宋体"/>
                <w:color w:val="auto"/>
                <w:szCs w:val="21"/>
                <w:highlight w:val="none"/>
                <w:lang w:eastAsia="zh-Hans"/>
              </w:rPr>
              <w:t xml:space="preserve">  </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lang w:eastAsia="zh-Hans"/>
              </w:rPr>
              <w:t>台 ；</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szCs w:val="21"/>
                <w:highlight w:val="none"/>
                <w:lang w:eastAsia="zh-Hans"/>
              </w:rPr>
              <w:t>2、深信服防火墙</w:t>
            </w:r>
            <w:r>
              <w:rPr>
                <w:rFonts w:hint="eastAsia" w:ascii="宋体" w:hAnsi="宋体" w:eastAsia="宋体" w:cs="宋体"/>
                <w:color w:val="auto"/>
                <w:szCs w:val="21"/>
                <w:highlight w:val="none"/>
                <w:lang w:eastAsia="zh-Hans"/>
              </w:rPr>
              <w:tab/>
            </w:r>
            <w:r>
              <w:rPr>
                <w:rFonts w:hint="eastAsia" w:ascii="宋体" w:hAnsi="宋体" w:eastAsia="宋体" w:cs="宋体"/>
                <w:color w:val="auto"/>
                <w:szCs w:val="21"/>
                <w:highlight w:val="none"/>
                <w:lang w:eastAsia="zh-Hans"/>
              </w:rPr>
              <w:t xml:space="preserve">AF-1800-D1  </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lang w:eastAsia="zh-Hans"/>
              </w:rPr>
              <w:t>台；</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szCs w:val="21"/>
                <w:highlight w:val="none"/>
                <w:lang w:eastAsia="zh-Hans"/>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lang w:eastAsia="zh-Hans"/>
              </w:rPr>
              <w:t>、深信服VPN  VPN-4050-D1  1台；</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szCs w:val="21"/>
                <w:highlight w:val="none"/>
                <w:lang w:eastAsia="zh-Hans"/>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lang w:eastAsia="zh-Hans"/>
              </w:rPr>
              <w:t>、深信服威胁探针</w:t>
            </w:r>
            <w:r>
              <w:rPr>
                <w:rFonts w:hint="eastAsia" w:ascii="宋体" w:hAnsi="宋体" w:eastAsia="宋体" w:cs="宋体"/>
                <w:color w:val="auto"/>
                <w:szCs w:val="21"/>
                <w:highlight w:val="none"/>
                <w:lang w:eastAsia="zh-Hans"/>
              </w:rPr>
              <w:tab/>
            </w:r>
            <w:r>
              <w:rPr>
                <w:rFonts w:hint="eastAsia" w:ascii="宋体" w:hAnsi="宋体" w:eastAsia="宋体" w:cs="宋体"/>
                <w:color w:val="auto"/>
                <w:szCs w:val="21"/>
                <w:highlight w:val="none"/>
                <w:lang w:eastAsia="zh-Hans"/>
              </w:rPr>
              <w:t>STA-100-B440  1台</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szCs w:val="21"/>
                <w:highlight w:val="none"/>
                <w:lang w:eastAsia="zh-Hans"/>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lang w:eastAsia="zh-Hans"/>
              </w:rPr>
              <w:t>、深信服态势感知</w:t>
            </w:r>
            <w:r>
              <w:rPr>
                <w:rFonts w:hint="eastAsia" w:ascii="宋体" w:hAnsi="宋体" w:eastAsia="宋体" w:cs="宋体"/>
                <w:color w:val="auto"/>
                <w:szCs w:val="21"/>
                <w:highlight w:val="none"/>
                <w:lang w:eastAsia="zh-Hans"/>
              </w:rPr>
              <w:tab/>
            </w:r>
            <w:r>
              <w:rPr>
                <w:rFonts w:hint="eastAsia" w:ascii="宋体" w:hAnsi="宋体" w:eastAsia="宋体" w:cs="宋体"/>
                <w:color w:val="auto"/>
                <w:szCs w:val="21"/>
                <w:highlight w:val="none"/>
                <w:lang w:eastAsia="zh-Hans"/>
              </w:rPr>
              <w:t>SIP-1000-B400  1台；</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6、深信服上网行为管理系统 AC-H6500  1台；</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lang w:eastAsia="zh-Hans"/>
              </w:rPr>
              <w:t>、</w:t>
            </w:r>
            <w:r>
              <w:rPr>
                <w:rFonts w:hint="eastAsia" w:ascii="宋体" w:hAnsi="宋体" w:eastAsia="宋体" w:cs="宋体"/>
                <w:color w:val="auto"/>
                <w:szCs w:val="21"/>
                <w:highlight w:val="none"/>
                <w:lang w:eastAsia="zh-CN"/>
              </w:rPr>
              <w:t>深信服</w:t>
            </w:r>
            <w:r>
              <w:rPr>
                <w:rFonts w:hint="eastAsia" w:ascii="宋体" w:hAnsi="宋体" w:eastAsia="宋体" w:cs="宋体"/>
                <w:color w:val="auto"/>
                <w:szCs w:val="21"/>
                <w:highlight w:val="none"/>
                <w:lang w:val="en-US" w:eastAsia="zh-Hans"/>
              </w:rPr>
              <w:t>终端安全管理系统：</w:t>
            </w:r>
            <w:r>
              <w:rPr>
                <w:rFonts w:hint="eastAsia" w:ascii="宋体" w:hAnsi="宋体" w:eastAsia="宋体" w:cs="宋体"/>
                <w:color w:val="auto"/>
                <w:szCs w:val="21"/>
                <w:highlight w:val="none"/>
                <w:lang w:eastAsia="zh-CN"/>
              </w:rPr>
              <w:t>提供</w:t>
            </w:r>
            <w:r>
              <w:rPr>
                <w:rFonts w:hint="eastAsia" w:ascii="宋体" w:hAnsi="宋体" w:eastAsia="宋体" w:cs="宋体"/>
                <w:color w:val="auto"/>
                <w:szCs w:val="21"/>
                <w:highlight w:val="none"/>
                <w:lang w:val="en-US" w:eastAsia="zh-CN"/>
              </w:rPr>
              <w:t>1年软件授权（包含：Windows终端安装授权200点、Windows服务器安装授权100点、Linux服务器安装授权50点）；</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lang w:eastAsia="zh-CN"/>
              </w:rPr>
              <w:t>深信服国产化</w:t>
            </w:r>
            <w:r>
              <w:rPr>
                <w:rFonts w:hint="eastAsia" w:ascii="宋体" w:hAnsi="宋体" w:eastAsia="宋体" w:cs="宋体"/>
                <w:color w:val="auto"/>
                <w:szCs w:val="21"/>
                <w:highlight w:val="none"/>
                <w:lang w:val="en-US" w:eastAsia="zh-Hans"/>
              </w:rPr>
              <w:t>终端安全管理系统</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lang w:eastAsia="zh-CN"/>
              </w:rPr>
              <w:t>提供</w:t>
            </w:r>
            <w:r>
              <w:rPr>
                <w:rFonts w:hint="eastAsia" w:ascii="宋体" w:hAnsi="宋体" w:eastAsia="宋体" w:cs="宋体"/>
                <w:color w:val="auto"/>
                <w:szCs w:val="21"/>
                <w:highlight w:val="none"/>
                <w:lang w:val="en-US" w:eastAsia="zh-CN"/>
              </w:rPr>
              <w:t>1年软件授权（包含：终端安装授权270点）</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szCs w:val="21"/>
                <w:highlight w:val="none"/>
                <w:lang w:val="en-US" w:eastAsia="zh-Hans"/>
              </w:rPr>
            </w:pPr>
            <w:r>
              <w:rPr>
                <w:rFonts w:hint="eastAsia" w:ascii="宋体" w:hAnsi="宋体" w:eastAsia="宋体" w:cs="宋体"/>
                <w:color w:val="auto"/>
                <w:szCs w:val="21"/>
                <w:highlight w:val="none"/>
                <w:lang w:val="en-US" w:eastAsia="zh-CN"/>
              </w:rPr>
              <w:t>9、迪普IPS2000-GS-E  4台；</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10、深信服</w:t>
            </w:r>
            <w:r>
              <w:rPr>
                <w:rFonts w:hint="eastAsia" w:ascii="宋体" w:hAnsi="宋体" w:eastAsia="宋体" w:cs="宋体"/>
                <w:color w:val="auto"/>
                <w:szCs w:val="21"/>
                <w:highlight w:val="none"/>
                <w:lang w:val="en-US" w:eastAsia="zh-Hans"/>
              </w:rPr>
              <w:t>NIPS-2000-B2100</w:t>
            </w:r>
            <w:r>
              <w:rPr>
                <w:rFonts w:hint="eastAsia" w:ascii="宋体" w:hAnsi="宋体" w:eastAsia="宋体" w:cs="宋体"/>
                <w:color w:val="auto"/>
                <w:szCs w:val="21"/>
                <w:highlight w:val="none"/>
                <w:lang w:val="en-US" w:eastAsia="zh-CN"/>
              </w:rPr>
              <w:t xml:space="preserve">  1台；</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10、科来网络回溯分析平台  1台；</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11、深信服防火墙 AF-2000-B2150，3台；</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12、深信服堡垒机 OSM-1000-B2100  2台；</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13、深信服数据库审计系统 DAS-1000-A640S  1台；</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14、深信服云镜  YJ-1000-B1075  1台；</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15、深信服全网行为管理系统 AC-1000-B1300-ID  1台；</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16、深信服零信任访问控制系统  aTrust-B1050M  1台；</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b w:val="0"/>
                <w:i w:val="0"/>
                <w:caps w:val="0"/>
                <w:color w:val="auto"/>
                <w:spacing w:val="0"/>
                <w:sz w:val="21"/>
                <w:szCs w:val="21"/>
                <w:highlight w:val="none"/>
                <w:shd w:val="clear"/>
                <w:lang w:val="en-US" w:eastAsia="zh-CN"/>
              </w:rPr>
            </w:pPr>
            <w:r>
              <w:rPr>
                <w:rFonts w:hint="eastAsia" w:ascii="宋体" w:hAnsi="宋体" w:eastAsia="宋体" w:cs="宋体"/>
                <w:color w:val="auto"/>
                <w:szCs w:val="21"/>
                <w:highlight w:val="none"/>
                <w:lang w:val="en-US" w:eastAsia="zh-CN"/>
              </w:rPr>
              <w:t>17、</w:t>
            </w:r>
            <w:r>
              <w:rPr>
                <w:rFonts w:hint="eastAsia" w:ascii="宋体" w:hAnsi="宋体" w:eastAsia="宋体" w:cs="宋体"/>
                <w:color w:val="auto"/>
                <w:szCs w:val="21"/>
                <w:highlight w:val="none"/>
              </w:rPr>
              <w:t>深信服态势感知平台第三方接入授权软件（含第三方设备10个接入授权）。</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b w:val="0"/>
                <w:i w:val="0"/>
                <w:caps w:val="0"/>
                <w:color w:val="auto"/>
                <w:spacing w:val="0"/>
                <w:sz w:val="21"/>
                <w:szCs w:val="21"/>
                <w:highlight w:val="none"/>
                <w:shd w:val="clear"/>
                <w:lang w:val="en-US" w:eastAsia="zh-CN"/>
              </w:rPr>
              <w:t>（二）安全服务类：</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18、钓鱼邮件演练服务：结合采购人网络环境、邮件使用习惯和特征，以热点事件为主题，精心构造极具迷惑性且含有恶意链接、恶意附件的邮件，向目标群体定向开展邮件钓鱼测试，并根据演练结果为采购人提供安全培训和技术防护手段升级建议。</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ascii="Calibri" w:hAnsi="Calibri" w:eastAsia="宋体" w:cs="Times New Roman"/>
              </w:rPr>
            </w:pPr>
            <w:r>
              <w:rPr>
                <w:rFonts w:hint="eastAsia" w:ascii="宋体" w:hAnsi="宋体" w:eastAsia="宋体" w:cs="宋体"/>
                <w:color w:val="auto"/>
                <w:szCs w:val="21"/>
                <w:highlight w:val="none"/>
                <w:lang w:val="en-US" w:eastAsia="zh-CN"/>
              </w:rPr>
              <w:t>19、</w:t>
            </w:r>
            <w:r>
              <w:rPr>
                <w:rFonts w:hint="eastAsia" w:ascii="宋体" w:hAnsi="宋体" w:eastAsia="宋体" w:cs="宋体"/>
                <w:color w:val="auto"/>
                <w:szCs w:val="21"/>
                <w:highlight w:val="none"/>
                <w:lang w:val="en-US" w:eastAsia="zh-Hans"/>
              </w:rPr>
              <w:t>应急演练服务：针对我局目前现有防御措施</w:t>
            </w:r>
            <w:r>
              <w:rPr>
                <w:rFonts w:hint="eastAsia" w:ascii="宋体" w:hAnsi="宋体" w:eastAsia="宋体" w:cs="宋体"/>
                <w:color w:val="auto"/>
                <w:szCs w:val="21"/>
                <w:highlight w:val="none"/>
                <w:lang w:eastAsia="zh-Hans"/>
              </w:rPr>
              <w:t>（包括可能的实时动态防御）进行评估渗透，对目标系统、人员、软硬件设备、基础架构，进行多维度、多手段、对抗性模拟攻击，并提供攻防实战演练报告，攻防演练时期分为三个阶段，即备战阶段、实战阶段和总结阶段，包含云端及本地两种服务方案，涵盖从资产梳理、脆弱性识别、安全加固、攻防演练等方面，最终帮助采购人实现纵深网络安全防御，建立持续有效的网络安全运营机制。</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default" w:ascii="宋体" w:hAnsi="宋体" w:eastAsia="宋体" w:cs="宋体"/>
                <w:color w:val="auto"/>
                <w:szCs w:val="21"/>
                <w:highlight w:val="none"/>
                <w:lang w:val="en-US"/>
              </w:rPr>
            </w:pPr>
            <w:r>
              <w:rPr>
                <w:rFonts w:hint="eastAsia" w:ascii="宋体" w:hAnsi="宋体" w:eastAsia="宋体" w:cs="宋体"/>
                <w:color w:val="auto"/>
                <w:szCs w:val="21"/>
                <w:highlight w:val="none"/>
                <w:lang w:val="en-US" w:eastAsia="zh-CN"/>
              </w:rPr>
              <w:t>20、配合采购人，完成统计业务专网向电子政务外网迁移整合工作。</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二、服务具体服务质量及要求</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eastAsia="zh-CN"/>
              </w:rPr>
              <w:t>▲（一）服务期内对所列设备从</w:t>
            </w:r>
            <w:bookmarkStart w:id="75" w:name="OLE_LINK31"/>
            <w:r>
              <w:rPr>
                <w:rFonts w:hint="eastAsia" w:ascii="宋体" w:hAnsi="宋体" w:eastAsia="宋体" w:cs="宋体"/>
                <w:color w:val="auto"/>
                <w:szCs w:val="21"/>
                <w:highlight w:val="none"/>
                <w:lang w:eastAsia="zh-CN"/>
              </w:rPr>
              <w:t>脱保之日</w:t>
            </w:r>
            <w:bookmarkEnd w:id="75"/>
            <w:r>
              <w:rPr>
                <w:rFonts w:hint="eastAsia" w:ascii="宋体" w:hAnsi="宋体" w:eastAsia="宋体" w:cs="宋体"/>
                <w:color w:val="auto"/>
                <w:szCs w:val="21"/>
                <w:highlight w:val="none"/>
                <w:lang w:eastAsia="zh-CN"/>
              </w:rPr>
              <w:t>起至</w:t>
            </w:r>
            <w:r>
              <w:rPr>
                <w:rFonts w:hint="eastAsia" w:ascii="宋体" w:hAnsi="宋体" w:eastAsia="宋体" w:cs="宋体"/>
                <w:color w:val="auto"/>
                <w:szCs w:val="21"/>
                <w:highlight w:val="none"/>
                <w:lang w:val="en-US" w:eastAsia="zh-CN"/>
              </w:rPr>
              <w:t>2026年12月31日提供维保升级服务。</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二</w:t>
            </w:r>
            <w:r>
              <w:rPr>
                <w:rFonts w:hint="eastAsia" w:ascii="宋体" w:hAnsi="宋体" w:eastAsia="宋体" w:cs="宋体"/>
                <w:color w:val="auto"/>
                <w:szCs w:val="21"/>
                <w:highlight w:val="none"/>
              </w:rPr>
              <w:t>）对</w:t>
            </w:r>
            <w:r>
              <w:rPr>
                <w:rFonts w:hint="eastAsia" w:ascii="宋体" w:hAnsi="宋体" w:eastAsia="宋体" w:cs="宋体"/>
                <w:color w:val="auto"/>
                <w:szCs w:val="21"/>
                <w:highlight w:val="none"/>
                <w:lang w:val="en-US" w:eastAsia="zh-CN"/>
              </w:rPr>
              <w:t>采购人</w:t>
            </w:r>
            <w:r>
              <w:rPr>
                <w:rFonts w:hint="eastAsia" w:ascii="宋体" w:hAnsi="宋体" w:eastAsia="宋体" w:cs="宋体"/>
                <w:color w:val="auto"/>
                <w:szCs w:val="21"/>
                <w:highlight w:val="none"/>
              </w:rPr>
              <w:t>本次采购的服务对象（见上</w:t>
            </w:r>
            <w:bookmarkStart w:id="76" w:name="OLE_LINK15"/>
            <w:r>
              <w:rPr>
                <w:rFonts w:hint="eastAsia" w:ascii="宋体" w:hAnsi="宋体" w:eastAsia="宋体" w:cs="宋体"/>
                <w:color w:val="auto"/>
                <w:szCs w:val="21"/>
                <w:highlight w:val="none"/>
              </w:rPr>
              <w:t>对象清单</w:t>
            </w:r>
            <w:bookmarkEnd w:id="76"/>
            <w:r>
              <w:rPr>
                <w:rFonts w:hint="eastAsia" w:ascii="宋体" w:hAnsi="宋体" w:eastAsia="宋体" w:cs="宋体"/>
                <w:color w:val="auto"/>
                <w:szCs w:val="21"/>
                <w:highlight w:val="none"/>
              </w:rPr>
              <w:t>列表）提供日常检查监控、定期维保，提供有关技术支持服务等，保证服务对象安全稳定持续运行。</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三</w:t>
            </w:r>
            <w:r>
              <w:rPr>
                <w:rFonts w:hint="eastAsia" w:ascii="宋体" w:hAnsi="宋体" w:eastAsia="宋体" w:cs="宋体"/>
                <w:color w:val="auto"/>
                <w:szCs w:val="21"/>
                <w:highlight w:val="none"/>
              </w:rPr>
              <w:t>）要求每月完成一次全系统巡检工作。巡检内容包括系统硬件、软件运行情况，并根据运行情况提交系统详细报告，对系统存在的缺陷以及各类即将发生的故障有提前预判方案以及预防措施，对非硬件突发的故障能够提前做好各类挽救措施以及准备预防工作，发现异常状况，必须在2小时内予以解决。</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四</w:t>
            </w:r>
            <w:r>
              <w:rPr>
                <w:rFonts w:hint="eastAsia" w:ascii="宋体" w:hAnsi="宋体" w:eastAsia="宋体" w:cs="宋体"/>
                <w:color w:val="auto"/>
                <w:szCs w:val="21"/>
                <w:highlight w:val="none"/>
              </w:rPr>
              <w:t>）每季度定期对维保设备包括所有</w:t>
            </w:r>
            <w:r>
              <w:rPr>
                <w:rFonts w:hint="eastAsia" w:ascii="宋体" w:hAnsi="宋体" w:eastAsia="宋体" w:cs="宋体"/>
                <w:color w:val="auto"/>
                <w:szCs w:val="21"/>
                <w:highlight w:val="none"/>
                <w:lang w:eastAsia="zh-Hans"/>
              </w:rPr>
              <w:t>安全</w:t>
            </w:r>
            <w:r>
              <w:rPr>
                <w:rFonts w:hint="eastAsia" w:ascii="宋体" w:hAnsi="宋体" w:eastAsia="宋体" w:cs="宋体"/>
                <w:color w:val="auto"/>
                <w:szCs w:val="21"/>
                <w:highlight w:val="none"/>
              </w:rPr>
              <w:t>设备</w:t>
            </w:r>
            <w:r>
              <w:rPr>
                <w:rFonts w:hint="eastAsia" w:ascii="宋体" w:hAnsi="宋体" w:eastAsia="宋体" w:cs="宋体"/>
                <w:color w:val="auto"/>
                <w:szCs w:val="21"/>
                <w:highlight w:val="none"/>
                <w:lang w:eastAsia="zh-Hans"/>
              </w:rPr>
              <w:t>产品</w:t>
            </w:r>
            <w:r>
              <w:rPr>
                <w:rFonts w:hint="eastAsia" w:ascii="宋体" w:hAnsi="宋体" w:eastAsia="宋体" w:cs="宋体"/>
                <w:color w:val="auto"/>
                <w:szCs w:val="21"/>
                <w:highlight w:val="none"/>
              </w:rPr>
              <w:t>进行系统备份，在系统有所改动、升级、安装新应用前、后都须做好系统备份。</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五</w:t>
            </w:r>
            <w:r>
              <w:rPr>
                <w:rFonts w:hint="eastAsia" w:ascii="宋体" w:hAnsi="宋体" w:eastAsia="宋体" w:cs="宋体"/>
                <w:color w:val="auto"/>
                <w:szCs w:val="21"/>
                <w:highlight w:val="none"/>
              </w:rPr>
              <w:t>）对故障部件等主体故障部件，提供优于市场价的备件支持。</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六</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Hans"/>
              </w:rPr>
              <w:t>安全设备产品</w:t>
            </w:r>
            <w:r>
              <w:rPr>
                <w:rFonts w:hint="eastAsia" w:ascii="宋体" w:hAnsi="宋体" w:eastAsia="宋体" w:cs="宋体"/>
                <w:color w:val="auto"/>
                <w:szCs w:val="21"/>
                <w:highlight w:val="none"/>
              </w:rPr>
              <w:t>服务内容具体服务要求：</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w:t>
            </w:r>
            <w:r>
              <w:rPr>
                <w:rFonts w:hint="eastAsia" w:ascii="宋体" w:hAnsi="宋体" w:eastAsia="宋体" w:cs="宋体"/>
                <w:b/>
                <w:color w:val="auto"/>
                <w:szCs w:val="21"/>
                <w:highlight w:val="none"/>
                <w:lang w:eastAsia="zh-Hans"/>
              </w:rPr>
              <w:t>安全</w:t>
            </w:r>
            <w:r>
              <w:rPr>
                <w:rFonts w:hint="eastAsia" w:ascii="宋体" w:hAnsi="宋体" w:eastAsia="宋体" w:cs="宋体"/>
                <w:b/>
                <w:color w:val="auto"/>
                <w:szCs w:val="21"/>
                <w:highlight w:val="none"/>
              </w:rPr>
              <w:t>设备</w:t>
            </w:r>
            <w:r>
              <w:rPr>
                <w:rFonts w:hint="eastAsia" w:ascii="宋体" w:hAnsi="宋体" w:eastAsia="宋体" w:cs="宋体"/>
                <w:b/>
                <w:color w:val="auto"/>
                <w:szCs w:val="21"/>
                <w:highlight w:val="none"/>
                <w:lang w:eastAsia="zh-Hans"/>
              </w:rPr>
              <w:t>产品</w:t>
            </w:r>
            <w:r>
              <w:rPr>
                <w:rFonts w:hint="eastAsia" w:ascii="宋体" w:hAnsi="宋体" w:eastAsia="宋体" w:cs="宋体"/>
                <w:b/>
                <w:color w:val="auto"/>
                <w:szCs w:val="21"/>
                <w:highlight w:val="none"/>
              </w:rPr>
              <w:t>维护服务要求：</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ind w:left="42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（1）提供设备硬件的现场升级服务；</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ind w:left="42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（2）提供系统软、硬件故障诊断、性能调整、参数优化及现场维护服务； </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ind w:left="42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（3）协助用户制订日常维护方案，如系统备份及恢复方案等；  </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ind w:left="42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（4）每次现场服务结束后，为用户提供详细的技术文档； </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ind w:left="42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（5）每月对设备及系统进行巡检、出具月度运行报告；</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（6）提供日常检查监控、定期维保、备品备件、坏件的及时更换、修复等；</w:t>
            </w:r>
          </w:p>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Cs w:val="21"/>
                <w:highlight w:val="none"/>
              </w:rPr>
              <w:t>（7）根据用户要求，配合优化网络配置，加入防火墙、</w:t>
            </w:r>
            <w:r>
              <w:rPr>
                <w:rFonts w:hint="eastAsia" w:ascii="宋体" w:hAnsi="宋体" w:eastAsia="宋体" w:cs="宋体"/>
                <w:color w:val="auto"/>
                <w:szCs w:val="21"/>
                <w:highlight w:val="none"/>
                <w:lang w:eastAsia="zh-Hans"/>
              </w:rPr>
              <w:t>VPN、态势感知</w:t>
            </w:r>
            <w:r>
              <w:rPr>
                <w:rFonts w:hint="eastAsia" w:ascii="宋体" w:hAnsi="宋体" w:eastAsia="宋体" w:cs="宋体"/>
                <w:color w:val="auto"/>
                <w:szCs w:val="21"/>
                <w:highlight w:val="none"/>
              </w:rPr>
              <w:t>等安全设备的策略，确保机房能信息安全要求。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3" w:type="dxa"/>
            <w:vAlign w:val="center"/>
          </w:tcPr>
          <w:p>
            <w:pPr>
              <w:pStyle w:val="23"/>
              <w:spacing w:line="360" w:lineRule="exact"/>
              <w:jc w:val="center"/>
              <w:rPr>
                <w:rFonts w:hint="eastAsia" w:ascii="宋体" w:hAnsi="宋体" w:cs="宋体"/>
                <w:color w:val="auto"/>
                <w:szCs w:val="21"/>
              </w:rPr>
            </w:pPr>
            <w:r>
              <w:rPr>
                <w:rFonts w:hint="eastAsia" w:ascii="宋体" w:hAnsi="宋体" w:cs="宋体"/>
                <w:b/>
                <w:bCs/>
                <w:color w:val="auto"/>
                <w:sz w:val="21"/>
                <w:szCs w:val="21"/>
              </w:rPr>
              <w:t>商务条款</w:t>
            </w:r>
          </w:p>
        </w:tc>
        <w:tc>
          <w:tcPr>
            <w:tcW w:w="9227" w:type="dxa"/>
            <w:gridSpan w:val="4"/>
            <w:vAlign w:val="center"/>
          </w:tcPr>
          <w:p>
            <w:pPr>
              <w:rPr>
                <w:rFonts w:hint="eastAsia" w:ascii="Calibri" w:hAnsi="Calibri" w:eastAsia="宋体" w:cs="Times New Roman"/>
                <w:b/>
                <w:bCs/>
                <w:lang w:eastAsia="zh-CN"/>
              </w:rPr>
            </w:pPr>
            <w:r>
              <w:rPr>
                <w:rFonts w:hint="eastAsia" w:ascii="Calibri" w:hAnsi="Calibri" w:eastAsia="宋体" w:cs="Times New Roman"/>
                <w:b/>
                <w:bCs/>
              </w:rPr>
              <w:t>规范标准</w:t>
            </w:r>
            <w:r>
              <w:rPr>
                <w:rFonts w:hint="eastAsia" w:ascii="Calibri" w:hAnsi="Calibri" w:eastAsia="宋体" w:cs="Times New Roman"/>
                <w:b/>
                <w:bCs/>
                <w:lang w:eastAsia="zh-CN"/>
              </w:rPr>
              <w:t>：</w:t>
            </w:r>
          </w:p>
          <w:p>
            <w:pPr>
              <w:rPr>
                <w:rFonts w:hint="eastAsia" w:ascii="Calibri" w:hAnsi="Calibri" w:eastAsia="宋体" w:cs="Times New Roman"/>
              </w:rPr>
            </w:pPr>
            <w:r>
              <w:rPr>
                <w:rFonts w:hint="eastAsia" w:ascii="Calibri" w:hAnsi="Calibri" w:eastAsia="宋体" w:cs="Times New Roman"/>
              </w:rPr>
              <w:t>采购标的需执行的国家标准、行业标准、地方标准或者其他标准、规范。</w:t>
            </w:r>
          </w:p>
          <w:p>
            <w:pPr>
              <w:rPr>
                <w:rFonts w:hint="eastAsia" w:ascii="Calibri" w:hAnsi="Calibri" w:eastAsia="宋体" w:cs="Times New Roman"/>
              </w:rPr>
            </w:pPr>
          </w:p>
          <w:p>
            <w:pPr>
              <w:rPr>
                <w:rFonts w:hint="eastAsia" w:ascii="Calibri" w:hAnsi="Calibri" w:eastAsia="宋体" w:cs="Times New Roman"/>
                <w:b/>
                <w:bCs/>
                <w:lang w:eastAsia="zh-CN"/>
              </w:rPr>
            </w:pPr>
            <w:r>
              <w:rPr>
                <w:rFonts w:hint="eastAsia" w:ascii="Calibri" w:hAnsi="Calibri" w:eastAsia="宋体" w:cs="Times New Roman"/>
                <w:b/>
                <w:bCs/>
              </w:rPr>
              <w:t>服务期限及地点</w:t>
            </w:r>
            <w:r>
              <w:rPr>
                <w:rFonts w:hint="eastAsia" w:ascii="Calibri" w:hAnsi="Calibri" w:eastAsia="宋体" w:cs="Times New Roman"/>
                <w:b/>
                <w:bCs/>
                <w:lang w:eastAsia="zh-CN"/>
              </w:rPr>
              <w:t>：</w:t>
            </w:r>
          </w:p>
          <w:p>
            <w:pPr>
              <w:rPr>
                <w:rFonts w:hint="eastAsia" w:ascii="Calibri" w:hAnsi="Calibri" w:eastAsia="宋体" w:cs="Times New Roman"/>
              </w:rPr>
            </w:pPr>
            <w:r>
              <w:rPr>
                <w:rFonts w:hint="eastAsia" w:ascii="Calibri" w:hAnsi="Calibri" w:eastAsia="宋体" w:cs="Times New Roman"/>
              </w:rPr>
              <w:t>服务期限：服务期1年。</w:t>
            </w:r>
          </w:p>
          <w:p>
            <w:pPr>
              <w:rPr>
                <w:rFonts w:hint="eastAsia" w:ascii="Calibri" w:hAnsi="Calibri" w:eastAsia="宋体" w:cs="Times New Roman"/>
              </w:rPr>
            </w:pPr>
          </w:p>
          <w:p>
            <w:pPr>
              <w:rPr>
                <w:rFonts w:hint="eastAsia" w:ascii="Calibri" w:hAnsi="Calibri" w:eastAsia="宋体" w:cs="Times New Roman"/>
                <w:b/>
                <w:bCs/>
              </w:rPr>
            </w:pPr>
            <w:r>
              <w:rPr>
                <w:rFonts w:hint="eastAsia" w:ascii="Calibri" w:hAnsi="Calibri" w:eastAsia="宋体" w:cs="Times New Roman"/>
                <w:b/>
                <w:bCs/>
              </w:rPr>
              <w:t>服务地点：</w:t>
            </w:r>
          </w:p>
          <w:p>
            <w:pPr>
              <w:rPr>
                <w:rFonts w:hint="eastAsia" w:ascii="Calibri" w:hAnsi="Calibri" w:eastAsia="宋体" w:cs="Times New Roman"/>
              </w:rPr>
            </w:pPr>
            <w:r>
              <w:rPr>
                <w:rFonts w:hint="eastAsia" w:ascii="Calibri" w:hAnsi="Calibri" w:eastAsia="宋体" w:cs="Times New Roman"/>
              </w:rPr>
              <w:t>广西南宁市内采购人指定地点。</w:t>
            </w:r>
          </w:p>
          <w:p>
            <w:pPr>
              <w:pStyle w:val="23"/>
              <w:rPr>
                <w:rFonts w:hint="eastAsia"/>
              </w:rPr>
            </w:pPr>
          </w:p>
          <w:p>
            <w:pPr>
              <w:rPr>
                <w:rFonts w:hint="eastAsia" w:ascii="Calibri" w:hAnsi="Calibri" w:eastAsia="宋体" w:cs="Times New Roman"/>
                <w:b/>
                <w:bCs/>
                <w:lang w:eastAsia="zh-CN"/>
              </w:rPr>
            </w:pPr>
            <w:r>
              <w:rPr>
                <w:rFonts w:hint="eastAsia" w:ascii="Calibri" w:hAnsi="Calibri" w:eastAsia="宋体" w:cs="Times New Roman"/>
                <w:b/>
                <w:bCs/>
              </w:rPr>
              <w:t>售后服务要求</w:t>
            </w:r>
            <w:r>
              <w:rPr>
                <w:rFonts w:hint="eastAsia" w:ascii="Calibri" w:hAnsi="Calibri" w:eastAsia="宋体" w:cs="Times New Roman"/>
                <w:b/>
                <w:bCs/>
                <w:lang w:eastAsia="zh-CN"/>
              </w:rPr>
              <w:t>：</w:t>
            </w:r>
          </w:p>
          <w:p>
            <w:pPr>
              <w:rPr>
                <w:rFonts w:hint="eastAsia" w:ascii="Calibri" w:hAnsi="Calibri" w:eastAsia="宋体" w:cs="Times New Roman"/>
              </w:rPr>
            </w:pPr>
            <w:r>
              <w:rPr>
                <w:rFonts w:hint="eastAsia" w:ascii="Calibri" w:hAnsi="Calibri" w:eastAsia="宋体" w:cs="Times New Roman"/>
              </w:rPr>
              <w:t>接到服务请求后，故障电话半小时内响应，2小时内到达现场，紧急时刻1小时内到达现场提供技术支持；在不需要更换备件的条件下在12小时内解除故障。硬件故障需要更换的，24小时内提供相同性能参数的备件替用；配件需要返厂维修的，在2日内完成相关厂家配件更换及硬件修复，解决故障。故障解决后，向采购人提交故障处理报告。</w:t>
            </w:r>
          </w:p>
          <w:p>
            <w:pPr>
              <w:rPr>
                <w:rFonts w:hint="eastAsia" w:ascii="Calibri" w:hAnsi="Calibri" w:eastAsia="宋体" w:cs="Times New Roman"/>
              </w:rPr>
            </w:pPr>
          </w:p>
          <w:p>
            <w:pPr>
              <w:rPr>
                <w:rFonts w:hint="eastAsia" w:ascii="Calibri" w:hAnsi="Calibri" w:eastAsia="宋体" w:cs="Times New Roman"/>
                <w:b/>
                <w:bCs/>
                <w:lang w:eastAsia="zh-CN"/>
              </w:rPr>
            </w:pPr>
            <w:r>
              <w:rPr>
                <w:rFonts w:hint="eastAsia" w:ascii="Calibri" w:hAnsi="Calibri" w:eastAsia="宋体" w:cs="Times New Roman"/>
                <w:b/>
                <w:bCs/>
              </w:rPr>
              <w:t>付款方式</w:t>
            </w:r>
            <w:r>
              <w:rPr>
                <w:rFonts w:hint="eastAsia" w:ascii="Calibri" w:hAnsi="Calibri" w:eastAsia="宋体" w:cs="Times New Roman"/>
                <w:b/>
                <w:bCs/>
                <w:lang w:eastAsia="zh-CN"/>
              </w:rPr>
              <w:t>：</w:t>
            </w:r>
          </w:p>
          <w:p>
            <w:pPr>
              <w:rPr>
                <w:rFonts w:hint="eastAsia" w:ascii="Calibri" w:hAnsi="Calibri" w:eastAsia="宋体" w:cs="Times New Roman"/>
              </w:rPr>
            </w:pPr>
            <w:r>
              <w:rPr>
                <w:rFonts w:hint="eastAsia" w:ascii="Calibri" w:hAnsi="Calibri" w:eastAsia="宋体" w:cs="Times New Roman"/>
              </w:rPr>
              <w:t>在合同签订后10个工作日内，</w:t>
            </w:r>
            <w:r>
              <w:rPr>
                <w:rFonts w:hint="eastAsia" w:ascii="Calibri" w:hAnsi="Calibri" w:eastAsia="宋体" w:cs="Times New Roman"/>
                <w:lang w:eastAsia="zh-CN"/>
              </w:rPr>
              <w:t>成交供应商</w:t>
            </w:r>
            <w:r>
              <w:rPr>
                <w:rFonts w:hint="eastAsia" w:ascii="Calibri" w:hAnsi="Calibri" w:eastAsia="宋体" w:cs="Times New Roman"/>
              </w:rPr>
              <w:t>向采购人提交初步工作方案。采购人确认工作方案后，向</w:t>
            </w:r>
            <w:r>
              <w:rPr>
                <w:rFonts w:hint="eastAsia" w:ascii="Calibri" w:hAnsi="Calibri" w:eastAsia="宋体" w:cs="Times New Roman"/>
                <w:lang w:eastAsia="zh-CN"/>
              </w:rPr>
              <w:t>成交供应商</w:t>
            </w:r>
            <w:r>
              <w:rPr>
                <w:rFonts w:hint="eastAsia" w:ascii="Calibri" w:hAnsi="Calibri" w:eastAsia="宋体" w:cs="Times New Roman"/>
              </w:rPr>
              <w:t>支付合同价款的70%。余款由采购人视工作开展、验收情况及预算执行情况支付（验收工作如需外聘专家，专家评审费由</w:t>
            </w:r>
            <w:r>
              <w:rPr>
                <w:rFonts w:hint="eastAsia" w:ascii="Calibri" w:hAnsi="Calibri" w:eastAsia="宋体" w:cs="Times New Roman"/>
                <w:lang w:eastAsia="zh-CN"/>
              </w:rPr>
              <w:t>成交供应商</w:t>
            </w:r>
            <w:r>
              <w:rPr>
                <w:rFonts w:hint="eastAsia" w:ascii="Calibri" w:hAnsi="Calibri" w:eastAsia="宋体" w:cs="Times New Roman"/>
              </w:rPr>
              <w:t>承担）。</w:t>
            </w:r>
          </w:p>
          <w:p>
            <w:pPr>
              <w:rPr>
                <w:rFonts w:hint="eastAsia" w:ascii="Calibri" w:hAnsi="Calibri" w:eastAsia="宋体" w:cs="Times New Roman"/>
              </w:rPr>
            </w:pPr>
          </w:p>
          <w:p>
            <w:pPr>
              <w:rPr>
                <w:rFonts w:hint="eastAsia" w:ascii="Calibri" w:hAnsi="Calibri" w:eastAsia="宋体" w:cs="Times New Roman"/>
                <w:b/>
                <w:bCs/>
                <w:lang w:eastAsia="zh-CN"/>
              </w:rPr>
            </w:pPr>
            <w:r>
              <w:rPr>
                <w:rFonts w:hint="eastAsia" w:ascii="Calibri" w:hAnsi="Calibri" w:eastAsia="宋体" w:cs="Times New Roman"/>
                <w:b/>
                <w:bCs/>
              </w:rPr>
              <w:t>其他要求</w:t>
            </w:r>
            <w:r>
              <w:rPr>
                <w:rFonts w:hint="eastAsia" w:ascii="Calibri" w:hAnsi="Calibri" w:eastAsia="宋体" w:cs="Times New Roman"/>
                <w:b/>
                <w:bCs/>
                <w:lang w:eastAsia="zh-CN"/>
              </w:rPr>
              <w:t>：</w:t>
            </w:r>
          </w:p>
          <w:p>
            <w:pPr>
              <w:rPr>
                <w:rFonts w:hint="eastAsia" w:ascii="Calibri" w:hAnsi="Calibri" w:eastAsia="宋体" w:cs="Times New Roman"/>
              </w:rPr>
            </w:pPr>
            <w:r>
              <w:rPr>
                <w:rFonts w:hint="eastAsia" w:ascii="Calibri" w:hAnsi="Calibri" w:eastAsia="宋体" w:cs="Times New Roman"/>
              </w:rPr>
              <w:t>1、报价应包括网络与硬件维护、耗材及服务的费用，包括采购、运输、劳务、管理、利润、税金、保险、协调、售后服务、配送以及所有不确定因素的风险等可能发生的一切费用。对于本文件中未列明，而供应商认为必需的费用也需列入总报价。在合同实施时，采购人将不予支付</w:t>
            </w:r>
            <w:r>
              <w:rPr>
                <w:rFonts w:hint="eastAsia" w:ascii="Calibri" w:hAnsi="Calibri" w:eastAsia="宋体" w:cs="Times New Roman"/>
                <w:lang w:eastAsia="zh-CN"/>
              </w:rPr>
              <w:t>成交供应商</w:t>
            </w:r>
            <w:r>
              <w:rPr>
                <w:rFonts w:hint="eastAsia" w:ascii="Calibri" w:hAnsi="Calibri" w:eastAsia="宋体" w:cs="Times New Roman"/>
              </w:rPr>
              <w:t>没有列入的项目费用，并认为此项目的费用已包括在总报价中。</w:t>
            </w:r>
          </w:p>
          <w:p>
            <w:pPr>
              <w:rPr>
                <w:rFonts w:hint="eastAsia" w:ascii="Calibri" w:hAnsi="Calibri" w:eastAsia="宋体" w:cs="Times New Roman"/>
              </w:rPr>
            </w:pPr>
            <w:r>
              <w:rPr>
                <w:rFonts w:hint="eastAsia" w:ascii="Calibri" w:hAnsi="Calibri" w:eastAsia="宋体" w:cs="Times New Roman"/>
              </w:rPr>
              <w:t>2、供应商须为本项目服务实施投入充足的服务人员，并确保</w:t>
            </w:r>
            <w:r>
              <w:rPr>
                <w:rFonts w:hint="eastAsia" w:ascii="Calibri" w:hAnsi="Calibri" w:eastAsia="宋体" w:cs="Times New Roman"/>
                <w:lang w:eastAsia="zh-CN"/>
              </w:rPr>
              <w:t>响应</w:t>
            </w:r>
            <w:r>
              <w:rPr>
                <w:rFonts w:hint="eastAsia" w:ascii="Calibri" w:hAnsi="Calibri" w:eastAsia="宋体" w:cs="Times New Roman"/>
              </w:rPr>
              <w:t>文件中的人员信息真实、有效。</w:t>
            </w:r>
          </w:p>
          <w:p>
            <w:pPr>
              <w:rPr>
                <w:rFonts w:hint="eastAsia" w:ascii="Calibri" w:hAnsi="Calibri" w:eastAsia="宋体" w:cs="Times New Roman"/>
              </w:rPr>
            </w:pPr>
            <w:r>
              <w:rPr>
                <w:rFonts w:hint="eastAsia" w:ascii="Calibri" w:hAnsi="Calibri" w:eastAsia="宋体" w:cs="Times New Roman"/>
              </w:rPr>
              <w:t>3、供应商拟投入的技术服务人员须为</w:t>
            </w:r>
            <w:r>
              <w:rPr>
                <w:rFonts w:hint="eastAsia" w:ascii="Calibri" w:hAnsi="Calibri" w:cs="Times New Roman"/>
                <w:lang w:eastAsia="zh-CN"/>
              </w:rPr>
              <w:t>供应商</w:t>
            </w:r>
            <w:r>
              <w:rPr>
                <w:rFonts w:hint="eastAsia" w:ascii="Calibri" w:hAnsi="Calibri" w:eastAsia="宋体" w:cs="Times New Roman"/>
              </w:rPr>
              <w:t>的在职员工，</w:t>
            </w:r>
            <w:r>
              <w:rPr>
                <w:rFonts w:hint="eastAsia" w:ascii="Calibri" w:hAnsi="Calibri" w:eastAsia="宋体" w:cs="Times New Roman"/>
                <w:lang w:eastAsia="zh-CN"/>
              </w:rPr>
              <w:t>成交</w:t>
            </w:r>
            <w:r>
              <w:rPr>
                <w:rFonts w:hint="eastAsia" w:ascii="Calibri" w:hAnsi="Calibri" w:eastAsia="宋体" w:cs="Times New Roman"/>
              </w:rPr>
              <w:t>后，</w:t>
            </w:r>
            <w:r>
              <w:rPr>
                <w:rFonts w:hint="eastAsia" w:ascii="Calibri" w:hAnsi="Calibri" w:eastAsia="宋体" w:cs="Times New Roman"/>
                <w:lang w:eastAsia="zh-CN"/>
              </w:rPr>
              <w:t>成交供应商</w:t>
            </w:r>
            <w:r>
              <w:rPr>
                <w:rFonts w:hint="eastAsia" w:ascii="Calibri" w:hAnsi="Calibri" w:eastAsia="宋体" w:cs="Times New Roman"/>
              </w:rPr>
              <w:t>须向采购人提交技术服务人员的基本信息及</w:t>
            </w:r>
            <w:r>
              <w:rPr>
                <w:rFonts w:hint="eastAsia" w:ascii="Calibri" w:hAnsi="Calibri" w:eastAsia="宋体" w:cs="Times New Roman"/>
                <w:lang w:eastAsia="zh-CN"/>
              </w:rPr>
              <w:t>成交供应商</w:t>
            </w:r>
            <w:r>
              <w:rPr>
                <w:rFonts w:hint="eastAsia" w:ascii="Calibri" w:hAnsi="Calibri" w:eastAsia="宋体" w:cs="Times New Roman"/>
              </w:rPr>
              <w:t>为其缴纳近一年内</w:t>
            </w:r>
            <w:r>
              <w:rPr>
                <w:rFonts w:hint="eastAsia" w:ascii="Calibri" w:hAnsi="Calibri" w:cs="Times New Roman"/>
                <w:lang w:eastAsia="zh-CN"/>
              </w:rPr>
              <w:t>任意连续1个月</w:t>
            </w:r>
            <w:r>
              <w:rPr>
                <w:rFonts w:hint="eastAsia" w:ascii="Calibri" w:hAnsi="Calibri" w:eastAsia="宋体" w:cs="Times New Roman"/>
              </w:rPr>
              <w:t>的社保证明材料、资质证书复印件等，无法提供材料或提供的材料中人员信息与</w:t>
            </w:r>
            <w:r>
              <w:rPr>
                <w:rFonts w:hint="eastAsia" w:ascii="Calibri" w:hAnsi="Calibri" w:eastAsia="宋体" w:cs="Times New Roman"/>
                <w:lang w:eastAsia="zh-CN"/>
              </w:rPr>
              <w:t>响应</w:t>
            </w:r>
            <w:r>
              <w:rPr>
                <w:rFonts w:hint="eastAsia" w:ascii="Calibri" w:hAnsi="Calibri" w:eastAsia="宋体" w:cs="Times New Roman"/>
              </w:rPr>
              <w:t>文件不符的，采购人有权不予签订合同并上报监督部门依法追究其责任。</w:t>
            </w:r>
          </w:p>
          <w:p>
            <w:pPr>
              <w:rPr>
                <w:rFonts w:hint="eastAsia" w:ascii="Calibri" w:hAnsi="Calibri" w:eastAsia="宋体" w:cs="Times New Roman"/>
              </w:rPr>
            </w:pPr>
            <w:r>
              <w:rPr>
                <w:rFonts w:hint="eastAsia" w:ascii="Calibri" w:hAnsi="Calibri" w:eastAsia="宋体" w:cs="Times New Roman"/>
              </w:rPr>
              <w:t>4、未经采购人允许，不得使用或以其它方式给任何第三方提供本项目的相关信息或数据。</w:t>
            </w:r>
          </w:p>
          <w:p>
            <w:pPr>
              <w:rPr>
                <w:rFonts w:hint="eastAsia" w:ascii="Calibri" w:hAnsi="Calibri" w:eastAsia="宋体" w:cs="Times New Roman"/>
              </w:rPr>
            </w:pPr>
            <w:r>
              <w:rPr>
                <w:rFonts w:hint="eastAsia" w:ascii="Calibri" w:hAnsi="Calibri" w:eastAsia="宋体" w:cs="Times New Roman"/>
              </w:rPr>
              <w:t>5、</w:t>
            </w:r>
            <w:r>
              <w:rPr>
                <w:rFonts w:hint="eastAsia" w:ascii="Calibri" w:hAnsi="Calibri" w:eastAsia="宋体" w:cs="Times New Roman"/>
                <w:lang w:eastAsia="zh-CN"/>
              </w:rPr>
              <w:t>成交供应商</w:t>
            </w:r>
            <w:r>
              <w:rPr>
                <w:rFonts w:hint="eastAsia" w:ascii="Calibri" w:hAnsi="Calibri" w:eastAsia="宋体" w:cs="Times New Roman"/>
              </w:rPr>
              <w:t>不得将项目非法分包或转包给任何单位和个人，否则采购人有权即刻终止合同，并要求</w:t>
            </w:r>
            <w:r>
              <w:rPr>
                <w:rFonts w:hint="eastAsia" w:ascii="Calibri" w:hAnsi="Calibri" w:eastAsia="宋体" w:cs="Times New Roman"/>
                <w:lang w:eastAsia="zh-CN"/>
              </w:rPr>
              <w:t>成交供应商</w:t>
            </w:r>
            <w:r>
              <w:rPr>
                <w:rFonts w:hint="eastAsia" w:ascii="Calibri" w:hAnsi="Calibri" w:eastAsia="宋体" w:cs="Times New Roman"/>
              </w:rPr>
              <w:t>赔偿相应损失。</w:t>
            </w:r>
          </w:p>
          <w:p>
            <w:pPr>
              <w:rPr>
                <w:rFonts w:hint="eastAsia" w:ascii="Calibri" w:hAnsi="Calibri" w:eastAsia="宋体" w:cs="Times New Roman"/>
              </w:rPr>
            </w:pPr>
            <w:r>
              <w:rPr>
                <w:rFonts w:hint="eastAsia" w:ascii="Calibri" w:hAnsi="Calibri" w:eastAsia="宋体" w:cs="Times New Roman"/>
              </w:rPr>
              <w:t>6、知识产权：采购人在中华人民共和国境内使用</w:t>
            </w:r>
            <w:r>
              <w:rPr>
                <w:rFonts w:hint="eastAsia" w:ascii="Calibri" w:hAnsi="Calibri" w:eastAsia="宋体" w:cs="Times New Roman"/>
                <w:lang w:eastAsia="zh-CN"/>
              </w:rPr>
              <w:t>成交供应商</w:t>
            </w:r>
            <w:r>
              <w:rPr>
                <w:rFonts w:hint="eastAsia" w:ascii="Calibri" w:hAnsi="Calibri" w:eastAsia="宋体" w:cs="Times New Roman"/>
              </w:rPr>
              <w:t>提供的产品及服务时免受第三方提出的侵犯其专利权或其它知识产权的起诉。如果第三方提出侵权指控，</w:t>
            </w:r>
            <w:r>
              <w:rPr>
                <w:rFonts w:hint="eastAsia" w:ascii="Calibri" w:hAnsi="Calibri" w:eastAsia="宋体" w:cs="Times New Roman"/>
                <w:lang w:eastAsia="zh-CN"/>
              </w:rPr>
              <w:t>成交供应商</w:t>
            </w:r>
            <w:r>
              <w:rPr>
                <w:rFonts w:hint="eastAsia" w:ascii="Calibri" w:hAnsi="Calibri" w:eastAsia="宋体" w:cs="Times New Roman"/>
              </w:rPr>
              <w:t>应承担由此而引起的一切法律责任和费用。</w:t>
            </w:r>
          </w:p>
          <w:p>
            <w:pPr>
              <w:rPr>
                <w:rFonts w:hint="eastAsia" w:ascii="Calibri" w:hAnsi="Calibri" w:eastAsia="宋体" w:cs="Times New Roman"/>
              </w:rPr>
            </w:pPr>
            <w:r>
              <w:rPr>
                <w:rFonts w:hint="eastAsia" w:ascii="Calibri" w:hAnsi="Calibri" w:eastAsia="宋体" w:cs="Times New Roman"/>
              </w:rPr>
              <w:t>7、供应商可按照采购需求在</w:t>
            </w:r>
            <w:r>
              <w:rPr>
                <w:rFonts w:hint="eastAsia" w:ascii="Calibri" w:hAnsi="Calibri" w:eastAsia="宋体" w:cs="Times New Roman"/>
                <w:lang w:eastAsia="zh-CN"/>
              </w:rPr>
              <w:t>响应</w:t>
            </w:r>
            <w:r>
              <w:rPr>
                <w:rFonts w:hint="eastAsia" w:ascii="Calibri" w:hAnsi="Calibri" w:eastAsia="宋体" w:cs="Times New Roman"/>
              </w:rPr>
              <w:t>文件中提供详细、科学、可行的运维服务方案、售后服务（可包含投入人员安排、进度计划安排等内容）。</w:t>
            </w:r>
          </w:p>
          <w:p>
            <w:pPr>
              <w:rPr>
                <w:rFonts w:hint="eastAsia" w:ascii="Calibri" w:hAnsi="Calibri" w:eastAsia="宋体" w:cs="Times New Roman"/>
              </w:rPr>
            </w:pPr>
            <w:r>
              <w:rPr>
                <w:rFonts w:hint="eastAsia" w:ascii="Calibri" w:hAnsi="Calibri" w:eastAsia="宋体" w:cs="Times New Roman"/>
              </w:rPr>
              <w:t>8、供应商如有可在</w:t>
            </w:r>
            <w:r>
              <w:rPr>
                <w:rFonts w:hint="eastAsia" w:ascii="Calibri" w:hAnsi="Calibri" w:eastAsia="宋体" w:cs="Times New Roman"/>
                <w:lang w:eastAsia="zh-CN"/>
              </w:rPr>
              <w:t>响应</w:t>
            </w:r>
            <w:r>
              <w:rPr>
                <w:rFonts w:hint="eastAsia" w:ascii="Calibri" w:hAnsi="Calibri" w:eastAsia="宋体" w:cs="Times New Roman"/>
              </w:rPr>
              <w:t>文件中提供服务承诺以及与本项目相关的信誉、业绩、奖项等证明材料。</w:t>
            </w:r>
          </w:p>
          <w:p>
            <w:pPr>
              <w:rPr>
                <w:rFonts w:hint="eastAsia" w:ascii="Calibri" w:hAnsi="Calibri" w:eastAsia="宋体" w:cs="Times New Roman"/>
              </w:rPr>
            </w:pPr>
            <w:r>
              <w:rPr>
                <w:rFonts w:hint="eastAsia" w:ascii="Calibri" w:hAnsi="Calibri" w:eastAsia="宋体" w:cs="Times New Roman"/>
              </w:rPr>
              <w:t>9、为了保障服务能力及使用效果，本项目</w:t>
            </w:r>
            <w:r>
              <w:rPr>
                <w:rFonts w:hint="eastAsia" w:ascii="Calibri" w:hAnsi="Calibri" w:eastAsia="宋体" w:cs="Times New Roman"/>
                <w:lang w:eastAsia="zh-CN"/>
              </w:rPr>
              <w:t>响应</w:t>
            </w:r>
            <w:r>
              <w:rPr>
                <w:rFonts w:hint="eastAsia" w:ascii="Calibri" w:hAnsi="Calibri" w:eastAsia="宋体" w:cs="Times New Roman"/>
              </w:rPr>
              <w:t>文件中信息化设备、系统运行维护服务如有设备同品牌原厂授权书，</w:t>
            </w:r>
            <w:bookmarkStart w:id="77" w:name="OLE_LINK16"/>
            <w:r>
              <w:rPr>
                <w:rFonts w:hint="eastAsia" w:ascii="Calibri" w:hAnsi="Calibri" w:cs="Times New Roman"/>
                <w:lang w:val="en-US" w:eastAsia="zh-CN"/>
              </w:rPr>
              <w:t>如有</w:t>
            </w:r>
            <w:r>
              <w:rPr>
                <w:rFonts w:hint="eastAsia" w:ascii="Calibri" w:hAnsi="Calibri" w:eastAsia="宋体" w:cs="Times New Roman"/>
              </w:rPr>
              <w:t>可提供供</w:t>
            </w:r>
            <w:bookmarkEnd w:id="77"/>
            <w:r>
              <w:rPr>
                <w:rFonts w:hint="eastAsia" w:ascii="Calibri" w:hAnsi="Calibri" w:cs="Times New Roman"/>
                <w:lang w:eastAsia="zh-CN"/>
              </w:rPr>
              <w:t>磋商小组</w:t>
            </w:r>
            <w:r>
              <w:rPr>
                <w:rFonts w:hint="eastAsia" w:ascii="Calibri" w:hAnsi="Calibri" w:eastAsia="宋体" w:cs="Times New Roman"/>
              </w:rPr>
              <w:t>评审参考。</w:t>
            </w:r>
          </w:p>
          <w:p>
            <w:pPr>
              <w:rPr>
                <w:rFonts w:hint="default"/>
                <w:color w:val="auto"/>
                <w:lang w:val="en-US" w:eastAsia="zh-CN"/>
              </w:rPr>
            </w:pPr>
            <w:r>
              <w:rPr>
                <w:rFonts w:hint="eastAsia" w:ascii="Calibri" w:hAnsi="Calibri" w:eastAsia="宋体" w:cs="Times New Roman"/>
              </w:rPr>
              <w:t>10、验收要求及标准：根据采购需求的要求进行验收。</w:t>
            </w:r>
          </w:p>
        </w:tc>
      </w:tr>
    </w:tbl>
    <w:p>
      <w:pPr>
        <w:spacing w:line="240" w:lineRule="auto"/>
        <w:rPr>
          <w:rFonts w:hint="eastAsia" w:ascii="宋体" w:hAnsi="宋体" w:eastAsia="宋体" w:cs="宋体"/>
          <w:color w:val="auto"/>
          <w:sz w:val="21"/>
          <w:szCs w:val="21"/>
        </w:rPr>
      </w:pPr>
    </w:p>
    <w:p>
      <w:pPr>
        <w:rPr>
          <w:rFonts w:hint="eastAsia" w:ascii="宋体" w:hAnsi="宋体" w:cs="宋体"/>
          <w:i/>
          <w:iCs/>
          <w:color w:val="auto"/>
          <w:u w:val="single"/>
        </w:rPr>
      </w:pPr>
      <w:r>
        <w:rPr>
          <w:rFonts w:hint="eastAsia" w:ascii="宋体" w:hAnsi="宋体" w:cs="宋体"/>
          <w:i/>
          <w:iCs/>
          <w:color w:val="auto"/>
          <w:u w:val="single"/>
        </w:rPr>
        <w:br w:type="page"/>
      </w:r>
    </w:p>
    <w:p>
      <w:pPr>
        <w:pStyle w:val="13"/>
        <w:spacing w:line="450" w:lineRule="exact"/>
        <w:rPr>
          <w:rFonts w:hint="eastAsia" w:ascii="宋体" w:hAnsi="宋体" w:cs="宋体"/>
          <w:i/>
          <w:iCs/>
          <w:color w:val="auto"/>
          <w:u w:val="single"/>
        </w:rPr>
      </w:pPr>
    </w:p>
    <w:tbl>
      <w:tblPr>
        <w:tblStyle w:val="32"/>
        <w:tblW w:w="9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
        <w:gridCol w:w="596"/>
        <w:gridCol w:w="1136"/>
        <w:gridCol w:w="944"/>
        <w:gridCol w:w="6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9650" w:type="dxa"/>
            <w:gridSpan w:val="5"/>
            <w:tcBorders>
              <w:top w:val="single" w:color="auto" w:sz="4" w:space="0"/>
              <w:left w:val="single" w:color="auto" w:sz="4" w:space="0"/>
              <w:bottom w:val="single" w:color="auto" w:sz="4" w:space="0"/>
              <w:right w:val="single" w:color="auto" w:sz="4" w:space="0"/>
            </w:tcBorders>
            <w:vAlign w:val="center"/>
          </w:tcPr>
          <w:p>
            <w:pPr>
              <w:spacing w:line="380" w:lineRule="exact"/>
              <w:jc w:val="left"/>
              <w:rPr>
                <w:rFonts w:hint="eastAsia" w:ascii="宋体" w:hAnsi="宋体" w:eastAsia="宋体" w:cs="宋体"/>
                <w:color w:val="auto"/>
                <w:szCs w:val="21"/>
                <w:lang w:eastAsia="zh-CN"/>
              </w:rPr>
            </w:pPr>
            <w:bookmarkStart w:id="78" w:name="OLE_LINK3"/>
            <w:r>
              <w:rPr>
                <w:rFonts w:hint="eastAsia" w:ascii="宋体" w:hAnsi="宋体" w:cs="宋体"/>
                <w:b/>
                <w:bCs/>
                <w:color w:val="auto"/>
                <w:szCs w:val="21"/>
              </w:rPr>
              <w:t>分标：</w:t>
            </w:r>
            <w:r>
              <w:rPr>
                <w:rFonts w:hint="eastAsia" w:ascii="宋体" w:hAnsi="宋体" w:cs="宋体"/>
                <w:b/>
                <w:bCs/>
                <w:color w:val="auto"/>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423" w:type="dxa"/>
            <w:vMerge w:val="restart"/>
            <w:tcBorders>
              <w:top w:val="single" w:color="auto" w:sz="4" w:space="0"/>
            </w:tcBorders>
            <w:vAlign w:val="center"/>
          </w:tcPr>
          <w:p>
            <w:pPr>
              <w:spacing w:line="380" w:lineRule="exact"/>
              <w:jc w:val="center"/>
              <w:rPr>
                <w:rFonts w:hint="eastAsia" w:ascii="宋体" w:hAnsi="宋体" w:cs="宋体"/>
                <w:b/>
                <w:bCs/>
                <w:color w:val="auto"/>
                <w:szCs w:val="21"/>
              </w:rPr>
            </w:pPr>
            <w:r>
              <w:rPr>
                <w:rFonts w:hint="eastAsia" w:ascii="宋体" w:hAnsi="宋体" w:cs="宋体"/>
                <w:b/>
                <w:bCs/>
                <w:color w:val="auto"/>
                <w:szCs w:val="21"/>
              </w:rPr>
              <w:t>需求一览表</w:t>
            </w:r>
          </w:p>
        </w:tc>
        <w:tc>
          <w:tcPr>
            <w:tcW w:w="596" w:type="dxa"/>
            <w:tcBorders>
              <w:top w:val="single" w:color="auto" w:sz="4" w:space="0"/>
            </w:tcBorders>
            <w:vAlign w:val="center"/>
          </w:tcPr>
          <w:p>
            <w:pPr>
              <w:spacing w:line="380" w:lineRule="exact"/>
              <w:jc w:val="center"/>
              <w:rPr>
                <w:rFonts w:hint="eastAsia" w:ascii="宋体" w:hAnsi="宋体" w:cs="宋体"/>
                <w:color w:val="auto"/>
                <w:szCs w:val="21"/>
              </w:rPr>
            </w:pPr>
            <w:r>
              <w:rPr>
                <w:rFonts w:hint="eastAsia" w:ascii="宋体" w:hAnsi="宋体" w:cs="宋体"/>
                <w:color w:val="auto"/>
                <w:szCs w:val="21"/>
              </w:rPr>
              <w:t>序号</w:t>
            </w:r>
          </w:p>
        </w:tc>
        <w:tc>
          <w:tcPr>
            <w:tcW w:w="1136" w:type="dxa"/>
            <w:tcBorders>
              <w:top w:val="single" w:color="auto" w:sz="4" w:space="0"/>
            </w:tcBorders>
            <w:vAlign w:val="center"/>
          </w:tcPr>
          <w:p>
            <w:pPr>
              <w:spacing w:line="380" w:lineRule="exact"/>
              <w:jc w:val="center"/>
              <w:rPr>
                <w:rFonts w:hint="eastAsia" w:ascii="宋体" w:hAnsi="宋体" w:cs="宋体"/>
                <w:color w:val="auto"/>
                <w:szCs w:val="21"/>
              </w:rPr>
            </w:pPr>
            <w:r>
              <w:rPr>
                <w:rFonts w:hint="eastAsia" w:ascii="宋体" w:hAnsi="宋体" w:cs="宋体"/>
                <w:color w:val="auto"/>
                <w:szCs w:val="21"/>
              </w:rPr>
              <w:t>标的名称</w:t>
            </w:r>
          </w:p>
        </w:tc>
        <w:tc>
          <w:tcPr>
            <w:tcW w:w="944" w:type="dxa"/>
            <w:tcBorders>
              <w:top w:val="single" w:color="auto" w:sz="4" w:space="0"/>
            </w:tcBorders>
            <w:vAlign w:val="center"/>
          </w:tcPr>
          <w:p>
            <w:pPr>
              <w:spacing w:line="380" w:lineRule="exact"/>
              <w:jc w:val="center"/>
              <w:rPr>
                <w:rFonts w:hint="eastAsia" w:ascii="宋体" w:hAnsi="宋体" w:cs="宋体"/>
                <w:color w:val="auto"/>
                <w:szCs w:val="21"/>
              </w:rPr>
            </w:pPr>
            <w:r>
              <w:rPr>
                <w:rFonts w:hint="eastAsia" w:ascii="宋体" w:hAnsi="宋体" w:cs="宋体"/>
                <w:color w:val="auto"/>
                <w:szCs w:val="21"/>
              </w:rPr>
              <w:t>数量及单位</w:t>
            </w:r>
          </w:p>
        </w:tc>
        <w:tc>
          <w:tcPr>
            <w:tcW w:w="6551" w:type="dxa"/>
            <w:tcBorders>
              <w:top w:val="single" w:color="auto" w:sz="4" w:space="0"/>
            </w:tcBorders>
            <w:vAlign w:val="center"/>
          </w:tcPr>
          <w:p>
            <w:pPr>
              <w:spacing w:line="380" w:lineRule="exact"/>
              <w:jc w:val="center"/>
              <w:rPr>
                <w:rFonts w:hint="eastAsia" w:ascii="宋体" w:hAnsi="宋体" w:eastAsia="宋体" w:cs="宋体"/>
                <w:color w:val="auto"/>
                <w:szCs w:val="21"/>
                <w:lang w:eastAsia="zh-CN"/>
              </w:rPr>
            </w:pPr>
            <w:r>
              <w:rPr>
                <w:rFonts w:hint="eastAsia" w:ascii="宋体" w:hAnsi="宋体" w:cs="宋体"/>
                <w:color w:val="auto"/>
                <w:szCs w:val="21"/>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3" w:type="dxa"/>
            <w:vMerge w:val="continue"/>
            <w:vAlign w:val="center"/>
          </w:tcPr>
          <w:p>
            <w:pPr>
              <w:spacing w:line="380" w:lineRule="exact"/>
              <w:jc w:val="center"/>
              <w:rPr>
                <w:rFonts w:hint="eastAsia" w:ascii="宋体" w:hAnsi="宋体" w:cs="宋体"/>
                <w:color w:val="auto"/>
                <w:szCs w:val="21"/>
              </w:rPr>
            </w:pPr>
          </w:p>
        </w:tc>
        <w:tc>
          <w:tcPr>
            <w:tcW w:w="596" w:type="dxa"/>
            <w:vAlign w:val="center"/>
          </w:tcPr>
          <w:p>
            <w:pPr>
              <w:spacing w:line="380" w:lineRule="exact"/>
              <w:jc w:val="center"/>
              <w:rPr>
                <w:rFonts w:hint="eastAsia" w:ascii="宋体" w:hAnsi="宋体" w:cs="宋体"/>
                <w:color w:val="auto"/>
                <w:szCs w:val="21"/>
              </w:rPr>
            </w:pPr>
            <w:r>
              <w:rPr>
                <w:rFonts w:hint="eastAsia" w:ascii="宋体" w:hAnsi="宋体" w:cs="宋体"/>
                <w:color w:val="auto"/>
                <w:szCs w:val="21"/>
              </w:rPr>
              <w:t>1</w:t>
            </w:r>
          </w:p>
        </w:tc>
        <w:tc>
          <w:tcPr>
            <w:tcW w:w="1136" w:type="dxa"/>
            <w:vAlign w:val="center"/>
          </w:tcPr>
          <w:p>
            <w:pPr>
              <w:pageBreakBefore w:val="0"/>
              <w:kinsoku/>
              <w:wordWrap/>
              <w:overflowPunct/>
              <w:topLinePunct w:val="0"/>
              <w:autoSpaceDE/>
              <w:autoSpaceDN/>
              <w:bidi w:val="0"/>
              <w:snapToGrid w:val="0"/>
              <w:spacing w:line="240" w:lineRule="auto"/>
              <w:jc w:val="center"/>
              <w:outlineLvl w:val="0"/>
              <w:rPr>
                <w:rFonts w:hint="eastAsia" w:ascii="宋体" w:hAnsi="宋体" w:cs="宋体"/>
                <w:color w:val="auto"/>
                <w:szCs w:val="21"/>
              </w:rPr>
            </w:pPr>
            <w:r>
              <w:rPr>
                <w:rFonts w:hint="eastAsia" w:ascii="宋体" w:hAnsi="宋体" w:cs="宋体"/>
                <w:color w:val="auto"/>
                <w:szCs w:val="21"/>
              </w:rPr>
              <w:t>网络安全运维及“重保”服务</w:t>
            </w:r>
          </w:p>
        </w:tc>
        <w:tc>
          <w:tcPr>
            <w:tcW w:w="944" w:type="dxa"/>
            <w:vAlign w:val="center"/>
          </w:tcPr>
          <w:p>
            <w:pPr>
              <w:pageBreakBefore w:val="0"/>
              <w:kinsoku/>
              <w:wordWrap/>
              <w:overflowPunct/>
              <w:topLinePunct w:val="0"/>
              <w:autoSpaceDE/>
              <w:autoSpaceDN/>
              <w:bidi w:val="0"/>
              <w:snapToGrid w:val="0"/>
              <w:spacing w:line="240" w:lineRule="auto"/>
              <w:jc w:val="center"/>
              <w:outlineLvl w:val="0"/>
              <w:rPr>
                <w:rFonts w:hint="default" w:ascii="宋体" w:hAnsi="宋体" w:eastAsia="宋体" w:cs="宋体"/>
                <w:color w:val="auto"/>
                <w:szCs w:val="21"/>
                <w:lang w:val="en-US" w:eastAsia="zh-CN"/>
              </w:rPr>
            </w:pPr>
            <w:r>
              <w:rPr>
                <w:rFonts w:hint="default" w:ascii="宋体" w:hAnsi="宋体" w:eastAsia="宋体" w:cs="宋体"/>
                <w:color w:val="auto"/>
                <w:szCs w:val="21"/>
                <w:lang w:val="en-US" w:eastAsia="zh-CN"/>
              </w:rPr>
              <w:t>1项</w:t>
            </w:r>
          </w:p>
        </w:tc>
        <w:tc>
          <w:tcPr>
            <w:tcW w:w="6551" w:type="dxa"/>
            <w:vAlign w:val="center"/>
          </w:tcPr>
          <w:p>
            <w:pPr>
              <w:keepNext w:val="0"/>
              <w:keepLines w:val="0"/>
              <w:pageBreakBefore w:val="0"/>
              <w:widowControl/>
              <w:shd w:val="clear" w:color="auto" w:fill="auto"/>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▲1、人员要求</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提供2人次1年5×8小时（12个月）的驻场服务，要求</w:t>
            </w:r>
            <w:r>
              <w:rPr>
                <w:rFonts w:hint="eastAsia" w:ascii="宋体" w:hAnsi="宋体" w:eastAsia="宋体" w:cs="宋体"/>
                <w:color w:val="auto"/>
                <w:sz w:val="21"/>
                <w:szCs w:val="21"/>
                <w:highlight w:val="none"/>
                <w:lang w:val="en-US" w:eastAsia="zh-CN"/>
              </w:rPr>
              <w:t>全日制</w:t>
            </w:r>
            <w:r>
              <w:rPr>
                <w:rFonts w:hint="eastAsia" w:ascii="宋体" w:hAnsi="宋体" w:eastAsia="宋体" w:cs="宋体"/>
                <w:color w:val="auto"/>
                <w:sz w:val="21"/>
                <w:szCs w:val="21"/>
                <w:highlight w:val="none"/>
              </w:rPr>
              <w:t>本科及以上计算机相关专业学历，</w:t>
            </w:r>
            <w:r>
              <w:rPr>
                <w:rFonts w:hint="eastAsia" w:ascii="宋体" w:hAnsi="宋体" w:eastAsia="宋体" w:cs="宋体"/>
                <w:color w:val="auto"/>
                <w:sz w:val="21"/>
                <w:szCs w:val="21"/>
                <w:highlight w:val="none"/>
                <w:lang w:val="en-US" w:eastAsia="zh-CN"/>
              </w:rPr>
              <w:t>其中一人</w:t>
            </w:r>
            <w:r>
              <w:rPr>
                <w:rFonts w:hint="eastAsia" w:ascii="宋体" w:hAnsi="宋体" w:eastAsia="宋体" w:cs="宋体"/>
                <w:color w:val="auto"/>
                <w:sz w:val="21"/>
                <w:szCs w:val="21"/>
                <w:highlight w:val="none"/>
              </w:rPr>
              <w:t>需具备</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年及以上</w:t>
            </w:r>
            <w:r>
              <w:rPr>
                <w:rFonts w:hint="eastAsia" w:ascii="宋体" w:hAnsi="宋体" w:eastAsia="宋体" w:cs="宋体"/>
                <w:color w:val="auto"/>
                <w:sz w:val="21"/>
                <w:szCs w:val="21"/>
                <w:highlight w:val="none"/>
                <w:lang w:val="en-US" w:eastAsia="zh-CN"/>
              </w:rPr>
              <w:t>驻场运维</w:t>
            </w:r>
            <w:r>
              <w:rPr>
                <w:rFonts w:hint="eastAsia" w:ascii="宋体" w:hAnsi="宋体" w:eastAsia="宋体" w:cs="宋体"/>
                <w:color w:val="auto"/>
                <w:sz w:val="21"/>
                <w:szCs w:val="21"/>
                <w:highlight w:val="none"/>
              </w:rPr>
              <w:t>工作经验，</w:t>
            </w:r>
            <w:r>
              <w:rPr>
                <w:rFonts w:hint="eastAsia" w:ascii="宋体" w:hAnsi="宋体" w:eastAsia="宋体" w:cs="宋体"/>
                <w:color w:val="auto"/>
                <w:sz w:val="21"/>
                <w:szCs w:val="21"/>
                <w:highlight w:val="none"/>
                <w:lang w:val="en-US" w:eastAsia="zh-CN"/>
              </w:rPr>
              <w:t>另一人需具备1年及以上驻场运维工作经验，入场服务时需提供学历证明，拟投入现场驻场人员须经过采购人面试同意后确定。</w:t>
            </w:r>
            <w:r>
              <w:rPr>
                <w:rFonts w:hint="eastAsia" w:ascii="宋体" w:hAnsi="宋体" w:eastAsia="宋体" w:cs="宋体"/>
                <w:color w:val="auto"/>
                <w:sz w:val="21"/>
                <w:szCs w:val="21"/>
                <w:highlight w:val="none"/>
              </w:rPr>
              <w:t>对IT资产梳理与漏洞管理、安全设备日常运维、安全事件分析研判、加固整改、应急事件处置、重保期间安全保障等工作。</w:t>
            </w:r>
          </w:p>
          <w:p>
            <w:pPr>
              <w:keepNext w:val="0"/>
              <w:keepLines w:val="0"/>
              <w:pageBreakBefore w:val="0"/>
              <w:widowControl/>
              <w:shd w:val="clear" w:color="auto" w:fill="auto"/>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▲2、设备巡检</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所有安全设备每天运行状态巡检和检测，及时发现并消除日常运行过程中的安全隐患，确保设备正常运行。日志分析、故障诊断与故障预警、性能评估等工作，对安全设备的运行情况进行梳理、检查、全面测试和分析。确认设备运行状态，检查设备的日志记录情况，排除故障隐患工作，保证网络及软、硬件设备系统安全、稳定的运行。</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提供材料：包括但不限于《安全设备巡检记录表》《设备故障处理报告》《安全设备升级记录表》。</w:t>
            </w:r>
          </w:p>
          <w:p>
            <w:pPr>
              <w:keepNext w:val="0"/>
              <w:keepLines w:val="0"/>
              <w:pageBreakBefore w:val="0"/>
              <w:widowControl/>
              <w:shd w:val="clear" w:color="auto" w:fill="auto"/>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3、安全策略优化梳理服务</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定期对采购人防火墙安全策略配置进行优化和清理，对策略变更进行记录，发现过期、冗余、无效、不明确用途等策略，根据分析结果提供优化调整建议。</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提供材料：包括但不限于《策略记录更新表》《防火墙策略优化报告》。</w:t>
            </w:r>
          </w:p>
          <w:p>
            <w:pPr>
              <w:keepNext w:val="0"/>
              <w:keepLines w:val="0"/>
              <w:pageBreakBefore w:val="0"/>
              <w:widowControl/>
              <w:shd w:val="clear" w:color="auto" w:fill="auto"/>
              <w:kinsoku/>
              <w:wordWrap/>
              <w:overflowPunct/>
              <w:topLinePunct w:val="0"/>
              <w:autoSpaceDE/>
              <w:autoSpaceDN/>
              <w:bidi w:val="0"/>
              <w:adjustRightInd/>
              <w:snapToGrid/>
              <w:spacing w:line="380" w:lineRule="exact"/>
              <w:jc w:val="left"/>
              <w:textAlignment w:val="auto"/>
              <w:rPr>
                <w:rFonts w:hint="default" w:ascii="宋体" w:hAnsi="宋体" w:eastAsia="宋体" w:cs="宋体"/>
                <w:b w:val="0"/>
                <w:bCs/>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 xml:space="preserve"> 4、</w:t>
            </w:r>
            <w:r>
              <w:rPr>
                <w:rFonts w:hint="eastAsia" w:ascii="宋体" w:hAnsi="宋体" w:eastAsia="宋体" w:cs="宋体"/>
                <w:b w:val="0"/>
                <w:bCs/>
                <w:color w:val="auto"/>
                <w:sz w:val="21"/>
                <w:szCs w:val="21"/>
                <w:highlight w:val="none"/>
                <w:lang w:val="en-US" w:eastAsia="zh-CN"/>
              </w:rPr>
              <w:t>数据安全风险评估服务</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对</w:t>
            </w:r>
            <w:r>
              <w:rPr>
                <w:rFonts w:hint="eastAsia" w:ascii="宋体" w:hAnsi="宋体" w:eastAsia="宋体" w:cs="宋体"/>
                <w:b w:val="0"/>
                <w:bCs/>
                <w:color w:val="auto"/>
                <w:sz w:val="21"/>
                <w:szCs w:val="21"/>
                <w:highlight w:val="none"/>
                <w:lang w:val="en-US" w:eastAsia="zh-CN"/>
              </w:rPr>
              <w:t>采购人1</w:t>
            </w:r>
            <w:r>
              <w:rPr>
                <w:rFonts w:hint="eastAsia" w:ascii="宋体" w:hAnsi="宋体" w:eastAsia="宋体" w:cs="宋体"/>
                <w:b w:val="0"/>
                <w:bCs/>
                <w:color w:val="auto"/>
                <w:sz w:val="21"/>
                <w:szCs w:val="21"/>
                <w:highlight w:val="none"/>
              </w:rPr>
              <w:t>个应用系统进行</w:t>
            </w:r>
            <w:r>
              <w:rPr>
                <w:rFonts w:hint="eastAsia" w:ascii="宋体" w:hAnsi="宋体" w:eastAsia="宋体" w:cs="宋体"/>
                <w:b w:val="0"/>
                <w:bCs/>
                <w:color w:val="auto"/>
                <w:sz w:val="21"/>
                <w:szCs w:val="21"/>
                <w:highlight w:val="none"/>
                <w:lang w:val="en-US" w:eastAsia="zh-CN"/>
              </w:rPr>
              <w:t>2次</w:t>
            </w:r>
            <w:r>
              <w:rPr>
                <w:rFonts w:hint="eastAsia" w:ascii="宋体" w:hAnsi="宋体" w:eastAsia="宋体" w:cs="宋体"/>
                <w:b w:val="0"/>
                <w:bCs/>
                <w:color w:val="auto"/>
                <w:sz w:val="21"/>
                <w:szCs w:val="21"/>
                <w:highlight w:val="none"/>
              </w:rPr>
              <w:t>数据安全风险评估。</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评估依据《GB/T 45577-2025数据安全技术 数据安全风险评估方法》《统计数据安全管理办法》《统计数据分类分级标准规范》等标准进行，主要包括五大部分。最终出具评估报告（包括初评和复评）。</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评估准备</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是数据安全风险评估的初始预备阶段</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在评估实施前应完成评估准备工作。形成调研表、数据安全风险评估方案等。</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信息调研</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主要用于识别数据处理者的基本情况</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厘清其与业务和信息系统的关系</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处理的数据和开展的数据处理活动情况</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采取的数据安全防护措施。形成数据处理者基本情况、业务清单、信息系统清单、数据资产清单、数据处理活动清单、安全措施情况等</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具备条件的</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可绘制数据流图。</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风险识别</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针对评估对象</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从数据安全管理、数据处理活动、数据安全技术、个人信息保护等方面</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通过多种评估手段识别可能存在的数据安全风险隐患。形成文档查阅记录文档、人员访谈记录文档、安全核查记录文档、技术检测报告等。</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风险分析与评价</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在风险识别基础上开展风险分析</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并视情对风险进行评价</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最后提出整改建议。形成数据安全风险源清单、数据安全风险列表、整改建议等。</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b w:val="0"/>
                <w:bCs/>
                <w:color w:val="auto"/>
                <w:sz w:val="21"/>
                <w:szCs w:val="21"/>
                <w:highlight w:val="none"/>
              </w:rPr>
              <w:t>评估总结</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编制数据安全风险评估报告</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开展风险处置。</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ind w:firstLine="0"/>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5、资产与漏洞管理服务</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2"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资产管理</w:t>
            </w:r>
            <w:r>
              <w:rPr>
                <w:rFonts w:hint="eastAsia" w:ascii="宋体" w:hAnsi="宋体" w:eastAsia="宋体" w:cs="宋体"/>
                <w:color w:val="auto"/>
                <w:sz w:val="21"/>
                <w:szCs w:val="21"/>
                <w:highlight w:val="none"/>
              </w:rPr>
              <w:t>：具有资产发现，端口探测的能力，能够具有对主机的存活状态、端口等基础信息识别；对资产状态检测、收集、识别资产上线、下线和更新状态；能够对子域名发现，具备对主机、网站、域名三种类型资产管理能力。各类资产包括：安全设备、存储设备、服务器、数据库及中间件、业务资产等。</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定期盘点机房资产并形成资产台账，梳理易受攻击的应用系统目标（重点资产），协助对资产存活状态、访问行为进行动态管理，配合完成对资产密码的梳理及改密服务。</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2"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提供材料</w:t>
            </w:r>
            <w:r>
              <w:rPr>
                <w:rFonts w:hint="eastAsia" w:ascii="宋体" w:hAnsi="宋体" w:eastAsia="宋体" w:cs="宋体"/>
                <w:color w:val="auto"/>
                <w:sz w:val="21"/>
                <w:szCs w:val="21"/>
                <w:highlight w:val="none"/>
              </w:rPr>
              <w:t>：提供并定期更新《资产信息及状态表》。</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2"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漏洞管理</w:t>
            </w:r>
            <w:r>
              <w:rPr>
                <w:rFonts w:hint="eastAsia" w:ascii="宋体" w:hAnsi="宋体" w:eastAsia="宋体" w:cs="宋体"/>
                <w:color w:val="auto"/>
                <w:sz w:val="21"/>
                <w:szCs w:val="21"/>
                <w:highlight w:val="none"/>
              </w:rPr>
              <w:t>：能够检测常见的操作系统漏洞、软件漏洞、最新的网站框架应用漏洞，弱口令检测，网站WEB漏洞等。基线检测、对禁止端口及服务开放基线设定确认是否已开放。提供修复整改意见并协助整改。整改完成还要进行漏洞复测，对整改效果进行检测，形成漏洞管理闭环。</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针对最新公开漏洞（如CVE、CNNVD等）以及国家统计局或者网信部分发布的漏洞通知，分析对自治区局系统的影响情况，进行相应漏洞修复、提出规避建议。</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提供材料：包括但不限于《漏洞检测报告》《漏洞处理及复测记录》等。</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6、数据安全设备分析</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每日对采购人网络中数据安全类设备进行安全巡检</w:t>
            </w:r>
            <w:r>
              <w:rPr>
                <w:rFonts w:hint="eastAsia" w:ascii="宋体" w:hAnsi="宋体" w:eastAsia="宋体" w:cs="宋体"/>
                <w:bCs/>
                <w:color w:val="auto"/>
                <w:sz w:val="21"/>
                <w:szCs w:val="21"/>
                <w:highlight w:val="none"/>
                <w:lang w:val="en-US" w:eastAsia="zh-CN"/>
              </w:rPr>
              <w:t>和安全情况进行初步评估分析</w:t>
            </w:r>
            <w:r>
              <w:rPr>
                <w:rFonts w:hint="eastAsia" w:ascii="宋体" w:hAnsi="宋体" w:eastAsia="宋体" w:cs="宋体"/>
                <w:bCs/>
                <w:color w:val="auto"/>
                <w:sz w:val="21"/>
                <w:szCs w:val="21"/>
                <w:highlight w:val="none"/>
              </w:rPr>
              <w:t>，包括设备硬件状态巡检、性能巡检、数据安全设备告警日志基础分析研判，并结合网络安全设备形成联合分析能力，快速定位受害目标和攻击源。</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提供材料：包括但不限于《安全设备巡检记录表》《数据安全分析报告》等。</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ind w:firstLine="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7、全流量回溯分析服务</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Calibri" w:hAnsi="Calibri" w:eastAsia="宋体" w:cs="Times New Roman"/>
                <w:color w:val="auto"/>
                <w:highlight w:val="none"/>
              </w:rPr>
            </w:pPr>
            <w:r>
              <w:rPr>
                <w:rFonts w:hint="eastAsia" w:ascii="宋体" w:hAnsi="宋体" w:eastAsia="宋体" w:cs="宋体"/>
                <w:color w:val="auto"/>
                <w:sz w:val="21"/>
                <w:szCs w:val="21"/>
                <w:highlight w:val="none"/>
              </w:rPr>
              <w:t>（1）使用采购人现有</w:t>
            </w:r>
            <w:bookmarkStart w:id="79" w:name="OLE_LINK17"/>
            <w:r>
              <w:rPr>
                <w:rFonts w:hint="eastAsia" w:ascii="宋体" w:hAnsi="宋体" w:eastAsia="宋体" w:cs="宋体"/>
                <w:color w:val="auto"/>
                <w:sz w:val="21"/>
                <w:szCs w:val="21"/>
                <w:highlight w:val="none"/>
              </w:rPr>
              <w:t>科来</w:t>
            </w:r>
            <w:bookmarkEnd w:id="79"/>
            <w:r>
              <w:rPr>
                <w:rFonts w:hint="eastAsia" w:ascii="宋体" w:hAnsi="宋体" w:eastAsia="宋体" w:cs="宋体"/>
                <w:color w:val="auto"/>
                <w:sz w:val="21"/>
                <w:szCs w:val="21"/>
                <w:highlight w:val="none"/>
              </w:rPr>
              <w:t>的网络回溯分析系统通过监控网络全流量，展现网络关键节点真实的通信状况，掌握全网运行状态，洞悉关键业务应用状况，针对网络/应用总体质量、网络/应用性能、网络/应用安全等方面全面评估分析，对网络异常通讯行为进行数据包分析，发现异常的流量、异常的网络行为、蠕虫病毒、木马和网络攻击等，对攻击事件溯源取证，直接定位问题根源，保障关键业务畅通。</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网络总体质量评估</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现有业务数据进行L2至L7层的协议识别和解析数据包具有分析能力，提供网络各层的性能指标和评估结果，并根据各项指标评估结果得出现有网络的整体健康安全趋势，如果当前网络存在性能或安全问题需要在分析报告中进行明确体现。</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（2）网络运行质量评估分析</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提升采购人日常网络运维效率，掌握实时网络运行质量，为运维提供数据依据，要求提供实时1秒级网络运行质量评估分析服务，基于网络流量指标关键KPI进行实时统计分析，生成图形化的报表，评估网络运行质量。要求网络运行质量评估分析的指标项包含如下：</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能够反映实时流量的趋势变化，要做到包括总体流量的趋势，数据包趋势， TCP参数趋势，利用率趋势。</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统计任意时间范围内网络应用的成分占比及流量信息，包括接收发送流量，接收发送数据包等。</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统计任意时间范围内所有IP主机的通讯流量信息，统计指标项至少包括接收发送流量，接收发送数据包，比特率，数据包率，tcp连接请求数量，tcp同步响应数量，tcp同步重置数量，数据包的发收比，tcp连接请求无响应次数，tcp连接请求被重置次数等流量参数。</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服务器安全性评估分析，统计网络中关键服务器提供的服务端口，并核对是否存在非法端口被访问。</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（3）网络数据包深度分析</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网络故障日益复杂，而数据最终是以数据包进行传输，因此要剖析故障的根本原因就离不开数据包深度分析，要求能够针对数据包提供L2-L7层解码分析，通过数据包深度解码分析快速定位故障的层级，数据包深度分析服务内容要求如下：</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统计分析任意指定对象（如:TCP/UDP会话五元组、服务节点开放的TCP/UDP的服务端口、客户端到服务器服务端口的全量访问统计）的1秒级精度流量，包率等曲线，并根据用户所选时间展示精度1秒的全量关联分析统计数据。</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了更快速高效的定位网络故障，服务要实现对故障智能诊断的能力，能自动诊断包括：HTTP错误、SMTP/POP3服务器慢响应、SMTP/POP3服务器返回错误、FTP服务器慢响应、FTP服务器错误、TCP连接被拒绝、TCP非法校验和、TCP重复的连接尝试、DNS错误、会话连接故障、重传、IP TTL太小、IP地址冲突等常见故障场景，并提供故障原因分析及解决办法。</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（4）应用运行质量评估分析</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当应用系统访问质量出现异常时，分析服务要能根据通过丰富的KPI性能指标评估系统运行质量的好坏，及时发现应用系统性能故障，要求提供的服务报告中体现的KPI指标至少包括：TCP连接请求无响应次数、TCP连接请求被重置次数、RTT、TCP ACK时延、重传数量、重传率、分段丢失率、会话数量（新建会话数量，关闭会话数量，活动会话数量）、TCP 0窗口数量、交易处理数量、响应时间（平均响应时间，最大响应时间，最小响应时间）等。</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（5）异常安全威胁评估分析服务</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能提供安全威胁分析检测服务，并能够针对异常威胁流量及时反映给运维人员，方式不限于人为通报和服务设备自动告警。服务内容要求如下：</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至少能够提供针对网络中的ARP攻击，拒绝服务攻击，DOS攻击，TCP端口扫描，HTTP、SMTP、POP3可疑会话行为的分析。</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能够对各种KPI指标的多种参数逻辑或、逻辑与的灵活组合通报，通报事件至少包括1秒、10秒、1分钟等精度。</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可人为分析或分析设备自动告警发现木马、病毒事件，支持基于自定义木马病毒特征值、可疑域名、邮件敏感特征值的流量监测，监测异常的TCP/UDP通讯并产生告警，以便准确掌握安全异常的问题主机。</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支持基于异常访问的黑白名单访问实时通报。通过设定主机、应用的黑名单，发现异常网络访问并实时通报给运维人员。</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default" w:ascii="宋体" w:hAnsi="宋体" w:eastAsia="宋体" w:cs="宋体"/>
                <w:strike/>
                <w:dstrike w:val="0"/>
                <w:color w:val="auto"/>
                <w:sz w:val="21"/>
                <w:szCs w:val="21"/>
                <w:highlight w:val="none"/>
                <w:lang w:val="en-US" w:eastAsia="zh-CN"/>
              </w:rPr>
            </w:pP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lang w:val="en-US" w:eastAsia="zh-CN"/>
              </w:rPr>
              <w:t>服务要求</w:t>
            </w:r>
            <w:r>
              <w:rPr>
                <w:rFonts w:hint="eastAsia" w:ascii="宋体" w:hAnsi="宋体" w:eastAsia="宋体" w:cs="宋体"/>
                <w:color w:val="auto"/>
                <w:sz w:val="21"/>
                <w:szCs w:val="21"/>
                <w:highlight w:val="none"/>
              </w:rPr>
              <w:t>：每月及重大活动时期提供《网络异常流量回溯分析报告》，每年不少于12次</w:t>
            </w:r>
            <w:r>
              <w:rPr>
                <w:rFonts w:hint="eastAsia" w:ascii="宋体" w:hAnsi="宋体" w:eastAsia="宋体" w:cs="宋体"/>
                <w:color w:val="auto"/>
                <w:sz w:val="21"/>
                <w:szCs w:val="21"/>
                <w:highlight w:val="none"/>
                <w:lang w:eastAsia="zh-CN"/>
              </w:rPr>
              <w:t>；</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为保障采购人网络内重大疑难异常问题准确、高效的解决，</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须在</w:t>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中提供具备</w:t>
            </w:r>
            <w:bookmarkStart w:id="80" w:name="OLE_LINK18"/>
            <w:r>
              <w:rPr>
                <w:rFonts w:hint="eastAsia" w:ascii="宋体" w:hAnsi="宋体" w:eastAsia="宋体" w:cs="宋体"/>
                <w:color w:val="auto"/>
                <w:sz w:val="21"/>
                <w:szCs w:val="21"/>
                <w:highlight w:val="none"/>
              </w:rPr>
              <w:t>现有</w:t>
            </w:r>
            <w:r>
              <w:rPr>
                <w:rFonts w:hint="eastAsia" w:ascii="宋体" w:hAnsi="宋体" w:eastAsia="宋体" w:cs="宋体"/>
                <w:color w:val="auto"/>
                <w:sz w:val="21"/>
                <w:szCs w:val="21"/>
                <w:highlight w:val="none"/>
                <w:lang w:eastAsia="zh-CN"/>
              </w:rPr>
              <w:t>科来</w:t>
            </w:r>
            <w:r>
              <w:rPr>
                <w:rFonts w:hint="eastAsia" w:ascii="宋体" w:hAnsi="宋体" w:eastAsia="宋体" w:cs="宋体"/>
                <w:color w:val="auto"/>
                <w:sz w:val="21"/>
                <w:szCs w:val="21"/>
                <w:highlight w:val="none"/>
              </w:rPr>
              <w:t>网络回溯分析系统</w:t>
            </w:r>
            <w:bookmarkEnd w:id="80"/>
            <w:r>
              <w:rPr>
                <w:rFonts w:hint="eastAsia" w:ascii="宋体" w:hAnsi="宋体" w:eastAsia="宋体" w:cs="宋体"/>
                <w:color w:val="auto"/>
                <w:sz w:val="21"/>
                <w:szCs w:val="21"/>
                <w:highlight w:val="none"/>
              </w:rPr>
              <w:t>制造商专家技术支持的服务能力承诺函（格式自拟，加盖</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公章）。</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、网络异常回溯备机服务</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为了保证采购人对全网异常流量采集的全面性，</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须提供功能一致并与</w:t>
            </w:r>
            <w:bookmarkStart w:id="81" w:name="OLE_LINK44"/>
            <w:r>
              <w:rPr>
                <w:rFonts w:hint="eastAsia" w:ascii="宋体" w:hAnsi="宋体" w:eastAsia="宋体" w:cs="宋体"/>
                <w:color w:val="auto"/>
                <w:sz w:val="21"/>
                <w:szCs w:val="21"/>
                <w:highlight w:val="none"/>
              </w:rPr>
              <w:t>现有</w:t>
            </w:r>
            <w:bookmarkEnd w:id="81"/>
            <w:r>
              <w:rPr>
                <w:rFonts w:hint="eastAsia" w:ascii="宋体" w:hAnsi="宋体" w:eastAsia="宋体" w:cs="宋体"/>
                <w:color w:val="auto"/>
                <w:sz w:val="21"/>
                <w:szCs w:val="21"/>
                <w:highlight w:val="none"/>
              </w:rPr>
              <w:t>系统稳定对接的备用设备</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备机</w:t>
            </w:r>
            <w:r>
              <w:rPr>
                <w:rFonts w:hint="eastAsia" w:ascii="宋体" w:hAnsi="宋体" w:eastAsia="宋体" w:cs="宋体"/>
                <w:color w:val="auto"/>
                <w:sz w:val="21"/>
                <w:szCs w:val="21"/>
                <w:highlight w:val="none"/>
                <w:lang w:eastAsia="zh-CN"/>
              </w:rPr>
              <w:t>须在服务期内放置采购人机房使用。</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在首次递交的响应文件中</w:t>
            </w:r>
            <w:r>
              <w:rPr>
                <w:rFonts w:hint="eastAsia" w:ascii="宋体" w:hAnsi="宋体" w:eastAsia="宋体" w:cs="宋体"/>
                <w:color w:val="auto"/>
                <w:sz w:val="21"/>
                <w:szCs w:val="21"/>
                <w:highlight w:val="none"/>
              </w:rPr>
              <w:t>提供此项服务</w:t>
            </w:r>
            <w:bookmarkStart w:id="82" w:name="OLE_LINK47"/>
            <w:r>
              <w:rPr>
                <w:rFonts w:hint="eastAsia" w:ascii="宋体" w:hAnsi="宋体" w:eastAsia="宋体" w:cs="宋体"/>
                <w:color w:val="auto"/>
                <w:sz w:val="21"/>
                <w:szCs w:val="21"/>
                <w:highlight w:val="none"/>
              </w:rPr>
              <w:t>承诺函</w:t>
            </w:r>
            <w:bookmarkEnd w:id="82"/>
            <w:r>
              <w:rPr>
                <w:rFonts w:hint="eastAsia" w:ascii="宋体" w:hAnsi="宋体" w:eastAsia="宋体" w:cs="宋体"/>
                <w:color w:val="auto"/>
                <w:sz w:val="21"/>
                <w:szCs w:val="21"/>
                <w:highlight w:val="none"/>
                <w:lang w:val="en-US" w:eastAsia="zh-CN"/>
              </w:rPr>
              <w:t>扫描件</w:t>
            </w:r>
            <w:r>
              <w:rPr>
                <w:rFonts w:hint="eastAsia" w:ascii="宋体" w:hAnsi="宋体" w:eastAsia="宋体" w:cs="宋体"/>
                <w:color w:val="auto"/>
                <w:sz w:val="21"/>
                <w:szCs w:val="21"/>
                <w:highlight w:val="none"/>
              </w:rPr>
              <w:t>（格式自拟）。</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lang w:val="en-US" w:eastAsia="zh-CN"/>
              </w:rPr>
              <w:t>签订合同</w:t>
            </w:r>
            <w:r>
              <w:rPr>
                <w:rFonts w:hint="eastAsia" w:ascii="宋体" w:hAnsi="宋体" w:eastAsia="宋体" w:cs="宋体"/>
                <w:color w:val="auto"/>
                <w:sz w:val="21"/>
                <w:szCs w:val="21"/>
                <w:highlight w:val="none"/>
              </w:rPr>
              <w:t>后，</w:t>
            </w:r>
            <w:r>
              <w:rPr>
                <w:rFonts w:hint="eastAsia" w:ascii="宋体" w:hAnsi="宋体" w:eastAsia="宋体" w:cs="宋体"/>
                <w:color w:val="auto"/>
                <w:sz w:val="21"/>
                <w:szCs w:val="21"/>
                <w:highlight w:val="none"/>
                <w:lang w:eastAsia="zh-CN"/>
              </w:rPr>
              <w:t>成交供应商</w:t>
            </w:r>
            <w:r>
              <w:rPr>
                <w:rFonts w:hint="eastAsia" w:ascii="宋体" w:hAnsi="宋体" w:eastAsia="宋体" w:cs="宋体"/>
                <w:color w:val="auto"/>
                <w:sz w:val="21"/>
                <w:szCs w:val="21"/>
                <w:highlight w:val="none"/>
              </w:rPr>
              <w:t>须提供网络回溯分析系统备用设备1台，功能需与现有网络中使用网络回溯分析系统功能一致，采购人有权测试验证，如在测试中发现两者功能不相符及授权未注明采购人信息，</w:t>
            </w:r>
            <w:r>
              <w:rPr>
                <w:rFonts w:hint="eastAsia" w:ascii="宋体" w:hAnsi="宋体" w:cs="宋体"/>
                <w:color w:val="auto"/>
                <w:sz w:val="21"/>
                <w:szCs w:val="21"/>
                <w:highlight w:val="none"/>
                <w:lang w:eastAsia="zh-CN"/>
              </w:rPr>
              <w:t>采购人</w:t>
            </w:r>
            <w:r>
              <w:rPr>
                <w:rFonts w:hint="eastAsia" w:ascii="宋体" w:hAnsi="宋体" w:eastAsia="宋体" w:cs="宋体"/>
                <w:color w:val="auto"/>
                <w:sz w:val="21"/>
                <w:szCs w:val="21"/>
                <w:highlight w:val="none"/>
              </w:rPr>
              <w:t>将不予验收，并追究其相关责任。）</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0" w:firstLineChars="0"/>
              <w:jc w:val="lef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9、业务运行安全监控服务</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为达到以业务为核心的监控视图，将采购人现有的业务性能管理系统、科来网络回溯分析系统与供应商提供的网络异常回溯备机兼容配套使用，采集分析回溯分析系统的应用性能指标参数和应用报警信息，包括但不限于链路流量、应用、业务、会话等多维度的各类参数信息，同时业务性能管理系统能够将</w:t>
            </w:r>
            <w:r>
              <w:rPr>
                <w:rFonts w:hint="eastAsia" w:ascii="宋体" w:hAnsi="宋体" w:eastAsia="宋体" w:cs="宋体"/>
                <w:color w:val="auto"/>
                <w:sz w:val="21"/>
                <w:szCs w:val="21"/>
                <w:highlight w:val="none"/>
              </w:rPr>
              <w:t>应用、警报和网段配置信息</w:t>
            </w:r>
            <w:r>
              <w:rPr>
                <w:rFonts w:hint="eastAsia" w:ascii="宋体" w:hAnsi="宋体" w:eastAsia="宋体" w:cs="宋体"/>
                <w:color w:val="auto"/>
                <w:sz w:val="21"/>
                <w:szCs w:val="21"/>
                <w:highlight w:val="none"/>
                <w:lang w:val="en-US" w:eastAsia="zh-CN"/>
              </w:rPr>
              <w:t>下发给网络回溯分析系统及网络异常回溯备机，实现采购人应用系统应用服务、主机系统、网络路径梳理和监控分析策略和警报策略下发。</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业务性能管理系统、网络回溯分析系统及网络异常回溯备机需实现业务访问路径梳理、分级及告警策略下发等工作，要求在签订合同后五个工作日内完成。</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Calibri" w:hAnsi="Calibri" w:eastAsia="宋体" w:cs="Times New Roman"/>
                <w:color w:val="auto"/>
                <w:highlight w:val="none"/>
                <w:lang w:val="en-US" w:eastAsia="zh-CN"/>
              </w:rPr>
            </w:pPr>
            <w:r>
              <w:rPr>
                <w:rFonts w:hint="eastAsia" w:ascii="宋体" w:hAnsi="宋体" w:eastAsia="宋体" w:cs="宋体"/>
                <w:color w:val="auto"/>
                <w:sz w:val="21"/>
                <w:szCs w:val="21"/>
                <w:highlight w:val="none"/>
              </w:rPr>
              <w:t>在首次递交的响应文件中提供</w:t>
            </w:r>
            <w:r>
              <w:rPr>
                <w:rFonts w:hint="eastAsia" w:ascii="宋体" w:hAnsi="宋体" w:eastAsia="宋体" w:cs="宋体"/>
                <w:color w:val="auto"/>
                <w:sz w:val="21"/>
                <w:szCs w:val="21"/>
                <w:highlight w:val="none"/>
                <w:lang w:val="en-US" w:eastAsia="zh-CN"/>
              </w:rPr>
              <w:t>以上</w:t>
            </w:r>
            <w:r>
              <w:rPr>
                <w:rFonts w:hint="eastAsia" w:ascii="宋体" w:hAnsi="宋体" w:eastAsia="宋体" w:cs="宋体"/>
                <w:color w:val="auto"/>
                <w:sz w:val="21"/>
                <w:szCs w:val="21"/>
                <w:highlight w:val="none"/>
              </w:rPr>
              <w:t>此项服务</w:t>
            </w:r>
            <w:r>
              <w:rPr>
                <w:rFonts w:hint="eastAsia" w:ascii="宋体" w:hAnsi="宋体" w:eastAsia="宋体" w:cs="宋体"/>
                <w:color w:val="auto"/>
                <w:sz w:val="21"/>
                <w:szCs w:val="21"/>
                <w:highlight w:val="none"/>
                <w:lang w:val="en-US" w:eastAsia="zh-CN"/>
              </w:rPr>
              <w:t>的响应</w:t>
            </w:r>
            <w:r>
              <w:rPr>
                <w:rFonts w:hint="eastAsia" w:ascii="宋体" w:hAnsi="宋体" w:eastAsia="宋体" w:cs="宋体"/>
                <w:color w:val="auto"/>
                <w:sz w:val="21"/>
                <w:szCs w:val="21"/>
                <w:highlight w:val="none"/>
              </w:rPr>
              <w:t>承诺函扫描件（格式自拟）。</w:t>
            </w:r>
          </w:p>
          <w:p>
            <w:pPr>
              <w:keepNext w:val="0"/>
              <w:keepLines w:val="0"/>
              <w:pageBreakBefore w:val="0"/>
              <w:widowControl/>
              <w:shd w:val="clear" w:color="auto" w:fill="auto"/>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、安全运营服务</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为了保障采购人网络与业务系统安全平稳运行，需根据已有的网络安全设备及新增安全服务相结合，从防御、检测、响应、预测四个维度，以持续监控和分析为核心提供安全服务。</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防御层面：对IT资产漏洞、风险暴露面全面扫描探测；防火墙、WAF、抗DDOS等安全防护设备策略优化设置。</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检测层面：对威胁感知系统、回溯分析系统、入侵检测等检测设备告警事件进行综合日志关联分析、研判，提升检测效率、达到降低威胁停留时间及损害。</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层面：协助采购人及时修复IT资产漏洞、对安全策略配置定期优化，收紧威胁暴露面。通过对应用系统的访问日志、网络安全设备日志等日志信息，操作系统、安全设备产生的告警事件，结合网络回溯分析系统和开源的威胁情报信息，综合找出存留的攻击者痕迹，发现并回溯曾经发生的安全事件，从而确认系统是否已被黑客成功入侵、应用系统安全事件入侵路径、遭受利用的安全漏洞信息及造成的安全损失与影响范围。</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预测层面：内部利用安全设备策略优化、制定访问基线；外部利用新一代威胁感知系统威胁情报攻击事件预测；形成内外结合攻击预判，同时将预判结果利用到防御、检测、响应环节形成安全闭环。</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材料：《安全运营季度服务报告》《安全策略变更记录表》；《安全运营季度服务报告》报告内容至少包括漏洞及风险暴露面检查、整改情况、安全设备策略配置情况、风险收敛及策略优化实施情况、安全事件统计及分析、问题总结及优化建议等。</w:t>
            </w:r>
          </w:p>
          <w:p>
            <w:pPr>
              <w:keepNext w:val="0"/>
              <w:keepLines w:val="0"/>
              <w:pageBreakBefore w:val="0"/>
              <w:widowControl/>
              <w:shd w:val="clear" w:color="auto" w:fill="auto"/>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11</w:t>
            </w:r>
            <w:r>
              <w:rPr>
                <w:rFonts w:hint="eastAsia" w:ascii="宋体" w:hAnsi="宋体" w:eastAsia="宋体" w:cs="宋体"/>
                <w:color w:val="auto"/>
                <w:sz w:val="21"/>
                <w:szCs w:val="21"/>
                <w:highlight w:val="none"/>
              </w:rPr>
              <w:t>、安全监测细化分析及处置</w:t>
            </w:r>
            <w:r>
              <w:rPr>
                <w:rFonts w:hint="eastAsia" w:ascii="宋体" w:hAnsi="宋体" w:eastAsia="宋体" w:cs="宋体"/>
                <w:color w:val="auto"/>
                <w:sz w:val="21"/>
                <w:szCs w:val="21"/>
                <w:highlight w:val="none"/>
              </w:rPr>
              <w:tab/>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驻场人员需对采购人所有安全系统及设备的事件进行分析，梳理某一段时间的信息安全情势、安全状况，提出改进建议，总结、提炼态势研判报告。对全区的安全态势、恶意软件使用情况、网页漏洞利用情况、APT事件、服务器类失陷事件和漏洞利用成功事件进行影响分析。</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驻场人员需具备态势感知、IPS、蜜罐及防火墙与网络回溯分析系统告警信息形成联动分析及处置的能力，能分析识别每个安全设备告警的事件（威胁）的来源、影响和重要性，及时发现潜藏在网络中的安全威胁；若出现严重安全事件时</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需组织专业安全服务人员与驻场人员形成团队协作进行分析研判，实现对恶意行为实现快速发现，</w:t>
            </w:r>
            <w:bookmarkStart w:id="83" w:name="OLE_LINK50"/>
            <w:r>
              <w:rPr>
                <w:rFonts w:hint="eastAsia" w:ascii="宋体" w:hAnsi="宋体" w:eastAsia="宋体" w:cs="宋体"/>
                <w:color w:val="auto"/>
                <w:sz w:val="21"/>
                <w:szCs w:val="21"/>
                <w:highlight w:val="none"/>
              </w:rPr>
              <w:t>对采购人受害目标及攻击源头进行精准定位，对入侵途径及攻击者进行的研判与溯源</w:t>
            </w:r>
            <w:bookmarkEnd w:id="83"/>
            <w:r>
              <w:rPr>
                <w:rFonts w:hint="eastAsia" w:ascii="宋体" w:hAnsi="宋体" w:eastAsia="宋体" w:cs="宋体"/>
                <w:color w:val="auto"/>
                <w:sz w:val="21"/>
                <w:szCs w:val="21"/>
                <w:highlight w:val="none"/>
              </w:rPr>
              <w:t>，从源头上解决采购人网络中的安全问题，并最终形成详细的分析研判报告，定期报告给采购人。</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具备同步分享上级主管部门网络安全事件监测分析、研判处置等方面经验，能够排查、整改上级主管部门和网络安全相关部门发布的网络风险问题，以提高</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网络安全事件综合应对能力。</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须在首次递交的响应文件中提供此项内容的承诺函扫描件（格式自拟）。</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签订合同</w:t>
            </w:r>
            <w:r>
              <w:rPr>
                <w:rFonts w:hint="eastAsia" w:ascii="宋体" w:hAnsi="宋体" w:eastAsia="宋体" w:cs="宋体"/>
                <w:color w:val="auto"/>
                <w:sz w:val="21"/>
                <w:szCs w:val="21"/>
                <w:highlight w:val="none"/>
                <w:lang w:val="en-US" w:eastAsia="zh-CN"/>
              </w:rPr>
              <w:t>后</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成交供应商</w:t>
            </w:r>
            <w:r>
              <w:rPr>
                <w:rFonts w:hint="eastAsia" w:ascii="宋体" w:hAnsi="宋体" w:eastAsia="宋体" w:cs="宋体"/>
                <w:color w:val="auto"/>
                <w:sz w:val="21"/>
                <w:szCs w:val="21"/>
                <w:highlight w:val="none"/>
              </w:rPr>
              <w:t>须提供具有同步分享上级主管部门安全处置经验能力的证明材料，若不提供</w:t>
            </w:r>
            <w:r>
              <w:rPr>
                <w:rFonts w:hint="eastAsia" w:ascii="宋体" w:hAnsi="宋体" w:cs="宋体"/>
                <w:color w:val="auto"/>
                <w:sz w:val="21"/>
                <w:szCs w:val="21"/>
                <w:highlight w:val="none"/>
                <w:lang w:eastAsia="zh-CN"/>
              </w:rPr>
              <w:t>采购人</w:t>
            </w:r>
            <w:r>
              <w:rPr>
                <w:rFonts w:hint="eastAsia" w:ascii="宋体" w:hAnsi="宋体" w:eastAsia="宋体" w:cs="宋体"/>
                <w:color w:val="auto"/>
                <w:sz w:val="21"/>
                <w:szCs w:val="21"/>
                <w:highlight w:val="none"/>
              </w:rPr>
              <w:t>不予验收，并追究其相关责任。）</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提供材料：定期提供《安全监测联动分析报告》，每年不少于12次；根据工作实际按需提供网络安全风险情况排查整改的情况汇总表或报告。</w:t>
            </w:r>
          </w:p>
          <w:p>
            <w:pPr>
              <w:keepNext w:val="0"/>
              <w:keepLines w:val="0"/>
              <w:pageBreakBefore w:val="0"/>
              <w:widowControl/>
              <w:shd w:val="clear" w:color="auto" w:fill="auto"/>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、安全咨询服务</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需对采购人的网络安全工作提供咨询服务，配合采购人围绕上级网络安全主管部门的要求，对网络安全工作部署、安全检查、年度安全考核等工作进行详细规划。</w:t>
            </w:r>
          </w:p>
          <w:p>
            <w:pPr>
              <w:keepNext w:val="0"/>
              <w:keepLines w:val="0"/>
              <w:pageBreakBefore w:val="0"/>
              <w:widowControl/>
              <w:shd w:val="clear" w:color="auto" w:fill="auto"/>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、日常技术保障服务</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采购人全区14个地市局安全监测工作，对收集各地市态势感知产生的安全告警事件分析研判，并协助自治区局对各地市安全事件通报，对全区的安全态势、恶意软件使用情况、网页漏洞利用情况、APT事件、服务器类失陷事件和漏洞利用成功事件进行影响分析；出现突发、紧急安全事件时，协助区局做好应急支持工作，大限度地减少信息系统的损失和负面影响。</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以安全专报的形式对区统计局及所辖各市、县（市、区）定期进行网络及数据安全情况通报，内容包括：安全通报文件、漏洞详情、整改建议、其他应当知晓的情况。</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安全问题协助整改，配合自治区局人员根据需要到地市现场进行指导安全问题整改，安全防护墙等设备策略定期检查工作，指导各风险收敛和定期对防火墙策略配置优化、梳理。 </w:t>
            </w:r>
          </w:p>
          <w:p>
            <w:pPr>
              <w:keepNext w:val="0"/>
              <w:keepLines w:val="0"/>
              <w:pageBreakBefore w:val="0"/>
              <w:widowControl/>
              <w:shd w:val="clear" w:color="auto" w:fill="auto"/>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、重要时期安全保障服务</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（1）需在两会、攻防演习等重大活动期间提供保障服务。在安全运营服务工作基础上，一方面加强网络访问控制、应用系统评估与加固等服务；</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资产梳理：有针对性梳理现有重要系统的网络路径、网络拓扑和相关资产信息，整理并确定网络安全专项应急预案。</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风险消除：进行安全自查和整改，对现有主机进行安全自查和安全加固，基础安全自查（包括但不限于配置核查、漏洞扫描、安全机制校验），业务风险分析（包括但不限于潜在风险梳理、风险对抗手法），能够通过安全自查发现的问题，进行整改、加固和完善。</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立体防御：利用现有的监测与分析设备，实时采集网络流量、日志、可疑事件相关信息，确保能够持续对网络攻击进行实时监测，并及时进行响应处置，针对监测中发现的漏洞和弱点，及时进行修补和加固，积极应对，协同进行安全处置。</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溯源分析：通过现有设备日志等信息对攻击行为进行分析，以找到攻击者的源IP地址、攻击服务器IP地址、邮件地址等信息，并对攻击方法、攻击方式、攻击路径和工具等进行分析研判。</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重保后需全面总结防守工作情况，对存在的网络事件从发生到处置结束应有完整的闭环处理流程并作记录。对于期间发现的问题和短板及时进行归纳整改和弥补，总结有效的应对措施和协同处置的规范流程。</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提供材料：包括但不限于重保前《安全检查和加固报告》、重保期间《安全事件分析溯源及处置报告》、重保后《重保防守总结报告》。</w:t>
            </w:r>
          </w:p>
          <w:p>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▲（2）服务应具备攻击诱捕服务能力，达到混淆攻击者目</w:t>
            </w:r>
            <w:r>
              <w:rPr>
                <w:rFonts w:hint="eastAsia" w:ascii="宋体" w:hAnsi="宋体" w:eastAsia="宋体" w:cs="宋体"/>
                <w:color w:val="auto"/>
                <w:sz w:val="21"/>
                <w:szCs w:val="21"/>
                <w:highlight w:val="none"/>
                <w:lang w:eastAsia="zh-CN"/>
              </w:rPr>
              <w:t>标，结合采购人在用</w:t>
            </w:r>
            <w:r>
              <w:rPr>
                <w:rFonts w:hint="eastAsia" w:ascii="宋体" w:hAnsi="宋体" w:eastAsia="宋体" w:cs="宋体"/>
                <w:color w:val="auto"/>
                <w:sz w:val="21"/>
                <w:szCs w:val="21"/>
                <w:highlight w:val="none"/>
              </w:rPr>
              <w:t>攻击诱捕工具建立立体安全防护体系，能够溯源分析研判是</w:t>
            </w:r>
            <w:r>
              <w:rPr>
                <w:rFonts w:hint="eastAsia" w:ascii="宋体" w:hAnsi="宋体" w:eastAsia="宋体" w:cs="宋体"/>
                <w:color w:val="auto"/>
                <w:sz w:val="21"/>
                <w:szCs w:val="21"/>
                <w:highlight w:val="none"/>
                <w:shd w:val="clear" w:color="auto" w:fill="FFFFFF"/>
              </w:rPr>
              <w:t>真人、扫描工具等攻击者，并</w:t>
            </w:r>
            <w:r>
              <w:rPr>
                <w:rFonts w:hint="eastAsia" w:ascii="宋体" w:hAnsi="宋体" w:eastAsia="宋体" w:cs="宋体"/>
                <w:color w:val="auto"/>
                <w:sz w:val="21"/>
                <w:szCs w:val="21"/>
                <w:highlight w:val="none"/>
              </w:rPr>
              <w:t>在攻击者尝试攻击时，进行信息搜集延缓攻击进程，让攻击者不触碰到真实资产，主动暴露攻击者身份、攻击手法、攻击目的等，从而实现攻击隔离。一旦发现真实攻击，立即切断，防止黑客攻击真实业务。攻击诱捕工具须在服务期内放置采购人机房使用。</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服务应支持将上级主管部门的蜜网系统诱捕策略、行业情报、溯源信息等内容同步至本项目采购人，构建本采购人与上级主管部门的欺骗防御体系，做到及时全面刻画有关攻击者的攻击行为，可高度感知内网上下级的渗透活动、病毒扩散等高危事件，争取应急响应和攻击取证的时间。</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须提供有关此项服务的承诺函（承诺函格式自拟，</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须承诺签订合同后十个工作日内实现上下级有关本项要求的信息内容共享，若不能按时完成的，</w:t>
            </w:r>
            <w:r>
              <w:rPr>
                <w:rFonts w:hint="eastAsia" w:ascii="宋体" w:hAnsi="宋体" w:cs="宋体"/>
                <w:color w:val="auto"/>
                <w:sz w:val="21"/>
                <w:szCs w:val="21"/>
                <w:highlight w:val="none"/>
                <w:lang w:eastAsia="zh-CN"/>
              </w:rPr>
              <w:t>采购人</w:t>
            </w:r>
            <w:r>
              <w:rPr>
                <w:rFonts w:hint="eastAsia" w:ascii="宋体" w:hAnsi="宋体" w:eastAsia="宋体" w:cs="宋体"/>
                <w:color w:val="auto"/>
                <w:sz w:val="21"/>
                <w:szCs w:val="21"/>
                <w:highlight w:val="none"/>
              </w:rPr>
              <w:t>不予验收，并追究其相关责任。）</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攻击诱捕工具技术需求详见本</w:t>
            </w:r>
            <w:r>
              <w:rPr>
                <w:rFonts w:hint="eastAsia" w:ascii="宋体" w:hAnsi="宋体" w:eastAsia="宋体" w:cs="宋体"/>
                <w:color w:val="auto"/>
                <w:sz w:val="21"/>
                <w:szCs w:val="21"/>
                <w:highlight w:val="none"/>
                <w:lang w:val="en-US" w:eastAsia="zh-CN"/>
              </w:rPr>
              <w:t>分标</w:t>
            </w:r>
            <w:r>
              <w:rPr>
                <w:rFonts w:hint="eastAsia" w:ascii="宋体" w:hAnsi="宋体" w:eastAsia="宋体" w:cs="宋体"/>
                <w:color w:val="auto"/>
                <w:sz w:val="21"/>
                <w:szCs w:val="21"/>
                <w:highlight w:val="none"/>
              </w:rPr>
              <w:t>附件1。</w:t>
            </w:r>
          </w:p>
          <w:p>
            <w:pPr>
              <w:keepNext w:val="0"/>
              <w:keepLines w:val="0"/>
              <w:pageBreakBefore w:val="0"/>
              <w:widowControl/>
              <w:shd w:val="clear" w:color="auto" w:fill="auto"/>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、安全通报</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根据采购人要求对采购</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单位及所辖各市、县（市、区）系统单位定期进行网络信息安全情况通报，内容包括：安全通报文件、漏洞详情、整改建议、其他应当知晓的情况。</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安全通告服务频率：根据采购人工作需要确定。</w:t>
            </w:r>
          </w:p>
          <w:p>
            <w:pPr>
              <w:keepNext w:val="0"/>
              <w:keepLines w:val="0"/>
              <w:pageBreakBefore w:val="0"/>
              <w:widowControl/>
              <w:shd w:val="clear" w:color="auto" w:fill="auto"/>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、应急处置服务</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在出现突发、紧急安全事件时，提供7×24小时的应急响应服务，协助采购人有效的应急处理，最大限度地减少信息系统的损失和负面影响。</w:t>
            </w:r>
            <w:r>
              <w:rPr>
                <w:rFonts w:hint="eastAsia" w:ascii="宋体" w:hAnsi="宋体" w:eastAsia="宋体" w:cs="宋体"/>
                <w:color w:val="auto"/>
                <w:sz w:val="21"/>
                <w:szCs w:val="21"/>
                <w:highlight w:val="none"/>
                <w:lang w:eastAsia="zh-CN"/>
              </w:rPr>
              <w:t>成交供应商</w:t>
            </w:r>
            <w:r>
              <w:rPr>
                <w:rFonts w:hint="eastAsia" w:ascii="宋体" w:hAnsi="宋体" w:eastAsia="宋体" w:cs="宋体"/>
                <w:color w:val="auto"/>
                <w:sz w:val="21"/>
                <w:szCs w:val="21"/>
                <w:highlight w:val="none"/>
              </w:rPr>
              <w:t>应具备完备的应急体系，应急响应服务应满足1小时到达用户现场，4小时恢复系统运行的服务响应指标。</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提供材料：应急服务完成后提供《应急响应报告》。</w:t>
            </w:r>
          </w:p>
          <w:p>
            <w:pPr>
              <w:keepNext w:val="0"/>
              <w:keepLines w:val="0"/>
              <w:pageBreakBefore w:val="0"/>
              <w:widowControl/>
              <w:shd w:val="clear" w:color="auto" w:fill="auto"/>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z w:val="21"/>
                <w:szCs w:val="21"/>
                <w:highlight w:val="none"/>
              </w:rPr>
            </w:pPr>
            <w:bookmarkStart w:id="84" w:name="OLE_LINK52"/>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、恶意代码快速响应服务</w:t>
            </w:r>
          </w:p>
          <w:bookmarkEnd w:id="84"/>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为全面提升采购人针对网内已知未知的恶意代码快速反应处置能力，保障应用系统运行安全，</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需提供1套恶意代码快速检测系统。</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系统需支持x86架构及各类国产化架构，满足在常规的Windows、Linux及各类国产化操作系统（包括银河麒麟、深度、统信、凝思、中科方德等）中运行。同时需具备使用灵活，无需部署客户端就能进行检测，做到快速检测、阻断处置的能力，对各类终端起到恶意代码防护作用，</w:t>
            </w:r>
            <w:r>
              <w:rPr>
                <w:rFonts w:hint="eastAsia" w:ascii="宋体" w:hAnsi="宋体" w:cs="宋体"/>
                <w:color w:val="auto"/>
                <w:sz w:val="21"/>
                <w:szCs w:val="21"/>
                <w:highlight w:val="none"/>
                <w:lang w:val="en-US" w:eastAsia="zh-CN"/>
              </w:rPr>
              <w:t>成交</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须在</w:t>
            </w:r>
            <w:r>
              <w:rPr>
                <w:rFonts w:hint="eastAsia" w:ascii="宋体" w:hAnsi="宋体" w:cs="宋体"/>
                <w:color w:val="auto"/>
                <w:sz w:val="21"/>
                <w:szCs w:val="21"/>
                <w:highlight w:val="none"/>
                <w:lang w:val="en-US" w:eastAsia="zh-CN"/>
              </w:rPr>
              <w:t>签订合同后提供服务前</w:t>
            </w:r>
            <w:r>
              <w:rPr>
                <w:rFonts w:hint="eastAsia" w:ascii="宋体" w:hAnsi="宋体" w:eastAsia="宋体" w:cs="宋体"/>
                <w:color w:val="auto"/>
                <w:sz w:val="21"/>
                <w:szCs w:val="21"/>
                <w:highlight w:val="none"/>
              </w:rPr>
              <w:t>提供恶意代码检测</w:t>
            </w:r>
            <w:bookmarkStart w:id="85" w:name="OLE_LINK53"/>
            <w:r>
              <w:rPr>
                <w:rFonts w:hint="eastAsia" w:ascii="宋体" w:hAnsi="宋体" w:eastAsia="宋体" w:cs="宋体"/>
                <w:color w:val="auto"/>
                <w:sz w:val="21"/>
                <w:szCs w:val="21"/>
                <w:highlight w:val="none"/>
              </w:rPr>
              <w:t>系统设备商</w:t>
            </w:r>
            <w:bookmarkEnd w:id="85"/>
            <w:r>
              <w:rPr>
                <w:rFonts w:hint="eastAsia" w:ascii="宋体" w:hAnsi="宋体" w:eastAsia="宋体" w:cs="宋体"/>
                <w:color w:val="auto"/>
                <w:sz w:val="21"/>
                <w:szCs w:val="21"/>
                <w:highlight w:val="none"/>
              </w:rPr>
              <w:t>针对本项目恶意样本快速分析及应急响应服务承诺函。</w:t>
            </w:r>
          </w:p>
          <w:p>
            <w:pPr>
              <w:keepNext w:val="0"/>
              <w:keepLines w:val="0"/>
              <w:pageBreakBefore w:val="0"/>
              <w:widowControl/>
              <w:shd w:val="clear" w:color="auto" w:fill="auto"/>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、安全内容服务</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定期提供与采购人工作相关的网络安全材料。提供的材料包括但不限于以下内容，具体根据采购人要求准备：</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（1）网络安全方面：及时更新网络拓扑图；提供每季度中某一月的抗拒绝服务系统、应用防火墙、堡垒主机和入侵检测或入侵防御系统安全分析和处置报告；汇总采购</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单位及所辖各市、县（市、区）系统单位网络接入情况、出入口情况、网络边界安全防护系统、安全审计系统等情况；每个网络边界的访问控制等安全措施的详细说明文档（含安全系统名称、用途、部署位置、厂商名称和型号，及安全系统的策略截图）</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（2）主机安全方面：及时更新服务器及终端台账，包括信创终端和window终端，并统计信创终端和window终端杀毒软件安装比率、感染恶意程序情况等。</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（3）应用安全方面：按季度提供信息系统WEB应用层面、数据库层面、主机服务器层面等安全漏洞检测报告及分析情况以及安全整改工作情况；</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（4）安全管理方面：协助采购人完善安全管理规章制度，配合完成相关制度落实情况；协助采购人完善网络安全应急预案，提供考核年度内的应急演练实施报告及处置情况记录。</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highlight w:val="none"/>
              </w:rPr>
              <w:t>（5）安全监控和审计方面：提供网络安全监控审计情况说明文档（含监控系统、监控对象、监控内容、处置流程等），包括机房环境、网络异常、上网行为、主机、应用系统（直报系统、对外网站、邮件等）、数据库、信息内容、安全运行维护等方面监控情况；提供每季度中某一月的网络安全审计报告（网络审计、主机审计、数据库审计、上网行为审计、安全运维审计等3项及以上），并分析异常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3" w:type="dxa"/>
            <w:vAlign w:val="center"/>
          </w:tcPr>
          <w:p>
            <w:pPr>
              <w:pStyle w:val="23"/>
              <w:spacing w:line="360" w:lineRule="exact"/>
              <w:jc w:val="center"/>
              <w:rPr>
                <w:rFonts w:hint="eastAsia" w:ascii="宋体" w:hAnsi="宋体" w:eastAsia="宋体" w:cs="宋体"/>
                <w:color w:val="auto"/>
                <w:sz w:val="21"/>
                <w:szCs w:val="21"/>
              </w:rPr>
            </w:pPr>
            <w:r>
              <w:rPr>
                <w:rFonts w:hint="eastAsia" w:ascii="宋体" w:hAnsi="宋体" w:eastAsia="宋体" w:cs="宋体"/>
                <w:b/>
                <w:bCs/>
                <w:color w:val="auto"/>
                <w:sz w:val="21"/>
                <w:szCs w:val="21"/>
              </w:rPr>
              <w:t>商务条款</w:t>
            </w:r>
          </w:p>
        </w:tc>
        <w:tc>
          <w:tcPr>
            <w:tcW w:w="9227" w:type="dxa"/>
            <w:gridSpan w:val="4"/>
            <w:vAlign w:val="center"/>
          </w:tcPr>
          <w:p>
            <w:pPr>
              <w:pStyle w:val="23"/>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规范标准：</w:t>
            </w:r>
          </w:p>
          <w:p>
            <w:pPr>
              <w:pStyle w:val="23"/>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采购标的需执行的国家标准、行业标准、地方标准或者其他标准、规范。</w:t>
            </w:r>
          </w:p>
          <w:p>
            <w:pPr>
              <w:pStyle w:val="23"/>
              <w:rPr>
                <w:rFonts w:hint="eastAsia" w:ascii="宋体" w:hAnsi="宋体" w:eastAsia="宋体" w:cs="宋体"/>
                <w:b/>
                <w:bCs/>
                <w:color w:val="auto"/>
                <w:sz w:val="21"/>
                <w:szCs w:val="21"/>
                <w:lang w:val="en-US" w:eastAsia="zh-CN"/>
              </w:rPr>
            </w:pPr>
          </w:p>
          <w:p>
            <w:pPr>
              <w:pStyle w:val="23"/>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服务时间及地点：</w:t>
            </w:r>
          </w:p>
          <w:p>
            <w:pPr>
              <w:pStyle w:val="23"/>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1、服务时间：自签订合同之日起1年。</w:t>
            </w:r>
          </w:p>
          <w:p>
            <w:pPr>
              <w:pStyle w:val="23"/>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2、服务地点：广西区内（采购人指定地点）。</w:t>
            </w:r>
          </w:p>
          <w:p>
            <w:pPr>
              <w:pStyle w:val="23"/>
              <w:rPr>
                <w:rFonts w:hint="eastAsia" w:ascii="宋体" w:hAnsi="宋体" w:eastAsia="宋体" w:cs="宋体"/>
                <w:b/>
                <w:bCs/>
                <w:color w:val="auto"/>
                <w:sz w:val="21"/>
                <w:szCs w:val="21"/>
                <w:lang w:val="en-US" w:eastAsia="zh-CN"/>
              </w:rPr>
            </w:pPr>
          </w:p>
          <w:p>
            <w:pPr>
              <w:pStyle w:val="23"/>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售后服务要求：</w:t>
            </w:r>
          </w:p>
          <w:p>
            <w:pPr>
              <w:pStyle w:val="23"/>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1、免费维护至少1年（自交货并验收合格之日起计）；</w:t>
            </w:r>
          </w:p>
          <w:p>
            <w:pPr>
              <w:pStyle w:val="23"/>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2、为保证采购人深信服态势感知系统、科来网络回溯分析系统、数腾业务连续保护系统等核心设备的功能得以充分发挥，设备价值利用率进一步提高，供应商在成交</w:t>
            </w:r>
            <w:r>
              <w:rPr>
                <w:rFonts w:hint="eastAsia" w:ascii="宋体" w:hAnsi="宋体" w:cs="宋体"/>
                <w:color w:val="auto"/>
                <w:sz w:val="21"/>
                <w:szCs w:val="21"/>
                <w:lang w:val="en-US" w:eastAsia="zh-CN"/>
              </w:rPr>
              <w:t>签订合同后</w:t>
            </w:r>
            <w:r>
              <w:rPr>
                <w:rFonts w:hint="eastAsia" w:ascii="宋体" w:hAnsi="宋体" w:eastAsia="宋体" w:cs="宋体"/>
                <w:color w:val="auto"/>
                <w:sz w:val="21"/>
                <w:szCs w:val="21"/>
                <w:lang w:val="en-US" w:eastAsia="zh-CN"/>
              </w:rPr>
              <w:t>，提供上述</w:t>
            </w:r>
            <w:bookmarkStart w:id="86" w:name="OLE_LINK55"/>
            <w:r>
              <w:rPr>
                <w:rFonts w:hint="eastAsia" w:ascii="宋体" w:hAnsi="宋体" w:eastAsia="宋体" w:cs="宋体"/>
                <w:color w:val="auto"/>
                <w:sz w:val="21"/>
                <w:szCs w:val="21"/>
                <w:lang w:val="en-US" w:eastAsia="zh-CN"/>
              </w:rPr>
              <w:t>厂商</w:t>
            </w:r>
            <w:bookmarkEnd w:id="86"/>
            <w:r>
              <w:rPr>
                <w:rFonts w:hint="eastAsia" w:ascii="宋体" w:hAnsi="宋体" w:eastAsia="宋体" w:cs="宋体"/>
                <w:color w:val="auto"/>
                <w:sz w:val="21"/>
                <w:szCs w:val="21"/>
                <w:lang w:val="en-US" w:eastAsia="zh-CN"/>
              </w:rPr>
              <w:t>针对本项目出具的《专项服务承诺函》，明确承诺为采购人建立专属技术服务通道、提供7×24小时应急响应支持及定期设备效能优化服务。若不提供视为无效磋商，由供应商承担相应法律责任。</w:t>
            </w:r>
          </w:p>
          <w:p>
            <w:pPr>
              <w:pStyle w:val="23"/>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3、能7×24通过远程、上门服务、电话、E-mail等方式为用户提供完善的售前和售后技术咨询服务；</w:t>
            </w:r>
          </w:p>
          <w:p>
            <w:pPr>
              <w:pStyle w:val="23"/>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4、接到故障通知，必要时成交供应商的认证工程师3小时内到达现场处理。</w:t>
            </w:r>
          </w:p>
          <w:p>
            <w:pPr>
              <w:pStyle w:val="23"/>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5、免费对用户进行使用前培训和维护培训，系统使用培训。</w:t>
            </w:r>
          </w:p>
          <w:p>
            <w:pPr>
              <w:pStyle w:val="23"/>
              <w:rPr>
                <w:rFonts w:hint="eastAsia" w:ascii="宋体" w:hAnsi="宋体" w:eastAsia="宋体" w:cs="宋体"/>
                <w:color w:val="auto"/>
                <w:sz w:val="21"/>
                <w:szCs w:val="21"/>
                <w:lang w:val="en-US" w:eastAsia="zh-CN"/>
              </w:rPr>
            </w:pPr>
          </w:p>
          <w:p>
            <w:pPr>
              <w:pStyle w:val="23"/>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付款条件：</w:t>
            </w:r>
          </w:p>
          <w:p>
            <w:pPr>
              <w:pStyle w:val="23"/>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ab/>
            </w:r>
            <w:r>
              <w:rPr>
                <w:rFonts w:hint="eastAsia" w:ascii="宋体" w:hAnsi="宋体" w:eastAsia="宋体" w:cs="宋体"/>
                <w:color w:val="auto"/>
                <w:sz w:val="21"/>
                <w:szCs w:val="21"/>
                <w:lang w:val="en-US" w:eastAsia="zh-CN"/>
              </w:rPr>
              <w:t>在合同签订后10个工作日内，成交供应商向采购人提交</w:t>
            </w:r>
            <w:bookmarkStart w:id="87" w:name="OLE_LINK56"/>
            <w:r>
              <w:rPr>
                <w:rFonts w:hint="eastAsia" w:ascii="宋体" w:hAnsi="宋体" w:eastAsia="宋体" w:cs="宋体"/>
                <w:color w:val="auto"/>
                <w:sz w:val="21"/>
                <w:szCs w:val="21"/>
                <w:lang w:val="en-US" w:eastAsia="zh-CN"/>
              </w:rPr>
              <w:t>初步工作方案</w:t>
            </w:r>
            <w:bookmarkEnd w:id="87"/>
            <w:r>
              <w:rPr>
                <w:rFonts w:hint="eastAsia" w:ascii="宋体" w:hAnsi="宋体" w:eastAsia="宋体" w:cs="宋体"/>
                <w:color w:val="auto"/>
                <w:sz w:val="21"/>
                <w:szCs w:val="21"/>
                <w:lang w:val="en-US" w:eastAsia="zh-CN"/>
              </w:rPr>
              <w:t>。采购人确认工作方案后，向成交供应商支付合同价款的70%。余款由采购人视工作开展、验收情况及预算执行情况支付（验收工作如需外聘专家，专家评审费由成交供应商承担）。</w:t>
            </w:r>
          </w:p>
          <w:p>
            <w:pPr>
              <w:pStyle w:val="23"/>
              <w:rPr>
                <w:rFonts w:hint="eastAsia" w:ascii="宋体" w:hAnsi="宋体" w:eastAsia="宋体" w:cs="宋体"/>
                <w:color w:val="auto"/>
                <w:sz w:val="21"/>
                <w:szCs w:val="21"/>
                <w:lang w:val="en-US" w:eastAsia="zh-CN"/>
              </w:rPr>
            </w:pPr>
          </w:p>
          <w:p>
            <w:pPr>
              <w:pStyle w:val="23"/>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其他要求：</w:t>
            </w:r>
          </w:p>
          <w:p>
            <w:pPr>
              <w:pStyle w:val="23"/>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一、总体要求</w:t>
            </w:r>
          </w:p>
          <w:p>
            <w:pPr>
              <w:pStyle w:val="23"/>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1、供应商可根据项目要求，在响应文件中提出项目设计方案、实施方案（应包括人员安排、进度安排等内容）</w:t>
            </w:r>
          </w:p>
          <w:p>
            <w:pPr>
              <w:pStyle w:val="23"/>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二、验收要求及标准</w:t>
            </w:r>
          </w:p>
          <w:p>
            <w:pPr>
              <w:pStyle w:val="23"/>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1、根据采购需求的要求进行验收。</w:t>
            </w:r>
          </w:p>
          <w:p>
            <w:pPr>
              <w:pStyle w:val="23"/>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三、其它</w:t>
            </w:r>
          </w:p>
          <w:p>
            <w:pPr>
              <w:pStyle w:val="23"/>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1、报价必须含以下部分，包括：</w:t>
            </w:r>
          </w:p>
          <w:p>
            <w:pPr>
              <w:pStyle w:val="23"/>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（1）服务的价格；</w:t>
            </w:r>
          </w:p>
          <w:p>
            <w:pPr>
              <w:pStyle w:val="23"/>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（2）必要的保险费用和各项税金；</w:t>
            </w:r>
          </w:p>
          <w:p>
            <w:pPr>
              <w:pStyle w:val="23"/>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（3）其他[如运输、装卸、安装、调试、培训、技术支持、售后服务、更新升级等费用。</w:t>
            </w:r>
          </w:p>
        </w:tc>
      </w:tr>
      <w:bookmarkEnd w:id="78"/>
    </w:tbl>
    <w:p>
      <w:pPr>
        <w:spacing w:line="240" w:lineRule="auto"/>
        <w:rPr>
          <w:rFonts w:hint="eastAsia" w:ascii="宋体" w:hAnsi="宋体" w:eastAsia="宋体" w:cs="宋体"/>
          <w:color w:val="auto"/>
          <w:sz w:val="21"/>
          <w:szCs w:val="21"/>
        </w:rPr>
      </w:pPr>
    </w:p>
    <w:p>
      <w:pPr>
        <w:widowControl w:val="0"/>
        <w:shd w:val="clear" w:color="auto" w:fill="auto"/>
        <w:spacing w:line="380" w:lineRule="exact"/>
        <w:jc w:val="left"/>
        <w:rPr>
          <w:rFonts w:hint="eastAsia" w:ascii="宋体" w:hAnsi="宋体" w:eastAsia="宋体" w:cs="宋体"/>
          <w:b/>
          <w:bCs/>
          <w:color w:val="auto"/>
          <w:kern w:val="2"/>
          <w:sz w:val="28"/>
          <w:szCs w:val="28"/>
          <w:highlight w:val="none"/>
          <w:lang w:val="en-US" w:eastAsia="zh-CN" w:bidi="ar-SA"/>
        </w:rPr>
      </w:pPr>
    </w:p>
    <w:p>
      <w:pPr>
        <w:widowControl w:val="0"/>
        <w:shd w:val="clear" w:color="auto" w:fill="auto"/>
        <w:spacing w:line="380" w:lineRule="exact"/>
        <w:jc w:val="left"/>
        <w:rPr>
          <w:rFonts w:hint="eastAsia" w:ascii="宋体" w:hAnsi="宋体" w:eastAsia="宋体" w:cs="宋体"/>
          <w:b/>
          <w:bCs/>
          <w:color w:val="auto"/>
          <w:kern w:val="2"/>
          <w:sz w:val="28"/>
          <w:szCs w:val="28"/>
          <w:highlight w:val="none"/>
          <w:lang w:val="en-US" w:eastAsia="zh-CN" w:bidi="ar-SA"/>
        </w:rPr>
      </w:pPr>
    </w:p>
    <w:p>
      <w:pPr>
        <w:widowControl w:val="0"/>
        <w:shd w:val="clear" w:color="auto" w:fill="auto"/>
        <w:spacing w:line="380" w:lineRule="exact"/>
        <w:jc w:val="left"/>
        <w:rPr>
          <w:rFonts w:ascii="Calibri" w:hAnsi="Calibri" w:eastAsia="宋体" w:cs="Times New Roman"/>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分标3 附件1：攻击诱捕工具技术需求</w:t>
      </w:r>
    </w:p>
    <w:tbl>
      <w:tblPr>
        <w:tblStyle w:val="32"/>
        <w:tblW w:w="94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1184"/>
        <w:gridCol w:w="7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80" w:lineRule="exact"/>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1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80" w:lineRule="exact"/>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指标名称</w:t>
            </w:r>
          </w:p>
        </w:tc>
        <w:tc>
          <w:tcPr>
            <w:tcW w:w="76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80" w:lineRule="exact"/>
              <w:jc w:val="center"/>
              <w:textAlignment w:val="auto"/>
              <w:rPr>
                <w:rFonts w:hint="eastAsia" w:ascii="宋体" w:hAnsi="宋体" w:eastAsia="宋体" w:cs="宋体"/>
                <w:b/>
                <w:color w:val="auto"/>
                <w:sz w:val="21"/>
                <w:szCs w:val="21"/>
                <w:highlight w:val="none"/>
              </w:rPr>
            </w:pPr>
            <w:bookmarkStart w:id="88" w:name="OLE_LINK46"/>
            <w:r>
              <w:rPr>
                <w:rFonts w:hint="eastAsia" w:ascii="宋体" w:hAnsi="宋体" w:eastAsia="宋体" w:cs="宋体"/>
                <w:b/>
                <w:color w:val="auto"/>
                <w:sz w:val="21"/>
                <w:szCs w:val="21"/>
                <w:highlight w:val="none"/>
              </w:rPr>
              <w:t>技术要求</w:t>
            </w:r>
            <w:bookmarkEnd w:id="8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1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安全要求</w:t>
            </w:r>
          </w:p>
        </w:tc>
        <w:tc>
          <w:tcPr>
            <w:tcW w:w="76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产品完全基于KVM+docker架构，并在访问策略、进程、流量等方面采取严格的技术管控措施防止攻击逃逸，并且具备逃逸告警功能。（</w:t>
            </w:r>
            <w:r>
              <w:rPr>
                <w:rFonts w:hint="eastAsia" w:ascii="宋体" w:hAnsi="宋体" w:cs="宋体"/>
                <w:color w:val="auto"/>
                <w:sz w:val="21"/>
                <w:szCs w:val="21"/>
                <w:highlight w:val="none"/>
                <w:lang w:eastAsia="zh-CN"/>
              </w:rPr>
              <w:t>首次响应文件</w:t>
            </w:r>
            <w:r>
              <w:rPr>
                <w:rFonts w:hint="eastAsia" w:ascii="宋体" w:hAnsi="宋体" w:eastAsia="宋体" w:cs="宋体"/>
                <w:color w:val="auto"/>
                <w:sz w:val="21"/>
                <w:szCs w:val="21"/>
                <w:highlight w:val="none"/>
              </w:rPr>
              <w:t>中提供产品界面功能截图证明材料）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1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仿真数量</w:t>
            </w:r>
          </w:p>
        </w:tc>
        <w:tc>
          <w:tcPr>
            <w:tcW w:w="76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沙箱数量：≥4个同时在线；伪装代理：≥16个同时在线；诱饵：种类≥5种，数量不限。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184"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沙箱仿真模块</w:t>
            </w:r>
          </w:p>
        </w:tc>
        <w:tc>
          <w:tcPr>
            <w:tcW w:w="76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应用服务类：支持wiki、bbs、discuz、ecshop、espcms、websphere、phpmyadmin、confluence、hadoop、crm、oa、tomcat、mailbox、jboss、zabbix、struts2、jenkins、weblogic、vpn、joomla等不少于20种高交互应用服务类沙箱。（</w:t>
            </w:r>
            <w:r>
              <w:rPr>
                <w:rFonts w:hint="eastAsia" w:ascii="宋体" w:hAnsi="宋体" w:cs="宋体"/>
                <w:color w:val="auto"/>
                <w:sz w:val="21"/>
                <w:szCs w:val="21"/>
                <w:highlight w:val="none"/>
                <w:lang w:eastAsia="zh-CN"/>
              </w:rPr>
              <w:t>首次响应文件</w:t>
            </w:r>
            <w:r>
              <w:rPr>
                <w:rFonts w:hint="eastAsia" w:ascii="宋体" w:hAnsi="宋体" w:eastAsia="宋体" w:cs="宋体"/>
                <w:color w:val="auto"/>
                <w:sz w:val="21"/>
                <w:szCs w:val="21"/>
                <w:highlight w:val="none"/>
              </w:rPr>
              <w:t>中提供产品界面功能截图证明材料）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rPr>
            </w:pPr>
          </w:p>
        </w:tc>
        <w:tc>
          <w:tcPr>
            <w:tcW w:w="118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rPr>
            </w:pPr>
          </w:p>
        </w:tc>
        <w:tc>
          <w:tcPr>
            <w:tcW w:w="76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系统服务类：支持ssh、redis、mysql、ftp、samba、memcahed、sqlserver、portcheat、momgoob、telnet、mysqlcheat、postgresql、ADB等不少于13种高交互系统服务沙箱。（</w:t>
            </w:r>
            <w:r>
              <w:rPr>
                <w:rFonts w:hint="eastAsia" w:ascii="宋体" w:hAnsi="宋体" w:cs="宋体"/>
                <w:color w:val="auto"/>
                <w:sz w:val="21"/>
                <w:szCs w:val="21"/>
                <w:highlight w:val="none"/>
                <w:lang w:eastAsia="zh-CN"/>
              </w:rPr>
              <w:t>首次响应文件</w:t>
            </w:r>
            <w:r>
              <w:rPr>
                <w:rFonts w:hint="eastAsia" w:ascii="宋体" w:hAnsi="宋体" w:eastAsia="宋体" w:cs="宋体"/>
                <w:color w:val="auto"/>
                <w:sz w:val="21"/>
                <w:szCs w:val="21"/>
                <w:highlight w:val="none"/>
              </w:rPr>
              <w:t>中提供产品界面功能截图证明材料）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rPr>
            </w:pPr>
          </w:p>
        </w:tc>
        <w:tc>
          <w:tcPr>
            <w:tcW w:w="118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rPr>
            </w:pPr>
          </w:p>
        </w:tc>
        <w:tc>
          <w:tcPr>
            <w:tcW w:w="76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数据仿真：新建沙箱时，向沙箱中注入脱敏数据，随机替换web服务的模板，增加沙箱的真实性。（</w:t>
            </w:r>
            <w:r>
              <w:rPr>
                <w:rFonts w:hint="eastAsia" w:ascii="宋体" w:hAnsi="宋体" w:cs="宋体"/>
                <w:color w:val="auto"/>
                <w:sz w:val="21"/>
                <w:szCs w:val="21"/>
                <w:highlight w:val="none"/>
                <w:lang w:eastAsia="zh-CN"/>
              </w:rPr>
              <w:t>首次响应文件</w:t>
            </w:r>
            <w:r>
              <w:rPr>
                <w:rFonts w:hint="eastAsia" w:ascii="宋体" w:hAnsi="宋体" w:eastAsia="宋体" w:cs="宋体"/>
                <w:color w:val="auto"/>
                <w:sz w:val="21"/>
                <w:szCs w:val="21"/>
                <w:highlight w:val="none"/>
              </w:rPr>
              <w:t>中提供产品界面功能截图证明材料）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rPr>
            </w:pPr>
          </w:p>
        </w:tc>
        <w:tc>
          <w:tcPr>
            <w:tcW w:w="118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rPr>
            </w:pPr>
          </w:p>
        </w:tc>
        <w:tc>
          <w:tcPr>
            <w:tcW w:w="76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web沙箱联动：支持为web沙箱配置敏感目录，在该目录下随机生成普通配置文件、数据库配置文件、木马文件等；文件内包含其他沙箱的IP地址、用户名、密码等敏感信息。（</w:t>
            </w:r>
            <w:r>
              <w:rPr>
                <w:rFonts w:hint="eastAsia" w:ascii="宋体" w:hAnsi="宋体" w:cs="宋体"/>
                <w:color w:val="auto"/>
                <w:sz w:val="21"/>
                <w:szCs w:val="21"/>
                <w:highlight w:val="none"/>
                <w:lang w:eastAsia="zh-CN"/>
              </w:rPr>
              <w:t>首次响应文件</w:t>
            </w:r>
            <w:r>
              <w:rPr>
                <w:rFonts w:hint="eastAsia" w:ascii="宋体" w:hAnsi="宋体" w:eastAsia="宋体" w:cs="宋体"/>
                <w:color w:val="auto"/>
                <w:sz w:val="21"/>
                <w:szCs w:val="21"/>
                <w:highlight w:val="none"/>
              </w:rPr>
              <w:t>中提供产品界面功能截图证明材料）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65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rPr>
            </w:pPr>
          </w:p>
        </w:tc>
        <w:tc>
          <w:tcPr>
            <w:tcW w:w="118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rPr>
            </w:pPr>
          </w:p>
        </w:tc>
        <w:tc>
          <w:tcPr>
            <w:tcW w:w="7641"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沙箱支持调节行为灵敏度，开启或关闭流量阻断；支持自定义邮件告警级别；支持开启关闭溯源能力，自定义位置插入溯源组件。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1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诱饵感知模块</w:t>
            </w:r>
          </w:p>
        </w:tc>
        <w:tc>
          <w:tcPr>
            <w:tcW w:w="7641"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平台反制：支持制作Windows、Mac、Android反制木马，用户自定义上传反制程序并关联沙箱，伪造敏感信息，诱骗攻击者进行下载；其中Windows反制支持docx/doc/rtf/exe等4种类型；Mac反制支持dmg、pkg和app文件等3种类型；Android反制支持apk类型（</w:t>
            </w:r>
            <w:r>
              <w:rPr>
                <w:rFonts w:hint="eastAsia" w:ascii="宋体" w:hAnsi="宋体" w:cs="宋体"/>
                <w:color w:val="auto"/>
                <w:sz w:val="21"/>
                <w:szCs w:val="21"/>
                <w:highlight w:val="none"/>
                <w:lang w:eastAsia="zh-CN"/>
              </w:rPr>
              <w:t>首次响应文件</w:t>
            </w:r>
            <w:r>
              <w:rPr>
                <w:rFonts w:hint="eastAsia" w:ascii="宋体" w:hAnsi="宋体" w:eastAsia="宋体" w:cs="宋体"/>
                <w:color w:val="auto"/>
                <w:sz w:val="21"/>
                <w:szCs w:val="21"/>
                <w:highlight w:val="none"/>
              </w:rPr>
              <w:t>中提供产品界面功能截图证明材料）</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漏洞反制：支持git泄露反制、svn泄露反制、漏洞扫描工具反制、浏览器反制、网络代理工具反制、抓包工具反制、git clone反制等，攻击者无需下载并打开文件，访问沙箱或执行命令后即可在蜜罐系统上线。（</w:t>
            </w:r>
            <w:r>
              <w:rPr>
                <w:rFonts w:hint="eastAsia" w:ascii="宋体" w:hAnsi="宋体" w:cs="宋体"/>
                <w:color w:val="auto"/>
                <w:sz w:val="21"/>
                <w:szCs w:val="21"/>
                <w:highlight w:val="none"/>
                <w:lang w:eastAsia="zh-CN"/>
              </w:rPr>
              <w:t>首次响应文件</w:t>
            </w:r>
            <w:r>
              <w:rPr>
                <w:rFonts w:hint="eastAsia" w:ascii="宋体" w:hAnsi="宋体" w:eastAsia="宋体" w:cs="宋体"/>
                <w:color w:val="auto"/>
                <w:sz w:val="21"/>
                <w:szCs w:val="21"/>
                <w:highlight w:val="none"/>
              </w:rPr>
              <w:t>中提供产品界面功能截图证明材料）</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办公网诱饵：支持PC诱饵发布功能，通过agent在PC上发布与沙箱相关的虚假信息，包括网页浏览记录、网站登录密码、RDP连接记录、登录域凭据等。</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文件诱饵：支持对已有文件word/excel/ppt加工，散布虚假信息到内网各处，感知攻击者访问行为。</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邮件诱饵：支持向特定邮箱发送诱饵，感知邮件入侵行为。</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互联网诱饵：支持Github与Gitee代码伪装服务，自动化发布代码项目至GitHub与Gitee网站。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184"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智能蜜网模块</w:t>
            </w:r>
          </w:p>
        </w:tc>
        <w:tc>
          <w:tcPr>
            <w:tcW w:w="76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一键探测：支持一键感知探针感知节点所在网络的资产信息，分析当前网络状态。（</w:t>
            </w:r>
            <w:r>
              <w:rPr>
                <w:rFonts w:hint="eastAsia" w:ascii="宋体" w:hAnsi="宋体" w:cs="宋体"/>
                <w:color w:val="auto"/>
                <w:sz w:val="21"/>
                <w:szCs w:val="21"/>
                <w:highlight w:val="none"/>
                <w:lang w:eastAsia="zh-CN"/>
              </w:rPr>
              <w:t>首次响应文件</w:t>
            </w:r>
            <w:r>
              <w:rPr>
                <w:rFonts w:hint="eastAsia" w:ascii="宋体" w:hAnsi="宋体" w:eastAsia="宋体" w:cs="宋体"/>
                <w:color w:val="auto"/>
                <w:sz w:val="21"/>
                <w:szCs w:val="21"/>
                <w:highlight w:val="none"/>
              </w:rPr>
              <w:t>中提供产品界面功能截图证明材料）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rPr>
            </w:pPr>
          </w:p>
        </w:tc>
        <w:tc>
          <w:tcPr>
            <w:tcW w:w="118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rPr>
            </w:pPr>
          </w:p>
        </w:tc>
        <w:tc>
          <w:tcPr>
            <w:tcW w:w="76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80" w:lineRule="exact"/>
              <w:jc w:val="left"/>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一键关联：基于探测结果和智能算法，支持蜜网一键化部署，将探针节点自动关联至对应沙箱，快速形成欺骗蜜网，简化布防操作。（</w:t>
            </w:r>
            <w:r>
              <w:rPr>
                <w:rFonts w:hint="eastAsia" w:ascii="宋体" w:hAnsi="宋体" w:cs="宋体"/>
                <w:color w:val="auto"/>
                <w:sz w:val="21"/>
                <w:szCs w:val="21"/>
                <w:highlight w:val="none"/>
                <w:lang w:eastAsia="zh-CN"/>
              </w:rPr>
              <w:t>首次响应文件</w:t>
            </w:r>
            <w:r>
              <w:rPr>
                <w:rFonts w:hint="eastAsia" w:ascii="宋体" w:hAnsi="宋体" w:eastAsia="宋体" w:cs="宋体"/>
                <w:color w:val="auto"/>
                <w:sz w:val="21"/>
                <w:szCs w:val="21"/>
                <w:highlight w:val="none"/>
              </w:rPr>
              <w:t>中提供产品界面功能截图证明材料）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1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溯源反制模块</w:t>
            </w:r>
          </w:p>
        </w:tc>
        <w:tc>
          <w:tcPr>
            <w:tcW w:w="76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支持对黑客溯源功能，形成黑客溯源/黑客画像页面，溯源真人白名单标记，对溯源结果按照国内/国外/内网分类并展示，可提供对黑客备注功能。</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支持分析黑客的身份信息和设备指纹信息，包括IP地址、社交网站真人身份、设备指纹、操作系统、浏览器等，支持不少于6种社交ID溯源能力。（</w:t>
            </w:r>
            <w:r>
              <w:rPr>
                <w:rFonts w:hint="eastAsia" w:ascii="宋体" w:hAnsi="宋体" w:cs="宋体"/>
                <w:color w:val="auto"/>
                <w:sz w:val="21"/>
                <w:szCs w:val="21"/>
                <w:highlight w:val="none"/>
                <w:lang w:eastAsia="zh-CN"/>
              </w:rPr>
              <w:t>首次响应文件</w:t>
            </w:r>
            <w:r>
              <w:rPr>
                <w:rFonts w:hint="eastAsia" w:ascii="宋体" w:hAnsi="宋体" w:eastAsia="宋体" w:cs="宋体"/>
                <w:color w:val="auto"/>
                <w:sz w:val="21"/>
                <w:szCs w:val="21"/>
                <w:highlight w:val="none"/>
              </w:rPr>
              <w:t>中提供产品界面功能截图证明材料）</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黑客画像支持展示攻击者身份、备注、源IP、内网/公网IP、浏览器信息，黑客轨迹聚合该黑客所有攻击事件，支持攻击源探测，探测攻击源的服务与端口。</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备windows攻击反制功能，可以反向控制攻击者设备，获取对方设备信息，进行交互式反制操作；可获取设备配置信息、网卡信息、IP信息、用户信息、进程信息、系统信息、桌面文件等；支持命令执行、文件上传下载、电脑截屏、摄像头拍照等操作，支持获取qq、wechat、手机号、Git、Email、iphone设备信息、浏览器保存的URL及对应的用户名等应用的用户ID、cobaltstrike、xshell、navicat等关键数据，便于身份溯源。（</w:t>
            </w:r>
            <w:r>
              <w:rPr>
                <w:rFonts w:hint="eastAsia" w:ascii="宋体" w:hAnsi="宋体" w:cs="宋体"/>
                <w:color w:val="auto"/>
                <w:sz w:val="21"/>
                <w:szCs w:val="21"/>
                <w:highlight w:val="none"/>
                <w:lang w:eastAsia="zh-CN"/>
              </w:rPr>
              <w:t>首次响应文件</w:t>
            </w:r>
            <w:r>
              <w:rPr>
                <w:rFonts w:hint="eastAsia" w:ascii="宋体" w:hAnsi="宋体" w:eastAsia="宋体" w:cs="宋体"/>
                <w:color w:val="auto"/>
                <w:sz w:val="21"/>
                <w:szCs w:val="21"/>
                <w:highlight w:val="none"/>
              </w:rPr>
              <w:t>中提供产品界面功能截图证明材料）</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具备Macos攻击反制功能</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支持获取系统版本、内核版本、计算机名称、用户名、设备序列号、应用名称、应用版本、浏览器URL和用户名、微信账号、手机号、钉钉手机号、邮箱等关键信息; 支持命令执行、文件上传下载等操作。（</w:t>
            </w:r>
            <w:r>
              <w:rPr>
                <w:rFonts w:hint="eastAsia" w:ascii="宋体" w:hAnsi="宋体" w:cs="宋体"/>
                <w:color w:val="auto"/>
                <w:sz w:val="21"/>
                <w:szCs w:val="21"/>
                <w:highlight w:val="none"/>
                <w:lang w:eastAsia="zh-CN"/>
              </w:rPr>
              <w:t>首次响应文件</w:t>
            </w:r>
            <w:r>
              <w:rPr>
                <w:rFonts w:hint="eastAsia" w:ascii="宋体" w:hAnsi="宋体" w:eastAsia="宋体" w:cs="宋体"/>
                <w:color w:val="auto"/>
                <w:sz w:val="21"/>
                <w:szCs w:val="21"/>
                <w:highlight w:val="none"/>
              </w:rPr>
              <w:t>中提供产品界面功能截图证明材料）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11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行为记录模块</w:t>
            </w:r>
          </w:p>
        </w:tc>
        <w:tc>
          <w:tcPr>
            <w:tcW w:w="7641"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对于Windows沙箱的远程RDP攻击，支持录制攻击过程的视频，可回放攻击过程；</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对于SSH沙箱的攻击，支持以视频的形式回放用户的命令行操作记录。</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支持记录攻击者所有攻击行为，通过时间线展示，并可从攻击源、攻击手法、攻击资产、隔离沙箱、攻击类型、时间线等维度进行筛选查看。</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支持记录各类Web应用与系统服务登录爆破，支持识别记录Web攻击类型，支持识别僵木蠕攻击、漏洞利用手法。</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支持将不同攻击者对不同沙箱的攻击单独归并，分别展示为事件，可通过攻击事件回溯查看该事件所有攻击行为。</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支持记录攻击者上传的任意文件，并分析其文件类型、MD5等判断其是否为恶意木马。</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支持记录攻击者所有行为，并能识别真人与扫描工具。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11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服务要求</w:t>
            </w:r>
          </w:p>
        </w:tc>
        <w:tc>
          <w:tcPr>
            <w:tcW w:w="7641"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w:t>
            </w:r>
            <w:r>
              <w:rPr>
                <w:rFonts w:hint="eastAsia" w:ascii="宋体" w:hAnsi="宋体" w:cs="宋体"/>
                <w:color w:val="auto"/>
                <w:sz w:val="21"/>
                <w:szCs w:val="21"/>
                <w:highlight w:val="none"/>
                <w:lang w:eastAsia="zh-CN"/>
              </w:rPr>
              <w:t>采购人</w:t>
            </w:r>
            <w:r>
              <w:rPr>
                <w:rFonts w:hint="eastAsia" w:ascii="宋体" w:hAnsi="宋体" w:eastAsia="宋体" w:cs="宋体"/>
                <w:color w:val="auto"/>
                <w:sz w:val="21"/>
                <w:szCs w:val="21"/>
                <w:highlight w:val="none"/>
              </w:rPr>
              <w:t>实际需要，提供以下专业服务：</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▲1）现场服务：提供每年12次分析服务（每月1次）；</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2）方案定制服务：通过网络环境调研，对蜜罐设备的部署位置、启用沙箱数量及种类、沙箱的仿真和交互程度等进行定制和优化，最大化发挥现有蜜罐设备的能力和价值。</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3）动态运营服务：根据日常运营和实战攻防的不同阶段，抛出不同的蜜饵和仿真业务，通过动态变化的情报与反情报体系，保持蜜网的新鲜感和吸引力。</w:t>
            </w:r>
          </w:p>
          <w:p>
            <w:pPr>
              <w:keepNext w:val="0"/>
              <w:keepLines w:val="0"/>
              <w:pageBreakBefore w:val="0"/>
              <w:widowControl w:val="0"/>
              <w:shd w:val="clear" w:color="auto" w:fill="auto"/>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后，采购人保留要求对设备性能及功能进行测试的权利，测试结果如果不满足本次</w:t>
            </w:r>
            <w:r>
              <w:rPr>
                <w:rFonts w:hint="eastAsia" w:ascii="宋体" w:hAnsi="宋体" w:cs="宋体"/>
                <w:color w:val="auto"/>
                <w:sz w:val="21"/>
                <w:szCs w:val="21"/>
                <w:highlight w:val="none"/>
                <w:lang w:eastAsia="zh-CN"/>
              </w:rPr>
              <w:t>采购要求</w:t>
            </w:r>
            <w:r>
              <w:rPr>
                <w:rFonts w:hint="eastAsia" w:ascii="宋体" w:hAnsi="宋体" w:eastAsia="宋体" w:cs="宋体"/>
                <w:color w:val="auto"/>
                <w:sz w:val="21"/>
                <w:szCs w:val="21"/>
                <w:highlight w:val="none"/>
              </w:rPr>
              <w:t>，所投标产品视为无效</w:t>
            </w:r>
            <w:r>
              <w:rPr>
                <w:rFonts w:hint="eastAsia" w:ascii="宋体" w:hAnsi="宋体" w:cs="宋体"/>
                <w:color w:val="auto"/>
                <w:sz w:val="21"/>
                <w:szCs w:val="21"/>
                <w:highlight w:val="none"/>
                <w:lang w:eastAsia="zh-CN"/>
              </w:rPr>
              <w:t>采购人</w:t>
            </w:r>
            <w:r>
              <w:rPr>
                <w:rFonts w:hint="eastAsia" w:ascii="宋体" w:hAnsi="宋体" w:eastAsia="宋体" w:cs="宋体"/>
                <w:color w:val="auto"/>
                <w:sz w:val="21"/>
                <w:szCs w:val="21"/>
                <w:highlight w:val="none"/>
              </w:rPr>
              <w:t>不予验收，并追究</w:t>
            </w:r>
            <w:r>
              <w:rPr>
                <w:rFonts w:hint="eastAsia" w:ascii="宋体" w:hAnsi="宋体" w:cs="宋体"/>
                <w:color w:val="auto"/>
                <w:sz w:val="21"/>
                <w:szCs w:val="21"/>
                <w:highlight w:val="none"/>
                <w:lang w:val="en-US" w:eastAsia="zh-CN"/>
              </w:rPr>
              <w:t>成交</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相应法律责任。</w:t>
            </w:r>
          </w:p>
          <w:p>
            <w:pPr>
              <w:keepNext w:val="0"/>
              <w:keepLines w:val="0"/>
              <w:pageBreakBefore w:val="0"/>
              <w:widowControl w:val="0"/>
              <w:shd w:val="clear" w:color="auto" w:fill="auto"/>
              <w:tabs>
                <w:tab w:val="left" w:pos="567"/>
              </w:tabs>
              <w:kinsoku/>
              <w:wordWrap/>
              <w:overflowPunct/>
              <w:topLinePunct w:val="0"/>
              <w:autoSpaceDE/>
              <w:autoSpaceDN/>
              <w:bidi w:val="0"/>
              <w:adjustRightInd/>
              <w:snapToGrid/>
              <w:spacing w:before="0" w:after="0" w:line="380" w:lineRule="exact"/>
              <w:ind w:firstLine="0" w:firstLineChars="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以上服务内容，供应商须提供此项服务承诺函（格式自拟）</w:t>
            </w:r>
          </w:p>
        </w:tc>
      </w:tr>
    </w:tbl>
    <w:p/>
    <w:p>
      <w:pPr>
        <w:rPr>
          <w:rFonts w:hint="eastAsia" w:ascii="宋体" w:hAnsi="宋体" w:cs="宋体"/>
          <w:i/>
          <w:iCs/>
          <w:color w:val="auto"/>
          <w:u w:val="single"/>
        </w:rPr>
      </w:pPr>
    </w:p>
    <w:p>
      <w:pPr>
        <w:rPr>
          <w:rFonts w:hint="eastAsia" w:ascii="宋体" w:hAnsi="宋体" w:cs="宋体"/>
          <w:i/>
          <w:iCs/>
          <w:color w:val="auto"/>
          <w:u w:val="single"/>
        </w:rPr>
      </w:pPr>
      <w:r>
        <w:rPr>
          <w:rFonts w:hint="eastAsia" w:ascii="宋体" w:hAnsi="宋体" w:cs="宋体"/>
          <w:i/>
          <w:iCs/>
          <w:color w:val="auto"/>
          <w:u w:val="single"/>
        </w:rPr>
        <w:br w:type="page"/>
      </w:r>
    </w:p>
    <w:p>
      <w:pPr>
        <w:pStyle w:val="13"/>
        <w:spacing w:line="450" w:lineRule="exact"/>
        <w:rPr>
          <w:rFonts w:hint="eastAsia" w:ascii="宋体" w:hAnsi="宋体" w:cs="宋体"/>
          <w:i/>
          <w:iCs/>
          <w:color w:val="auto"/>
          <w:u w:val="single"/>
        </w:rPr>
      </w:pPr>
    </w:p>
    <w:tbl>
      <w:tblPr>
        <w:tblStyle w:val="32"/>
        <w:tblW w:w="9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
        <w:gridCol w:w="596"/>
        <w:gridCol w:w="1136"/>
        <w:gridCol w:w="944"/>
        <w:gridCol w:w="6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9650" w:type="dxa"/>
            <w:gridSpan w:val="5"/>
            <w:tcBorders>
              <w:top w:val="single" w:color="auto" w:sz="4" w:space="0"/>
              <w:left w:val="single" w:color="auto" w:sz="4" w:space="0"/>
              <w:bottom w:val="single" w:color="auto" w:sz="4" w:space="0"/>
              <w:right w:val="single" w:color="auto" w:sz="4" w:space="0"/>
            </w:tcBorders>
            <w:vAlign w:val="center"/>
          </w:tcPr>
          <w:p>
            <w:pPr>
              <w:spacing w:line="380" w:lineRule="exact"/>
              <w:jc w:val="left"/>
              <w:rPr>
                <w:rFonts w:hint="eastAsia" w:ascii="宋体" w:hAnsi="宋体" w:eastAsia="宋体" w:cs="宋体"/>
                <w:color w:val="auto"/>
                <w:szCs w:val="21"/>
                <w:lang w:eastAsia="zh-CN"/>
              </w:rPr>
            </w:pPr>
            <w:r>
              <w:rPr>
                <w:rFonts w:hint="eastAsia" w:ascii="宋体" w:hAnsi="宋体" w:cs="宋体"/>
                <w:b/>
                <w:bCs/>
                <w:color w:val="auto"/>
                <w:szCs w:val="21"/>
              </w:rPr>
              <w:t>分标：</w:t>
            </w:r>
            <w:r>
              <w:rPr>
                <w:rFonts w:hint="eastAsia" w:ascii="宋体" w:hAnsi="宋体" w:cs="宋体"/>
                <w:b/>
                <w:bCs/>
                <w:color w:val="auto"/>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423" w:type="dxa"/>
            <w:vMerge w:val="restart"/>
            <w:tcBorders>
              <w:top w:val="single" w:color="auto" w:sz="4" w:space="0"/>
            </w:tcBorders>
            <w:vAlign w:val="center"/>
          </w:tcPr>
          <w:p>
            <w:pPr>
              <w:spacing w:line="380" w:lineRule="exact"/>
              <w:jc w:val="center"/>
              <w:rPr>
                <w:rFonts w:hint="eastAsia" w:ascii="宋体" w:hAnsi="宋体" w:cs="宋体"/>
                <w:b/>
                <w:bCs/>
                <w:color w:val="auto"/>
                <w:szCs w:val="21"/>
              </w:rPr>
            </w:pPr>
            <w:r>
              <w:rPr>
                <w:rFonts w:hint="eastAsia" w:ascii="宋体" w:hAnsi="宋体" w:cs="宋体"/>
                <w:b/>
                <w:bCs/>
                <w:color w:val="auto"/>
                <w:szCs w:val="21"/>
              </w:rPr>
              <w:t>需求一览表</w:t>
            </w:r>
          </w:p>
        </w:tc>
        <w:tc>
          <w:tcPr>
            <w:tcW w:w="596" w:type="dxa"/>
            <w:tcBorders>
              <w:top w:val="single" w:color="auto" w:sz="4" w:space="0"/>
            </w:tcBorders>
            <w:vAlign w:val="center"/>
          </w:tcPr>
          <w:p>
            <w:pPr>
              <w:spacing w:line="380" w:lineRule="exact"/>
              <w:jc w:val="center"/>
              <w:rPr>
                <w:rFonts w:hint="eastAsia" w:ascii="宋体" w:hAnsi="宋体" w:cs="宋体"/>
                <w:color w:val="auto"/>
                <w:szCs w:val="21"/>
              </w:rPr>
            </w:pPr>
            <w:r>
              <w:rPr>
                <w:rFonts w:hint="eastAsia" w:ascii="宋体" w:hAnsi="宋体" w:cs="宋体"/>
                <w:color w:val="auto"/>
                <w:szCs w:val="21"/>
              </w:rPr>
              <w:t>序号</w:t>
            </w:r>
          </w:p>
        </w:tc>
        <w:tc>
          <w:tcPr>
            <w:tcW w:w="1136" w:type="dxa"/>
            <w:tcBorders>
              <w:top w:val="single" w:color="auto" w:sz="4" w:space="0"/>
            </w:tcBorders>
            <w:vAlign w:val="center"/>
          </w:tcPr>
          <w:p>
            <w:pPr>
              <w:spacing w:line="380" w:lineRule="exact"/>
              <w:jc w:val="center"/>
              <w:rPr>
                <w:rFonts w:hint="eastAsia" w:ascii="宋体" w:hAnsi="宋体" w:cs="宋体"/>
                <w:color w:val="auto"/>
                <w:szCs w:val="21"/>
              </w:rPr>
            </w:pPr>
            <w:r>
              <w:rPr>
                <w:rFonts w:hint="eastAsia" w:ascii="宋体" w:hAnsi="宋体" w:cs="宋体"/>
                <w:color w:val="auto"/>
                <w:szCs w:val="21"/>
              </w:rPr>
              <w:t>标的名称</w:t>
            </w:r>
          </w:p>
        </w:tc>
        <w:tc>
          <w:tcPr>
            <w:tcW w:w="944" w:type="dxa"/>
            <w:tcBorders>
              <w:top w:val="single" w:color="auto" w:sz="4" w:space="0"/>
            </w:tcBorders>
            <w:vAlign w:val="center"/>
          </w:tcPr>
          <w:p>
            <w:pPr>
              <w:spacing w:line="380" w:lineRule="exact"/>
              <w:jc w:val="center"/>
              <w:rPr>
                <w:rFonts w:hint="eastAsia" w:ascii="宋体" w:hAnsi="宋体" w:cs="宋体"/>
                <w:color w:val="auto"/>
                <w:szCs w:val="21"/>
              </w:rPr>
            </w:pPr>
            <w:r>
              <w:rPr>
                <w:rFonts w:hint="eastAsia" w:ascii="宋体" w:hAnsi="宋体" w:cs="宋体"/>
                <w:color w:val="auto"/>
                <w:szCs w:val="21"/>
              </w:rPr>
              <w:t>数量及单位</w:t>
            </w:r>
          </w:p>
        </w:tc>
        <w:tc>
          <w:tcPr>
            <w:tcW w:w="6551" w:type="dxa"/>
            <w:tcBorders>
              <w:top w:val="single" w:color="auto" w:sz="4" w:space="0"/>
            </w:tcBorders>
            <w:vAlign w:val="center"/>
          </w:tcPr>
          <w:p>
            <w:pPr>
              <w:spacing w:line="380" w:lineRule="exact"/>
              <w:jc w:val="center"/>
              <w:rPr>
                <w:rFonts w:hint="eastAsia" w:ascii="宋体" w:hAnsi="宋体" w:eastAsia="宋体" w:cs="宋体"/>
                <w:color w:val="auto"/>
                <w:szCs w:val="21"/>
                <w:lang w:eastAsia="zh-CN"/>
              </w:rPr>
            </w:pPr>
            <w:r>
              <w:rPr>
                <w:rFonts w:hint="eastAsia" w:ascii="宋体" w:hAnsi="宋体" w:cs="宋体"/>
                <w:color w:val="auto"/>
                <w:szCs w:val="21"/>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3" w:type="dxa"/>
            <w:vMerge w:val="continue"/>
            <w:vAlign w:val="center"/>
          </w:tcPr>
          <w:p>
            <w:pPr>
              <w:spacing w:line="380" w:lineRule="exact"/>
              <w:jc w:val="center"/>
              <w:rPr>
                <w:rFonts w:hint="eastAsia" w:ascii="宋体" w:hAnsi="宋体" w:cs="宋体"/>
                <w:color w:val="auto"/>
                <w:szCs w:val="21"/>
              </w:rPr>
            </w:pPr>
          </w:p>
        </w:tc>
        <w:tc>
          <w:tcPr>
            <w:tcW w:w="596" w:type="dxa"/>
            <w:vAlign w:val="center"/>
          </w:tcPr>
          <w:p>
            <w:pPr>
              <w:spacing w:line="380" w:lineRule="exact"/>
              <w:jc w:val="center"/>
              <w:rPr>
                <w:rFonts w:hint="eastAsia" w:ascii="宋体" w:hAnsi="宋体" w:cs="宋体"/>
                <w:color w:val="auto"/>
                <w:szCs w:val="21"/>
              </w:rPr>
            </w:pPr>
            <w:r>
              <w:rPr>
                <w:rFonts w:hint="eastAsia" w:ascii="宋体" w:hAnsi="宋体" w:cs="宋体"/>
                <w:color w:val="auto"/>
                <w:szCs w:val="21"/>
              </w:rPr>
              <w:t>1</w:t>
            </w:r>
          </w:p>
        </w:tc>
        <w:tc>
          <w:tcPr>
            <w:tcW w:w="1136" w:type="dxa"/>
            <w:vAlign w:val="center"/>
          </w:tcPr>
          <w:p>
            <w:pPr>
              <w:pageBreakBefore w:val="0"/>
              <w:kinsoku/>
              <w:wordWrap/>
              <w:overflowPunct/>
              <w:topLinePunct w:val="0"/>
              <w:autoSpaceDE/>
              <w:autoSpaceDN/>
              <w:bidi w:val="0"/>
              <w:snapToGrid w:val="0"/>
              <w:spacing w:line="240" w:lineRule="auto"/>
              <w:jc w:val="center"/>
              <w:outlineLvl w:val="0"/>
              <w:rPr>
                <w:rFonts w:hint="eastAsia" w:ascii="宋体" w:hAnsi="宋体" w:cs="宋体"/>
                <w:color w:val="auto"/>
                <w:szCs w:val="21"/>
              </w:rPr>
            </w:pPr>
            <w:r>
              <w:rPr>
                <w:rFonts w:hint="eastAsia" w:ascii="宋体" w:hAnsi="宋体" w:cs="宋体"/>
                <w:color w:val="auto"/>
                <w:szCs w:val="21"/>
              </w:rPr>
              <w:t>全局无线设施联调和运维服务</w:t>
            </w:r>
          </w:p>
        </w:tc>
        <w:tc>
          <w:tcPr>
            <w:tcW w:w="944" w:type="dxa"/>
            <w:vAlign w:val="center"/>
          </w:tcPr>
          <w:p>
            <w:pPr>
              <w:pageBreakBefore w:val="0"/>
              <w:kinsoku/>
              <w:wordWrap/>
              <w:overflowPunct/>
              <w:topLinePunct w:val="0"/>
              <w:autoSpaceDE/>
              <w:autoSpaceDN/>
              <w:bidi w:val="0"/>
              <w:snapToGrid w:val="0"/>
              <w:spacing w:line="240" w:lineRule="auto"/>
              <w:jc w:val="center"/>
              <w:outlineLvl w:val="0"/>
              <w:rPr>
                <w:rFonts w:hint="default" w:ascii="宋体" w:hAnsi="宋体" w:eastAsia="宋体" w:cs="宋体"/>
                <w:color w:val="auto"/>
                <w:szCs w:val="21"/>
                <w:lang w:val="en-US" w:eastAsia="zh-CN"/>
              </w:rPr>
            </w:pPr>
            <w:r>
              <w:rPr>
                <w:rFonts w:hint="default" w:ascii="宋体" w:hAnsi="宋体" w:eastAsia="宋体" w:cs="宋体"/>
                <w:color w:val="auto"/>
                <w:szCs w:val="21"/>
                <w:lang w:val="en-US" w:eastAsia="zh-CN"/>
              </w:rPr>
              <w:t>1项</w:t>
            </w:r>
          </w:p>
        </w:tc>
        <w:tc>
          <w:tcPr>
            <w:tcW w:w="6551" w:type="dxa"/>
            <w:vAlign w:val="center"/>
          </w:tcPr>
          <w:p>
            <w:pPr>
              <w:keepNext w:val="0"/>
              <w:keepLines w:val="0"/>
              <w:widowControl/>
              <w:suppressLineNumbers w:val="0"/>
              <w:spacing w:before="0" w:beforeAutospacing="0" w:after="0" w:afterAutospacing="0" w:line="380" w:lineRule="exact"/>
              <w:ind w:left="0" w:right="0"/>
              <w:jc w:val="left"/>
              <w:rPr>
                <w:rFonts w:hint="default" w:ascii="宋体" w:hAnsi="宋体" w:cs="宋体"/>
                <w:color w:val="auto"/>
                <w:szCs w:val="21"/>
              </w:rPr>
            </w:pPr>
            <w:r>
              <w:rPr>
                <w:rFonts w:hint="eastAsia" w:ascii="宋体" w:hAnsi="宋体" w:cs="宋体"/>
                <w:color w:val="auto"/>
                <w:szCs w:val="21"/>
              </w:rPr>
              <w:t>全局无线设施联调和运维服务（含广西统计局办公楼、中国统计资料馆广西分馆和广西统计资料中心博物馆所有办公区），服务内容包括：</w:t>
            </w:r>
          </w:p>
          <w:p>
            <w:pPr>
              <w:keepNext w:val="0"/>
              <w:keepLines w:val="0"/>
              <w:widowControl/>
              <w:suppressLineNumbers w:val="0"/>
              <w:spacing w:before="0" w:beforeAutospacing="0" w:after="0" w:afterAutospacing="0" w:line="380" w:lineRule="exact"/>
              <w:ind w:left="0" w:right="0"/>
              <w:jc w:val="left"/>
              <w:rPr>
                <w:rFonts w:hint="default"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lang w:val="en-US" w:eastAsia="zh-CN"/>
              </w:rPr>
              <w:t>提供相应设备，</w:t>
            </w:r>
            <w:r>
              <w:rPr>
                <w:rFonts w:hint="eastAsia" w:ascii="宋体" w:hAnsi="宋体" w:cs="宋体"/>
                <w:color w:val="auto"/>
                <w:szCs w:val="21"/>
              </w:rPr>
              <w:t>保障服务</w:t>
            </w:r>
            <w:r>
              <w:rPr>
                <w:rFonts w:hint="eastAsia" w:ascii="宋体" w:hAnsi="宋体" w:cs="宋体"/>
                <w:color w:val="auto"/>
                <w:szCs w:val="21"/>
                <w:lang w:val="en-US" w:eastAsia="zh-CN"/>
              </w:rPr>
              <w:t>区域</w:t>
            </w:r>
            <w:r>
              <w:rPr>
                <w:rFonts w:hint="eastAsia" w:ascii="宋体" w:hAnsi="宋体" w:cs="宋体"/>
                <w:color w:val="auto"/>
                <w:szCs w:val="21"/>
              </w:rPr>
              <w:t>网络线路信号畅通。</w:t>
            </w:r>
          </w:p>
          <w:p>
            <w:pPr>
              <w:keepNext w:val="0"/>
              <w:keepLines w:val="0"/>
              <w:widowControl/>
              <w:suppressLineNumbers w:val="0"/>
              <w:spacing w:before="0" w:beforeAutospacing="0" w:after="0" w:afterAutospacing="0" w:line="380" w:lineRule="exact"/>
              <w:ind w:left="0" w:right="0"/>
              <w:jc w:val="left"/>
              <w:rPr>
                <w:rFonts w:hint="default" w:ascii="宋体" w:hAnsi="宋体" w:cs="宋体"/>
                <w:color w:val="auto"/>
                <w:szCs w:val="21"/>
              </w:rPr>
            </w:pPr>
            <w:r>
              <w:rPr>
                <w:rFonts w:hint="eastAsia" w:ascii="宋体" w:hAnsi="宋体" w:cs="宋体"/>
                <w:color w:val="auto"/>
                <w:szCs w:val="21"/>
              </w:rPr>
              <w:t>（2）保障网络硬件设备实现无线联网运行。</w:t>
            </w:r>
          </w:p>
          <w:p>
            <w:pPr>
              <w:keepNext w:val="0"/>
              <w:keepLines w:val="0"/>
              <w:widowControl/>
              <w:suppressLineNumbers w:val="0"/>
              <w:spacing w:before="0" w:beforeAutospacing="0" w:after="0" w:afterAutospacing="0" w:line="380" w:lineRule="exact"/>
              <w:ind w:left="0" w:right="0"/>
              <w:jc w:val="left"/>
              <w:rPr>
                <w:rFonts w:hint="default" w:ascii="宋体" w:hAnsi="宋体" w:cs="宋体"/>
                <w:color w:val="auto"/>
                <w:szCs w:val="21"/>
              </w:rPr>
            </w:pPr>
            <w:r>
              <w:rPr>
                <w:rFonts w:hint="eastAsia" w:ascii="宋体" w:hAnsi="宋体" w:cs="宋体"/>
                <w:color w:val="auto"/>
                <w:szCs w:val="21"/>
              </w:rPr>
              <w:t>（3）保障办公区域无线网络设备正常运行，提供无线网络硬件设备同等功能软件版本更新、升级，以及该软件版本配套的文档资料、用户手册；升级后用户将享有新版本软件的使用权利。</w:t>
            </w:r>
          </w:p>
          <w:p>
            <w:pPr>
              <w:keepNext w:val="0"/>
              <w:keepLines w:val="0"/>
              <w:widowControl/>
              <w:suppressLineNumbers w:val="0"/>
              <w:spacing w:before="0" w:beforeAutospacing="0" w:after="0" w:afterAutospacing="0" w:line="380" w:lineRule="exact"/>
              <w:ind w:left="0" w:right="0"/>
              <w:jc w:val="left"/>
              <w:rPr>
                <w:rFonts w:hint="default" w:ascii="宋体" w:hAnsi="宋体" w:cs="宋体"/>
                <w:color w:val="auto"/>
                <w:szCs w:val="21"/>
              </w:rPr>
            </w:pPr>
            <w:r>
              <w:rPr>
                <w:rFonts w:hint="eastAsia" w:ascii="宋体" w:hAnsi="宋体" w:cs="宋体"/>
                <w:color w:val="auto"/>
                <w:szCs w:val="21"/>
              </w:rPr>
              <w:t>▲（4）保障无线网络设备运行环境安全，包括无线网络硬件设备维保和管理终端平台软件升级、模块配置、技术支持等；当原无线网络硬件设备出现故障无法使用时，提供不低于原使用产品型号的备机进行替换保障。</w:t>
            </w:r>
          </w:p>
          <w:p>
            <w:pPr>
              <w:keepNext w:val="0"/>
              <w:keepLines w:val="0"/>
              <w:widowControl/>
              <w:suppressLineNumbers w:val="0"/>
              <w:spacing w:before="0" w:beforeAutospacing="0" w:after="0" w:afterAutospacing="0" w:line="380" w:lineRule="exact"/>
              <w:ind w:left="0" w:right="0"/>
              <w:jc w:val="left"/>
              <w:rPr>
                <w:rFonts w:hint="default" w:ascii="宋体" w:hAnsi="宋体" w:cs="宋体"/>
                <w:color w:val="auto"/>
                <w:szCs w:val="21"/>
              </w:rPr>
            </w:pPr>
            <w:r>
              <w:rPr>
                <w:rFonts w:hint="eastAsia" w:ascii="宋体" w:hAnsi="宋体" w:cs="宋体"/>
                <w:color w:val="auto"/>
                <w:szCs w:val="21"/>
              </w:rPr>
              <w:t>▲（5）无线网络设备日常故障排查、解除、保修物品收发，包含日常巡检响应，月度巡检，季度巡检和保养；提供至少2次/月的现场技术支持服务，运维内容包含技术培训、故障排查和保养。</w:t>
            </w:r>
          </w:p>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color w:val="auto"/>
                <w:sz w:val="21"/>
                <w:szCs w:val="21"/>
                <w:lang w:val="en-US" w:eastAsia="zh-CN"/>
              </w:rPr>
            </w:pPr>
            <w:r>
              <w:rPr>
                <w:rFonts w:hint="eastAsia" w:ascii="宋体" w:hAnsi="宋体" w:cs="宋体"/>
                <w:color w:val="auto"/>
                <w:szCs w:val="21"/>
              </w:rPr>
              <w:t>▲（6）提供URL库与应用识别规则库升级有效期，保证产品能及时更新发布的最新版本规则库。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3" w:type="dxa"/>
            <w:vAlign w:val="center"/>
          </w:tcPr>
          <w:p>
            <w:pPr>
              <w:pStyle w:val="23"/>
              <w:spacing w:line="360" w:lineRule="exact"/>
              <w:jc w:val="center"/>
              <w:rPr>
                <w:rFonts w:hint="eastAsia" w:ascii="宋体" w:hAnsi="宋体" w:eastAsia="宋体" w:cs="宋体"/>
                <w:color w:val="auto"/>
                <w:sz w:val="21"/>
                <w:szCs w:val="21"/>
              </w:rPr>
            </w:pPr>
            <w:r>
              <w:rPr>
                <w:rFonts w:hint="eastAsia" w:ascii="宋体" w:hAnsi="宋体" w:eastAsia="宋体" w:cs="宋体"/>
                <w:b/>
                <w:bCs/>
                <w:color w:val="auto"/>
                <w:sz w:val="21"/>
                <w:szCs w:val="21"/>
              </w:rPr>
              <w:t>商务条款</w:t>
            </w:r>
          </w:p>
        </w:tc>
        <w:tc>
          <w:tcPr>
            <w:tcW w:w="9227" w:type="dxa"/>
            <w:gridSpan w:val="4"/>
            <w:vAlign w:val="center"/>
          </w:tcPr>
          <w:p>
            <w:pPr>
              <w:pStyle w:val="23"/>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规范标准：</w:t>
            </w:r>
          </w:p>
          <w:p>
            <w:pPr>
              <w:pStyle w:val="23"/>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采购标的需执行的国家标准、行业标准、地方标准或者其他标准、规范。</w:t>
            </w:r>
          </w:p>
          <w:p>
            <w:pPr>
              <w:pStyle w:val="23"/>
              <w:rPr>
                <w:rFonts w:hint="eastAsia" w:ascii="宋体" w:hAnsi="宋体" w:eastAsia="宋体" w:cs="宋体"/>
                <w:color w:val="auto"/>
                <w:sz w:val="21"/>
                <w:szCs w:val="21"/>
                <w:lang w:val="en-US" w:eastAsia="zh-CN"/>
              </w:rPr>
            </w:pPr>
          </w:p>
          <w:p>
            <w:pPr>
              <w:pStyle w:val="23"/>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服务时间及地点：</w:t>
            </w:r>
          </w:p>
          <w:p>
            <w:pPr>
              <w:pStyle w:val="23"/>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1、服务时间：自签订合同之日起1年。</w:t>
            </w:r>
          </w:p>
          <w:p>
            <w:pPr>
              <w:pStyle w:val="23"/>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2、服务地点：广西区内（采购人指定地点）。</w:t>
            </w:r>
          </w:p>
          <w:p>
            <w:pPr>
              <w:pStyle w:val="23"/>
              <w:rPr>
                <w:rFonts w:hint="eastAsia" w:ascii="宋体" w:hAnsi="宋体" w:eastAsia="宋体" w:cs="宋体"/>
                <w:color w:val="auto"/>
                <w:sz w:val="21"/>
                <w:szCs w:val="21"/>
                <w:lang w:val="en-US" w:eastAsia="zh-CN"/>
              </w:rPr>
            </w:pPr>
          </w:p>
          <w:p>
            <w:pPr>
              <w:pStyle w:val="23"/>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售后服务要求：</w:t>
            </w:r>
          </w:p>
          <w:p>
            <w:pPr>
              <w:pStyle w:val="23"/>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1、免费维护至少1年（自交货并验收合格之日起计）；</w:t>
            </w:r>
          </w:p>
          <w:p>
            <w:pPr>
              <w:pStyle w:val="23"/>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2、能7×24通过远程、上门服务、电话、E-mail等方式为用户提供完善的售前和售后技术咨询服务；</w:t>
            </w:r>
          </w:p>
          <w:p>
            <w:pPr>
              <w:pStyle w:val="23"/>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3、接到故障通知，必要时成交供应商的认证工程师3小时内到达现场处理.</w:t>
            </w:r>
          </w:p>
          <w:p>
            <w:pPr>
              <w:pStyle w:val="23"/>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4、免费对用户进行使用前培训和维护培训，系统使用培训。</w:t>
            </w:r>
          </w:p>
          <w:p>
            <w:pPr>
              <w:pStyle w:val="23"/>
              <w:rPr>
                <w:rFonts w:hint="eastAsia" w:ascii="宋体" w:hAnsi="宋体" w:eastAsia="宋体" w:cs="宋体"/>
                <w:color w:val="auto"/>
                <w:sz w:val="21"/>
                <w:szCs w:val="21"/>
                <w:lang w:val="en-US" w:eastAsia="zh-CN"/>
              </w:rPr>
            </w:pPr>
          </w:p>
          <w:p>
            <w:pPr>
              <w:pStyle w:val="23"/>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付款条件：</w:t>
            </w:r>
          </w:p>
          <w:p>
            <w:pPr>
              <w:pStyle w:val="23"/>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在合同签订后10个工作日内，成交供应商向采购人提交初步工作方案。采购人确认工作方案后，向成交供应商支付合同价款的70%。</w:t>
            </w:r>
            <w:bookmarkStart w:id="89" w:name="OLE_LINK57"/>
            <w:r>
              <w:rPr>
                <w:rFonts w:hint="eastAsia" w:ascii="宋体" w:hAnsi="宋体" w:eastAsia="宋体" w:cs="宋体"/>
                <w:color w:val="auto"/>
                <w:sz w:val="21"/>
                <w:szCs w:val="21"/>
                <w:lang w:val="en-US" w:eastAsia="zh-CN"/>
              </w:rPr>
              <w:t>余款</w:t>
            </w:r>
            <w:bookmarkEnd w:id="89"/>
            <w:r>
              <w:rPr>
                <w:rFonts w:hint="eastAsia" w:ascii="宋体" w:hAnsi="宋体" w:eastAsia="宋体" w:cs="宋体"/>
                <w:color w:val="auto"/>
                <w:sz w:val="21"/>
                <w:szCs w:val="21"/>
                <w:lang w:val="en-US" w:eastAsia="zh-CN"/>
              </w:rPr>
              <w:t>由采购人视工作开展、验收情况及预算执行情况支付（验收工作如需外聘专家，专家评审费由成交供应商承担）。</w:t>
            </w:r>
          </w:p>
          <w:p>
            <w:pPr>
              <w:pStyle w:val="23"/>
              <w:rPr>
                <w:rFonts w:hint="eastAsia" w:ascii="宋体" w:hAnsi="宋体" w:eastAsia="宋体" w:cs="宋体"/>
                <w:color w:val="auto"/>
                <w:sz w:val="21"/>
                <w:szCs w:val="21"/>
                <w:lang w:val="en-US" w:eastAsia="zh-CN"/>
              </w:rPr>
            </w:pPr>
          </w:p>
          <w:p>
            <w:pPr>
              <w:pStyle w:val="23"/>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其他要求：</w:t>
            </w:r>
          </w:p>
          <w:p>
            <w:pPr>
              <w:pStyle w:val="23"/>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一、总体要求</w:t>
            </w:r>
          </w:p>
          <w:p>
            <w:pPr>
              <w:pStyle w:val="23"/>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1、供应商可根据项目要求，在响应文件中提出项目设计方案、实施方案（应包括人员安排、进度安排等内容）</w:t>
            </w:r>
          </w:p>
          <w:p>
            <w:pPr>
              <w:pStyle w:val="23"/>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二、验收要求及标准</w:t>
            </w:r>
          </w:p>
          <w:p>
            <w:pPr>
              <w:pStyle w:val="23"/>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1、根据采购需求的要求进行验收。</w:t>
            </w:r>
          </w:p>
          <w:p>
            <w:pPr>
              <w:pStyle w:val="23"/>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三、其它</w:t>
            </w:r>
          </w:p>
          <w:p>
            <w:pPr>
              <w:pStyle w:val="23"/>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1、报价必须含以下部分，包括：</w:t>
            </w:r>
          </w:p>
          <w:p>
            <w:pPr>
              <w:pStyle w:val="23"/>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（1）服务的价格；</w:t>
            </w:r>
          </w:p>
          <w:p>
            <w:pPr>
              <w:pStyle w:val="23"/>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（2）必要的保险费用和各项税金；</w:t>
            </w:r>
          </w:p>
          <w:p>
            <w:pPr>
              <w:pStyle w:val="23"/>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（3）其他[如运输、装卸、安装、调试、培训、技术支持、售后服务、更新升级等费用。</w:t>
            </w:r>
          </w:p>
        </w:tc>
      </w:tr>
    </w:tbl>
    <w:p>
      <w:pPr>
        <w:spacing w:line="240" w:lineRule="auto"/>
        <w:rPr>
          <w:rFonts w:hint="eastAsia" w:ascii="宋体" w:hAnsi="宋体" w:eastAsia="宋体" w:cs="宋体"/>
          <w:color w:val="auto"/>
          <w:sz w:val="21"/>
          <w:szCs w:val="21"/>
        </w:rPr>
      </w:pPr>
    </w:p>
    <w:p>
      <w:pPr>
        <w:rPr>
          <w:rFonts w:hint="eastAsia" w:ascii="宋体" w:hAnsi="宋体" w:cs="宋体"/>
          <w:i/>
          <w:iCs/>
          <w:color w:val="auto"/>
          <w:u w:val="single"/>
        </w:rPr>
      </w:pPr>
      <w:r>
        <w:rPr>
          <w:rFonts w:hint="eastAsia" w:ascii="宋体" w:hAnsi="宋体" w:cs="宋体"/>
          <w:i/>
          <w:iCs/>
          <w:color w:val="auto"/>
          <w:u w:val="single"/>
        </w:rPr>
        <w:br w:type="page"/>
      </w:r>
    </w:p>
    <w:p>
      <w:pPr>
        <w:pStyle w:val="13"/>
        <w:spacing w:line="450" w:lineRule="exact"/>
        <w:rPr>
          <w:rFonts w:hint="eastAsia" w:ascii="宋体" w:hAnsi="宋体" w:cs="宋体"/>
          <w:i/>
          <w:iCs/>
          <w:color w:val="auto"/>
          <w:u w:val="single"/>
        </w:rPr>
      </w:pPr>
    </w:p>
    <w:tbl>
      <w:tblPr>
        <w:tblStyle w:val="32"/>
        <w:tblW w:w="9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
        <w:gridCol w:w="596"/>
        <w:gridCol w:w="1136"/>
        <w:gridCol w:w="944"/>
        <w:gridCol w:w="6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9650" w:type="dxa"/>
            <w:gridSpan w:val="5"/>
            <w:tcBorders>
              <w:top w:val="single" w:color="auto" w:sz="4" w:space="0"/>
              <w:left w:val="single" w:color="auto" w:sz="4" w:space="0"/>
              <w:bottom w:val="single" w:color="auto" w:sz="4" w:space="0"/>
              <w:right w:val="single" w:color="auto" w:sz="4" w:space="0"/>
            </w:tcBorders>
            <w:vAlign w:val="center"/>
          </w:tcPr>
          <w:p>
            <w:pPr>
              <w:spacing w:line="380" w:lineRule="exact"/>
              <w:jc w:val="left"/>
              <w:rPr>
                <w:rFonts w:hint="eastAsia" w:ascii="宋体" w:hAnsi="宋体" w:eastAsia="宋体" w:cs="宋体"/>
                <w:color w:val="auto"/>
                <w:szCs w:val="21"/>
                <w:lang w:eastAsia="zh-CN"/>
              </w:rPr>
            </w:pPr>
            <w:r>
              <w:rPr>
                <w:rFonts w:hint="eastAsia" w:ascii="宋体" w:hAnsi="宋体" w:cs="宋体"/>
                <w:b/>
                <w:bCs/>
                <w:color w:val="auto"/>
                <w:szCs w:val="21"/>
              </w:rPr>
              <w:t>分标：</w:t>
            </w:r>
            <w:r>
              <w:rPr>
                <w:rFonts w:hint="eastAsia" w:ascii="宋体" w:hAnsi="宋体" w:cs="宋体"/>
                <w:b/>
                <w:bCs/>
                <w:color w:val="auto"/>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423" w:type="dxa"/>
            <w:vMerge w:val="restart"/>
            <w:tcBorders>
              <w:top w:val="single" w:color="auto" w:sz="4" w:space="0"/>
            </w:tcBorders>
            <w:vAlign w:val="center"/>
          </w:tcPr>
          <w:p>
            <w:pPr>
              <w:spacing w:line="380" w:lineRule="exact"/>
              <w:jc w:val="center"/>
              <w:rPr>
                <w:rFonts w:hint="eastAsia" w:ascii="宋体" w:hAnsi="宋体" w:cs="宋体"/>
                <w:b/>
                <w:bCs/>
                <w:color w:val="auto"/>
                <w:szCs w:val="21"/>
              </w:rPr>
            </w:pPr>
            <w:r>
              <w:rPr>
                <w:rFonts w:hint="eastAsia" w:ascii="宋体" w:hAnsi="宋体" w:cs="宋体"/>
                <w:b/>
                <w:bCs/>
                <w:color w:val="auto"/>
                <w:szCs w:val="21"/>
              </w:rPr>
              <w:t>需求一览表</w:t>
            </w:r>
          </w:p>
        </w:tc>
        <w:tc>
          <w:tcPr>
            <w:tcW w:w="596" w:type="dxa"/>
            <w:tcBorders>
              <w:top w:val="single" w:color="auto" w:sz="4" w:space="0"/>
            </w:tcBorders>
            <w:vAlign w:val="center"/>
          </w:tcPr>
          <w:p>
            <w:pPr>
              <w:spacing w:line="380" w:lineRule="exact"/>
              <w:jc w:val="center"/>
              <w:rPr>
                <w:rFonts w:hint="eastAsia" w:ascii="宋体" w:hAnsi="宋体" w:cs="宋体"/>
                <w:color w:val="auto"/>
                <w:szCs w:val="21"/>
              </w:rPr>
            </w:pPr>
            <w:r>
              <w:rPr>
                <w:rFonts w:hint="eastAsia" w:ascii="宋体" w:hAnsi="宋体" w:cs="宋体"/>
                <w:color w:val="auto"/>
                <w:szCs w:val="21"/>
              </w:rPr>
              <w:t>序号</w:t>
            </w:r>
          </w:p>
        </w:tc>
        <w:tc>
          <w:tcPr>
            <w:tcW w:w="1136" w:type="dxa"/>
            <w:tcBorders>
              <w:top w:val="single" w:color="auto" w:sz="4" w:space="0"/>
            </w:tcBorders>
            <w:vAlign w:val="center"/>
          </w:tcPr>
          <w:p>
            <w:pPr>
              <w:spacing w:line="380" w:lineRule="exact"/>
              <w:jc w:val="center"/>
              <w:rPr>
                <w:rFonts w:hint="eastAsia" w:ascii="宋体" w:hAnsi="宋体" w:cs="宋体"/>
                <w:color w:val="auto"/>
                <w:szCs w:val="21"/>
              </w:rPr>
            </w:pPr>
            <w:r>
              <w:rPr>
                <w:rFonts w:hint="eastAsia" w:ascii="宋体" w:hAnsi="宋体" w:cs="宋体"/>
                <w:color w:val="auto"/>
                <w:szCs w:val="21"/>
              </w:rPr>
              <w:t>标的名称</w:t>
            </w:r>
          </w:p>
        </w:tc>
        <w:tc>
          <w:tcPr>
            <w:tcW w:w="944" w:type="dxa"/>
            <w:tcBorders>
              <w:top w:val="single" w:color="auto" w:sz="4" w:space="0"/>
            </w:tcBorders>
            <w:vAlign w:val="center"/>
          </w:tcPr>
          <w:p>
            <w:pPr>
              <w:spacing w:line="380" w:lineRule="exact"/>
              <w:jc w:val="center"/>
              <w:rPr>
                <w:rFonts w:hint="eastAsia" w:ascii="宋体" w:hAnsi="宋体" w:cs="宋体"/>
                <w:color w:val="auto"/>
                <w:szCs w:val="21"/>
              </w:rPr>
            </w:pPr>
            <w:r>
              <w:rPr>
                <w:rFonts w:hint="eastAsia" w:ascii="宋体" w:hAnsi="宋体" w:cs="宋体"/>
                <w:color w:val="auto"/>
                <w:szCs w:val="21"/>
              </w:rPr>
              <w:t>数量及单位</w:t>
            </w:r>
          </w:p>
        </w:tc>
        <w:tc>
          <w:tcPr>
            <w:tcW w:w="6551" w:type="dxa"/>
            <w:tcBorders>
              <w:top w:val="single" w:color="auto" w:sz="4" w:space="0"/>
            </w:tcBorders>
            <w:vAlign w:val="center"/>
          </w:tcPr>
          <w:p>
            <w:pPr>
              <w:spacing w:line="380" w:lineRule="exact"/>
              <w:jc w:val="center"/>
              <w:rPr>
                <w:rFonts w:hint="eastAsia" w:ascii="宋体" w:hAnsi="宋体" w:eastAsia="宋体" w:cs="宋体"/>
                <w:color w:val="auto"/>
                <w:szCs w:val="21"/>
                <w:lang w:eastAsia="zh-CN"/>
              </w:rPr>
            </w:pPr>
            <w:r>
              <w:rPr>
                <w:rFonts w:hint="eastAsia" w:ascii="宋体" w:hAnsi="宋体" w:cs="宋体"/>
                <w:color w:val="auto"/>
                <w:szCs w:val="21"/>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3" w:type="dxa"/>
            <w:vMerge w:val="continue"/>
            <w:vAlign w:val="center"/>
          </w:tcPr>
          <w:p>
            <w:pPr>
              <w:spacing w:line="380" w:lineRule="exact"/>
              <w:jc w:val="center"/>
              <w:rPr>
                <w:rFonts w:hint="eastAsia" w:ascii="宋体" w:hAnsi="宋体" w:cs="宋体"/>
                <w:color w:val="auto"/>
                <w:szCs w:val="21"/>
              </w:rPr>
            </w:pPr>
          </w:p>
        </w:tc>
        <w:tc>
          <w:tcPr>
            <w:tcW w:w="596" w:type="dxa"/>
            <w:vAlign w:val="center"/>
          </w:tcPr>
          <w:p>
            <w:pPr>
              <w:spacing w:line="380" w:lineRule="exact"/>
              <w:jc w:val="center"/>
              <w:rPr>
                <w:rFonts w:hint="eastAsia" w:ascii="宋体" w:hAnsi="宋体" w:cs="宋体"/>
                <w:color w:val="auto"/>
                <w:szCs w:val="21"/>
              </w:rPr>
            </w:pPr>
            <w:r>
              <w:rPr>
                <w:rFonts w:hint="eastAsia" w:ascii="宋体" w:hAnsi="宋体" w:cs="宋体"/>
                <w:color w:val="auto"/>
                <w:szCs w:val="21"/>
              </w:rPr>
              <w:t>1</w:t>
            </w:r>
          </w:p>
        </w:tc>
        <w:tc>
          <w:tcPr>
            <w:tcW w:w="1136" w:type="dxa"/>
            <w:vAlign w:val="center"/>
          </w:tcPr>
          <w:p>
            <w:pPr>
              <w:pageBreakBefore w:val="0"/>
              <w:kinsoku/>
              <w:wordWrap/>
              <w:overflowPunct/>
              <w:topLinePunct w:val="0"/>
              <w:autoSpaceDE/>
              <w:autoSpaceDN/>
              <w:bidi w:val="0"/>
              <w:snapToGrid w:val="0"/>
              <w:spacing w:line="240" w:lineRule="auto"/>
              <w:jc w:val="center"/>
              <w:outlineLvl w:val="0"/>
              <w:rPr>
                <w:rFonts w:hint="eastAsia" w:ascii="宋体" w:hAnsi="宋体" w:cs="宋体"/>
                <w:color w:val="auto"/>
                <w:szCs w:val="21"/>
              </w:rPr>
            </w:pPr>
            <w:r>
              <w:rPr>
                <w:rFonts w:hint="eastAsia" w:ascii="宋体" w:hAnsi="宋体" w:cs="宋体"/>
                <w:color w:val="auto"/>
                <w:szCs w:val="21"/>
              </w:rPr>
              <w:t>信息系统等级保护测评</w:t>
            </w:r>
          </w:p>
        </w:tc>
        <w:tc>
          <w:tcPr>
            <w:tcW w:w="944" w:type="dxa"/>
            <w:vAlign w:val="center"/>
          </w:tcPr>
          <w:p>
            <w:pPr>
              <w:pageBreakBefore w:val="0"/>
              <w:kinsoku/>
              <w:wordWrap/>
              <w:overflowPunct/>
              <w:topLinePunct w:val="0"/>
              <w:autoSpaceDE/>
              <w:autoSpaceDN/>
              <w:bidi w:val="0"/>
              <w:snapToGrid w:val="0"/>
              <w:spacing w:line="240" w:lineRule="auto"/>
              <w:jc w:val="center"/>
              <w:outlineLvl w:val="0"/>
              <w:rPr>
                <w:rFonts w:hint="default" w:ascii="宋体" w:hAnsi="宋体" w:eastAsia="宋体" w:cs="宋体"/>
                <w:color w:val="auto"/>
                <w:szCs w:val="21"/>
                <w:lang w:val="en-US" w:eastAsia="zh-CN"/>
              </w:rPr>
            </w:pPr>
            <w:r>
              <w:rPr>
                <w:rFonts w:hint="default" w:ascii="宋体" w:hAnsi="宋体" w:eastAsia="宋体" w:cs="宋体"/>
                <w:color w:val="auto"/>
                <w:szCs w:val="21"/>
                <w:lang w:val="en-US" w:eastAsia="zh-CN"/>
              </w:rPr>
              <w:t>1项</w:t>
            </w:r>
          </w:p>
        </w:tc>
        <w:tc>
          <w:tcPr>
            <w:tcW w:w="6551" w:type="dxa"/>
            <w:vAlign w:val="center"/>
          </w:tcPr>
          <w:p>
            <w:pPr>
              <w:keepNext w:val="0"/>
              <w:keepLines w:val="0"/>
              <w:pageBreakBefore w:val="0"/>
              <w:widowControl/>
              <w:shd w:val="clear" w:color="auto" w:fill="auto"/>
              <w:kinsoku/>
              <w:wordWrap/>
              <w:overflowPunct/>
              <w:topLinePunct w:val="0"/>
              <w:autoSpaceDE/>
              <w:autoSpaceDN/>
              <w:bidi w:val="0"/>
              <w:adjustRightInd/>
              <w:snapToGrid/>
              <w:spacing w:line="380" w:lineRule="exact"/>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一、总体要求</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依据《信息安全技术 网络安全等级保护基本要求》（GB/T22239-2019）对上联国家统计局主干网(三级系统)等保测评服务；广西大数据应用统计支撑平台(三级系统)等保测评服务；广西第五次经济普查数据处理环境(三级系统)等保测评服务；</w:t>
            </w:r>
            <w:r>
              <w:rPr>
                <w:rFonts w:hint="eastAsia" w:ascii="宋体" w:hAnsi="宋体" w:eastAsia="宋体" w:cs="宋体"/>
                <w:color w:val="auto"/>
                <w:sz w:val="21"/>
                <w:szCs w:val="21"/>
                <w:highlight w:val="none"/>
                <w:lang w:val="en-US" w:eastAsia="zh-CN"/>
              </w:rPr>
              <w:t>工作信息</w:t>
            </w:r>
            <w:r>
              <w:rPr>
                <w:rFonts w:hint="eastAsia" w:ascii="宋体" w:hAnsi="宋体" w:eastAsia="宋体" w:cs="宋体"/>
                <w:color w:val="auto"/>
                <w:sz w:val="21"/>
                <w:szCs w:val="21"/>
                <w:highlight w:val="none"/>
              </w:rPr>
              <w:t>网网站(二级系统)开展等保测评服务，并出具符合国家网络安全等级保护管理部门规范要求、公安机关认可的网络安全等级测评报告。</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照等级保护定级备案流程，协助开展定级备案工作，遵照等级保护基本要求，通过对系统的技术与管理的角度进行检查，如若信息系统未达到等级保护要求，需出具差距分析报告并协助整改，使信息系统符合等级保护的要求。</w:t>
            </w:r>
          </w:p>
          <w:p>
            <w:pPr>
              <w:keepNext w:val="0"/>
              <w:keepLines w:val="0"/>
              <w:pageBreakBefore w:val="0"/>
              <w:widowControl/>
              <w:shd w:val="clear" w:color="auto" w:fill="auto"/>
              <w:kinsoku/>
              <w:wordWrap/>
              <w:overflowPunct/>
              <w:topLinePunct w:val="0"/>
              <w:autoSpaceDE/>
              <w:autoSpaceDN/>
              <w:bidi w:val="0"/>
              <w:adjustRightInd/>
              <w:snapToGrid/>
              <w:spacing w:line="380" w:lineRule="exact"/>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二、依据标准</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bookmarkStart w:id="90" w:name="OLE_LINK1"/>
            <w:r>
              <w:rPr>
                <w:rFonts w:hint="eastAsia" w:ascii="宋体" w:hAnsi="宋体" w:eastAsia="宋体" w:cs="宋体"/>
                <w:color w:val="auto"/>
                <w:sz w:val="21"/>
                <w:szCs w:val="21"/>
                <w:highlight w:val="none"/>
              </w:rPr>
              <w:t>《计算机信息系统安全保护等级划分准则》（GB 17859-1999)</w:t>
            </w:r>
          </w:p>
          <w:bookmarkEnd w:id="90"/>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《信息安全等级保护管理办法》（公通字[2007]43号）</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《信息安全技术 网络安全等级保护定级指南》（GB/T 22240-2020）</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《信息安全技术 网络安全等级保护基本要求》（GB/T 22239-2019）</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《信息安全技术 网络安全等级保护测评要求》（GB/T 28448-2019）</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《信息安全技术 网络安全等级保护测评过程指南》（GB/T 28449-2018)</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《信息安全技术 网络安全等级保护安全设计技术要求》（GB/T 25070-2019）</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《信息安全技术 网络安全等级保护测试评估技术指南》（GB/T 36627-2018）</w:t>
            </w:r>
          </w:p>
          <w:p>
            <w:pPr>
              <w:keepNext w:val="0"/>
              <w:keepLines w:val="0"/>
              <w:pageBreakBefore w:val="0"/>
              <w:widowControl/>
              <w:shd w:val="clear" w:color="auto" w:fill="auto"/>
              <w:kinsoku/>
              <w:wordWrap/>
              <w:overflowPunct/>
              <w:topLinePunct w:val="0"/>
              <w:autoSpaceDE/>
              <w:autoSpaceDN/>
              <w:bidi w:val="0"/>
              <w:adjustRightInd/>
              <w:snapToGrid/>
              <w:spacing w:line="380" w:lineRule="exact"/>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三、服务内容：</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2"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（一）安全咨询服务</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（1）安全培训服务</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项目实际需要，进行安全技术培训。结合实际需求，进行信息安全等级保护政策、法规、技术标准等内容的安全培训工作，完成网络安全等级保护政策的宣贯、提高相关工作人员的信息安全意识、信息安全技能等。</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（2）安全加固服务</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依据《GB/T22239-2019信息安全技术网络安全等级保护基本要求</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GBT25070-2019 信息安全技术 网络安全等级保护安全设计技术要求》等相关标准要求，对本次项目涉及的服务对象进行安全等级化建设过程提供全过程督导咨询工作，并通过技术手段，对委托方的信息系统进行等级保护合规性、策略性配置和专项加固（非硬件类采购、非授权服务类采购）。</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2"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（二）等级保护测评服务</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委托具有信息安全等级测评资质的第三方机构，依据《信息系统安全等级保护基本要求》（GB/T 22239-2019）等相关标准,对平台及信息系统的定级对象进行等级保护测评工作。</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1、测评</w:t>
            </w:r>
            <w:r>
              <w:rPr>
                <w:rFonts w:hint="eastAsia" w:ascii="宋体" w:hAnsi="宋体" w:eastAsia="宋体" w:cs="宋体"/>
                <w:color w:val="auto"/>
                <w:sz w:val="21"/>
                <w:szCs w:val="21"/>
                <w:highlight w:val="none"/>
                <w:lang w:eastAsia="zh-CN"/>
              </w:rPr>
              <w:t>内容</w:t>
            </w:r>
          </w:p>
          <w:p>
            <w:pPr>
              <w:widowControl/>
              <w:spacing w:line="440" w:lineRule="exact"/>
              <w:ind w:firstLine="420" w:firstLineChars="200"/>
              <w:rPr>
                <w:rFonts w:hint="eastAsia" w:ascii="宋体" w:hAnsi="宋体" w:eastAsia="宋体" w:cs="宋体"/>
                <w:bCs/>
                <w:kern w:val="0"/>
                <w:szCs w:val="21"/>
                <w:highlight w:val="none"/>
              </w:rPr>
            </w:pPr>
            <w:r>
              <w:rPr>
                <w:rFonts w:hint="eastAsia" w:ascii="宋体" w:hAnsi="宋体" w:eastAsia="宋体" w:cs="宋体"/>
                <w:bCs/>
                <w:kern w:val="0"/>
                <w:szCs w:val="21"/>
                <w:highlight w:val="none"/>
              </w:rPr>
              <w:t>①安全通用要求</w:t>
            </w:r>
          </w:p>
          <w:p>
            <w:pPr>
              <w:widowControl/>
              <w:spacing w:line="440" w:lineRule="exact"/>
              <w:ind w:firstLine="420" w:firstLineChars="200"/>
              <w:rPr>
                <w:rFonts w:hint="eastAsia" w:ascii="宋体" w:hAnsi="宋体" w:eastAsia="宋体" w:cs="宋体"/>
                <w:kern w:val="0"/>
                <w:szCs w:val="21"/>
                <w:highlight w:val="none"/>
              </w:rPr>
            </w:pPr>
            <w:r>
              <w:rPr>
                <w:rFonts w:hint="eastAsia" w:ascii="宋体" w:hAnsi="宋体" w:eastAsia="宋体" w:cs="宋体"/>
                <w:kern w:val="0"/>
                <w:szCs w:val="21"/>
                <w:highlight w:val="none"/>
              </w:rPr>
              <w:t>安全通用要求测评内容应包括安全技术和安全管理两大类，其中技术类应包括对安全物理环境、安全通信网络、安全区域边界、安全计算环境、安全管理中心五个方面的测评，安全管理类测评应包括对安全管理制度、安全管理机构、安全管理人员、安全建设管理、安全运维管理五个方面的测评。</w:t>
            </w:r>
          </w:p>
          <w:p>
            <w:pPr>
              <w:widowControl/>
              <w:spacing w:line="440" w:lineRule="exact"/>
              <w:ind w:firstLine="420" w:firstLineChars="200"/>
              <w:rPr>
                <w:rFonts w:hint="eastAsia" w:ascii="宋体" w:hAnsi="宋体" w:eastAsia="宋体" w:cs="宋体"/>
                <w:bCs/>
                <w:kern w:val="0"/>
                <w:szCs w:val="21"/>
                <w:highlight w:val="none"/>
              </w:rPr>
            </w:pPr>
            <w:r>
              <w:rPr>
                <w:rFonts w:hint="eastAsia" w:ascii="宋体" w:hAnsi="宋体" w:eastAsia="宋体" w:cs="宋体"/>
                <w:bCs/>
                <w:kern w:val="0"/>
                <w:szCs w:val="21"/>
                <w:highlight w:val="none"/>
              </w:rPr>
              <w:t>②安全扩展要求</w:t>
            </w:r>
          </w:p>
          <w:p>
            <w:pPr>
              <w:widowControl/>
              <w:spacing w:line="440" w:lineRule="exact"/>
              <w:ind w:firstLine="420" w:firstLineChars="200"/>
              <w:rPr>
                <w:rFonts w:hint="eastAsia" w:ascii="宋体" w:hAnsi="宋体" w:eastAsia="宋体" w:cs="宋体"/>
                <w:kern w:val="0"/>
                <w:szCs w:val="21"/>
                <w:highlight w:val="none"/>
              </w:rPr>
            </w:pPr>
            <w:r>
              <w:rPr>
                <w:rFonts w:hint="eastAsia" w:ascii="宋体" w:hAnsi="宋体" w:eastAsia="宋体" w:cs="宋体"/>
                <w:kern w:val="0"/>
                <w:szCs w:val="21"/>
                <w:highlight w:val="none"/>
              </w:rPr>
              <w:t>应用了不同新技术的安全保护对象处于不同的应用场景中，面临不同的安全威胁，因此会有不同的安全需求，如本项目执行时发现等级保护对象涉及测评标准安全扩展要求（云计算、移动互联网、物联网、大数据、工业控制）方面内容的，则根据实际情况选定适用的安全扩展要求测评内容开展本项目测评工作。</w:t>
            </w:r>
          </w:p>
          <w:p>
            <w:pPr>
              <w:spacing w:line="440" w:lineRule="exact"/>
              <w:ind w:firstLine="420" w:firstLineChars="200"/>
              <w:rPr>
                <w:rFonts w:hint="eastAsia" w:ascii="宋体" w:hAnsi="宋体" w:eastAsia="宋体" w:cs="宋体"/>
                <w:b/>
                <w:bCs/>
                <w:kern w:val="0"/>
                <w:szCs w:val="21"/>
                <w:highlight w:val="none"/>
              </w:rPr>
            </w:pPr>
            <w:r>
              <w:rPr>
                <w:rFonts w:hint="eastAsia" w:ascii="宋体" w:hAnsi="宋体" w:eastAsia="宋体" w:cs="宋体"/>
                <w:kern w:val="0"/>
                <w:szCs w:val="21"/>
                <w:highlight w:val="none"/>
              </w:rPr>
              <w:t>③在等级保护测评过程中，应采用访谈、检查、测试、工具扫描等国际国内认可的先进方法和手段进行，并与国家相关规范及标准的要求相符。测评中必须采用专业的国内安全扫描设备及软件产品辅助测评工作的完成。</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kern w:val="0"/>
                <w:szCs w:val="21"/>
                <w:highlight w:val="none"/>
              </w:rPr>
              <w:t>④对信息系统进行验证测试和渗透测试，检测包括但不限于SQL注入和跨站脚本等常见安全漏洞，并提供漏洞修补建议，及时采取适当的处理措施进行修补，有效阻止安全隐患被利用和发生安全事件。</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、成果交付</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kern w:val="0"/>
                <w:szCs w:val="21"/>
                <w:highlight w:val="none"/>
              </w:rPr>
              <w:t>测评完成后，出具符合国家网络安全等级保护管理部门规范要求、公安机关认可的网络安全等级测评报告，纸质版3份，电子版1份。</w:t>
            </w:r>
          </w:p>
          <w:p>
            <w:pPr>
              <w:keepNext w:val="0"/>
              <w:keepLines w:val="0"/>
              <w:pageBreakBefore w:val="0"/>
              <w:widowControl/>
              <w:shd w:val="clear" w:color="auto" w:fill="auto"/>
              <w:kinsoku/>
              <w:wordWrap/>
              <w:overflowPunct/>
              <w:topLinePunct w:val="0"/>
              <w:autoSpaceDE/>
              <w:autoSpaceDN/>
              <w:bidi w:val="0"/>
              <w:adjustRightInd/>
              <w:snapToGrid/>
              <w:spacing w:line="380" w:lineRule="exact"/>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w:t>
            </w:r>
            <w:r>
              <w:rPr>
                <w:rFonts w:hint="eastAsia" w:ascii="宋体" w:hAnsi="宋体" w:eastAsia="宋体" w:cs="宋体"/>
                <w:b/>
                <w:color w:val="auto"/>
                <w:sz w:val="21"/>
                <w:szCs w:val="21"/>
                <w:highlight w:val="none"/>
                <w:lang w:eastAsia="zh-CN"/>
              </w:rPr>
              <w:t>成交供应商</w:t>
            </w:r>
            <w:r>
              <w:rPr>
                <w:rFonts w:hint="eastAsia" w:ascii="宋体" w:hAnsi="宋体" w:eastAsia="宋体" w:cs="宋体"/>
                <w:b/>
                <w:color w:val="auto"/>
                <w:sz w:val="21"/>
                <w:szCs w:val="21"/>
                <w:highlight w:val="none"/>
              </w:rPr>
              <w:t>必须签署相关保密协议，严格遵守协议要求。</w:t>
            </w:r>
          </w:p>
          <w:p>
            <w:pPr>
              <w:keepNext w:val="0"/>
              <w:keepLines w:val="0"/>
              <w:pageBreakBefore w:val="0"/>
              <w:widowControl/>
              <w:shd w:val="clear" w:color="auto" w:fill="auto"/>
              <w:kinsoku/>
              <w:wordWrap/>
              <w:overflowPunct/>
              <w:topLinePunct w:val="0"/>
              <w:autoSpaceDE/>
              <w:autoSpaceDN/>
              <w:bidi w:val="0"/>
              <w:adjustRightInd/>
              <w:snapToGrid/>
              <w:spacing w:line="380" w:lineRule="exact"/>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五、服务验收要求：</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供应商和用户负责人双方同时在场情况下，用户对供应商提交的等级保护测评相关文档及最终交付物进行审核。在审核过程中，若发现有短缺或不符合项目需求、合同条款和质量标准的情况，供应商将负责补齐、修改并再次提交，由此引起一切费用由供应商承担。</w:t>
            </w:r>
          </w:p>
          <w:p>
            <w:pPr>
              <w:keepNext w:val="0"/>
              <w:keepLines w:val="0"/>
              <w:pageBreakBefore w:val="0"/>
              <w:widowControl/>
              <w:shd w:val="clear" w:color="auto" w:fill="auto"/>
              <w:kinsoku/>
              <w:wordWrap/>
              <w:overflowPunct/>
              <w:topLinePunct w:val="0"/>
              <w:autoSpaceDE/>
              <w:autoSpaceDN/>
              <w:bidi w:val="0"/>
              <w:adjustRightInd/>
              <w:snapToGrid/>
              <w:spacing w:line="380" w:lineRule="exact"/>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六、交付要求：</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highlight w:val="none"/>
              </w:rPr>
              <w:t>本项目须根据网络安全等级保护测评要求，开展安全等级保护测评工作，测评完成后，提交有效的网络安全等级保护备案证明和出具符合等保2.0相关技术标准要求、国家网络安全等级保护管理部门规范要求,且公安机关认可的网络安全等级保护测评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3" w:type="dxa"/>
            <w:vMerge w:val="continue"/>
            <w:vAlign w:val="center"/>
          </w:tcPr>
          <w:p>
            <w:pPr>
              <w:spacing w:line="380" w:lineRule="exact"/>
              <w:jc w:val="center"/>
              <w:rPr>
                <w:rFonts w:hint="eastAsia" w:ascii="宋体" w:hAnsi="宋体" w:cs="宋体"/>
                <w:color w:val="auto"/>
                <w:szCs w:val="21"/>
              </w:rPr>
            </w:pPr>
          </w:p>
        </w:tc>
        <w:tc>
          <w:tcPr>
            <w:tcW w:w="596" w:type="dxa"/>
            <w:vAlign w:val="center"/>
          </w:tcPr>
          <w:p>
            <w:pPr>
              <w:spacing w:line="380" w:lineRule="exact"/>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2</w:t>
            </w:r>
          </w:p>
        </w:tc>
        <w:tc>
          <w:tcPr>
            <w:tcW w:w="1136" w:type="dxa"/>
            <w:vAlign w:val="center"/>
          </w:tcPr>
          <w:p>
            <w:pPr>
              <w:pageBreakBefore w:val="0"/>
              <w:kinsoku/>
              <w:wordWrap/>
              <w:overflowPunct/>
              <w:topLinePunct w:val="0"/>
              <w:autoSpaceDE/>
              <w:autoSpaceDN/>
              <w:bidi w:val="0"/>
              <w:snapToGrid w:val="0"/>
              <w:spacing w:line="240" w:lineRule="auto"/>
              <w:jc w:val="center"/>
              <w:outlineLvl w:val="0"/>
              <w:rPr>
                <w:rFonts w:hint="eastAsia" w:ascii="宋体" w:hAnsi="宋体" w:cs="宋体"/>
                <w:color w:val="auto"/>
                <w:szCs w:val="21"/>
              </w:rPr>
            </w:pPr>
            <w:r>
              <w:rPr>
                <w:rFonts w:hint="eastAsia" w:ascii="宋体" w:hAnsi="宋体" w:cs="宋体"/>
                <w:color w:val="auto"/>
                <w:szCs w:val="21"/>
              </w:rPr>
              <w:t>信息系统商用密码应用安全性评估服务</w:t>
            </w:r>
          </w:p>
        </w:tc>
        <w:tc>
          <w:tcPr>
            <w:tcW w:w="944" w:type="dxa"/>
            <w:vAlign w:val="center"/>
          </w:tcPr>
          <w:p>
            <w:pPr>
              <w:pageBreakBefore w:val="0"/>
              <w:kinsoku/>
              <w:wordWrap/>
              <w:overflowPunct/>
              <w:topLinePunct w:val="0"/>
              <w:autoSpaceDE/>
              <w:autoSpaceDN/>
              <w:bidi w:val="0"/>
              <w:snapToGrid w:val="0"/>
              <w:spacing w:line="240" w:lineRule="auto"/>
              <w:jc w:val="center"/>
              <w:outlineLvl w:val="0"/>
              <w:rPr>
                <w:rFonts w:hint="default" w:ascii="宋体" w:hAnsi="宋体" w:eastAsia="宋体" w:cs="宋体"/>
                <w:color w:val="auto"/>
                <w:szCs w:val="21"/>
                <w:lang w:val="en-US" w:eastAsia="zh-CN"/>
              </w:rPr>
            </w:pPr>
            <w:r>
              <w:rPr>
                <w:rFonts w:hint="default" w:ascii="宋体" w:hAnsi="宋体" w:eastAsia="宋体" w:cs="宋体"/>
                <w:color w:val="auto"/>
                <w:szCs w:val="21"/>
                <w:lang w:val="en-US" w:eastAsia="zh-CN"/>
              </w:rPr>
              <w:t>1项</w:t>
            </w:r>
          </w:p>
        </w:tc>
        <w:tc>
          <w:tcPr>
            <w:tcW w:w="6551" w:type="dxa"/>
            <w:vAlign w:val="center"/>
          </w:tcPr>
          <w:p>
            <w:pPr>
              <w:keepNext w:val="0"/>
              <w:keepLines w:val="0"/>
              <w:pageBreakBefore w:val="0"/>
              <w:widowControl/>
              <w:shd w:val="clear" w:color="auto" w:fill="auto"/>
              <w:kinsoku/>
              <w:wordWrap/>
              <w:overflowPunct/>
              <w:topLinePunct w:val="0"/>
              <w:autoSpaceDE/>
              <w:autoSpaceDN/>
              <w:bidi w:val="0"/>
              <w:adjustRightInd/>
              <w:snapToGrid/>
              <w:spacing w:line="380" w:lineRule="exact"/>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一、总体要求</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kern w:val="0"/>
                <w:szCs w:val="21"/>
                <w:highlight w:val="none"/>
              </w:rPr>
            </w:pPr>
            <w:r>
              <w:rPr>
                <w:rFonts w:hint="eastAsia" w:ascii="宋体" w:hAnsi="宋体" w:eastAsia="宋体" w:cs="宋体"/>
                <w:kern w:val="0"/>
                <w:szCs w:val="21"/>
                <w:highlight w:val="none"/>
              </w:rPr>
              <w:t>依据《中华</w:t>
            </w:r>
            <w:r>
              <w:rPr>
                <w:rFonts w:hint="eastAsia" w:ascii="宋体" w:hAnsi="宋体" w:eastAsia="宋体" w:cs="宋体"/>
                <w:kern w:val="0"/>
                <w:szCs w:val="21"/>
                <w:highlight w:val="none"/>
                <w:u w:val="none"/>
              </w:rPr>
              <w:t>人民共和国密码法》要求和系统自身的安全需求分析，对上联国家统计局主干网(三级系统)；广西大数据应用统计支撑平台(三级系统)；</w:t>
            </w:r>
            <w:r>
              <w:rPr>
                <w:rFonts w:hint="eastAsia" w:ascii="宋体" w:hAnsi="宋体" w:eastAsia="宋体" w:cs="宋体"/>
                <w:kern w:val="0"/>
                <w:szCs w:val="21"/>
                <w:highlight w:val="none"/>
                <w:u w:val="none"/>
                <w:lang w:eastAsia="zh-CN"/>
              </w:rPr>
              <w:t>广西</w:t>
            </w:r>
            <w:r>
              <w:rPr>
                <w:rFonts w:hint="eastAsia" w:ascii="宋体" w:hAnsi="宋体" w:eastAsia="宋体" w:cs="宋体"/>
                <w:kern w:val="0"/>
                <w:szCs w:val="21"/>
                <w:highlight w:val="none"/>
                <w:u w:val="none"/>
              </w:rPr>
              <w:t>第五次经济普查数据处理环境(三级系统)开展商用密码</w:t>
            </w:r>
            <w:r>
              <w:rPr>
                <w:rFonts w:hint="eastAsia" w:ascii="宋体" w:hAnsi="宋体" w:eastAsia="宋体" w:cs="宋体"/>
                <w:kern w:val="0"/>
                <w:szCs w:val="21"/>
                <w:highlight w:val="none"/>
                <w:u w:val="none"/>
                <w:lang w:eastAsia="zh-CN"/>
              </w:rPr>
              <w:t>应用</w:t>
            </w:r>
            <w:r>
              <w:rPr>
                <w:rFonts w:hint="eastAsia" w:ascii="宋体" w:hAnsi="宋体" w:eastAsia="宋体" w:cs="宋体"/>
                <w:kern w:val="0"/>
                <w:szCs w:val="21"/>
                <w:highlight w:val="none"/>
                <w:u w:val="none"/>
              </w:rPr>
              <w:t>安全性评估服务</w:t>
            </w:r>
            <w:r>
              <w:rPr>
                <w:rFonts w:hint="eastAsia" w:ascii="宋体" w:hAnsi="宋体" w:eastAsia="宋体" w:cs="宋体"/>
                <w:kern w:val="0"/>
                <w:szCs w:val="21"/>
                <w:highlight w:val="none"/>
              </w:rPr>
              <w:t>，并出具符合商用密码测评管理部门规范要求、密码局认可的安全性评估报告。</w:t>
            </w:r>
          </w:p>
          <w:p>
            <w:pPr>
              <w:keepNext w:val="0"/>
              <w:keepLines w:val="0"/>
              <w:pageBreakBefore w:val="0"/>
              <w:widowControl/>
              <w:shd w:val="clear" w:color="auto" w:fill="auto"/>
              <w:kinsoku/>
              <w:wordWrap/>
              <w:overflowPunct/>
              <w:topLinePunct w:val="0"/>
              <w:autoSpaceDE/>
              <w:autoSpaceDN/>
              <w:bidi w:val="0"/>
              <w:adjustRightInd/>
              <w:snapToGrid/>
              <w:spacing w:line="380" w:lineRule="exact"/>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二、依据标准</w:t>
            </w:r>
          </w:p>
          <w:p>
            <w:pPr>
              <w:keepNext w:val="0"/>
              <w:keepLines w:val="0"/>
              <w:pageBreakBefore w:val="0"/>
              <w:shd w:val="clear" w:color="auto" w:fill="auto"/>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《信息安全技术 信息系统密码应用基本要求》（GB/T 39786—2021）</w:t>
            </w:r>
          </w:p>
          <w:p>
            <w:pPr>
              <w:keepNext w:val="0"/>
              <w:keepLines w:val="0"/>
              <w:pageBreakBefore w:val="0"/>
              <w:shd w:val="clear" w:color="auto" w:fill="auto"/>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《信息系统密码应用测评要求》（GM/T 0115—2021）</w:t>
            </w:r>
          </w:p>
          <w:p>
            <w:pPr>
              <w:keepNext w:val="0"/>
              <w:keepLines w:val="0"/>
              <w:pageBreakBefore w:val="0"/>
              <w:shd w:val="clear" w:color="auto" w:fill="auto"/>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《信息系统密码应用测评过程指南》（GM/T 0116—2021）</w:t>
            </w:r>
          </w:p>
          <w:p>
            <w:pPr>
              <w:keepNext w:val="0"/>
              <w:keepLines w:val="0"/>
              <w:pageBreakBefore w:val="0"/>
              <w:shd w:val="clear" w:color="auto" w:fill="auto"/>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《商用密码应用安全性评估测评作业指导书（试行）》</w:t>
            </w:r>
          </w:p>
          <w:p>
            <w:pPr>
              <w:keepNext w:val="0"/>
              <w:keepLines w:val="0"/>
              <w:pageBreakBefore w:val="0"/>
              <w:shd w:val="clear" w:color="auto" w:fill="auto"/>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《信息系统密码应用高风险判定指引》</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《商用密码应用安全性评估量化评估规则》</w:t>
            </w:r>
          </w:p>
          <w:p>
            <w:pPr>
              <w:keepNext w:val="0"/>
              <w:keepLines w:val="0"/>
              <w:pageBreakBefore w:val="0"/>
              <w:widowControl/>
              <w:shd w:val="clear" w:color="auto" w:fill="auto"/>
              <w:kinsoku/>
              <w:wordWrap/>
              <w:overflowPunct/>
              <w:topLinePunct w:val="0"/>
              <w:autoSpaceDE/>
              <w:autoSpaceDN/>
              <w:bidi w:val="0"/>
              <w:adjustRightInd/>
              <w:snapToGrid/>
              <w:spacing w:line="380" w:lineRule="exact"/>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三、服务内容：</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2"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（一）安全咨询服务</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（1）安全培训服务</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项目实际需要，进行安全技术培训。结合实际需求，进行商用密码应用安全政策、法规、技术标准等内容的安全培训工作，完成商用密码应用安全政策的宣贯、提高相关工作人员的信息安全意识、信息安全技能等。</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（2）安全加固服务</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依据《信息安全技术 信息系统密码应用基本要求》《信息系统密码应用测评要求》《信息系统密码应用测评过程指南》等相关标准要求，对本次项目涉及的服务对象提供全过程督导咨询工作，并通过技术手段，对委托方的信息系统进行</w:t>
            </w:r>
            <w:r>
              <w:rPr>
                <w:rFonts w:hint="eastAsia" w:ascii="宋体" w:hAnsi="宋体" w:eastAsia="宋体" w:cs="宋体"/>
                <w:color w:val="auto"/>
                <w:sz w:val="21"/>
                <w:szCs w:val="21"/>
                <w:highlight w:val="none"/>
                <w:lang w:eastAsia="zh-CN"/>
              </w:rPr>
              <w:t>商用密码应用安全</w:t>
            </w:r>
            <w:r>
              <w:rPr>
                <w:rFonts w:hint="eastAsia" w:ascii="宋体" w:hAnsi="宋体" w:eastAsia="宋体" w:cs="宋体"/>
                <w:color w:val="auto"/>
                <w:sz w:val="21"/>
                <w:szCs w:val="21"/>
                <w:highlight w:val="none"/>
              </w:rPr>
              <w:t>合规性、策略性配置和专项加固（非硬件类采购、非授权服务类采购）。</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2"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（二）商用密码</w:t>
            </w:r>
            <w:r>
              <w:rPr>
                <w:rFonts w:hint="eastAsia" w:ascii="宋体" w:hAnsi="宋体" w:eastAsia="宋体" w:cs="宋体"/>
                <w:b/>
                <w:color w:val="auto"/>
                <w:sz w:val="21"/>
                <w:szCs w:val="21"/>
                <w:highlight w:val="none"/>
                <w:lang w:eastAsia="zh-CN"/>
              </w:rPr>
              <w:t>应用</w:t>
            </w:r>
            <w:r>
              <w:rPr>
                <w:rFonts w:hint="eastAsia" w:ascii="宋体" w:hAnsi="宋体" w:eastAsia="宋体" w:cs="宋体"/>
                <w:b/>
                <w:color w:val="auto"/>
                <w:sz w:val="21"/>
                <w:szCs w:val="21"/>
                <w:highlight w:val="none"/>
              </w:rPr>
              <w:t>安全性评估服务</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lang w:val="en-US" w:eastAsia="zh-CN"/>
              </w:rPr>
            </w:pPr>
            <w:bookmarkStart w:id="91" w:name="OLE_LINK61"/>
            <w:r>
              <w:rPr>
                <w:rFonts w:hint="eastAsia" w:ascii="宋体" w:hAnsi="宋体" w:eastAsia="宋体" w:cs="宋体"/>
                <w:color w:val="auto"/>
                <w:sz w:val="21"/>
                <w:szCs w:val="21"/>
                <w:highlight w:val="none"/>
              </w:rPr>
              <w:t>委托具有商用密码应用安全性评估资质的第三方机构</w:t>
            </w:r>
            <w:bookmarkEnd w:id="91"/>
            <w:r>
              <w:rPr>
                <w:rFonts w:hint="eastAsia" w:ascii="宋体" w:hAnsi="宋体" w:eastAsia="宋体" w:cs="宋体"/>
                <w:color w:val="auto"/>
                <w:sz w:val="21"/>
                <w:szCs w:val="21"/>
                <w:highlight w:val="none"/>
              </w:rPr>
              <w:t>，依据《信息安全技术 信息系统密码应用基本要求》（GB/T 39786—2021）等相关标准,对平台及信息系统的定级对象进行商用密码</w:t>
            </w:r>
            <w:r>
              <w:rPr>
                <w:rFonts w:hint="eastAsia" w:ascii="宋体" w:hAnsi="宋体" w:eastAsia="宋体" w:cs="宋体"/>
                <w:color w:val="auto"/>
                <w:sz w:val="21"/>
                <w:szCs w:val="21"/>
                <w:highlight w:val="none"/>
                <w:lang w:eastAsia="zh-CN"/>
              </w:rPr>
              <w:t>应用</w:t>
            </w:r>
            <w:r>
              <w:rPr>
                <w:rFonts w:hint="eastAsia" w:ascii="宋体" w:hAnsi="宋体" w:eastAsia="宋体" w:cs="宋体"/>
                <w:color w:val="auto"/>
                <w:sz w:val="21"/>
                <w:szCs w:val="21"/>
                <w:highlight w:val="none"/>
              </w:rPr>
              <w:t>安全性评估工作。</w:t>
            </w:r>
            <w:r>
              <w:rPr>
                <w:rFonts w:hint="eastAsia" w:ascii="宋体" w:hAnsi="宋体" w:eastAsia="宋体" w:cs="宋体"/>
                <w:color w:val="auto"/>
                <w:sz w:val="21"/>
                <w:szCs w:val="21"/>
                <w:highlight w:val="none"/>
                <w:lang w:val="en-US" w:eastAsia="zh-CN"/>
              </w:rPr>
              <w:t xml:space="preserve"> </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评估内容</w:t>
            </w:r>
          </w:p>
          <w:p>
            <w:pPr>
              <w:keepNext w:val="0"/>
              <w:keepLines w:val="0"/>
              <w:pageBreakBefore w:val="0"/>
              <w:widowControl/>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bCs/>
                <w:kern w:val="0"/>
                <w:szCs w:val="21"/>
                <w:highlight w:val="none"/>
              </w:rPr>
            </w:pPr>
            <w:r>
              <w:rPr>
                <w:rFonts w:hint="eastAsia" w:ascii="宋体" w:hAnsi="宋体" w:eastAsia="宋体" w:cs="宋体"/>
                <w:bCs/>
                <w:kern w:val="0"/>
                <w:szCs w:val="21"/>
                <w:highlight w:val="none"/>
              </w:rPr>
              <w:t>①通用要求测评</w:t>
            </w:r>
          </w:p>
          <w:p>
            <w:pPr>
              <w:keepNext w:val="0"/>
              <w:keepLines w:val="0"/>
              <w:pageBreakBefore w:val="0"/>
              <w:widowControl/>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bCs/>
                <w:kern w:val="0"/>
                <w:szCs w:val="21"/>
                <w:highlight w:val="none"/>
              </w:rPr>
            </w:pPr>
            <w:r>
              <w:rPr>
                <w:rFonts w:hint="eastAsia" w:ascii="宋体" w:hAnsi="宋体" w:eastAsia="宋体" w:cs="宋体"/>
                <w:bCs/>
                <w:kern w:val="0"/>
                <w:szCs w:val="21"/>
                <w:highlight w:val="none"/>
              </w:rPr>
              <w:t>核查信息系统中使用的密码算法、密码技术、密码产品和密码服务是否满足国家密码管理的相关标准或规范要求。</w:t>
            </w:r>
          </w:p>
          <w:p>
            <w:pPr>
              <w:keepNext w:val="0"/>
              <w:keepLines w:val="0"/>
              <w:pageBreakBefore w:val="0"/>
              <w:widowControl/>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bCs/>
                <w:kern w:val="0"/>
                <w:szCs w:val="21"/>
                <w:highlight w:val="none"/>
              </w:rPr>
            </w:pPr>
            <w:r>
              <w:rPr>
                <w:rFonts w:hint="eastAsia" w:ascii="宋体" w:hAnsi="宋体" w:eastAsia="宋体" w:cs="宋体"/>
                <w:bCs/>
                <w:kern w:val="0"/>
                <w:szCs w:val="21"/>
                <w:highlight w:val="none"/>
              </w:rPr>
              <w:t>②密码技术应用要求测评</w:t>
            </w:r>
          </w:p>
          <w:p>
            <w:pPr>
              <w:keepNext w:val="0"/>
              <w:keepLines w:val="0"/>
              <w:pageBreakBefore w:val="0"/>
              <w:widowControl/>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bCs/>
                <w:kern w:val="0"/>
                <w:szCs w:val="21"/>
                <w:highlight w:val="none"/>
              </w:rPr>
            </w:pPr>
            <w:r>
              <w:rPr>
                <w:rFonts w:hint="eastAsia" w:ascii="宋体" w:hAnsi="宋体" w:eastAsia="宋体" w:cs="宋体"/>
                <w:bCs/>
                <w:kern w:val="0"/>
                <w:szCs w:val="21"/>
                <w:highlight w:val="none"/>
              </w:rPr>
              <w:t>具体包括物理和环境安全测评、网络和通信安全测评、设备和计算安全测评、应用和数据安全测评，验证不同安全等级信息系统的密码应用是否达到相应安全等级的安全保护能力、是否满足相应安全等级的保护要求。</w:t>
            </w:r>
          </w:p>
          <w:p>
            <w:pPr>
              <w:keepNext w:val="0"/>
              <w:keepLines w:val="0"/>
              <w:pageBreakBefore w:val="0"/>
              <w:widowControl/>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bCs/>
                <w:kern w:val="0"/>
                <w:szCs w:val="21"/>
                <w:highlight w:val="none"/>
              </w:rPr>
            </w:pPr>
            <w:r>
              <w:rPr>
                <w:rFonts w:hint="eastAsia" w:ascii="宋体" w:hAnsi="宋体" w:eastAsia="宋体" w:cs="宋体"/>
                <w:bCs/>
                <w:kern w:val="0"/>
                <w:szCs w:val="21"/>
                <w:highlight w:val="none"/>
              </w:rPr>
              <w:t>③安全管理测评</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kern w:val="0"/>
                <w:szCs w:val="21"/>
                <w:highlight w:val="none"/>
              </w:rPr>
            </w:pPr>
            <w:r>
              <w:rPr>
                <w:rFonts w:hint="eastAsia" w:ascii="宋体" w:hAnsi="宋体" w:eastAsia="宋体" w:cs="宋体"/>
                <w:bCs/>
                <w:kern w:val="0"/>
                <w:szCs w:val="21"/>
                <w:highlight w:val="none"/>
              </w:rPr>
              <w:t>从制度、人员、实施和应急四个方面进行安全管理测评，验证信息系统安全管理机制是否完善，是否能够确保密码技术被合规、正确、有效地实施</w:t>
            </w:r>
            <w:r>
              <w:rPr>
                <w:rFonts w:hint="eastAsia" w:ascii="宋体" w:hAnsi="宋体" w:eastAsia="宋体" w:cs="宋体"/>
                <w:kern w:val="0"/>
                <w:szCs w:val="21"/>
                <w:highlight w:val="none"/>
              </w:rPr>
              <w:t>。</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、成果交付</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kern w:val="0"/>
                <w:szCs w:val="21"/>
                <w:highlight w:val="none"/>
              </w:rPr>
            </w:pPr>
            <w:r>
              <w:rPr>
                <w:rFonts w:hint="eastAsia" w:ascii="宋体" w:hAnsi="宋体" w:eastAsia="宋体" w:cs="宋体"/>
                <w:kern w:val="0"/>
                <w:szCs w:val="21"/>
                <w:highlight w:val="none"/>
              </w:rPr>
              <w:t>出具符合国家密码安全主管部门规范要求、区域相关密码局认可、符合商用密码安全技术标准要求的商用密码应用安全性评估报告，纸质版3份，电子版1份。</w:t>
            </w:r>
          </w:p>
          <w:p>
            <w:pPr>
              <w:keepNext w:val="0"/>
              <w:keepLines w:val="0"/>
              <w:pageBreakBefore w:val="0"/>
              <w:widowControl/>
              <w:shd w:val="clear" w:color="auto" w:fill="auto"/>
              <w:kinsoku/>
              <w:wordWrap/>
              <w:overflowPunct/>
              <w:topLinePunct w:val="0"/>
              <w:autoSpaceDE/>
              <w:autoSpaceDN/>
              <w:bidi w:val="0"/>
              <w:adjustRightInd/>
              <w:snapToGrid/>
              <w:spacing w:line="380" w:lineRule="exact"/>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w:t>
            </w:r>
            <w:r>
              <w:rPr>
                <w:rFonts w:hint="eastAsia" w:ascii="宋体" w:hAnsi="宋体" w:eastAsia="宋体" w:cs="宋体"/>
                <w:b/>
                <w:color w:val="auto"/>
                <w:sz w:val="21"/>
                <w:szCs w:val="21"/>
                <w:highlight w:val="none"/>
                <w:lang w:eastAsia="zh-CN"/>
              </w:rPr>
              <w:t>成交供应商</w:t>
            </w:r>
            <w:r>
              <w:rPr>
                <w:rFonts w:hint="eastAsia" w:ascii="宋体" w:hAnsi="宋体" w:eastAsia="宋体" w:cs="宋体"/>
                <w:b/>
                <w:color w:val="auto"/>
                <w:sz w:val="21"/>
                <w:szCs w:val="21"/>
                <w:highlight w:val="none"/>
              </w:rPr>
              <w:t>必须签署相关保密协议，严格遵守协议要求。</w:t>
            </w:r>
          </w:p>
          <w:p>
            <w:pPr>
              <w:keepNext w:val="0"/>
              <w:keepLines w:val="0"/>
              <w:pageBreakBefore w:val="0"/>
              <w:widowControl/>
              <w:shd w:val="clear" w:color="auto" w:fill="auto"/>
              <w:kinsoku/>
              <w:wordWrap/>
              <w:overflowPunct/>
              <w:topLinePunct w:val="0"/>
              <w:autoSpaceDE/>
              <w:autoSpaceDN/>
              <w:bidi w:val="0"/>
              <w:adjustRightInd/>
              <w:snapToGrid/>
              <w:spacing w:line="380" w:lineRule="exact"/>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五、服务验收要求：</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在成交供应商和用户负责人双方同时在场情况下，用户对成交供应商提交的</w:t>
            </w:r>
            <w:r>
              <w:rPr>
                <w:rFonts w:hint="eastAsia" w:ascii="宋体" w:hAnsi="宋体" w:eastAsia="宋体" w:cs="宋体"/>
                <w:color w:val="auto"/>
                <w:sz w:val="21"/>
                <w:szCs w:val="21"/>
                <w:highlight w:val="none"/>
                <w:lang w:eastAsia="zh-CN"/>
              </w:rPr>
              <w:t>商用密码应用安全性评估</w:t>
            </w:r>
            <w:r>
              <w:rPr>
                <w:rFonts w:hint="eastAsia" w:ascii="宋体" w:hAnsi="宋体" w:eastAsia="宋体" w:cs="宋体"/>
                <w:color w:val="auto"/>
                <w:sz w:val="21"/>
                <w:szCs w:val="21"/>
                <w:highlight w:val="none"/>
              </w:rPr>
              <w:t>相关文档及最终交付物进行审核。在审核过程中，若发现有短缺或不符合项目需求、合同条款和质量标准的情况，成交供应商将负责补齐、修改并再次提交，由此引起一切费用由成交供应商承担。</w:t>
            </w:r>
          </w:p>
          <w:p>
            <w:pPr>
              <w:keepNext w:val="0"/>
              <w:keepLines w:val="0"/>
              <w:pageBreakBefore w:val="0"/>
              <w:widowControl/>
              <w:shd w:val="clear" w:color="auto" w:fill="auto"/>
              <w:kinsoku/>
              <w:wordWrap/>
              <w:overflowPunct/>
              <w:topLinePunct w:val="0"/>
              <w:autoSpaceDE/>
              <w:autoSpaceDN/>
              <w:bidi w:val="0"/>
              <w:adjustRightInd/>
              <w:snapToGrid/>
              <w:spacing w:line="380" w:lineRule="exact"/>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六、交付要求：</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highlight w:val="none"/>
              </w:rPr>
              <w:t>本项目须根据</w:t>
            </w:r>
            <w:r>
              <w:rPr>
                <w:rFonts w:hint="eastAsia" w:ascii="宋体" w:hAnsi="宋体" w:eastAsia="宋体" w:cs="宋体"/>
                <w:color w:val="auto"/>
                <w:sz w:val="21"/>
                <w:szCs w:val="21"/>
                <w:highlight w:val="none"/>
                <w:lang w:eastAsia="zh-CN"/>
              </w:rPr>
              <w:t>商用密码应用安全性评估</w:t>
            </w:r>
            <w:r>
              <w:rPr>
                <w:rFonts w:hint="eastAsia" w:ascii="宋体" w:hAnsi="宋体" w:eastAsia="宋体" w:cs="宋体"/>
                <w:color w:val="auto"/>
                <w:sz w:val="21"/>
                <w:szCs w:val="21"/>
                <w:highlight w:val="none"/>
              </w:rPr>
              <w:t>要求，开展</w:t>
            </w:r>
            <w:r>
              <w:rPr>
                <w:rFonts w:hint="eastAsia" w:ascii="宋体" w:hAnsi="宋体" w:eastAsia="宋体" w:cs="宋体"/>
                <w:color w:val="auto"/>
                <w:sz w:val="21"/>
                <w:szCs w:val="21"/>
                <w:highlight w:val="none"/>
                <w:lang w:eastAsia="zh-CN"/>
              </w:rPr>
              <w:t>商用密码应用安全性评估</w:t>
            </w:r>
            <w:r>
              <w:rPr>
                <w:rFonts w:hint="eastAsia" w:ascii="宋体" w:hAnsi="宋体" w:eastAsia="宋体" w:cs="宋体"/>
                <w:color w:val="auto"/>
                <w:sz w:val="21"/>
                <w:szCs w:val="21"/>
                <w:highlight w:val="none"/>
              </w:rPr>
              <w:t>工作，测评完成后，提交</w:t>
            </w:r>
            <w:r>
              <w:rPr>
                <w:rFonts w:hint="eastAsia" w:ascii="宋体" w:hAnsi="宋体" w:eastAsia="宋体" w:cs="宋体"/>
                <w:kern w:val="0"/>
                <w:szCs w:val="21"/>
                <w:highlight w:val="none"/>
              </w:rPr>
              <w:t>符合国家密码安全主管部门规范要求、区域相关密码局认可、符合商用密码安全技术标准要求的商用密码应用安全性评估报告</w:t>
            </w:r>
            <w:r>
              <w:rPr>
                <w:rFonts w:hint="eastAsia" w:ascii="宋体" w:hAnsi="宋体" w:eastAsia="宋体" w:cs="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3" w:type="dxa"/>
            <w:vAlign w:val="center"/>
          </w:tcPr>
          <w:p>
            <w:pPr>
              <w:pStyle w:val="23"/>
              <w:spacing w:line="360" w:lineRule="exact"/>
              <w:jc w:val="center"/>
              <w:rPr>
                <w:rFonts w:hint="eastAsia" w:ascii="宋体" w:hAnsi="宋体" w:eastAsia="宋体" w:cs="宋体"/>
                <w:color w:val="auto"/>
                <w:sz w:val="21"/>
                <w:szCs w:val="21"/>
              </w:rPr>
            </w:pPr>
            <w:r>
              <w:rPr>
                <w:rFonts w:hint="eastAsia" w:ascii="宋体" w:hAnsi="宋体" w:eastAsia="宋体" w:cs="宋体"/>
                <w:b/>
                <w:bCs/>
                <w:color w:val="auto"/>
                <w:sz w:val="21"/>
                <w:szCs w:val="21"/>
              </w:rPr>
              <w:t>商务条款</w:t>
            </w:r>
          </w:p>
        </w:tc>
        <w:tc>
          <w:tcPr>
            <w:tcW w:w="9227" w:type="dxa"/>
            <w:gridSpan w:val="4"/>
            <w:vAlign w:val="center"/>
          </w:tcPr>
          <w:p>
            <w:pPr>
              <w:pStyle w:val="23"/>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规范标准：</w:t>
            </w:r>
          </w:p>
          <w:p>
            <w:pPr>
              <w:pStyle w:val="23"/>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采购标的需执行的国家标准、行业标准、地方标准或者其他标准、规范。</w:t>
            </w:r>
          </w:p>
          <w:p>
            <w:pPr>
              <w:pStyle w:val="23"/>
              <w:rPr>
                <w:rFonts w:hint="eastAsia" w:ascii="宋体" w:hAnsi="宋体" w:eastAsia="宋体" w:cs="宋体"/>
                <w:color w:val="auto"/>
                <w:sz w:val="21"/>
                <w:szCs w:val="21"/>
                <w:lang w:val="en-US" w:eastAsia="zh-CN"/>
              </w:rPr>
            </w:pPr>
          </w:p>
          <w:p>
            <w:pPr>
              <w:pStyle w:val="23"/>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服务期限及地点：</w:t>
            </w:r>
          </w:p>
          <w:p>
            <w:pPr>
              <w:pStyle w:val="23"/>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ab/>
            </w:r>
            <w:r>
              <w:rPr>
                <w:rFonts w:hint="eastAsia" w:ascii="宋体" w:hAnsi="宋体" w:eastAsia="宋体" w:cs="宋体"/>
                <w:color w:val="auto"/>
                <w:sz w:val="21"/>
                <w:szCs w:val="21"/>
                <w:lang w:val="en-US" w:eastAsia="zh-CN"/>
              </w:rPr>
              <w:t>服务期限：合同生效后，采购人通知进场之日起60个工作日之内完成。出具网络安全等级保护测评报告</w:t>
            </w:r>
            <w:r>
              <w:rPr>
                <w:rFonts w:hint="eastAsia" w:ascii="宋体" w:hAnsi="宋体" w:cs="宋体"/>
                <w:color w:val="auto"/>
                <w:sz w:val="21"/>
                <w:szCs w:val="21"/>
                <w:lang w:val="en-US" w:eastAsia="zh-CN"/>
              </w:rPr>
              <w:t>和</w:t>
            </w:r>
            <w:r>
              <w:rPr>
                <w:rFonts w:hint="eastAsia" w:ascii="宋体" w:hAnsi="宋体" w:eastAsia="宋体" w:cs="宋体"/>
                <w:color w:val="auto"/>
                <w:sz w:val="21"/>
                <w:szCs w:val="21"/>
                <w:highlight w:val="none"/>
              </w:rPr>
              <w:t>商用密码</w:t>
            </w:r>
            <w:r>
              <w:rPr>
                <w:rFonts w:hint="eastAsia" w:ascii="宋体" w:hAnsi="宋体" w:eastAsia="宋体" w:cs="宋体"/>
                <w:color w:val="auto"/>
                <w:sz w:val="21"/>
                <w:szCs w:val="21"/>
                <w:highlight w:val="none"/>
                <w:lang w:eastAsia="zh-CN"/>
              </w:rPr>
              <w:t>应用</w:t>
            </w:r>
            <w:r>
              <w:rPr>
                <w:rFonts w:hint="eastAsia" w:ascii="宋体" w:hAnsi="宋体" w:eastAsia="宋体" w:cs="宋体"/>
                <w:color w:val="auto"/>
                <w:sz w:val="21"/>
                <w:szCs w:val="21"/>
                <w:highlight w:val="none"/>
              </w:rPr>
              <w:t>安全性评估</w:t>
            </w:r>
            <w:r>
              <w:rPr>
                <w:rFonts w:hint="eastAsia" w:ascii="宋体" w:hAnsi="宋体" w:cs="宋体"/>
                <w:color w:val="auto"/>
                <w:sz w:val="21"/>
                <w:szCs w:val="21"/>
                <w:highlight w:val="none"/>
                <w:lang w:eastAsia="zh-CN"/>
              </w:rPr>
              <w:t>报告</w:t>
            </w:r>
            <w:r>
              <w:rPr>
                <w:rFonts w:hint="eastAsia" w:ascii="宋体" w:hAnsi="宋体" w:eastAsia="宋体" w:cs="宋体"/>
                <w:color w:val="auto"/>
                <w:sz w:val="21"/>
                <w:szCs w:val="21"/>
                <w:lang w:val="en-US" w:eastAsia="zh-CN"/>
              </w:rPr>
              <w:t>并验收合格后，服务结束。</w:t>
            </w:r>
          </w:p>
          <w:p>
            <w:pPr>
              <w:pStyle w:val="23"/>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服务地点：广西南宁市内采购人指定地点。</w:t>
            </w:r>
          </w:p>
          <w:p>
            <w:pPr>
              <w:pStyle w:val="23"/>
              <w:rPr>
                <w:rFonts w:hint="eastAsia" w:ascii="宋体" w:hAnsi="宋体" w:eastAsia="宋体" w:cs="宋体"/>
                <w:color w:val="auto"/>
                <w:sz w:val="21"/>
                <w:szCs w:val="21"/>
                <w:lang w:val="en-US" w:eastAsia="zh-CN"/>
              </w:rPr>
            </w:pPr>
          </w:p>
          <w:p>
            <w:pPr>
              <w:pStyle w:val="23"/>
              <w:rPr>
                <w:rFonts w:hint="eastAsia" w:ascii="宋体" w:hAnsi="宋体" w:eastAsia="宋体" w:cs="宋体"/>
                <w:b/>
                <w:bCs/>
                <w:color w:val="auto"/>
                <w:sz w:val="21"/>
                <w:szCs w:val="21"/>
                <w:lang w:val="en-US" w:eastAsia="zh-CN"/>
              </w:rPr>
            </w:pPr>
            <w:bookmarkStart w:id="92" w:name="OLE_LINK11"/>
            <w:r>
              <w:rPr>
                <w:rFonts w:hint="eastAsia" w:ascii="宋体" w:hAnsi="宋体" w:eastAsia="宋体" w:cs="宋体"/>
                <w:b/>
                <w:bCs/>
                <w:color w:val="auto"/>
                <w:sz w:val="21"/>
                <w:szCs w:val="21"/>
                <w:lang w:val="en-US" w:eastAsia="zh-CN"/>
              </w:rPr>
              <w:t>付款方式</w:t>
            </w:r>
            <w:bookmarkEnd w:id="92"/>
            <w:r>
              <w:rPr>
                <w:rFonts w:hint="eastAsia" w:ascii="宋体" w:hAnsi="宋体" w:eastAsia="宋体" w:cs="宋体"/>
                <w:b/>
                <w:bCs/>
                <w:color w:val="auto"/>
                <w:sz w:val="21"/>
                <w:szCs w:val="21"/>
                <w:lang w:val="en-US" w:eastAsia="zh-CN"/>
              </w:rPr>
              <w:t>：</w:t>
            </w:r>
          </w:p>
          <w:p>
            <w:pPr>
              <w:pStyle w:val="23"/>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在合同签订后10个工作日内，成交供应商</w:t>
            </w:r>
            <w:bookmarkStart w:id="93" w:name="OLE_LINK12"/>
            <w:r>
              <w:rPr>
                <w:rFonts w:hint="eastAsia" w:ascii="宋体" w:hAnsi="宋体" w:eastAsia="宋体" w:cs="宋体"/>
                <w:color w:val="auto"/>
                <w:sz w:val="21"/>
                <w:szCs w:val="21"/>
                <w:lang w:val="en-US" w:eastAsia="zh-CN"/>
              </w:rPr>
              <w:t>向采</w:t>
            </w:r>
            <w:bookmarkStart w:id="94" w:name="OLE_LINK59"/>
            <w:r>
              <w:rPr>
                <w:rFonts w:hint="eastAsia" w:ascii="宋体" w:hAnsi="宋体" w:eastAsia="宋体" w:cs="宋体"/>
                <w:color w:val="auto"/>
                <w:sz w:val="21"/>
                <w:szCs w:val="21"/>
                <w:lang w:val="en-US" w:eastAsia="zh-CN"/>
              </w:rPr>
              <w:t>购人提交初步工作方</w:t>
            </w:r>
            <w:bookmarkEnd w:id="94"/>
            <w:r>
              <w:rPr>
                <w:rFonts w:hint="eastAsia" w:ascii="宋体" w:hAnsi="宋体" w:eastAsia="宋体" w:cs="宋体"/>
                <w:color w:val="auto"/>
                <w:sz w:val="21"/>
                <w:szCs w:val="21"/>
                <w:lang w:val="en-US" w:eastAsia="zh-CN"/>
              </w:rPr>
              <w:t>案</w:t>
            </w:r>
            <w:bookmarkEnd w:id="93"/>
            <w:r>
              <w:rPr>
                <w:rFonts w:hint="eastAsia" w:ascii="宋体" w:hAnsi="宋体" w:eastAsia="宋体" w:cs="宋体"/>
                <w:color w:val="auto"/>
                <w:sz w:val="21"/>
                <w:szCs w:val="21"/>
                <w:lang w:val="en-US" w:eastAsia="zh-CN"/>
              </w:rPr>
              <w:t>。采购人确认工作方案后，向成交供应商支付合同价款的70%。服务工作完成并出具测评报告后，采购人在10个工作日内向成交供应商支付合同余款（验收工作如需外聘专家，专家评审费由成交供应商承担）。</w:t>
            </w:r>
          </w:p>
          <w:p>
            <w:pPr>
              <w:pStyle w:val="23"/>
              <w:rPr>
                <w:rFonts w:hint="eastAsia" w:ascii="宋体" w:hAnsi="宋体" w:eastAsia="宋体" w:cs="宋体"/>
                <w:color w:val="auto"/>
                <w:sz w:val="21"/>
                <w:szCs w:val="21"/>
                <w:lang w:val="en-US" w:eastAsia="zh-CN"/>
              </w:rPr>
            </w:pPr>
          </w:p>
          <w:p>
            <w:pPr>
              <w:pStyle w:val="23"/>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其它要求：</w:t>
            </w:r>
          </w:p>
          <w:p>
            <w:pPr>
              <w:pStyle w:val="23"/>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1</w:t>
            </w:r>
            <w:r>
              <w:rPr>
                <w:rFonts w:hint="eastAsia" w:ascii="宋体" w:hAnsi="宋体" w:eastAsia="宋体" w:cs="宋体"/>
                <w:color w:val="auto"/>
                <w:sz w:val="21"/>
                <w:szCs w:val="21"/>
                <w:lang w:val="en-US" w:eastAsia="zh-CN"/>
              </w:rPr>
              <w:t>、验收要求及标准：根据采购需求的要求进行验收。</w:t>
            </w:r>
          </w:p>
          <w:p>
            <w:pPr>
              <w:pStyle w:val="23"/>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2</w:t>
            </w:r>
            <w:r>
              <w:rPr>
                <w:rFonts w:hint="eastAsia" w:ascii="宋体" w:hAnsi="宋体" w:eastAsia="宋体" w:cs="宋体"/>
                <w:color w:val="auto"/>
                <w:sz w:val="21"/>
                <w:szCs w:val="21"/>
                <w:lang w:val="en-US" w:eastAsia="zh-CN"/>
              </w:rPr>
              <w:t>、供应商必须具备公安部第三研究所颁发的</w:t>
            </w:r>
            <w:bookmarkStart w:id="95" w:name="OLE_LINK63"/>
            <w:r>
              <w:rPr>
                <w:rFonts w:hint="eastAsia" w:ascii="宋体" w:hAnsi="宋体" w:eastAsia="宋体" w:cs="宋体"/>
                <w:color w:val="auto"/>
                <w:sz w:val="21"/>
                <w:szCs w:val="21"/>
                <w:lang w:val="en-US" w:eastAsia="zh-CN"/>
              </w:rPr>
              <w:t>网络安全等级测评与检测评估机构服务认证证书</w:t>
            </w:r>
            <w:bookmarkEnd w:id="95"/>
            <w:r>
              <w:rPr>
                <w:rFonts w:hint="eastAsia" w:ascii="宋体" w:hAnsi="宋体" w:eastAsia="宋体" w:cs="宋体"/>
                <w:color w:val="auto"/>
                <w:sz w:val="21"/>
                <w:szCs w:val="21"/>
                <w:lang w:val="en-US" w:eastAsia="zh-CN"/>
              </w:rPr>
              <w:t>；</w:t>
            </w:r>
          </w:p>
          <w:p>
            <w:pPr>
              <w:pStyle w:val="23"/>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val="en-US" w:eastAsia="zh-CN"/>
              </w:rPr>
              <w:t>、成交供应商须独立承担并自行实施本项目的等级保护测评和商用密码应用安全性评估的全部工作。所有提交的正式测评报告（含最终报告、过程文档等要求盖章的报告）必须加盖成交供应商的法定名称章（公章）。测评服务（包括但不限于现场测评、报告编制、报告审核及盖章）属于本项目的核心服务内容，不得进行</w:t>
            </w:r>
            <w:bookmarkStart w:id="96" w:name="OLE_LINK62"/>
            <w:r>
              <w:rPr>
                <w:rFonts w:hint="eastAsia" w:ascii="宋体" w:hAnsi="宋体" w:eastAsia="宋体" w:cs="宋体"/>
                <w:color w:val="auto"/>
                <w:sz w:val="21"/>
                <w:szCs w:val="21"/>
                <w:lang w:val="en-US" w:eastAsia="zh-CN"/>
              </w:rPr>
              <w:t>分包</w:t>
            </w:r>
            <w:bookmarkEnd w:id="96"/>
            <w:r>
              <w:rPr>
                <w:rFonts w:hint="eastAsia" w:ascii="宋体" w:hAnsi="宋体" w:eastAsia="宋体" w:cs="宋体"/>
                <w:color w:val="auto"/>
                <w:sz w:val="21"/>
                <w:szCs w:val="21"/>
                <w:lang w:val="en-US" w:eastAsia="zh-CN"/>
              </w:rPr>
              <w:t>或转包。</w:t>
            </w:r>
          </w:p>
          <w:p>
            <w:pPr>
              <w:pStyle w:val="23"/>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4</w:t>
            </w:r>
            <w:r>
              <w:rPr>
                <w:rFonts w:hint="eastAsia" w:ascii="宋体" w:hAnsi="宋体" w:eastAsia="宋体" w:cs="宋体"/>
                <w:color w:val="auto"/>
                <w:sz w:val="21"/>
                <w:szCs w:val="21"/>
                <w:lang w:val="en-US" w:eastAsia="zh-CN"/>
              </w:rPr>
              <w:t>、合同签订后，成交供应商必须与采购人签订保密协议，以确保本项目建设的所有数据及资料保密安全。</w:t>
            </w:r>
          </w:p>
        </w:tc>
      </w:tr>
    </w:tbl>
    <w:p>
      <w:pPr>
        <w:rPr>
          <w:rFonts w:hint="eastAsia" w:ascii="Arial Unicode MS" w:hAnsi="Arial Unicode MS" w:eastAsia="Arial Unicode MS" w:cs="Arial Unicode MS"/>
          <w:color w:val="auto"/>
          <w:sz w:val="32"/>
          <w:szCs w:val="32"/>
        </w:rPr>
      </w:pPr>
      <w:r>
        <w:rPr>
          <w:rFonts w:hint="eastAsia" w:ascii="Arial Unicode MS" w:hAnsi="Arial Unicode MS" w:eastAsia="Arial Unicode MS" w:cs="Arial Unicode MS"/>
          <w:color w:val="auto"/>
          <w:sz w:val="32"/>
          <w:szCs w:val="32"/>
        </w:rPr>
        <w:br w:type="page"/>
      </w:r>
    </w:p>
    <w:p>
      <w:pPr>
        <w:ind w:left="119"/>
        <w:rPr>
          <w:rFonts w:ascii="宋体" w:hAnsi="宋体" w:eastAsia="宋体" w:cs="宋体"/>
          <w:color w:val="auto"/>
          <w:sz w:val="32"/>
          <w:szCs w:val="32"/>
        </w:rPr>
      </w:pPr>
      <w:bookmarkStart w:id="97" w:name="_Toc3319"/>
      <w:bookmarkStart w:id="98" w:name="_Toc80886927"/>
      <w:r>
        <w:rPr>
          <w:rFonts w:hint="eastAsia" w:ascii="宋体" w:hAnsi="宋体" w:eastAsia="宋体" w:cs="宋体"/>
          <w:color w:val="auto"/>
          <w:sz w:val="32"/>
          <w:szCs w:val="32"/>
        </w:rPr>
        <w:t>附件1：</w:t>
      </w:r>
    </w:p>
    <w:p>
      <w:pPr>
        <w:widowControl/>
        <w:jc w:val="center"/>
        <w:rPr>
          <w:rFonts w:ascii="宋体" w:hAnsi="宋体" w:eastAsia="宋体" w:cs="宋体"/>
          <w:b/>
          <w:bCs/>
          <w:color w:val="auto"/>
          <w:kern w:val="0"/>
          <w:sz w:val="30"/>
          <w:szCs w:val="30"/>
        </w:rPr>
      </w:pPr>
      <w:bookmarkStart w:id="99" w:name="_Toc28361_WPSOffice_Level2"/>
      <w:r>
        <w:rPr>
          <w:rFonts w:hint="eastAsia" w:ascii="宋体" w:hAnsi="宋体" w:eastAsia="宋体" w:cs="宋体"/>
          <w:b/>
          <w:bCs/>
          <w:color w:val="auto"/>
          <w:kern w:val="0"/>
          <w:sz w:val="30"/>
          <w:szCs w:val="30"/>
        </w:rPr>
        <w:t>统计上大中小微型企业划分标准</w:t>
      </w:r>
      <w:bookmarkEnd w:id="99"/>
    </w:p>
    <w:tbl>
      <w:tblPr>
        <w:tblStyle w:val="32"/>
        <w:tblW w:w="9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1369"/>
        <w:gridCol w:w="709"/>
        <w:gridCol w:w="1125"/>
        <w:gridCol w:w="1701"/>
        <w:gridCol w:w="1426"/>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113" w:type="dxa"/>
            <w:noWrap/>
            <w:vAlign w:val="center"/>
          </w:tcPr>
          <w:p>
            <w:pPr>
              <w:widowControl/>
              <w:spacing w:line="280" w:lineRule="exact"/>
              <w:jc w:val="center"/>
              <w:rPr>
                <w:rFonts w:ascii="宋体" w:hAnsi="宋体" w:eastAsia="宋体" w:cs="宋体"/>
                <w:b/>
                <w:bCs/>
                <w:color w:val="auto"/>
                <w:kern w:val="0"/>
                <w:sz w:val="18"/>
                <w:szCs w:val="21"/>
              </w:rPr>
            </w:pPr>
            <w:r>
              <w:rPr>
                <w:rFonts w:hint="eastAsia" w:ascii="宋体" w:hAnsi="宋体" w:eastAsia="宋体" w:cs="宋体"/>
                <w:b/>
                <w:bCs/>
                <w:color w:val="auto"/>
                <w:kern w:val="0"/>
                <w:sz w:val="18"/>
                <w:szCs w:val="21"/>
              </w:rPr>
              <w:t>行业名称</w:t>
            </w:r>
          </w:p>
        </w:tc>
        <w:tc>
          <w:tcPr>
            <w:tcW w:w="1369" w:type="dxa"/>
            <w:noWrap/>
            <w:vAlign w:val="center"/>
          </w:tcPr>
          <w:p>
            <w:pPr>
              <w:widowControl/>
              <w:spacing w:line="280" w:lineRule="exact"/>
              <w:jc w:val="center"/>
              <w:rPr>
                <w:rFonts w:ascii="宋体" w:hAnsi="宋体" w:eastAsia="宋体" w:cs="宋体"/>
                <w:b/>
                <w:bCs/>
                <w:color w:val="auto"/>
                <w:kern w:val="0"/>
                <w:sz w:val="18"/>
                <w:szCs w:val="18"/>
              </w:rPr>
            </w:pPr>
            <w:r>
              <w:rPr>
                <w:rFonts w:hint="eastAsia" w:ascii="宋体" w:hAnsi="宋体" w:eastAsia="宋体" w:cs="宋体"/>
                <w:b/>
                <w:bCs/>
                <w:color w:val="auto"/>
                <w:kern w:val="0"/>
                <w:sz w:val="18"/>
                <w:szCs w:val="18"/>
              </w:rPr>
              <w:t>指标名称</w:t>
            </w:r>
          </w:p>
        </w:tc>
        <w:tc>
          <w:tcPr>
            <w:tcW w:w="709" w:type="dxa"/>
            <w:noWrap/>
            <w:vAlign w:val="center"/>
          </w:tcPr>
          <w:p>
            <w:pPr>
              <w:widowControl/>
              <w:spacing w:line="280" w:lineRule="exact"/>
              <w:jc w:val="center"/>
              <w:rPr>
                <w:rFonts w:ascii="宋体" w:hAnsi="宋体" w:eastAsia="宋体" w:cs="宋体"/>
                <w:b/>
                <w:bCs/>
                <w:color w:val="auto"/>
                <w:kern w:val="0"/>
                <w:sz w:val="18"/>
                <w:szCs w:val="18"/>
              </w:rPr>
            </w:pPr>
            <w:r>
              <w:rPr>
                <w:rFonts w:hint="eastAsia" w:ascii="宋体" w:hAnsi="宋体" w:eastAsia="宋体" w:cs="宋体"/>
                <w:b/>
                <w:bCs/>
                <w:color w:val="auto"/>
                <w:kern w:val="0"/>
                <w:sz w:val="18"/>
                <w:szCs w:val="18"/>
              </w:rPr>
              <w:t>计量单位</w:t>
            </w:r>
          </w:p>
        </w:tc>
        <w:tc>
          <w:tcPr>
            <w:tcW w:w="1125" w:type="dxa"/>
            <w:noWrap/>
            <w:vAlign w:val="center"/>
          </w:tcPr>
          <w:p>
            <w:pPr>
              <w:widowControl/>
              <w:spacing w:line="280" w:lineRule="exact"/>
              <w:jc w:val="center"/>
              <w:rPr>
                <w:rFonts w:ascii="宋体" w:hAnsi="宋体" w:eastAsia="宋体" w:cs="宋体"/>
                <w:b/>
                <w:bCs/>
                <w:color w:val="auto"/>
                <w:kern w:val="0"/>
                <w:sz w:val="18"/>
                <w:szCs w:val="18"/>
              </w:rPr>
            </w:pPr>
            <w:r>
              <w:rPr>
                <w:rFonts w:hint="eastAsia" w:ascii="宋体" w:hAnsi="宋体" w:eastAsia="宋体" w:cs="宋体"/>
                <w:b/>
                <w:bCs/>
                <w:color w:val="auto"/>
                <w:kern w:val="0"/>
                <w:sz w:val="18"/>
                <w:szCs w:val="18"/>
              </w:rPr>
              <w:t>大型</w:t>
            </w:r>
          </w:p>
        </w:tc>
        <w:tc>
          <w:tcPr>
            <w:tcW w:w="1701" w:type="dxa"/>
            <w:noWrap/>
            <w:vAlign w:val="center"/>
          </w:tcPr>
          <w:p>
            <w:pPr>
              <w:widowControl/>
              <w:spacing w:line="280" w:lineRule="exact"/>
              <w:jc w:val="center"/>
              <w:rPr>
                <w:rFonts w:ascii="宋体" w:hAnsi="宋体" w:eastAsia="宋体" w:cs="宋体"/>
                <w:b/>
                <w:bCs/>
                <w:color w:val="auto"/>
                <w:kern w:val="0"/>
                <w:sz w:val="18"/>
                <w:szCs w:val="18"/>
              </w:rPr>
            </w:pPr>
            <w:r>
              <w:rPr>
                <w:rFonts w:hint="eastAsia" w:ascii="宋体" w:hAnsi="宋体" w:eastAsia="宋体" w:cs="宋体"/>
                <w:b/>
                <w:bCs/>
                <w:color w:val="auto"/>
                <w:kern w:val="0"/>
                <w:sz w:val="18"/>
                <w:szCs w:val="18"/>
              </w:rPr>
              <w:t>中型</w:t>
            </w:r>
          </w:p>
        </w:tc>
        <w:tc>
          <w:tcPr>
            <w:tcW w:w="1426" w:type="dxa"/>
            <w:noWrap/>
            <w:vAlign w:val="center"/>
          </w:tcPr>
          <w:p>
            <w:pPr>
              <w:widowControl/>
              <w:spacing w:line="280" w:lineRule="exact"/>
              <w:jc w:val="center"/>
              <w:rPr>
                <w:rFonts w:ascii="宋体" w:hAnsi="宋体" w:eastAsia="宋体" w:cs="宋体"/>
                <w:b/>
                <w:bCs/>
                <w:color w:val="auto"/>
                <w:kern w:val="0"/>
                <w:sz w:val="18"/>
                <w:szCs w:val="18"/>
              </w:rPr>
            </w:pPr>
            <w:r>
              <w:rPr>
                <w:rFonts w:hint="eastAsia" w:ascii="宋体" w:hAnsi="宋体" w:eastAsia="宋体" w:cs="宋体"/>
                <w:b/>
                <w:bCs/>
                <w:color w:val="auto"/>
                <w:kern w:val="0"/>
                <w:sz w:val="18"/>
                <w:szCs w:val="18"/>
              </w:rPr>
              <w:t>小型</w:t>
            </w:r>
          </w:p>
        </w:tc>
        <w:tc>
          <w:tcPr>
            <w:tcW w:w="992" w:type="dxa"/>
            <w:noWrap/>
            <w:vAlign w:val="center"/>
          </w:tcPr>
          <w:p>
            <w:pPr>
              <w:widowControl/>
              <w:spacing w:line="280" w:lineRule="exact"/>
              <w:jc w:val="center"/>
              <w:rPr>
                <w:rFonts w:ascii="宋体" w:hAnsi="宋体" w:eastAsia="宋体" w:cs="宋体"/>
                <w:b/>
                <w:bCs/>
                <w:color w:val="auto"/>
                <w:kern w:val="0"/>
                <w:sz w:val="18"/>
                <w:szCs w:val="18"/>
              </w:rPr>
            </w:pPr>
            <w:r>
              <w:rPr>
                <w:rFonts w:hint="eastAsia" w:ascii="宋体" w:hAnsi="宋体" w:eastAsia="宋体" w:cs="宋体"/>
                <w:b/>
                <w:bCs/>
                <w:color w:val="auto"/>
                <w:kern w:val="0"/>
                <w:sz w:val="18"/>
                <w:szCs w:val="18"/>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noWrap/>
            <w:vAlign w:val="center"/>
          </w:tcPr>
          <w:p>
            <w:pPr>
              <w:rPr>
                <w:rFonts w:ascii="Times New Roman" w:hAnsi="Times New Roman" w:eastAsia="宋体" w:cs="Times New Roman"/>
                <w:color w:val="auto"/>
                <w:sz w:val="18"/>
                <w:szCs w:val="21"/>
              </w:rPr>
            </w:pPr>
            <w:r>
              <w:rPr>
                <w:rFonts w:hint="eastAsia" w:ascii="Times New Roman" w:hAnsi="Times New Roman" w:eastAsia="宋体" w:cs="Times New Roman"/>
                <w:color w:val="auto"/>
                <w:sz w:val="18"/>
                <w:szCs w:val="21"/>
              </w:rPr>
              <w:t>农、林、牧、渔业</w:t>
            </w:r>
          </w:p>
        </w:tc>
        <w:tc>
          <w:tcPr>
            <w:tcW w:w="136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Y≥20000</w:t>
            </w:r>
          </w:p>
        </w:tc>
        <w:tc>
          <w:tcPr>
            <w:tcW w:w="1701"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500≤Y＜20000</w:t>
            </w:r>
          </w:p>
        </w:tc>
        <w:tc>
          <w:tcPr>
            <w:tcW w:w="1426"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50≤Y＜500</w:t>
            </w:r>
          </w:p>
        </w:tc>
        <w:tc>
          <w:tcPr>
            <w:tcW w:w="992"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restart"/>
            <w:noWrap/>
            <w:vAlign w:val="center"/>
          </w:tcPr>
          <w:p>
            <w:pPr>
              <w:rPr>
                <w:rFonts w:ascii="Times New Roman" w:hAnsi="Times New Roman" w:eastAsia="宋体" w:cs="Times New Roman"/>
                <w:color w:val="auto"/>
                <w:sz w:val="18"/>
                <w:szCs w:val="21"/>
              </w:rPr>
            </w:pPr>
            <w:r>
              <w:rPr>
                <w:rFonts w:hint="eastAsia" w:ascii="Times New Roman" w:hAnsi="Times New Roman" w:eastAsia="宋体" w:cs="Times New Roman"/>
                <w:color w:val="auto"/>
                <w:sz w:val="18"/>
                <w:szCs w:val="21"/>
              </w:rPr>
              <w:t>工业 *</w:t>
            </w:r>
          </w:p>
        </w:tc>
        <w:tc>
          <w:tcPr>
            <w:tcW w:w="136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0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25"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X≥1000</w:t>
            </w:r>
          </w:p>
        </w:tc>
        <w:tc>
          <w:tcPr>
            <w:tcW w:w="1701"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300≤X＜1000</w:t>
            </w:r>
          </w:p>
        </w:tc>
        <w:tc>
          <w:tcPr>
            <w:tcW w:w="1426"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20≤X＜300</w:t>
            </w:r>
          </w:p>
        </w:tc>
        <w:tc>
          <w:tcPr>
            <w:tcW w:w="992"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continue"/>
            <w:noWrap/>
            <w:vAlign w:val="center"/>
          </w:tcPr>
          <w:p>
            <w:pPr>
              <w:rPr>
                <w:rFonts w:ascii="Times New Roman" w:hAnsi="Times New Roman" w:eastAsia="宋体" w:cs="Times New Roman"/>
                <w:color w:val="auto"/>
                <w:sz w:val="18"/>
                <w:szCs w:val="21"/>
              </w:rPr>
            </w:pPr>
          </w:p>
        </w:tc>
        <w:tc>
          <w:tcPr>
            <w:tcW w:w="136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Y≥40000</w:t>
            </w:r>
          </w:p>
        </w:tc>
        <w:tc>
          <w:tcPr>
            <w:tcW w:w="1701"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2000≤Y＜40000</w:t>
            </w:r>
          </w:p>
        </w:tc>
        <w:tc>
          <w:tcPr>
            <w:tcW w:w="1426"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300≤Y＜2000</w:t>
            </w:r>
          </w:p>
        </w:tc>
        <w:tc>
          <w:tcPr>
            <w:tcW w:w="992"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restart"/>
            <w:noWrap/>
            <w:vAlign w:val="center"/>
          </w:tcPr>
          <w:p>
            <w:pPr>
              <w:rPr>
                <w:rFonts w:ascii="Times New Roman" w:hAnsi="Times New Roman" w:eastAsia="宋体" w:cs="Times New Roman"/>
                <w:color w:val="auto"/>
                <w:sz w:val="18"/>
                <w:szCs w:val="21"/>
              </w:rPr>
            </w:pPr>
            <w:r>
              <w:rPr>
                <w:rFonts w:hint="eastAsia" w:ascii="Times New Roman" w:hAnsi="Times New Roman" w:eastAsia="宋体" w:cs="Times New Roman"/>
                <w:color w:val="auto"/>
                <w:sz w:val="18"/>
                <w:szCs w:val="21"/>
              </w:rPr>
              <w:t>建筑业</w:t>
            </w:r>
          </w:p>
        </w:tc>
        <w:tc>
          <w:tcPr>
            <w:tcW w:w="136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Y≥80000</w:t>
            </w:r>
          </w:p>
        </w:tc>
        <w:tc>
          <w:tcPr>
            <w:tcW w:w="1701"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6000≤Y＜80000</w:t>
            </w:r>
          </w:p>
        </w:tc>
        <w:tc>
          <w:tcPr>
            <w:tcW w:w="1426"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300≤Y＜6000</w:t>
            </w:r>
          </w:p>
        </w:tc>
        <w:tc>
          <w:tcPr>
            <w:tcW w:w="992"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continue"/>
            <w:noWrap/>
            <w:vAlign w:val="center"/>
          </w:tcPr>
          <w:p>
            <w:pPr>
              <w:rPr>
                <w:rFonts w:ascii="Times New Roman" w:hAnsi="Times New Roman" w:eastAsia="宋体" w:cs="Times New Roman"/>
                <w:color w:val="auto"/>
                <w:sz w:val="18"/>
                <w:szCs w:val="21"/>
              </w:rPr>
            </w:pPr>
          </w:p>
        </w:tc>
        <w:tc>
          <w:tcPr>
            <w:tcW w:w="136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资产总额(Z)</w:t>
            </w:r>
          </w:p>
        </w:tc>
        <w:tc>
          <w:tcPr>
            <w:tcW w:w="70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Z≥80000</w:t>
            </w:r>
          </w:p>
        </w:tc>
        <w:tc>
          <w:tcPr>
            <w:tcW w:w="1701"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5000≤Z＜80000</w:t>
            </w:r>
          </w:p>
        </w:tc>
        <w:tc>
          <w:tcPr>
            <w:tcW w:w="1426"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300≤Z＜5000</w:t>
            </w:r>
          </w:p>
        </w:tc>
        <w:tc>
          <w:tcPr>
            <w:tcW w:w="992"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Z＜300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restart"/>
            <w:noWrap/>
            <w:vAlign w:val="center"/>
          </w:tcPr>
          <w:p>
            <w:pPr>
              <w:rPr>
                <w:rFonts w:ascii="Times New Roman" w:hAnsi="Times New Roman" w:eastAsia="宋体" w:cs="Times New Roman"/>
                <w:color w:val="auto"/>
                <w:sz w:val="18"/>
                <w:szCs w:val="21"/>
              </w:rPr>
            </w:pPr>
            <w:r>
              <w:rPr>
                <w:rFonts w:hint="eastAsia" w:ascii="Times New Roman" w:hAnsi="Times New Roman" w:eastAsia="宋体" w:cs="Times New Roman"/>
                <w:color w:val="auto"/>
                <w:sz w:val="18"/>
                <w:szCs w:val="21"/>
              </w:rPr>
              <w:t>批发业</w:t>
            </w:r>
          </w:p>
        </w:tc>
        <w:tc>
          <w:tcPr>
            <w:tcW w:w="136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0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25"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X≥200</w:t>
            </w:r>
          </w:p>
        </w:tc>
        <w:tc>
          <w:tcPr>
            <w:tcW w:w="1701"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20≤X＜200</w:t>
            </w:r>
          </w:p>
        </w:tc>
        <w:tc>
          <w:tcPr>
            <w:tcW w:w="1426"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5≤X＜20</w:t>
            </w:r>
          </w:p>
        </w:tc>
        <w:tc>
          <w:tcPr>
            <w:tcW w:w="992"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X＜5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continue"/>
            <w:noWrap/>
            <w:vAlign w:val="center"/>
          </w:tcPr>
          <w:p>
            <w:pPr>
              <w:rPr>
                <w:rFonts w:ascii="Times New Roman" w:hAnsi="Times New Roman" w:eastAsia="宋体" w:cs="Times New Roman"/>
                <w:color w:val="auto"/>
                <w:sz w:val="18"/>
                <w:szCs w:val="21"/>
              </w:rPr>
            </w:pPr>
          </w:p>
        </w:tc>
        <w:tc>
          <w:tcPr>
            <w:tcW w:w="136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Y≥40000</w:t>
            </w:r>
          </w:p>
        </w:tc>
        <w:tc>
          <w:tcPr>
            <w:tcW w:w="1701"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5000≤Y＜40000</w:t>
            </w:r>
          </w:p>
        </w:tc>
        <w:tc>
          <w:tcPr>
            <w:tcW w:w="1426" w:type="dxa"/>
            <w:noWrap/>
            <w:vAlign w:val="center"/>
          </w:tcPr>
          <w:p>
            <w:pPr>
              <w:widowControl/>
              <w:spacing w:line="280" w:lineRule="exact"/>
              <w:ind w:left="-1" w:leftChars="-1" w:hanging="1"/>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1000≤Y＜5000</w:t>
            </w:r>
          </w:p>
        </w:tc>
        <w:tc>
          <w:tcPr>
            <w:tcW w:w="992"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Y＜1000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restart"/>
            <w:noWrap/>
            <w:vAlign w:val="center"/>
          </w:tcPr>
          <w:p>
            <w:pPr>
              <w:rPr>
                <w:rFonts w:ascii="Times New Roman" w:hAnsi="Times New Roman" w:eastAsia="宋体" w:cs="Times New Roman"/>
                <w:color w:val="auto"/>
                <w:sz w:val="18"/>
                <w:szCs w:val="21"/>
              </w:rPr>
            </w:pPr>
            <w:r>
              <w:rPr>
                <w:rFonts w:hint="eastAsia" w:ascii="Times New Roman" w:hAnsi="Times New Roman" w:eastAsia="宋体" w:cs="Times New Roman"/>
                <w:color w:val="auto"/>
                <w:sz w:val="18"/>
                <w:szCs w:val="21"/>
              </w:rPr>
              <w:t>零售业</w:t>
            </w:r>
          </w:p>
        </w:tc>
        <w:tc>
          <w:tcPr>
            <w:tcW w:w="136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0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25"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X≥300</w:t>
            </w:r>
          </w:p>
        </w:tc>
        <w:tc>
          <w:tcPr>
            <w:tcW w:w="1701"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50≤X＜300</w:t>
            </w:r>
          </w:p>
        </w:tc>
        <w:tc>
          <w:tcPr>
            <w:tcW w:w="1426" w:type="dxa"/>
            <w:noWrap/>
            <w:vAlign w:val="center"/>
          </w:tcPr>
          <w:p>
            <w:pPr>
              <w:widowControl/>
              <w:spacing w:line="280" w:lineRule="exact"/>
              <w:ind w:left="-1" w:leftChars="-1" w:hanging="1"/>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10≤X＜50 </w:t>
            </w:r>
          </w:p>
        </w:tc>
        <w:tc>
          <w:tcPr>
            <w:tcW w:w="992"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continue"/>
            <w:noWrap/>
            <w:vAlign w:val="center"/>
          </w:tcPr>
          <w:p>
            <w:pPr>
              <w:rPr>
                <w:rFonts w:ascii="Times New Roman" w:hAnsi="Times New Roman" w:eastAsia="宋体" w:cs="Times New Roman"/>
                <w:color w:val="auto"/>
                <w:sz w:val="18"/>
                <w:szCs w:val="21"/>
              </w:rPr>
            </w:pPr>
          </w:p>
        </w:tc>
        <w:tc>
          <w:tcPr>
            <w:tcW w:w="136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Y≥20000</w:t>
            </w:r>
          </w:p>
        </w:tc>
        <w:tc>
          <w:tcPr>
            <w:tcW w:w="1701"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500≤Y＜20000</w:t>
            </w:r>
          </w:p>
        </w:tc>
        <w:tc>
          <w:tcPr>
            <w:tcW w:w="1426" w:type="dxa"/>
            <w:noWrap/>
            <w:vAlign w:val="center"/>
          </w:tcPr>
          <w:p>
            <w:pPr>
              <w:widowControl/>
              <w:spacing w:line="280" w:lineRule="exact"/>
              <w:ind w:left="-1" w:leftChars="-1" w:hanging="1"/>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100≤Y＜500</w:t>
            </w:r>
          </w:p>
        </w:tc>
        <w:tc>
          <w:tcPr>
            <w:tcW w:w="992"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restart"/>
            <w:noWrap/>
            <w:vAlign w:val="center"/>
          </w:tcPr>
          <w:p>
            <w:pPr>
              <w:rPr>
                <w:rFonts w:ascii="Times New Roman" w:hAnsi="Times New Roman" w:eastAsia="宋体" w:cs="Times New Roman"/>
                <w:color w:val="auto"/>
                <w:sz w:val="18"/>
                <w:szCs w:val="21"/>
              </w:rPr>
            </w:pPr>
            <w:r>
              <w:rPr>
                <w:rFonts w:hint="eastAsia" w:ascii="Times New Roman" w:hAnsi="Times New Roman" w:eastAsia="宋体" w:cs="Times New Roman"/>
                <w:color w:val="auto"/>
                <w:sz w:val="18"/>
                <w:szCs w:val="21"/>
              </w:rPr>
              <w:t>交通运输业 *</w:t>
            </w:r>
          </w:p>
        </w:tc>
        <w:tc>
          <w:tcPr>
            <w:tcW w:w="136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0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25"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X≥1000</w:t>
            </w:r>
          </w:p>
        </w:tc>
        <w:tc>
          <w:tcPr>
            <w:tcW w:w="1701"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300≤X＜1000</w:t>
            </w:r>
          </w:p>
        </w:tc>
        <w:tc>
          <w:tcPr>
            <w:tcW w:w="1426"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20≤X＜300</w:t>
            </w:r>
          </w:p>
        </w:tc>
        <w:tc>
          <w:tcPr>
            <w:tcW w:w="992"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continue"/>
            <w:noWrap/>
            <w:vAlign w:val="center"/>
          </w:tcPr>
          <w:p>
            <w:pPr>
              <w:rPr>
                <w:rFonts w:ascii="Times New Roman" w:hAnsi="Times New Roman" w:eastAsia="宋体" w:cs="Times New Roman"/>
                <w:color w:val="auto"/>
                <w:sz w:val="18"/>
                <w:szCs w:val="21"/>
              </w:rPr>
            </w:pPr>
          </w:p>
        </w:tc>
        <w:tc>
          <w:tcPr>
            <w:tcW w:w="136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Y≥30000</w:t>
            </w:r>
          </w:p>
        </w:tc>
        <w:tc>
          <w:tcPr>
            <w:tcW w:w="1701"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3000≤Y＜30000</w:t>
            </w:r>
          </w:p>
        </w:tc>
        <w:tc>
          <w:tcPr>
            <w:tcW w:w="1426"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200≤Y＜3000</w:t>
            </w:r>
          </w:p>
        </w:tc>
        <w:tc>
          <w:tcPr>
            <w:tcW w:w="992"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Y＜200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restart"/>
            <w:noWrap/>
            <w:vAlign w:val="center"/>
          </w:tcPr>
          <w:p>
            <w:pPr>
              <w:rPr>
                <w:rFonts w:ascii="Times New Roman" w:hAnsi="Times New Roman" w:eastAsia="宋体" w:cs="Times New Roman"/>
                <w:color w:val="auto"/>
                <w:sz w:val="18"/>
                <w:szCs w:val="21"/>
              </w:rPr>
            </w:pPr>
            <w:r>
              <w:rPr>
                <w:rFonts w:hint="eastAsia" w:ascii="Times New Roman" w:hAnsi="Times New Roman" w:eastAsia="宋体" w:cs="Times New Roman"/>
                <w:color w:val="auto"/>
                <w:sz w:val="18"/>
                <w:szCs w:val="21"/>
              </w:rPr>
              <w:t>仓储业*</w:t>
            </w:r>
          </w:p>
        </w:tc>
        <w:tc>
          <w:tcPr>
            <w:tcW w:w="136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0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25"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X≥200</w:t>
            </w:r>
          </w:p>
        </w:tc>
        <w:tc>
          <w:tcPr>
            <w:tcW w:w="1701" w:type="dxa"/>
            <w:noWrap/>
            <w:vAlign w:val="center"/>
          </w:tcPr>
          <w:p>
            <w:pPr>
              <w:widowControl/>
              <w:spacing w:line="280" w:lineRule="exact"/>
              <w:ind w:left="1" w:leftChars="-51" w:hanging="108" w:hangingChars="6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100≤X＜200</w:t>
            </w:r>
          </w:p>
        </w:tc>
        <w:tc>
          <w:tcPr>
            <w:tcW w:w="1426"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20≤X＜100</w:t>
            </w:r>
          </w:p>
        </w:tc>
        <w:tc>
          <w:tcPr>
            <w:tcW w:w="992"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continue"/>
            <w:noWrap/>
            <w:vAlign w:val="center"/>
          </w:tcPr>
          <w:p>
            <w:pPr>
              <w:rPr>
                <w:rFonts w:ascii="Times New Roman" w:hAnsi="Times New Roman" w:eastAsia="宋体" w:cs="Times New Roman"/>
                <w:color w:val="auto"/>
                <w:sz w:val="18"/>
                <w:szCs w:val="21"/>
              </w:rPr>
            </w:pPr>
          </w:p>
        </w:tc>
        <w:tc>
          <w:tcPr>
            <w:tcW w:w="136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Y≥30000</w:t>
            </w:r>
          </w:p>
        </w:tc>
        <w:tc>
          <w:tcPr>
            <w:tcW w:w="1701"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1000≤Y＜30000</w:t>
            </w:r>
          </w:p>
        </w:tc>
        <w:tc>
          <w:tcPr>
            <w:tcW w:w="1426"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100≤Y＜1000</w:t>
            </w:r>
          </w:p>
        </w:tc>
        <w:tc>
          <w:tcPr>
            <w:tcW w:w="992"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restart"/>
            <w:noWrap/>
            <w:vAlign w:val="center"/>
          </w:tcPr>
          <w:p>
            <w:pPr>
              <w:rPr>
                <w:rFonts w:ascii="Times New Roman" w:hAnsi="Times New Roman" w:eastAsia="宋体" w:cs="Times New Roman"/>
                <w:color w:val="auto"/>
                <w:sz w:val="18"/>
                <w:szCs w:val="21"/>
              </w:rPr>
            </w:pPr>
            <w:r>
              <w:rPr>
                <w:rFonts w:hint="eastAsia" w:ascii="Times New Roman" w:hAnsi="Times New Roman" w:eastAsia="宋体" w:cs="Times New Roman"/>
                <w:color w:val="auto"/>
                <w:sz w:val="18"/>
                <w:szCs w:val="21"/>
              </w:rPr>
              <w:t>邮政业</w:t>
            </w:r>
          </w:p>
        </w:tc>
        <w:tc>
          <w:tcPr>
            <w:tcW w:w="136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0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25"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X≥1000</w:t>
            </w:r>
          </w:p>
        </w:tc>
        <w:tc>
          <w:tcPr>
            <w:tcW w:w="1701"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300≤X＜1000</w:t>
            </w:r>
          </w:p>
        </w:tc>
        <w:tc>
          <w:tcPr>
            <w:tcW w:w="1426"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20≤X＜300</w:t>
            </w:r>
          </w:p>
        </w:tc>
        <w:tc>
          <w:tcPr>
            <w:tcW w:w="992"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continue"/>
            <w:noWrap/>
            <w:vAlign w:val="center"/>
          </w:tcPr>
          <w:p>
            <w:pPr>
              <w:rPr>
                <w:rFonts w:ascii="Times New Roman" w:hAnsi="Times New Roman" w:eastAsia="宋体" w:cs="Times New Roman"/>
                <w:color w:val="auto"/>
                <w:sz w:val="18"/>
                <w:szCs w:val="21"/>
              </w:rPr>
            </w:pPr>
          </w:p>
        </w:tc>
        <w:tc>
          <w:tcPr>
            <w:tcW w:w="136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Y≥30000</w:t>
            </w:r>
          </w:p>
        </w:tc>
        <w:tc>
          <w:tcPr>
            <w:tcW w:w="1701"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2000≤Y＜30000</w:t>
            </w:r>
          </w:p>
        </w:tc>
        <w:tc>
          <w:tcPr>
            <w:tcW w:w="1426"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100≤Y＜2000</w:t>
            </w:r>
          </w:p>
        </w:tc>
        <w:tc>
          <w:tcPr>
            <w:tcW w:w="992"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restart"/>
            <w:noWrap/>
            <w:vAlign w:val="center"/>
          </w:tcPr>
          <w:p>
            <w:pPr>
              <w:rPr>
                <w:rFonts w:ascii="Times New Roman" w:hAnsi="Times New Roman" w:eastAsia="宋体" w:cs="Times New Roman"/>
                <w:color w:val="auto"/>
                <w:sz w:val="18"/>
                <w:szCs w:val="21"/>
              </w:rPr>
            </w:pPr>
            <w:r>
              <w:rPr>
                <w:rFonts w:hint="eastAsia" w:ascii="Times New Roman" w:hAnsi="Times New Roman" w:eastAsia="宋体" w:cs="Times New Roman"/>
                <w:color w:val="auto"/>
                <w:sz w:val="18"/>
                <w:szCs w:val="21"/>
              </w:rPr>
              <w:t>住宿业</w:t>
            </w:r>
          </w:p>
        </w:tc>
        <w:tc>
          <w:tcPr>
            <w:tcW w:w="136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0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25"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X≥300</w:t>
            </w:r>
          </w:p>
        </w:tc>
        <w:tc>
          <w:tcPr>
            <w:tcW w:w="1701" w:type="dxa"/>
            <w:noWrap/>
            <w:vAlign w:val="center"/>
          </w:tcPr>
          <w:p>
            <w:pPr>
              <w:widowControl/>
              <w:spacing w:line="280" w:lineRule="exact"/>
              <w:ind w:left="1" w:leftChars="-51" w:hanging="108" w:hangingChars="6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100≤X＜300</w:t>
            </w:r>
          </w:p>
        </w:tc>
        <w:tc>
          <w:tcPr>
            <w:tcW w:w="1426"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10≤X＜100</w:t>
            </w:r>
          </w:p>
        </w:tc>
        <w:tc>
          <w:tcPr>
            <w:tcW w:w="992"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continue"/>
            <w:noWrap/>
            <w:vAlign w:val="center"/>
          </w:tcPr>
          <w:p>
            <w:pPr>
              <w:rPr>
                <w:rFonts w:ascii="Times New Roman" w:hAnsi="Times New Roman" w:eastAsia="宋体" w:cs="Times New Roman"/>
                <w:color w:val="auto"/>
                <w:sz w:val="18"/>
                <w:szCs w:val="21"/>
              </w:rPr>
            </w:pPr>
          </w:p>
        </w:tc>
        <w:tc>
          <w:tcPr>
            <w:tcW w:w="136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Y≥10000</w:t>
            </w:r>
          </w:p>
        </w:tc>
        <w:tc>
          <w:tcPr>
            <w:tcW w:w="1701"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2000≤Y＜10000</w:t>
            </w:r>
          </w:p>
        </w:tc>
        <w:tc>
          <w:tcPr>
            <w:tcW w:w="1426"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100≤Y＜2000</w:t>
            </w:r>
          </w:p>
        </w:tc>
        <w:tc>
          <w:tcPr>
            <w:tcW w:w="992"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restart"/>
            <w:noWrap/>
            <w:vAlign w:val="center"/>
          </w:tcPr>
          <w:p>
            <w:pPr>
              <w:rPr>
                <w:rFonts w:ascii="Times New Roman" w:hAnsi="Times New Roman" w:eastAsia="宋体" w:cs="Times New Roman"/>
                <w:color w:val="auto"/>
                <w:sz w:val="18"/>
                <w:szCs w:val="21"/>
              </w:rPr>
            </w:pPr>
            <w:r>
              <w:rPr>
                <w:rFonts w:hint="eastAsia" w:ascii="Times New Roman" w:hAnsi="Times New Roman" w:eastAsia="宋体" w:cs="Times New Roman"/>
                <w:color w:val="auto"/>
                <w:sz w:val="18"/>
                <w:szCs w:val="21"/>
              </w:rPr>
              <w:t>餐饮业</w:t>
            </w:r>
          </w:p>
        </w:tc>
        <w:tc>
          <w:tcPr>
            <w:tcW w:w="136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0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25"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X≥300</w:t>
            </w:r>
          </w:p>
        </w:tc>
        <w:tc>
          <w:tcPr>
            <w:tcW w:w="1701" w:type="dxa"/>
            <w:noWrap/>
            <w:vAlign w:val="center"/>
          </w:tcPr>
          <w:p>
            <w:pPr>
              <w:widowControl/>
              <w:spacing w:line="280" w:lineRule="exact"/>
              <w:ind w:left="1" w:leftChars="-51" w:hanging="108" w:hangingChars="6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100≤X＜300 </w:t>
            </w:r>
          </w:p>
        </w:tc>
        <w:tc>
          <w:tcPr>
            <w:tcW w:w="1426"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10≤X＜100</w:t>
            </w:r>
          </w:p>
        </w:tc>
        <w:tc>
          <w:tcPr>
            <w:tcW w:w="992"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continue"/>
            <w:noWrap/>
            <w:vAlign w:val="center"/>
          </w:tcPr>
          <w:p>
            <w:pPr>
              <w:rPr>
                <w:rFonts w:ascii="Times New Roman" w:hAnsi="Times New Roman" w:eastAsia="宋体" w:cs="Times New Roman"/>
                <w:color w:val="auto"/>
                <w:sz w:val="18"/>
                <w:szCs w:val="21"/>
              </w:rPr>
            </w:pPr>
          </w:p>
        </w:tc>
        <w:tc>
          <w:tcPr>
            <w:tcW w:w="136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Y≥10000</w:t>
            </w:r>
          </w:p>
        </w:tc>
        <w:tc>
          <w:tcPr>
            <w:tcW w:w="1701"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2000≤Y＜10000</w:t>
            </w:r>
          </w:p>
        </w:tc>
        <w:tc>
          <w:tcPr>
            <w:tcW w:w="1426"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100≤Y＜2000</w:t>
            </w:r>
          </w:p>
        </w:tc>
        <w:tc>
          <w:tcPr>
            <w:tcW w:w="992"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restart"/>
            <w:noWrap/>
            <w:vAlign w:val="center"/>
          </w:tcPr>
          <w:p>
            <w:pPr>
              <w:rPr>
                <w:rFonts w:ascii="Times New Roman" w:hAnsi="Times New Roman" w:eastAsia="宋体" w:cs="Times New Roman"/>
                <w:color w:val="auto"/>
                <w:sz w:val="18"/>
                <w:szCs w:val="21"/>
              </w:rPr>
            </w:pPr>
            <w:r>
              <w:rPr>
                <w:rFonts w:hint="eastAsia" w:ascii="Times New Roman" w:hAnsi="Times New Roman" w:eastAsia="宋体" w:cs="Times New Roman"/>
                <w:color w:val="auto"/>
                <w:sz w:val="18"/>
                <w:szCs w:val="21"/>
              </w:rPr>
              <w:t>信息传输业 *</w:t>
            </w:r>
          </w:p>
        </w:tc>
        <w:tc>
          <w:tcPr>
            <w:tcW w:w="136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0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25"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X≥2000</w:t>
            </w:r>
          </w:p>
        </w:tc>
        <w:tc>
          <w:tcPr>
            <w:tcW w:w="1701"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100≤X＜2000</w:t>
            </w:r>
          </w:p>
        </w:tc>
        <w:tc>
          <w:tcPr>
            <w:tcW w:w="1426"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10≤X＜100</w:t>
            </w:r>
          </w:p>
        </w:tc>
        <w:tc>
          <w:tcPr>
            <w:tcW w:w="992"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continue"/>
            <w:noWrap/>
            <w:vAlign w:val="center"/>
          </w:tcPr>
          <w:p>
            <w:pPr>
              <w:rPr>
                <w:rFonts w:ascii="Times New Roman" w:hAnsi="Times New Roman" w:eastAsia="宋体" w:cs="Times New Roman"/>
                <w:color w:val="auto"/>
                <w:sz w:val="18"/>
                <w:szCs w:val="21"/>
              </w:rPr>
            </w:pPr>
          </w:p>
        </w:tc>
        <w:tc>
          <w:tcPr>
            <w:tcW w:w="136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Y≥100000</w:t>
            </w:r>
          </w:p>
        </w:tc>
        <w:tc>
          <w:tcPr>
            <w:tcW w:w="1701"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1000≤Y＜100000</w:t>
            </w:r>
          </w:p>
        </w:tc>
        <w:tc>
          <w:tcPr>
            <w:tcW w:w="1426"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100≤Y＜1000</w:t>
            </w:r>
          </w:p>
        </w:tc>
        <w:tc>
          <w:tcPr>
            <w:tcW w:w="992"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restart"/>
            <w:noWrap/>
            <w:vAlign w:val="center"/>
          </w:tcPr>
          <w:p>
            <w:pPr>
              <w:rPr>
                <w:rFonts w:ascii="Times New Roman" w:hAnsi="Times New Roman" w:eastAsia="宋体" w:cs="Times New Roman"/>
                <w:color w:val="auto"/>
                <w:sz w:val="18"/>
                <w:szCs w:val="21"/>
              </w:rPr>
            </w:pPr>
            <w:r>
              <w:rPr>
                <w:rFonts w:hint="eastAsia" w:ascii="Times New Roman" w:hAnsi="Times New Roman" w:eastAsia="宋体" w:cs="Times New Roman"/>
                <w:color w:val="auto"/>
                <w:sz w:val="18"/>
                <w:szCs w:val="21"/>
              </w:rPr>
              <w:t>软件和信息技术服务业</w:t>
            </w:r>
          </w:p>
        </w:tc>
        <w:tc>
          <w:tcPr>
            <w:tcW w:w="136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0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25"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X≥300</w:t>
            </w:r>
          </w:p>
        </w:tc>
        <w:tc>
          <w:tcPr>
            <w:tcW w:w="1701" w:type="dxa"/>
            <w:noWrap/>
            <w:vAlign w:val="center"/>
          </w:tcPr>
          <w:p>
            <w:pPr>
              <w:widowControl/>
              <w:spacing w:line="280" w:lineRule="exact"/>
              <w:ind w:left="1" w:leftChars="-51" w:hanging="108" w:hangingChars="6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100≤X＜300 </w:t>
            </w:r>
          </w:p>
        </w:tc>
        <w:tc>
          <w:tcPr>
            <w:tcW w:w="1426"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10≤X＜100</w:t>
            </w:r>
          </w:p>
        </w:tc>
        <w:tc>
          <w:tcPr>
            <w:tcW w:w="992"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continue"/>
            <w:noWrap/>
            <w:vAlign w:val="center"/>
          </w:tcPr>
          <w:p>
            <w:pPr>
              <w:rPr>
                <w:rFonts w:ascii="Times New Roman" w:hAnsi="Times New Roman" w:eastAsia="宋体" w:cs="Times New Roman"/>
                <w:color w:val="auto"/>
                <w:sz w:val="18"/>
                <w:szCs w:val="21"/>
              </w:rPr>
            </w:pPr>
          </w:p>
        </w:tc>
        <w:tc>
          <w:tcPr>
            <w:tcW w:w="136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Y≥10000</w:t>
            </w:r>
          </w:p>
        </w:tc>
        <w:tc>
          <w:tcPr>
            <w:tcW w:w="1701"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1000≤Y＜10000</w:t>
            </w:r>
          </w:p>
        </w:tc>
        <w:tc>
          <w:tcPr>
            <w:tcW w:w="1426"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50≤Y＜1000</w:t>
            </w:r>
          </w:p>
        </w:tc>
        <w:tc>
          <w:tcPr>
            <w:tcW w:w="992"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restart"/>
            <w:noWrap/>
            <w:vAlign w:val="center"/>
          </w:tcPr>
          <w:p>
            <w:pPr>
              <w:rPr>
                <w:rFonts w:ascii="Times New Roman" w:hAnsi="Times New Roman" w:eastAsia="宋体" w:cs="Times New Roman"/>
                <w:color w:val="auto"/>
                <w:sz w:val="18"/>
                <w:szCs w:val="21"/>
              </w:rPr>
            </w:pPr>
            <w:r>
              <w:rPr>
                <w:rFonts w:hint="eastAsia" w:ascii="Times New Roman" w:hAnsi="Times New Roman" w:eastAsia="宋体" w:cs="Times New Roman"/>
                <w:color w:val="auto"/>
                <w:sz w:val="18"/>
                <w:szCs w:val="21"/>
              </w:rPr>
              <w:t>房地产开发经营</w:t>
            </w:r>
          </w:p>
        </w:tc>
        <w:tc>
          <w:tcPr>
            <w:tcW w:w="136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Y≥200000</w:t>
            </w:r>
          </w:p>
        </w:tc>
        <w:tc>
          <w:tcPr>
            <w:tcW w:w="1701"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1000≤Y＜200000</w:t>
            </w:r>
          </w:p>
        </w:tc>
        <w:tc>
          <w:tcPr>
            <w:tcW w:w="1426"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100≤Y＜1000</w:t>
            </w:r>
          </w:p>
        </w:tc>
        <w:tc>
          <w:tcPr>
            <w:tcW w:w="992"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continue"/>
            <w:noWrap/>
            <w:vAlign w:val="center"/>
          </w:tcPr>
          <w:p>
            <w:pPr>
              <w:rPr>
                <w:rFonts w:ascii="Times New Roman" w:hAnsi="Times New Roman" w:eastAsia="宋体" w:cs="Times New Roman"/>
                <w:color w:val="auto"/>
                <w:sz w:val="18"/>
                <w:szCs w:val="21"/>
              </w:rPr>
            </w:pPr>
          </w:p>
        </w:tc>
        <w:tc>
          <w:tcPr>
            <w:tcW w:w="136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资产总额(Z)</w:t>
            </w:r>
          </w:p>
        </w:tc>
        <w:tc>
          <w:tcPr>
            <w:tcW w:w="70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Z≥10000</w:t>
            </w:r>
          </w:p>
        </w:tc>
        <w:tc>
          <w:tcPr>
            <w:tcW w:w="1701"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5000≤Z＜10000</w:t>
            </w:r>
          </w:p>
        </w:tc>
        <w:tc>
          <w:tcPr>
            <w:tcW w:w="1426"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2000≤Z＜5000</w:t>
            </w:r>
          </w:p>
        </w:tc>
        <w:tc>
          <w:tcPr>
            <w:tcW w:w="992"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Z＜2000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restart"/>
            <w:noWrap/>
            <w:vAlign w:val="center"/>
          </w:tcPr>
          <w:p>
            <w:pPr>
              <w:rPr>
                <w:rFonts w:ascii="Times New Roman" w:hAnsi="Times New Roman" w:eastAsia="宋体" w:cs="Times New Roman"/>
                <w:color w:val="auto"/>
                <w:sz w:val="18"/>
                <w:szCs w:val="21"/>
              </w:rPr>
            </w:pPr>
            <w:r>
              <w:rPr>
                <w:rFonts w:hint="eastAsia" w:ascii="Times New Roman" w:hAnsi="Times New Roman" w:eastAsia="宋体" w:cs="Times New Roman"/>
                <w:color w:val="auto"/>
                <w:sz w:val="18"/>
                <w:szCs w:val="21"/>
              </w:rPr>
              <w:t>物业管理</w:t>
            </w:r>
          </w:p>
        </w:tc>
        <w:tc>
          <w:tcPr>
            <w:tcW w:w="136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0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25"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X≥1000</w:t>
            </w:r>
          </w:p>
        </w:tc>
        <w:tc>
          <w:tcPr>
            <w:tcW w:w="1701"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300≤X＜1000</w:t>
            </w:r>
          </w:p>
        </w:tc>
        <w:tc>
          <w:tcPr>
            <w:tcW w:w="1426"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100≤X＜300</w:t>
            </w:r>
          </w:p>
        </w:tc>
        <w:tc>
          <w:tcPr>
            <w:tcW w:w="992"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X＜100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continue"/>
            <w:noWrap/>
            <w:vAlign w:val="center"/>
          </w:tcPr>
          <w:p>
            <w:pPr>
              <w:rPr>
                <w:rFonts w:ascii="Times New Roman" w:hAnsi="Times New Roman" w:eastAsia="宋体" w:cs="Times New Roman"/>
                <w:color w:val="auto"/>
                <w:sz w:val="18"/>
                <w:szCs w:val="21"/>
              </w:rPr>
            </w:pPr>
          </w:p>
        </w:tc>
        <w:tc>
          <w:tcPr>
            <w:tcW w:w="136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Y≥5000</w:t>
            </w:r>
          </w:p>
        </w:tc>
        <w:tc>
          <w:tcPr>
            <w:tcW w:w="1701" w:type="dxa"/>
            <w:noWrap/>
            <w:vAlign w:val="center"/>
          </w:tcPr>
          <w:p>
            <w:pPr>
              <w:widowControl/>
              <w:spacing w:line="280" w:lineRule="exact"/>
              <w:ind w:left="1" w:leftChars="-51" w:hanging="108" w:hangingChars="6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1000≤Y＜5000</w:t>
            </w:r>
          </w:p>
        </w:tc>
        <w:tc>
          <w:tcPr>
            <w:tcW w:w="1426"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500≤Y＜1000</w:t>
            </w:r>
          </w:p>
        </w:tc>
        <w:tc>
          <w:tcPr>
            <w:tcW w:w="992"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Y＜500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restart"/>
            <w:noWrap/>
            <w:vAlign w:val="center"/>
          </w:tcPr>
          <w:p>
            <w:pPr>
              <w:rPr>
                <w:rFonts w:ascii="Times New Roman" w:hAnsi="Times New Roman" w:eastAsia="宋体" w:cs="Times New Roman"/>
                <w:color w:val="auto"/>
                <w:sz w:val="18"/>
                <w:szCs w:val="21"/>
              </w:rPr>
            </w:pPr>
            <w:r>
              <w:rPr>
                <w:rFonts w:hint="eastAsia" w:ascii="Times New Roman" w:hAnsi="Times New Roman" w:eastAsia="宋体" w:cs="Times New Roman"/>
                <w:color w:val="auto"/>
                <w:sz w:val="18"/>
                <w:szCs w:val="21"/>
              </w:rPr>
              <w:t>租赁和商务服务业</w:t>
            </w:r>
          </w:p>
        </w:tc>
        <w:tc>
          <w:tcPr>
            <w:tcW w:w="136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0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25"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X≥300</w:t>
            </w:r>
          </w:p>
        </w:tc>
        <w:tc>
          <w:tcPr>
            <w:tcW w:w="1701" w:type="dxa"/>
            <w:noWrap/>
            <w:vAlign w:val="center"/>
          </w:tcPr>
          <w:p>
            <w:pPr>
              <w:widowControl/>
              <w:spacing w:line="280" w:lineRule="exact"/>
              <w:ind w:left="1" w:leftChars="-51" w:hanging="108" w:hangingChars="6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100≤X＜300</w:t>
            </w:r>
          </w:p>
        </w:tc>
        <w:tc>
          <w:tcPr>
            <w:tcW w:w="1426"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10≤X＜100</w:t>
            </w:r>
          </w:p>
        </w:tc>
        <w:tc>
          <w:tcPr>
            <w:tcW w:w="992"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vMerge w:val="continue"/>
            <w:noWrap/>
            <w:vAlign w:val="center"/>
          </w:tcPr>
          <w:p>
            <w:pPr>
              <w:rPr>
                <w:rFonts w:ascii="Times New Roman" w:hAnsi="Times New Roman" w:eastAsia="宋体" w:cs="Times New Roman"/>
                <w:color w:val="auto"/>
                <w:sz w:val="18"/>
                <w:szCs w:val="21"/>
              </w:rPr>
            </w:pPr>
          </w:p>
        </w:tc>
        <w:tc>
          <w:tcPr>
            <w:tcW w:w="136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资产总额(Z)</w:t>
            </w:r>
          </w:p>
        </w:tc>
        <w:tc>
          <w:tcPr>
            <w:tcW w:w="70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Z≥120000</w:t>
            </w:r>
          </w:p>
        </w:tc>
        <w:tc>
          <w:tcPr>
            <w:tcW w:w="1701"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8000≤Z＜120000</w:t>
            </w:r>
          </w:p>
        </w:tc>
        <w:tc>
          <w:tcPr>
            <w:tcW w:w="1426"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100≤Z＜8000</w:t>
            </w:r>
          </w:p>
        </w:tc>
        <w:tc>
          <w:tcPr>
            <w:tcW w:w="992"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Z＜100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noWrap/>
            <w:vAlign w:val="center"/>
          </w:tcPr>
          <w:p>
            <w:pPr>
              <w:rPr>
                <w:rFonts w:ascii="Times New Roman" w:hAnsi="Times New Roman" w:eastAsia="宋体" w:cs="Times New Roman"/>
                <w:color w:val="auto"/>
                <w:sz w:val="18"/>
                <w:szCs w:val="21"/>
              </w:rPr>
            </w:pPr>
            <w:r>
              <w:rPr>
                <w:rFonts w:hint="eastAsia" w:ascii="Times New Roman" w:hAnsi="Times New Roman" w:eastAsia="宋体" w:cs="Times New Roman"/>
                <w:color w:val="auto"/>
                <w:sz w:val="18"/>
                <w:szCs w:val="21"/>
              </w:rPr>
              <w:t>其他未列明行业 *</w:t>
            </w:r>
          </w:p>
        </w:tc>
        <w:tc>
          <w:tcPr>
            <w:tcW w:w="136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09"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25"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X≥300</w:t>
            </w:r>
          </w:p>
        </w:tc>
        <w:tc>
          <w:tcPr>
            <w:tcW w:w="1701" w:type="dxa"/>
            <w:noWrap/>
            <w:vAlign w:val="center"/>
          </w:tcPr>
          <w:p>
            <w:pPr>
              <w:widowControl/>
              <w:spacing w:line="280" w:lineRule="exact"/>
              <w:ind w:left="1" w:leftChars="-51" w:hanging="108" w:hangingChars="6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100≤X＜300</w:t>
            </w:r>
          </w:p>
        </w:tc>
        <w:tc>
          <w:tcPr>
            <w:tcW w:w="1426"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10≤X＜100</w:t>
            </w:r>
          </w:p>
        </w:tc>
        <w:tc>
          <w:tcPr>
            <w:tcW w:w="992" w:type="dxa"/>
            <w:noWrap/>
            <w:vAlign w:val="center"/>
          </w:tcPr>
          <w:p>
            <w:pPr>
              <w:widowControl/>
              <w:spacing w:line="280" w:lineRule="exact"/>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X＜10</w:t>
            </w:r>
          </w:p>
        </w:tc>
      </w:tr>
    </w:tbl>
    <w:p>
      <w:pPr>
        <w:widowControl/>
        <w:rPr>
          <w:rFonts w:ascii="宋体" w:hAnsi="宋体" w:eastAsia="宋体" w:cs="宋体"/>
          <w:color w:val="auto"/>
          <w:kern w:val="0"/>
          <w:szCs w:val="21"/>
        </w:rPr>
      </w:pPr>
      <w:r>
        <w:rPr>
          <w:rFonts w:hint="eastAsia" w:ascii="宋体" w:hAnsi="宋体" w:eastAsia="宋体" w:cs="宋体"/>
          <w:color w:val="auto"/>
          <w:kern w:val="0"/>
          <w:szCs w:val="21"/>
        </w:rPr>
        <w:t>说明：</w:t>
      </w:r>
    </w:p>
    <w:p>
      <w:pPr>
        <w:widowControl w:val="0"/>
        <w:adjustRightInd w:val="0"/>
        <w:ind w:firstLine="420" w:firstLineChars="200"/>
        <w:contextualSpacing/>
        <w:jc w:val="both"/>
        <w:rPr>
          <w:rFonts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1.大型、中型和小型企业须同时满足所列指标的下限，否则下划一档。微型企业只须满足所列指标中的一项即可。</w:t>
      </w:r>
    </w:p>
    <w:p>
      <w:pPr>
        <w:widowControl w:val="0"/>
        <w:adjustRightInd w:val="0"/>
        <w:ind w:firstLine="420" w:firstLineChars="200"/>
        <w:contextualSpacing/>
        <w:jc w:val="both"/>
        <w:rPr>
          <w:rFonts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pPr>
        <w:widowControl w:val="0"/>
        <w:ind w:firstLine="420" w:firstLineChars="200"/>
        <w:jc w:val="both"/>
        <w:rPr>
          <w:rFonts w:ascii="宋体" w:hAnsi="宋体" w:eastAsia="宋体" w:cs="宋体"/>
          <w:color w:val="auto"/>
          <w:kern w:val="0"/>
          <w:sz w:val="24"/>
          <w:szCs w:val="24"/>
          <w:lang w:val="en-US" w:eastAsia="zh-CN" w:bidi="ar-SA"/>
        </w:rPr>
      </w:pPr>
      <w:r>
        <w:rPr>
          <w:rFonts w:hint="eastAsia" w:ascii="宋体" w:hAnsi="宋体" w:eastAsia="宋体" w:cs="宋体"/>
          <w:color w:val="auto"/>
          <w:kern w:val="0"/>
          <w:sz w:val="21"/>
          <w:szCs w:val="21"/>
          <w:lang w:val="en-US" w:eastAsia="zh-CN" w:bidi="ar-SA"/>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pPr>
        <w:pStyle w:val="2"/>
        <w:spacing w:line="480" w:lineRule="auto"/>
        <w:jc w:val="center"/>
        <w:rPr>
          <w:rFonts w:hint="eastAsia" w:ascii="Calibri" w:hAnsi="Calibri"/>
          <w:color w:val="auto"/>
        </w:rPr>
      </w:pPr>
      <w:bookmarkStart w:id="100" w:name="_Toc19152"/>
      <w:bookmarkStart w:id="101" w:name="_Toc7704"/>
      <w:bookmarkStart w:id="102" w:name="_Toc9239"/>
      <w:bookmarkStart w:id="103" w:name="_Toc13614"/>
      <w:bookmarkStart w:id="104" w:name="_Toc2072"/>
      <w:bookmarkStart w:id="105" w:name="_Toc24174"/>
      <w:r>
        <w:rPr>
          <w:rFonts w:hint="eastAsia" w:ascii="Cambria" w:hAnsi="Cambria"/>
          <w:bCs w:val="0"/>
          <w:color w:val="auto"/>
          <w:sz w:val="32"/>
          <w:szCs w:val="32"/>
        </w:rPr>
        <w:t>第三章 供应商须知</w:t>
      </w:r>
      <w:bookmarkEnd w:id="97"/>
      <w:bookmarkEnd w:id="98"/>
      <w:bookmarkEnd w:id="100"/>
      <w:bookmarkEnd w:id="101"/>
      <w:bookmarkEnd w:id="102"/>
      <w:bookmarkEnd w:id="103"/>
      <w:bookmarkEnd w:id="104"/>
      <w:bookmarkEnd w:id="105"/>
    </w:p>
    <w:p>
      <w:pPr>
        <w:pStyle w:val="3"/>
        <w:jc w:val="center"/>
        <w:rPr>
          <w:rFonts w:hint="eastAsia" w:ascii="宋体" w:hAnsi="宋体"/>
          <w:b w:val="0"/>
          <w:color w:val="auto"/>
        </w:rPr>
      </w:pPr>
      <w:bookmarkStart w:id="106" w:name="_Toc9482"/>
      <w:bookmarkStart w:id="107" w:name="_Toc30660"/>
      <w:bookmarkStart w:id="108" w:name="_Toc80886928"/>
      <w:r>
        <w:rPr>
          <w:rFonts w:hint="eastAsia" w:ascii="宋体" w:hAnsi="宋体"/>
          <w:b w:val="0"/>
          <w:color w:val="auto"/>
        </w:rPr>
        <w:t>第一节 供应商须知前附表</w:t>
      </w:r>
      <w:bookmarkEnd w:id="106"/>
      <w:bookmarkEnd w:id="107"/>
      <w:bookmarkEnd w:id="108"/>
    </w:p>
    <w:tbl>
      <w:tblPr>
        <w:tblStyle w:val="32"/>
        <w:tblW w:w="976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3"/>
        <w:gridCol w:w="2390"/>
        <w:gridCol w:w="64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963" w:type="dxa"/>
          </w:tcPr>
          <w:p>
            <w:pPr>
              <w:spacing w:line="360" w:lineRule="auto"/>
              <w:jc w:val="center"/>
              <w:rPr>
                <w:rFonts w:hint="eastAsia" w:ascii="宋体" w:hAnsi="宋体" w:cs="宋体"/>
                <w:b/>
                <w:color w:val="auto"/>
                <w:szCs w:val="21"/>
              </w:rPr>
            </w:pPr>
            <w:r>
              <w:rPr>
                <w:rFonts w:hint="eastAsia" w:ascii="宋体" w:hAnsi="宋体" w:cs="宋体"/>
                <w:b/>
                <w:color w:val="auto"/>
                <w:szCs w:val="21"/>
              </w:rPr>
              <w:t>条款号</w:t>
            </w:r>
          </w:p>
        </w:tc>
        <w:tc>
          <w:tcPr>
            <w:tcW w:w="2390" w:type="dxa"/>
            <w:vAlign w:val="center"/>
          </w:tcPr>
          <w:p>
            <w:pPr>
              <w:spacing w:line="360" w:lineRule="auto"/>
              <w:jc w:val="center"/>
              <w:rPr>
                <w:rFonts w:hint="eastAsia" w:ascii="宋体" w:hAnsi="宋体" w:cs="宋体"/>
                <w:b/>
                <w:color w:val="auto"/>
                <w:szCs w:val="21"/>
              </w:rPr>
            </w:pPr>
            <w:r>
              <w:rPr>
                <w:rFonts w:hint="eastAsia" w:ascii="宋体" w:hAnsi="宋体" w:cs="宋体"/>
                <w:b/>
                <w:color w:val="auto"/>
                <w:szCs w:val="21"/>
              </w:rPr>
              <w:t>条款内容</w:t>
            </w:r>
          </w:p>
        </w:tc>
        <w:tc>
          <w:tcPr>
            <w:tcW w:w="6416" w:type="dxa"/>
          </w:tcPr>
          <w:p>
            <w:pPr>
              <w:spacing w:line="360" w:lineRule="auto"/>
              <w:jc w:val="center"/>
              <w:rPr>
                <w:rFonts w:hint="eastAsia" w:ascii="宋体" w:hAnsi="宋体" w:cs="宋体"/>
                <w:b/>
                <w:color w:val="auto"/>
                <w:szCs w:val="21"/>
              </w:rPr>
            </w:pPr>
            <w:r>
              <w:rPr>
                <w:rFonts w:hint="eastAsia" w:ascii="宋体" w:hAnsi="宋体" w:cs="宋体"/>
                <w:b/>
                <w:color w:val="auto"/>
                <w:szCs w:val="21"/>
              </w:rPr>
              <w:t>具体要求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3.1</w:t>
            </w:r>
          </w:p>
        </w:tc>
        <w:tc>
          <w:tcPr>
            <w:tcW w:w="2390" w:type="dxa"/>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供应商资格条件</w:t>
            </w:r>
          </w:p>
        </w:tc>
        <w:tc>
          <w:tcPr>
            <w:tcW w:w="6416" w:type="dxa"/>
          </w:tcPr>
          <w:p>
            <w:pPr>
              <w:spacing w:line="360" w:lineRule="auto"/>
              <w:rPr>
                <w:rFonts w:hint="eastAsia" w:ascii="宋体" w:hAnsi="宋体" w:cs="宋体"/>
                <w:color w:val="auto"/>
                <w:szCs w:val="21"/>
              </w:rPr>
            </w:pPr>
            <w:r>
              <w:rPr>
                <w:rFonts w:hint="eastAsia" w:ascii="宋体" w:hAnsi="宋体" w:cs="宋体"/>
                <w:color w:val="auto"/>
                <w:szCs w:val="21"/>
              </w:rPr>
              <w:t>详见竞争性磋商公告。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5.1</w:t>
            </w:r>
          </w:p>
        </w:tc>
        <w:tc>
          <w:tcPr>
            <w:tcW w:w="2390" w:type="dxa"/>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是否接受联合体竞标</w:t>
            </w:r>
          </w:p>
        </w:tc>
        <w:tc>
          <w:tcPr>
            <w:tcW w:w="6416" w:type="dxa"/>
            <w:vAlign w:val="center"/>
          </w:tcPr>
          <w:p>
            <w:pPr>
              <w:spacing w:line="360" w:lineRule="auto"/>
              <w:rPr>
                <w:rFonts w:hint="eastAsia" w:ascii="宋体" w:hAnsi="宋体" w:cs="宋体"/>
                <w:color w:val="auto"/>
                <w:szCs w:val="21"/>
              </w:rPr>
            </w:pPr>
            <w:bookmarkStart w:id="109" w:name="PO_3000001868_PM007"/>
            <w:r>
              <w:rPr>
                <w:rFonts w:hint="eastAsia" w:ascii="宋体" w:hAnsi="宋体" w:cs="宋体"/>
                <w:color w:val="auto"/>
                <w:szCs w:val="21"/>
              </w:rPr>
              <w:t>详见竞争性磋商公告</w:t>
            </w:r>
            <w:bookmarkEnd w:id="109"/>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5.2</w:t>
            </w:r>
          </w:p>
        </w:tc>
        <w:tc>
          <w:tcPr>
            <w:tcW w:w="2390" w:type="dxa"/>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联合体竞标要求</w:t>
            </w:r>
          </w:p>
        </w:tc>
        <w:tc>
          <w:tcPr>
            <w:tcW w:w="6416" w:type="dxa"/>
            <w:vAlign w:val="center"/>
          </w:tcPr>
          <w:p>
            <w:pPr>
              <w:spacing w:line="360" w:lineRule="auto"/>
              <w:rPr>
                <w:rFonts w:hint="eastAsia" w:ascii="宋体" w:hAnsi="宋体" w:cs="宋体"/>
                <w:color w:val="auto"/>
                <w:szCs w:val="21"/>
              </w:rPr>
            </w:pPr>
            <w:r>
              <w:rPr>
                <w:rFonts w:hint="eastAsia" w:ascii="宋体" w:hAnsi="宋体" w:cs="宋体"/>
                <w:color w:val="auto"/>
                <w:szCs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6.1</w:t>
            </w:r>
          </w:p>
        </w:tc>
        <w:tc>
          <w:tcPr>
            <w:tcW w:w="2390" w:type="dxa"/>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是否允许分包</w:t>
            </w:r>
          </w:p>
        </w:tc>
        <w:tc>
          <w:tcPr>
            <w:tcW w:w="6416" w:type="dxa"/>
            <w:vAlign w:val="center"/>
          </w:tcPr>
          <w:p>
            <w:pPr>
              <w:pStyle w:val="13"/>
              <w:spacing w:line="360" w:lineRule="auto"/>
              <w:rPr>
                <w:rFonts w:hint="eastAsia" w:ascii="宋体" w:hAnsi="宋体" w:cs="宋体"/>
                <w:color w:val="auto"/>
                <w:szCs w:val="21"/>
              </w:rPr>
            </w:pPr>
            <w:r>
              <w:rPr>
                <w:rFonts w:hint="eastAsia" w:ascii="宋体" w:hAnsi="宋体" w:cs="宋体"/>
                <w:color w:val="auto"/>
                <w:szCs w:val="21"/>
              </w:rPr>
              <w:t>不允许分包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12.1.1</w:t>
            </w:r>
          </w:p>
        </w:tc>
        <w:tc>
          <w:tcPr>
            <w:tcW w:w="2390" w:type="dxa"/>
            <w:vAlign w:val="center"/>
          </w:tcPr>
          <w:p>
            <w:pPr>
              <w:snapToGrid w:val="0"/>
              <w:spacing w:line="360" w:lineRule="auto"/>
              <w:jc w:val="center"/>
              <w:rPr>
                <w:rFonts w:hint="eastAsia" w:ascii="宋体" w:hAnsi="宋体" w:cs="宋体"/>
                <w:color w:val="auto"/>
                <w:szCs w:val="21"/>
              </w:rPr>
            </w:pPr>
            <w:r>
              <w:rPr>
                <w:rFonts w:hint="eastAsia" w:ascii="宋体" w:hAnsi="宋体" w:cs="宋体"/>
                <w:b/>
                <w:color w:val="auto"/>
                <w:szCs w:val="21"/>
              </w:rPr>
              <w:t>资格证明文件组成</w:t>
            </w:r>
          </w:p>
        </w:tc>
        <w:tc>
          <w:tcPr>
            <w:tcW w:w="6416" w:type="dxa"/>
            <w:vAlign w:val="center"/>
          </w:tcPr>
          <w:p>
            <w:pPr>
              <w:pStyle w:val="13"/>
              <w:spacing w:line="360" w:lineRule="auto"/>
              <w:rPr>
                <w:rFonts w:hint="eastAsia" w:ascii="宋体" w:hAnsi="宋体" w:cs="宋体"/>
                <w:color w:val="auto"/>
                <w:szCs w:val="21"/>
              </w:rPr>
            </w:pPr>
            <w:r>
              <w:rPr>
                <w:rFonts w:hint="eastAsia" w:ascii="宋体" w:hAnsi="宋体" w:cs="宋体"/>
                <w:color w:val="auto"/>
                <w:szCs w:val="21"/>
              </w:rPr>
              <w:t>1.供应商为法人或者其他组织的提供其营业执照等证明文件复印件（如营业执照或者事业单位法人证书或者执业许可证等），供应商为自然人的提供其有效身份证正反面复印件；（</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pPr>
              <w:snapToGrid w:val="0"/>
              <w:spacing w:line="360" w:lineRule="auto"/>
              <w:jc w:val="left"/>
              <w:rPr>
                <w:rFonts w:hint="eastAsia" w:ascii="宋体" w:hAnsi="宋体" w:cs="宋体"/>
                <w:color w:val="auto"/>
                <w:szCs w:val="21"/>
              </w:rPr>
            </w:pPr>
            <w:r>
              <w:rPr>
                <w:rFonts w:hint="eastAsia" w:ascii="宋体" w:hAnsi="宋体" w:cs="宋体"/>
                <w:color w:val="auto"/>
                <w:szCs w:val="21"/>
              </w:rPr>
              <w:t>2.供应商依法缴纳税收的相关材料（提供税款所属时期为202</w:t>
            </w:r>
            <w:r>
              <w:rPr>
                <w:rFonts w:hint="eastAsia" w:ascii="宋体" w:hAnsi="宋体" w:cs="宋体"/>
                <w:color w:val="auto"/>
                <w:szCs w:val="21"/>
                <w:lang w:val="en-US" w:eastAsia="zh-CN"/>
              </w:rPr>
              <w:t>5</w:t>
            </w:r>
            <w:r>
              <w:rPr>
                <w:rFonts w:hint="eastAsia" w:ascii="宋体" w:hAnsi="宋体" w:cs="宋体"/>
                <w:color w:val="auto"/>
                <w:szCs w:val="21"/>
              </w:rPr>
              <w:t>年</w:t>
            </w:r>
            <w:r>
              <w:rPr>
                <w:rFonts w:hint="eastAsia" w:ascii="宋体" w:hAnsi="宋体" w:cs="宋体"/>
                <w:color w:val="auto"/>
                <w:szCs w:val="21"/>
                <w:lang w:val="en-US" w:eastAsia="zh-CN"/>
              </w:rPr>
              <w:t>1</w:t>
            </w:r>
            <w:r>
              <w:rPr>
                <w:rFonts w:hint="eastAsia" w:ascii="宋体" w:hAnsi="宋体" w:cs="宋体"/>
                <w:color w:val="auto"/>
                <w:szCs w:val="21"/>
              </w:rPr>
              <w:t>月至首次响应文件提交截止时间止的任意3个月的依法缴纳税收的凭据复印件；依法免税的供应商，必须提供相应文件证明其依法免税。从取得营业执照时间起到首次响应文件提交截止时间为止不足要求月数的，只需提供从取得营业执照起的依法缴纳税收相应证明文件）；（</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pPr>
              <w:snapToGrid w:val="0"/>
              <w:spacing w:line="360" w:lineRule="auto"/>
              <w:jc w:val="left"/>
              <w:rPr>
                <w:rFonts w:hint="eastAsia" w:ascii="宋体" w:hAnsi="宋体" w:cs="宋体"/>
                <w:color w:val="auto"/>
                <w:szCs w:val="21"/>
              </w:rPr>
            </w:pPr>
            <w:r>
              <w:rPr>
                <w:rFonts w:hint="eastAsia" w:ascii="宋体" w:hAnsi="宋体" w:cs="宋体"/>
                <w:color w:val="auto"/>
                <w:szCs w:val="21"/>
              </w:rPr>
              <w:t>3.供应商依法缴纳社会保障资金的相关材料（提供税款所属时期或缴费起始时间为202</w:t>
            </w:r>
            <w:r>
              <w:rPr>
                <w:rFonts w:hint="eastAsia" w:ascii="宋体" w:hAnsi="宋体" w:cs="宋体"/>
                <w:color w:val="auto"/>
                <w:szCs w:val="21"/>
                <w:lang w:val="en-US" w:eastAsia="zh-CN"/>
              </w:rPr>
              <w:t>5</w:t>
            </w:r>
            <w:r>
              <w:rPr>
                <w:rFonts w:hint="eastAsia" w:ascii="宋体" w:hAnsi="宋体" w:cs="宋体"/>
                <w:color w:val="auto"/>
                <w:szCs w:val="21"/>
              </w:rPr>
              <w:t>年</w:t>
            </w:r>
            <w:r>
              <w:rPr>
                <w:rFonts w:hint="eastAsia" w:ascii="宋体" w:hAnsi="宋体" w:cs="宋体"/>
                <w:color w:val="auto"/>
                <w:szCs w:val="21"/>
                <w:lang w:val="en-US" w:eastAsia="zh-CN"/>
              </w:rPr>
              <w:t>1</w:t>
            </w:r>
            <w:r>
              <w:rPr>
                <w:rFonts w:hint="eastAsia" w:ascii="宋体" w:hAnsi="宋体" w:cs="宋体"/>
                <w:color w:val="auto"/>
                <w:szCs w:val="21"/>
              </w:rPr>
              <w:t>月至首次响应文件提交截止时间止的任意3个月的依法缴纳社会保障资金的缴费凭证复印件；依法不需要缴纳社会保障资金的供应商，必须提供相应文件证明不需要缴纳社会保障资金。从取得营业执照时间起到首次响应文件提交截止时间为止不足要求月数的只需提供从取得营业执照起的依法缴纳社会保障资金的相应证明文件）；（</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pPr>
              <w:snapToGrid w:val="0"/>
              <w:spacing w:line="360" w:lineRule="auto"/>
              <w:jc w:val="left"/>
              <w:rPr>
                <w:rFonts w:hint="eastAsia" w:ascii="宋体" w:hAnsi="宋体" w:cs="宋体"/>
                <w:color w:val="auto"/>
                <w:szCs w:val="21"/>
              </w:rPr>
            </w:pPr>
            <w:r>
              <w:rPr>
                <w:rFonts w:hint="eastAsia" w:ascii="宋体" w:hAnsi="宋体" w:cs="宋体"/>
                <w:color w:val="auto"/>
                <w:szCs w:val="21"/>
              </w:rPr>
              <w:t>4.供应商财务状况报告（提供</w:t>
            </w:r>
            <w:r>
              <w:rPr>
                <w:rFonts w:hint="eastAsia" w:ascii="宋体" w:hAnsi="宋体" w:cs="宋体"/>
                <w:color w:val="auto"/>
                <w:szCs w:val="21"/>
                <w:lang w:val="en-US" w:eastAsia="zh-CN"/>
              </w:rPr>
              <w:t>2024</w:t>
            </w:r>
            <w:r>
              <w:rPr>
                <w:rFonts w:hint="eastAsia" w:ascii="宋体" w:hAnsi="宋体" w:cs="宋体"/>
                <w:color w:val="auto"/>
                <w:szCs w:val="21"/>
              </w:rPr>
              <w:t>年度财务报告复印件或者截标时间前半年内至少一个月能反映财务状况的报表或者供应商自拟的截标时间前半年内至少一个月的财务情况说明）；</w:t>
            </w:r>
            <w:r>
              <w:rPr>
                <w:rFonts w:hint="eastAsia" w:ascii="宋体" w:hAnsi="宋体" w:cs="宋体"/>
                <w:bCs/>
                <w:color w:val="auto"/>
                <w:szCs w:val="21"/>
              </w:rPr>
              <w:t>（</w:t>
            </w:r>
            <w:r>
              <w:rPr>
                <w:rFonts w:hint="eastAsia" w:ascii="宋体" w:hAnsi="宋体" w:cs="宋体"/>
                <w:b/>
                <w:color w:val="auto"/>
                <w:szCs w:val="21"/>
              </w:rPr>
              <w:t>必须提供，否则响应文件按无效响应处理</w:t>
            </w:r>
            <w:r>
              <w:rPr>
                <w:rFonts w:hint="eastAsia" w:ascii="宋体" w:hAnsi="宋体" w:cs="宋体"/>
                <w:bCs/>
                <w:color w:val="auto"/>
                <w:szCs w:val="21"/>
              </w:rPr>
              <w:t>）</w:t>
            </w:r>
          </w:p>
          <w:p>
            <w:pPr>
              <w:snapToGrid w:val="0"/>
              <w:spacing w:line="360" w:lineRule="auto"/>
              <w:jc w:val="left"/>
              <w:rPr>
                <w:rFonts w:hint="eastAsia" w:ascii="宋体" w:hAnsi="宋体" w:cs="宋体"/>
                <w:color w:val="auto"/>
                <w:szCs w:val="21"/>
              </w:rPr>
            </w:pPr>
            <w:r>
              <w:rPr>
                <w:rFonts w:hint="eastAsia" w:ascii="宋体" w:hAnsi="宋体" w:cs="宋体"/>
                <w:color w:val="auto"/>
                <w:szCs w:val="21"/>
                <w:lang w:val="en-US" w:eastAsia="zh-CN"/>
              </w:rPr>
              <w:t>5</w:t>
            </w:r>
            <w:r>
              <w:rPr>
                <w:rFonts w:hint="eastAsia" w:ascii="宋体" w:hAnsi="宋体" w:cs="宋体"/>
                <w:color w:val="auto"/>
                <w:szCs w:val="21"/>
              </w:rPr>
              <w:t>.声明函（格式后附）；（</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pPr>
              <w:snapToGrid w:val="0"/>
              <w:spacing w:line="360" w:lineRule="auto"/>
              <w:jc w:val="left"/>
              <w:rPr>
                <w:rFonts w:hint="eastAsia" w:ascii="宋体" w:hAnsi="宋体" w:eastAsia="宋体" w:cs="宋体"/>
                <w:color w:val="auto"/>
                <w:szCs w:val="21"/>
                <w:lang w:val="en-US" w:eastAsia="zh-CN"/>
              </w:rPr>
            </w:pPr>
            <w:r>
              <w:rPr>
                <w:rFonts w:hint="eastAsia" w:ascii="宋体" w:hAnsi="宋体" w:cs="宋体"/>
                <w:color w:val="auto"/>
                <w:szCs w:val="21"/>
                <w:lang w:val="en-US" w:eastAsia="zh-CN"/>
              </w:rPr>
              <w:t>6</w:t>
            </w:r>
            <w:r>
              <w:rPr>
                <w:rFonts w:hint="eastAsia" w:ascii="宋体" w:hAnsi="宋体" w:eastAsia="宋体" w:cs="宋体"/>
                <w:color w:val="auto"/>
                <w:szCs w:val="21"/>
                <w:lang w:val="en-US" w:eastAsia="zh-CN"/>
              </w:rPr>
              <w:t>.供应商直接控股股东信息表（</w:t>
            </w:r>
            <w:r>
              <w:rPr>
                <w:rFonts w:hint="eastAsia" w:ascii="宋体" w:hAnsi="宋体" w:eastAsia="宋体" w:cs="宋体"/>
                <w:color w:val="auto"/>
                <w:szCs w:val="21"/>
              </w:rPr>
              <w:t>格式后附）。</w:t>
            </w:r>
            <w:r>
              <w:rPr>
                <w:rFonts w:hint="eastAsia" w:ascii="宋体" w:hAnsi="宋体" w:cs="宋体"/>
                <w:color w:val="auto"/>
                <w:szCs w:val="21"/>
              </w:rPr>
              <w:t>（</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pPr>
              <w:snapToGrid w:val="0"/>
              <w:spacing w:line="360" w:lineRule="auto"/>
              <w:jc w:val="left"/>
              <w:rPr>
                <w:rFonts w:hint="eastAsia" w:ascii="宋体" w:hAnsi="宋体" w:cs="宋体"/>
                <w:color w:val="auto"/>
                <w:szCs w:val="21"/>
              </w:rPr>
            </w:pPr>
            <w:r>
              <w:rPr>
                <w:rFonts w:hint="eastAsia" w:ascii="宋体" w:hAnsi="宋体" w:cs="宋体"/>
                <w:color w:val="auto"/>
                <w:szCs w:val="21"/>
                <w:lang w:val="en-US" w:eastAsia="zh-CN"/>
              </w:rPr>
              <w:t>7</w:t>
            </w:r>
            <w:r>
              <w:rPr>
                <w:rFonts w:hint="eastAsia" w:ascii="宋体" w:hAnsi="宋体" w:eastAsia="宋体" w:cs="宋体"/>
                <w:color w:val="auto"/>
                <w:szCs w:val="21"/>
                <w:lang w:val="en-US" w:eastAsia="zh-CN"/>
              </w:rPr>
              <w:t>.供应商直接管理关系信息表（格式后附）。</w:t>
            </w:r>
            <w:r>
              <w:rPr>
                <w:rFonts w:hint="eastAsia" w:ascii="宋体" w:hAnsi="宋体" w:cs="宋体"/>
                <w:color w:val="auto"/>
                <w:szCs w:val="21"/>
              </w:rPr>
              <w:t>（</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pPr>
              <w:snapToGrid w:val="0"/>
              <w:spacing w:line="360" w:lineRule="auto"/>
              <w:jc w:val="left"/>
              <w:rPr>
                <w:rFonts w:hint="eastAsia" w:ascii="宋体" w:hAnsi="宋体" w:cs="宋体"/>
                <w:color w:val="auto"/>
                <w:szCs w:val="21"/>
                <w:lang w:val="en-US" w:eastAsia="zh-CN"/>
              </w:rPr>
            </w:pPr>
            <w:r>
              <w:rPr>
                <w:rFonts w:hint="eastAsia" w:ascii="宋体" w:hAnsi="宋体" w:cs="宋体"/>
                <w:color w:val="auto"/>
                <w:szCs w:val="21"/>
                <w:lang w:val="en-US" w:eastAsia="zh-CN"/>
              </w:rPr>
              <w:t>8.中小企业声明函或者残疾人福利性单位声明函（格式后附）或者供应商属于监狱企业的，提供由省级以上监狱管理局、戒毒管理局（含新疆生产建设兵团）出具的属于监狱企业的证明文件；（</w:t>
            </w:r>
            <w:r>
              <w:rPr>
                <w:rFonts w:hint="eastAsia" w:ascii="宋体" w:hAnsi="宋体" w:cs="宋体"/>
                <w:b/>
                <w:bCs/>
                <w:color w:val="auto"/>
                <w:szCs w:val="21"/>
                <w:lang w:val="en-US" w:eastAsia="zh-CN"/>
              </w:rPr>
              <w:t>分标1、2、3为专门面向小微企业采购的项目，分标5为专门面向中小微企业采购的项目，以上分标供应商必须提供，否则响应文件按无效响应处理</w:t>
            </w:r>
            <w:r>
              <w:rPr>
                <w:rFonts w:hint="eastAsia" w:ascii="宋体" w:hAnsi="宋体" w:cs="宋体"/>
                <w:color w:val="auto"/>
                <w:szCs w:val="21"/>
                <w:lang w:val="en-US" w:eastAsia="zh-CN"/>
              </w:rPr>
              <w:t>）</w:t>
            </w:r>
          </w:p>
          <w:p>
            <w:pPr>
              <w:snapToGrid w:val="0"/>
              <w:spacing w:line="360" w:lineRule="auto"/>
              <w:jc w:val="left"/>
              <w:rPr>
                <w:rFonts w:hint="default" w:ascii="宋体" w:hAnsi="宋体" w:cs="宋体"/>
                <w:color w:val="auto"/>
                <w:szCs w:val="21"/>
                <w:lang w:val="en-US" w:eastAsia="zh-CN"/>
              </w:rPr>
            </w:pPr>
            <w:r>
              <w:rPr>
                <w:rFonts w:hint="eastAsia" w:ascii="宋体" w:hAnsi="宋体" w:cs="宋体"/>
                <w:color w:val="auto"/>
                <w:szCs w:val="21"/>
                <w:lang w:val="en-US" w:eastAsia="zh-CN"/>
              </w:rPr>
              <w:t>9.国家密码管理局颁发的商用密码检测机构资质证书</w:t>
            </w:r>
            <w:r>
              <w:rPr>
                <w:rFonts w:hint="eastAsia" w:ascii="宋体" w:hAnsi="宋体" w:cs="宋体"/>
                <w:color w:val="auto"/>
                <w:szCs w:val="21"/>
              </w:rPr>
              <w:t>（</w:t>
            </w:r>
            <w:r>
              <w:rPr>
                <w:rFonts w:hint="eastAsia" w:ascii="宋体" w:hAnsi="宋体" w:cs="宋体"/>
                <w:b/>
                <w:bCs/>
                <w:color w:val="auto"/>
                <w:szCs w:val="21"/>
              </w:rPr>
              <w:t>分标5供应商必须提供</w:t>
            </w:r>
            <w:r>
              <w:rPr>
                <w:rFonts w:hint="eastAsia" w:ascii="宋体" w:hAnsi="宋体" w:cs="宋体"/>
                <w:b/>
                <w:bCs/>
                <w:color w:val="auto"/>
                <w:szCs w:val="21"/>
                <w:lang w:val="en-US" w:eastAsia="zh-CN"/>
              </w:rPr>
              <w:t>证书扫描件</w:t>
            </w:r>
            <w:r>
              <w:rPr>
                <w:rFonts w:hint="eastAsia" w:ascii="宋体" w:hAnsi="宋体" w:cs="宋体"/>
                <w:b/>
                <w:color w:val="auto"/>
                <w:szCs w:val="21"/>
              </w:rPr>
              <w:t>，否则响应文件按无效响应处理</w:t>
            </w:r>
            <w:r>
              <w:rPr>
                <w:rFonts w:hint="eastAsia" w:ascii="宋体" w:hAnsi="宋体" w:cs="宋体"/>
                <w:b/>
                <w:color w:val="auto"/>
                <w:szCs w:val="21"/>
                <w:lang w:eastAsia="zh-CN"/>
              </w:rPr>
              <w:t>，</w:t>
            </w:r>
            <w:r>
              <w:rPr>
                <w:rFonts w:hint="eastAsia" w:ascii="宋体" w:hAnsi="宋体" w:cs="宋体"/>
                <w:b/>
                <w:color w:val="auto"/>
                <w:szCs w:val="21"/>
                <w:lang w:val="en-US" w:eastAsia="zh-CN"/>
              </w:rPr>
              <w:t>其余分标供应商不需提供</w:t>
            </w:r>
            <w:r>
              <w:rPr>
                <w:rFonts w:hint="eastAsia" w:ascii="宋体" w:hAnsi="宋体" w:cs="宋体"/>
                <w:color w:val="auto"/>
                <w:szCs w:val="21"/>
              </w:rPr>
              <w:t>）</w:t>
            </w:r>
          </w:p>
          <w:p>
            <w:pPr>
              <w:snapToGrid w:val="0"/>
              <w:spacing w:line="360" w:lineRule="auto"/>
              <w:jc w:val="left"/>
              <w:rPr>
                <w:rFonts w:hint="eastAsia" w:ascii="宋体" w:hAnsi="宋体" w:cs="宋体"/>
                <w:color w:val="auto"/>
                <w:szCs w:val="21"/>
              </w:rPr>
            </w:pPr>
            <w:r>
              <w:rPr>
                <w:rFonts w:hint="eastAsia" w:ascii="宋体" w:hAnsi="宋体" w:cs="宋体"/>
                <w:color w:val="auto"/>
                <w:szCs w:val="21"/>
                <w:lang w:val="en-US" w:eastAsia="zh-CN"/>
              </w:rPr>
              <w:t>10</w:t>
            </w:r>
            <w:r>
              <w:rPr>
                <w:rFonts w:hint="eastAsia" w:ascii="宋体" w:hAnsi="宋体" w:cs="宋体"/>
                <w:color w:val="auto"/>
                <w:szCs w:val="21"/>
              </w:rPr>
              <w:t>.联合体竞标协议书（格式后附）；（</w:t>
            </w:r>
            <w:r>
              <w:rPr>
                <w:rFonts w:hint="eastAsia" w:ascii="宋体" w:hAnsi="宋体" w:cs="宋体"/>
                <w:b/>
                <w:color w:val="auto"/>
                <w:szCs w:val="21"/>
              </w:rPr>
              <w:t>联合体竞标时必须提供，否则响应文件按无效响应处理</w:t>
            </w:r>
            <w:r>
              <w:rPr>
                <w:rFonts w:hint="eastAsia" w:ascii="宋体" w:hAnsi="宋体" w:cs="宋体"/>
                <w:color w:val="auto"/>
                <w:szCs w:val="21"/>
              </w:rPr>
              <w:t>）</w:t>
            </w:r>
          </w:p>
          <w:p>
            <w:pPr>
              <w:snapToGrid w:val="0"/>
              <w:spacing w:line="360" w:lineRule="auto"/>
              <w:jc w:val="left"/>
              <w:rPr>
                <w:rFonts w:hint="eastAsia" w:ascii="宋体" w:hAnsi="宋体" w:cs="宋体"/>
                <w:color w:val="auto"/>
                <w:szCs w:val="21"/>
              </w:rPr>
            </w:pPr>
            <w:r>
              <w:rPr>
                <w:rFonts w:hint="eastAsia" w:ascii="宋体" w:hAnsi="宋体" w:cs="宋体"/>
                <w:color w:val="auto"/>
                <w:szCs w:val="21"/>
                <w:lang w:val="en-US" w:eastAsia="zh-CN"/>
              </w:rPr>
              <w:t>11</w:t>
            </w:r>
            <w:r>
              <w:rPr>
                <w:rFonts w:hint="eastAsia" w:ascii="宋体" w:hAnsi="宋体" w:cs="宋体"/>
                <w:color w:val="auto"/>
                <w:szCs w:val="21"/>
              </w:rPr>
              <w:t>.除竞争性磋商文件规定必须提供以外，供应商认为需要提供的其他证明材料（格式自拟）。（</w:t>
            </w:r>
            <w:r>
              <w:rPr>
                <w:rFonts w:hint="eastAsia" w:ascii="宋体" w:hAnsi="宋体" w:cs="宋体"/>
                <w:b/>
                <w:bCs/>
                <w:color w:val="auto"/>
                <w:szCs w:val="21"/>
              </w:rPr>
              <w:t>如有，请提供</w:t>
            </w:r>
            <w:r>
              <w:rPr>
                <w:rFonts w:hint="eastAsia" w:ascii="宋体" w:hAnsi="宋体" w:cs="宋体"/>
                <w:color w:val="auto"/>
                <w:szCs w:val="21"/>
              </w:rPr>
              <w:t>）</w:t>
            </w:r>
          </w:p>
          <w:p>
            <w:pPr>
              <w:pStyle w:val="13"/>
              <w:spacing w:line="360" w:lineRule="auto"/>
              <w:rPr>
                <w:rFonts w:hint="eastAsia" w:ascii="宋体" w:hAnsi="宋体" w:cs="宋体"/>
                <w:b/>
                <w:color w:val="auto"/>
                <w:szCs w:val="21"/>
              </w:rPr>
            </w:pPr>
            <w:r>
              <w:rPr>
                <w:rFonts w:hint="eastAsia" w:ascii="宋体" w:hAnsi="宋体" w:cs="宋体"/>
                <w:b/>
                <w:color w:val="auto"/>
                <w:szCs w:val="21"/>
              </w:rPr>
              <w:t>注：</w:t>
            </w:r>
          </w:p>
          <w:p>
            <w:pPr>
              <w:pStyle w:val="13"/>
              <w:spacing w:line="360" w:lineRule="auto"/>
              <w:rPr>
                <w:rFonts w:hint="eastAsia" w:ascii="宋体" w:hAnsi="宋体" w:cs="宋体"/>
                <w:b/>
                <w:color w:val="auto"/>
                <w:szCs w:val="21"/>
              </w:rPr>
            </w:pPr>
            <w:r>
              <w:rPr>
                <w:rFonts w:hint="eastAsia" w:ascii="宋体" w:hAnsi="宋体" w:cs="宋体"/>
                <w:b/>
                <w:color w:val="auto"/>
                <w:szCs w:val="21"/>
              </w:rPr>
              <w:t>　　1.以上标明“必须提供”的材料属于复印件的扫描件的，必须加盖供应商公章，否则响应文件按无效响应处理。</w:t>
            </w:r>
          </w:p>
          <w:p>
            <w:pPr>
              <w:pStyle w:val="13"/>
              <w:spacing w:line="360" w:lineRule="auto"/>
              <w:ind w:firstLine="422" w:firstLineChars="200"/>
              <w:rPr>
                <w:rFonts w:hint="eastAsia" w:ascii="宋体" w:hAnsi="宋体" w:cs="宋体"/>
                <w:b/>
                <w:color w:val="auto"/>
                <w:szCs w:val="21"/>
              </w:rPr>
            </w:pPr>
            <w:r>
              <w:rPr>
                <w:rFonts w:hint="eastAsia" w:ascii="宋体" w:hAnsi="宋体" w:cs="宋体"/>
                <w:b/>
                <w:color w:val="auto"/>
                <w:szCs w:val="21"/>
              </w:rPr>
              <w:t>2.联合体竞标时，第1-</w:t>
            </w:r>
            <w:r>
              <w:rPr>
                <w:rFonts w:hint="eastAsia" w:ascii="宋体" w:hAnsi="宋体" w:cs="宋体"/>
                <w:b/>
                <w:color w:val="auto"/>
                <w:szCs w:val="21"/>
                <w:lang w:val="en-US" w:eastAsia="zh-CN"/>
              </w:rPr>
              <w:t>4</w:t>
            </w:r>
            <w:r>
              <w:rPr>
                <w:rFonts w:hint="eastAsia" w:ascii="宋体" w:hAnsi="宋体" w:cs="宋体"/>
                <w:b/>
                <w:color w:val="auto"/>
                <w:szCs w:val="21"/>
              </w:rPr>
              <w:t>项资格证明文件联合体各方均必须分别提供，联合体各方分别盖章，否则响应文件按无效响应处理。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Merge w:val="restart"/>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12.1.2</w:t>
            </w:r>
          </w:p>
        </w:tc>
        <w:tc>
          <w:tcPr>
            <w:tcW w:w="2390" w:type="dxa"/>
            <w:vAlign w:val="center"/>
          </w:tcPr>
          <w:p>
            <w:pPr>
              <w:spacing w:line="360" w:lineRule="auto"/>
              <w:jc w:val="center"/>
              <w:rPr>
                <w:rFonts w:hint="eastAsia" w:ascii="宋体" w:hAnsi="宋体" w:cs="宋体"/>
                <w:b/>
                <w:bCs/>
                <w:color w:val="auto"/>
                <w:szCs w:val="21"/>
              </w:rPr>
            </w:pPr>
            <w:r>
              <w:rPr>
                <w:rFonts w:hint="eastAsia" w:ascii="宋体" w:hAnsi="宋体" w:cs="宋体"/>
                <w:b/>
                <w:bCs/>
                <w:color w:val="auto"/>
                <w:szCs w:val="21"/>
              </w:rPr>
              <w:t>商务文件组成</w:t>
            </w:r>
          </w:p>
        </w:tc>
        <w:tc>
          <w:tcPr>
            <w:tcW w:w="6416" w:type="dxa"/>
            <w:vAlign w:val="center"/>
          </w:tcPr>
          <w:p>
            <w:pPr>
              <w:spacing w:line="360" w:lineRule="auto"/>
              <w:rPr>
                <w:rFonts w:hint="eastAsia" w:ascii="宋体" w:hAnsi="宋体" w:cs="宋体"/>
                <w:color w:val="auto"/>
                <w:szCs w:val="21"/>
              </w:rPr>
            </w:pPr>
            <w:r>
              <w:rPr>
                <w:rFonts w:hint="eastAsia" w:ascii="宋体" w:hAnsi="宋体" w:cs="宋体"/>
                <w:color w:val="auto"/>
                <w:szCs w:val="21"/>
              </w:rPr>
              <w:t>1.无串通竞标行为的承诺函（格式后附）；（</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pPr>
              <w:snapToGrid w:val="0"/>
              <w:spacing w:line="360" w:lineRule="auto"/>
              <w:jc w:val="left"/>
              <w:rPr>
                <w:rFonts w:hint="eastAsia" w:ascii="宋体" w:hAnsi="宋体" w:cs="宋体"/>
                <w:color w:val="auto"/>
                <w:szCs w:val="21"/>
              </w:rPr>
            </w:pPr>
            <w:r>
              <w:rPr>
                <w:rFonts w:hint="eastAsia" w:ascii="宋体" w:hAnsi="宋体" w:cs="宋体"/>
                <w:color w:val="auto"/>
                <w:szCs w:val="21"/>
              </w:rPr>
              <w:t>2.法定代表人身份证明及法定代表人有效身份证正反面复印件（格式后附）；（</w:t>
            </w:r>
            <w:r>
              <w:rPr>
                <w:rFonts w:hint="eastAsia" w:ascii="宋体" w:hAnsi="宋体" w:cs="宋体"/>
                <w:b/>
                <w:bCs/>
                <w:color w:val="auto"/>
                <w:szCs w:val="21"/>
              </w:rPr>
              <w:t>除自然人竞标外</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pPr>
              <w:spacing w:line="360" w:lineRule="auto"/>
              <w:rPr>
                <w:rFonts w:hint="eastAsia" w:ascii="宋体" w:hAnsi="宋体" w:cs="宋体"/>
                <w:color w:val="auto"/>
                <w:szCs w:val="21"/>
              </w:rPr>
            </w:pPr>
            <w:r>
              <w:rPr>
                <w:rFonts w:hint="eastAsia" w:ascii="宋体" w:hAnsi="宋体" w:cs="宋体"/>
                <w:color w:val="auto"/>
                <w:szCs w:val="21"/>
              </w:rPr>
              <w:t>3.法定代表人授权委托书及委托代理人有效身份证正反面复印件（格式后附）；（</w:t>
            </w:r>
            <w:r>
              <w:rPr>
                <w:rFonts w:hint="eastAsia" w:ascii="宋体" w:hAnsi="宋体" w:cs="宋体"/>
                <w:b/>
                <w:color w:val="auto"/>
                <w:szCs w:val="21"/>
              </w:rPr>
              <w:t>委托时必须提供，否则响应文件按无效响应处理</w:t>
            </w:r>
            <w:r>
              <w:rPr>
                <w:rFonts w:hint="eastAsia" w:ascii="宋体" w:hAnsi="宋体" w:cs="宋体"/>
                <w:color w:val="auto"/>
                <w:szCs w:val="21"/>
              </w:rPr>
              <w:t>）</w:t>
            </w:r>
          </w:p>
          <w:p>
            <w:pPr>
              <w:spacing w:line="360" w:lineRule="auto"/>
              <w:rPr>
                <w:rFonts w:hint="eastAsia" w:ascii="宋体" w:hAnsi="宋体" w:eastAsia="宋体" w:cs="宋体"/>
                <w:color w:val="auto"/>
                <w:szCs w:val="21"/>
              </w:rPr>
            </w:pPr>
            <w:r>
              <w:rPr>
                <w:rFonts w:hint="eastAsia" w:ascii="宋体" w:hAnsi="宋体" w:eastAsia="宋体" w:cs="宋体"/>
                <w:color w:val="auto"/>
                <w:szCs w:val="21"/>
                <w:lang w:val="en-US" w:eastAsia="zh-CN"/>
              </w:rPr>
              <w:t>4.磋商</w:t>
            </w:r>
            <w:r>
              <w:rPr>
                <w:rFonts w:hint="eastAsia" w:ascii="宋体" w:hAnsi="宋体" w:eastAsia="宋体" w:cs="宋体"/>
                <w:color w:val="auto"/>
                <w:szCs w:val="21"/>
              </w:rPr>
              <w:t>保证金提交凭证；（</w:t>
            </w:r>
            <w:r>
              <w:rPr>
                <w:rFonts w:hint="eastAsia" w:ascii="宋体" w:hAnsi="宋体" w:cs="宋体"/>
                <w:b/>
                <w:color w:val="auto"/>
                <w:szCs w:val="21"/>
              </w:rPr>
              <w:t>必须提供，否则响应文件按无效响应处理</w:t>
            </w:r>
            <w:r>
              <w:rPr>
                <w:rFonts w:hint="eastAsia" w:ascii="宋体" w:hAnsi="宋体" w:eastAsia="宋体" w:cs="宋体"/>
                <w:color w:val="auto"/>
                <w:szCs w:val="21"/>
              </w:rPr>
              <w:t>）</w:t>
            </w:r>
          </w:p>
          <w:p>
            <w:pPr>
              <w:spacing w:line="360" w:lineRule="auto"/>
              <w:rPr>
                <w:rFonts w:hint="eastAsia" w:ascii="宋体" w:hAnsi="宋体" w:cs="宋体"/>
                <w:color w:val="auto"/>
                <w:szCs w:val="21"/>
              </w:rPr>
            </w:pPr>
            <w:r>
              <w:rPr>
                <w:rFonts w:hint="eastAsia" w:ascii="宋体" w:hAnsi="宋体" w:cs="宋体"/>
                <w:color w:val="auto"/>
                <w:szCs w:val="21"/>
                <w:lang w:val="en-US" w:eastAsia="zh-CN"/>
              </w:rPr>
              <w:t>5</w:t>
            </w:r>
            <w:r>
              <w:rPr>
                <w:rFonts w:hint="eastAsia" w:ascii="宋体" w:hAnsi="宋体" w:cs="宋体"/>
                <w:color w:val="auto"/>
                <w:szCs w:val="21"/>
              </w:rPr>
              <w:t>.商务条款偏离表（格式后附）；（</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pPr>
              <w:spacing w:line="360" w:lineRule="auto"/>
              <w:rPr>
                <w:rFonts w:hint="eastAsia" w:ascii="宋体" w:hAnsi="宋体" w:cs="宋体"/>
                <w:color w:val="auto"/>
                <w:szCs w:val="21"/>
              </w:rPr>
            </w:pPr>
            <w:r>
              <w:rPr>
                <w:rFonts w:hint="eastAsia" w:ascii="宋体" w:hAnsi="宋体" w:cs="宋体"/>
                <w:color w:val="auto"/>
                <w:szCs w:val="21"/>
                <w:lang w:val="en-US" w:eastAsia="zh-CN"/>
              </w:rPr>
              <w:t>6</w:t>
            </w:r>
            <w:r>
              <w:rPr>
                <w:rFonts w:hint="eastAsia" w:ascii="宋体" w:hAnsi="宋体" w:cs="宋体"/>
                <w:color w:val="auto"/>
                <w:szCs w:val="21"/>
              </w:rPr>
              <w:t>.供应商情况介绍（格式自拟）；（</w:t>
            </w:r>
            <w:r>
              <w:rPr>
                <w:rFonts w:hint="eastAsia" w:ascii="宋体" w:hAnsi="宋体" w:cs="宋体"/>
                <w:b/>
                <w:bCs/>
                <w:color w:val="auto"/>
                <w:szCs w:val="21"/>
              </w:rPr>
              <w:t>如有，请提供</w:t>
            </w:r>
            <w:r>
              <w:rPr>
                <w:rFonts w:hint="eastAsia" w:ascii="宋体" w:hAnsi="宋体" w:cs="宋体"/>
                <w:color w:val="auto"/>
                <w:szCs w:val="21"/>
              </w:rPr>
              <w:t>）</w:t>
            </w:r>
          </w:p>
          <w:p>
            <w:pPr>
              <w:spacing w:line="360" w:lineRule="auto"/>
              <w:rPr>
                <w:rFonts w:hint="eastAsia" w:ascii="宋体" w:hAnsi="宋体" w:cs="宋体"/>
                <w:color w:val="auto"/>
                <w:szCs w:val="21"/>
              </w:rPr>
            </w:pPr>
            <w:r>
              <w:rPr>
                <w:rFonts w:hint="eastAsia" w:ascii="宋体" w:hAnsi="宋体" w:cs="宋体"/>
                <w:color w:val="auto"/>
                <w:szCs w:val="21"/>
                <w:lang w:val="en-US" w:eastAsia="zh-CN"/>
              </w:rPr>
              <w:t>7</w:t>
            </w:r>
            <w:r>
              <w:rPr>
                <w:rFonts w:hint="eastAsia" w:ascii="宋体" w:hAnsi="宋体" w:cs="宋体"/>
                <w:color w:val="auto"/>
                <w:szCs w:val="21"/>
              </w:rPr>
              <w:t>.对应采购需求的商务条款提供的其他文件资料（格式自拟）；（</w:t>
            </w:r>
            <w:r>
              <w:rPr>
                <w:rFonts w:hint="eastAsia" w:ascii="宋体" w:hAnsi="宋体" w:cs="宋体"/>
                <w:b/>
                <w:bCs/>
                <w:color w:val="auto"/>
                <w:szCs w:val="21"/>
              </w:rPr>
              <w:t>如有，请提供</w:t>
            </w:r>
            <w:r>
              <w:rPr>
                <w:rFonts w:hint="eastAsia" w:ascii="宋体" w:hAnsi="宋体" w:cs="宋体"/>
                <w:color w:val="auto"/>
                <w:szCs w:val="21"/>
              </w:rPr>
              <w:t>）</w:t>
            </w:r>
          </w:p>
          <w:p>
            <w:pPr>
              <w:spacing w:line="360" w:lineRule="auto"/>
              <w:rPr>
                <w:rFonts w:hint="eastAsia" w:ascii="宋体" w:hAnsi="宋体" w:cs="宋体"/>
                <w:color w:val="auto"/>
                <w:szCs w:val="21"/>
              </w:rPr>
            </w:pPr>
            <w:r>
              <w:rPr>
                <w:rFonts w:hint="eastAsia" w:ascii="宋体" w:hAnsi="宋体" w:cs="宋体"/>
                <w:color w:val="auto"/>
                <w:szCs w:val="21"/>
                <w:lang w:val="en-US" w:eastAsia="zh-CN"/>
              </w:rPr>
              <w:t>8</w:t>
            </w:r>
            <w:r>
              <w:rPr>
                <w:rFonts w:hint="eastAsia" w:ascii="宋体" w:hAnsi="宋体" w:cs="宋体"/>
                <w:color w:val="auto"/>
                <w:szCs w:val="21"/>
              </w:rPr>
              <w:t>.供应商认为需要提供的其他有关资料（格式自拟）。（</w:t>
            </w:r>
            <w:r>
              <w:rPr>
                <w:rFonts w:hint="eastAsia" w:ascii="宋体" w:hAnsi="宋体" w:cs="宋体"/>
                <w:b/>
                <w:bCs/>
                <w:color w:val="auto"/>
                <w:szCs w:val="21"/>
              </w:rPr>
              <w:t>如有，请提供</w:t>
            </w:r>
            <w:r>
              <w:rPr>
                <w:rFonts w:hint="eastAsia" w:ascii="宋体" w:hAnsi="宋体" w:cs="宋体"/>
                <w:color w:val="auto"/>
                <w:szCs w:val="21"/>
              </w:rPr>
              <w:t>）</w:t>
            </w:r>
          </w:p>
          <w:p>
            <w:pPr>
              <w:snapToGrid w:val="0"/>
              <w:spacing w:line="360" w:lineRule="auto"/>
              <w:jc w:val="left"/>
              <w:rPr>
                <w:rFonts w:hint="eastAsia" w:ascii="宋体" w:hAnsi="宋体" w:cs="宋体"/>
                <w:b/>
                <w:color w:val="auto"/>
                <w:szCs w:val="21"/>
              </w:rPr>
            </w:pPr>
            <w:r>
              <w:rPr>
                <w:rFonts w:hint="eastAsia" w:ascii="宋体" w:hAnsi="宋体" w:cs="宋体"/>
                <w:b/>
                <w:color w:val="auto"/>
                <w:szCs w:val="21"/>
              </w:rPr>
              <w:t xml:space="preserve">注： </w:t>
            </w:r>
          </w:p>
          <w:p>
            <w:pPr>
              <w:snapToGrid w:val="0"/>
              <w:spacing w:line="360" w:lineRule="auto"/>
              <w:ind w:firstLine="413" w:firstLineChars="196"/>
              <w:jc w:val="left"/>
              <w:rPr>
                <w:rFonts w:hint="eastAsia" w:ascii="宋体" w:hAnsi="宋体" w:cs="宋体"/>
                <w:b/>
                <w:color w:val="auto"/>
                <w:szCs w:val="21"/>
              </w:rPr>
            </w:pPr>
            <w:r>
              <w:rPr>
                <w:rFonts w:hint="eastAsia" w:ascii="宋体" w:hAnsi="宋体" w:cs="宋体"/>
                <w:b/>
                <w:color w:val="auto"/>
                <w:szCs w:val="21"/>
              </w:rPr>
              <w:t>1.法定代表人授权委托书必须由法定代表人及其委托代理人签字，并加盖供应商公章，否则响应文件按无效响应处理。</w:t>
            </w:r>
          </w:p>
          <w:p>
            <w:pPr>
              <w:spacing w:line="360" w:lineRule="auto"/>
              <w:ind w:firstLine="413" w:firstLineChars="196"/>
              <w:rPr>
                <w:rFonts w:hint="eastAsia" w:ascii="宋体" w:hAnsi="宋体" w:cs="宋体"/>
                <w:b/>
                <w:color w:val="auto"/>
                <w:szCs w:val="21"/>
              </w:rPr>
            </w:pPr>
            <w:r>
              <w:rPr>
                <w:rFonts w:hint="eastAsia" w:ascii="宋体" w:hAnsi="宋体" w:cs="宋体"/>
                <w:b/>
                <w:color w:val="auto"/>
                <w:szCs w:val="21"/>
              </w:rPr>
              <w:t>2.以上标明“必须提供”的材料属于复印件的扫描件的，必须加盖供应商公章，否则响应文件按无效响应处理。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5" w:hRule="atLeast"/>
          <w:jc w:val="center"/>
        </w:trPr>
        <w:tc>
          <w:tcPr>
            <w:tcW w:w="963" w:type="dxa"/>
            <w:vMerge w:val="continue"/>
            <w:vAlign w:val="center"/>
          </w:tcPr>
          <w:p>
            <w:pPr>
              <w:spacing w:line="360" w:lineRule="auto"/>
              <w:jc w:val="center"/>
              <w:rPr>
                <w:rFonts w:hint="eastAsia" w:ascii="宋体" w:hAnsi="宋体" w:cs="宋体"/>
                <w:color w:val="auto"/>
                <w:szCs w:val="21"/>
              </w:rPr>
            </w:pPr>
          </w:p>
        </w:tc>
        <w:tc>
          <w:tcPr>
            <w:tcW w:w="2390" w:type="dxa"/>
            <w:vAlign w:val="center"/>
          </w:tcPr>
          <w:p>
            <w:pPr>
              <w:spacing w:line="360" w:lineRule="auto"/>
              <w:jc w:val="center"/>
              <w:rPr>
                <w:rFonts w:hint="eastAsia" w:ascii="宋体" w:hAnsi="宋体" w:cs="宋体"/>
                <w:b/>
                <w:bCs/>
                <w:color w:val="auto"/>
                <w:szCs w:val="21"/>
              </w:rPr>
            </w:pPr>
            <w:r>
              <w:rPr>
                <w:rFonts w:hint="eastAsia" w:ascii="宋体" w:hAnsi="宋体" w:cs="宋体"/>
                <w:b/>
                <w:bCs/>
                <w:color w:val="auto"/>
                <w:szCs w:val="21"/>
              </w:rPr>
              <w:t>技术文件组成</w:t>
            </w:r>
          </w:p>
        </w:tc>
        <w:tc>
          <w:tcPr>
            <w:tcW w:w="6416" w:type="dxa"/>
            <w:vAlign w:val="center"/>
          </w:tcPr>
          <w:p>
            <w:pPr>
              <w:spacing w:line="360" w:lineRule="auto"/>
              <w:rPr>
                <w:rFonts w:hint="eastAsia" w:ascii="宋体" w:hAnsi="宋体" w:cs="宋体"/>
                <w:color w:val="auto"/>
                <w:szCs w:val="21"/>
              </w:rPr>
            </w:pPr>
            <w:r>
              <w:rPr>
                <w:rFonts w:hint="eastAsia" w:ascii="宋体" w:hAnsi="宋体" w:cs="宋体"/>
                <w:color w:val="auto"/>
                <w:szCs w:val="21"/>
              </w:rPr>
              <w:t>1.服务需求偏离表（格式后附）；（</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pPr>
              <w:spacing w:line="360" w:lineRule="auto"/>
              <w:rPr>
                <w:rFonts w:hint="eastAsia"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lang w:eastAsia="zh-CN"/>
              </w:rPr>
              <w:t>项目方案</w:t>
            </w:r>
            <w:r>
              <w:rPr>
                <w:rFonts w:hint="eastAsia" w:ascii="宋体" w:hAnsi="宋体" w:cs="宋体"/>
                <w:color w:val="auto"/>
                <w:szCs w:val="21"/>
              </w:rPr>
              <w:t>（格式自拟）；（</w:t>
            </w:r>
            <w:r>
              <w:rPr>
                <w:rFonts w:hint="eastAsia" w:ascii="宋体" w:hAnsi="宋体" w:cs="宋体"/>
                <w:b/>
                <w:bCs/>
                <w:color w:val="auto"/>
                <w:szCs w:val="21"/>
              </w:rPr>
              <w:t>如有，请提供</w:t>
            </w:r>
            <w:r>
              <w:rPr>
                <w:rFonts w:hint="eastAsia" w:ascii="宋体" w:hAnsi="宋体" w:cs="宋体"/>
                <w:color w:val="auto"/>
                <w:szCs w:val="21"/>
              </w:rPr>
              <w:t>）</w:t>
            </w:r>
          </w:p>
          <w:p>
            <w:pPr>
              <w:spacing w:line="360" w:lineRule="auto"/>
              <w:rPr>
                <w:rFonts w:hint="eastAsia" w:ascii="宋体" w:hAnsi="宋体" w:cs="宋体"/>
                <w:color w:val="auto"/>
                <w:szCs w:val="21"/>
              </w:rPr>
            </w:pPr>
            <w:r>
              <w:rPr>
                <w:rFonts w:hint="eastAsia" w:ascii="宋体" w:hAnsi="宋体" w:cs="宋体"/>
                <w:color w:val="auto"/>
              </w:rPr>
              <w:t>3.</w:t>
            </w:r>
            <w:r>
              <w:rPr>
                <w:rFonts w:hint="eastAsia" w:ascii="宋体" w:hAnsi="宋体" w:cs="宋体"/>
                <w:color w:val="auto"/>
                <w:szCs w:val="21"/>
              </w:rPr>
              <w:t>对应采购需求的服务需求提供的其他文件资料（格式自拟）；（</w:t>
            </w:r>
            <w:r>
              <w:rPr>
                <w:rFonts w:hint="eastAsia" w:ascii="宋体" w:hAnsi="宋体" w:cs="宋体"/>
                <w:b/>
                <w:bCs/>
                <w:color w:val="auto"/>
                <w:szCs w:val="21"/>
              </w:rPr>
              <w:t>如有，请提供</w:t>
            </w:r>
            <w:r>
              <w:rPr>
                <w:rFonts w:hint="eastAsia" w:ascii="宋体" w:hAnsi="宋体" w:cs="宋体"/>
                <w:color w:val="auto"/>
                <w:szCs w:val="21"/>
              </w:rPr>
              <w:t>）</w:t>
            </w:r>
          </w:p>
          <w:p>
            <w:pPr>
              <w:spacing w:line="360" w:lineRule="auto"/>
              <w:rPr>
                <w:rFonts w:hint="eastAsia" w:ascii="宋体" w:hAnsi="宋体" w:cs="宋体"/>
                <w:color w:val="auto"/>
                <w:szCs w:val="21"/>
              </w:rPr>
            </w:pPr>
            <w:r>
              <w:rPr>
                <w:rFonts w:hint="eastAsia" w:ascii="宋体" w:hAnsi="宋体" w:cs="宋体"/>
                <w:color w:val="auto"/>
                <w:szCs w:val="21"/>
                <w:lang w:val="en-US" w:eastAsia="zh-CN"/>
              </w:rPr>
              <w:t>4</w:t>
            </w:r>
            <w:r>
              <w:rPr>
                <w:rFonts w:hint="eastAsia" w:ascii="宋体" w:hAnsi="宋体" w:cs="宋体"/>
                <w:color w:val="auto"/>
                <w:szCs w:val="21"/>
              </w:rPr>
              <w:t>.供应商认为需要提供的其他有关资料（格式自拟）。（</w:t>
            </w:r>
            <w:r>
              <w:rPr>
                <w:rFonts w:hint="eastAsia" w:ascii="宋体" w:hAnsi="宋体" w:cs="宋体"/>
                <w:b/>
                <w:bCs/>
                <w:color w:val="auto"/>
                <w:szCs w:val="21"/>
              </w:rPr>
              <w:t>如有，请提供</w:t>
            </w:r>
            <w:r>
              <w:rPr>
                <w:rFonts w:hint="eastAsia" w:ascii="宋体" w:hAnsi="宋体" w:cs="宋体"/>
                <w:color w:val="auto"/>
                <w:szCs w:val="21"/>
              </w:rPr>
              <w:t>）</w:t>
            </w:r>
          </w:p>
          <w:p>
            <w:pPr>
              <w:spacing w:line="360" w:lineRule="auto"/>
              <w:rPr>
                <w:rFonts w:hint="eastAsia" w:ascii="宋体" w:hAnsi="宋体" w:cs="宋体"/>
                <w:b/>
                <w:color w:val="auto"/>
                <w:szCs w:val="21"/>
              </w:rPr>
            </w:pPr>
            <w:r>
              <w:rPr>
                <w:rFonts w:hint="eastAsia" w:ascii="宋体" w:hAnsi="宋体" w:cs="宋体"/>
                <w:b/>
                <w:color w:val="auto"/>
                <w:szCs w:val="21"/>
              </w:rPr>
              <w:t>注：以上标明“必须提供”的材料属于复印件的扫描件的，必须加盖供应商公章，否则响应文件按无效响应处理。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Align w:val="center"/>
          </w:tcPr>
          <w:p>
            <w:pPr>
              <w:spacing w:line="360" w:lineRule="auto"/>
              <w:jc w:val="center"/>
              <w:rPr>
                <w:rFonts w:hint="eastAsia" w:ascii="宋体" w:hAnsi="宋体" w:eastAsia="宋体" w:cs="宋体"/>
                <w:color w:val="auto"/>
                <w:szCs w:val="21"/>
                <w:lang w:eastAsia="zh-CN"/>
              </w:rPr>
            </w:pPr>
            <w:r>
              <w:rPr>
                <w:rFonts w:hint="eastAsia" w:ascii="宋体" w:hAnsi="宋体" w:cs="宋体"/>
                <w:color w:val="auto"/>
                <w:szCs w:val="21"/>
              </w:rPr>
              <w:t>12.1.</w:t>
            </w:r>
            <w:r>
              <w:rPr>
                <w:rFonts w:hint="eastAsia" w:ascii="宋体" w:hAnsi="宋体" w:cs="宋体"/>
                <w:color w:val="auto"/>
                <w:szCs w:val="21"/>
                <w:lang w:val="en-US" w:eastAsia="zh-CN"/>
              </w:rPr>
              <w:t>3</w:t>
            </w:r>
          </w:p>
        </w:tc>
        <w:tc>
          <w:tcPr>
            <w:tcW w:w="2390" w:type="dxa"/>
            <w:vAlign w:val="center"/>
          </w:tcPr>
          <w:p>
            <w:pPr>
              <w:spacing w:line="360" w:lineRule="auto"/>
              <w:jc w:val="center"/>
              <w:rPr>
                <w:rFonts w:hint="eastAsia" w:ascii="宋体" w:hAnsi="宋体" w:cs="宋体"/>
                <w:color w:val="auto"/>
                <w:szCs w:val="21"/>
              </w:rPr>
            </w:pPr>
            <w:r>
              <w:rPr>
                <w:rFonts w:hint="eastAsia" w:ascii="宋体" w:hAnsi="宋体" w:cs="宋体"/>
                <w:b/>
                <w:bCs/>
                <w:color w:val="auto"/>
                <w:szCs w:val="21"/>
              </w:rPr>
              <w:t>报价文件组成</w:t>
            </w:r>
          </w:p>
        </w:tc>
        <w:tc>
          <w:tcPr>
            <w:tcW w:w="6416" w:type="dxa"/>
            <w:vAlign w:val="center"/>
          </w:tcPr>
          <w:p>
            <w:pPr>
              <w:spacing w:line="360" w:lineRule="auto"/>
              <w:jc w:val="left"/>
              <w:rPr>
                <w:rFonts w:hint="eastAsia" w:ascii="宋体" w:hAnsi="宋体" w:cs="宋体"/>
                <w:color w:val="auto"/>
                <w:szCs w:val="21"/>
              </w:rPr>
            </w:pPr>
            <w:r>
              <w:rPr>
                <w:rFonts w:hint="eastAsia" w:ascii="宋体" w:hAnsi="宋体" w:cs="宋体"/>
                <w:color w:val="auto"/>
                <w:szCs w:val="21"/>
              </w:rPr>
              <w:t>1.响应函（格式后附）；</w:t>
            </w:r>
            <w:r>
              <w:rPr>
                <w:rFonts w:hint="eastAsia" w:ascii="宋体" w:hAnsi="宋体" w:cs="宋体"/>
                <w:b/>
                <w:color w:val="auto"/>
                <w:szCs w:val="21"/>
              </w:rPr>
              <w:t>（必须提供，否则响应文件按无效响应处理）</w:t>
            </w:r>
          </w:p>
          <w:p>
            <w:pPr>
              <w:spacing w:line="360" w:lineRule="auto"/>
              <w:rPr>
                <w:rFonts w:hint="eastAsia" w:ascii="宋体" w:hAnsi="宋体" w:cs="宋体"/>
                <w:color w:val="auto"/>
                <w:szCs w:val="21"/>
              </w:rPr>
            </w:pPr>
            <w:r>
              <w:rPr>
                <w:rFonts w:hint="eastAsia" w:ascii="宋体" w:hAnsi="宋体" w:cs="宋体"/>
                <w:color w:val="auto"/>
                <w:szCs w:val="21"/>
              </w:rPr>
              <w:t>2.响应报价表（格式后附）；（</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pPr>
              <w:spacing w:line="360" w:lineRule="auto"/>
              <w:rPr>
                <w:rFonts w:hint="eastAsia" w:ascii="宋体" w:hAnsi="宋体" w:cs="宋体"/>
                <w:color w:val="auto"/>
                <w:szCs w:val="21"/>
              </w:rPr>
            </w:pPr>
            <w:r>
              <w:rPr>
                <w:rFonts w:hint="eastAsia" w:ascii="宋体" w:hAnsi="宋体" w:cs="宋体"/>
                <w:color w:val="auto"/>
                <w:szCs w:val="21"/>
                <w:lang w:val="en-US" w:eastAsia="zh-CN"/>
              </w:rPr>
              <w:t>3.中小企业声明函或者残疾人福利性单位声明函（格式后附）或者供应商属于监狱企业的，提供由省级以上监狱管理局、戒毒管理局（含新疆生产建设兵团）出具的属于监狱企业的证明文件</w:t>
            </w:r>
            <w:r>
              <w:rPr>
                <w:rFonts w:hint="eastAsia" w:ascii="宋体" w:hAnsi="宋体" w:cs="宋体"/>
                <w:color w:val="auto"/>
                <w:szCs w:val="21"/>
              </w:rPr>
              <w:t>（</w:t>
            </w:r>
            <w:r>
              <w:rPr>
                <w:rFonts w:hint="eastAsia" w:ascii="宋体" w:hAnsi="宋体" w:cs="宋体"/>
                <w:b/>
                <w:bCs/>
                <w:color w:val="auto"/>
                <w:szCs w:val="21"/>
                <w:lang w:val="en-US" w:eastAsia="zh-CN"/>
              </w:rPr>
              <w:t>分标4供应商</w:t>
            </w:r>
            <w:r>
              <w:rPr>
                <w:rFonts w:hint="eastAsia" w:ascii="宋体" w:hAnsi="宋体" w:cs="宋体"/>
                <w:b/>
                <w:bCs/>
                <w:color w:val="auto"/>
                <w:szCs w:val="21"/>
              </w:rPr>
              <w:t>如有，请提供</w:t>
            </w:r>
            <w:r>
              <w:rPr>
                <w:rFonts w:hint="eastAsia" w:ascii="宋体" w:hAnsi="宋体" w:cs="宋体"/>
                <w:color w:val="auto"/>
                <w:szCs w:val="21"/>
              </w:rPr>
              <w:t>）</w:t>
            </w:r>
          </w:p>
          <w:p>
            <w:pPr>
              <w:spacing w:line="360" w:lineRule="auto"/>
              <w:rPr>
                <w:rFonts w:hint="eastAsia" w:ascii="宋体" w:hAnsi="宋体" w:cs="宋体"/>
                <w:color w:val="auto"/>
                <w:szCs w:val="21"/>
              </w:rPr>
            </w:pPr>
            <w:r>
              <w:rPr>
                <w:rFonts w:hint="eastAsia" w:ascii="宋体" w:hAnsi="宋体" w:cs="宋体"/>
                <w:color w:val="auto"/>
                <w:szCs w:val="21"/>
                <w:lang w:val="en-US" w:eastAsia="zh-CN"/>
              </w:rPr>
              <w:t>4</w:t>
            </w:r>
            <w:r>
              <w:rPr>
                <w:rFonts w:hint="eastAsia" w:ascii="宋体" w:hAnsi="宋体" w:cs="宋体"/>
                <w:color w:val="auto"/>
                <w:szCs w:val="21"/>
              </w:rPr>
              <w:t>.供应商针对报价需要说明的其他文件和说明（格式自拟）。（</w:t>
            </w:r>
            <w:r>
              <w:rPr>
                <w:rFonts w:hint="eastAsia" w:ascii="宋体" w:hAnsi="宋体" w:cs="宋体"/>
                <w:b/>
                <w:bCs/>
                <w:color w:val="auto"/>
                <w:szCs w:val="21"/>
              </w:rPr>
              <w:t>如有，请提供</w:t>
            </w:r>
            <w:r>
              <w:rPr>
                <w:rFonts w:hint="eastAsia" w:ascii="宋体" w:hAnsi="宋体" w:cs="宋体"/>
                <w:color w:val="auto"/>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12.2</w:t>
            </w:r>
          </w:p>
        </w:tc>
        <w:tc>
          <w:tcPr>
            <w:tcW w:w="2390" w:type="dxa"/>
            <w:vAlign w:val="center"/>
          </w:tcPr>
          <w:p>
            <w:pPr>
              <w:spacing w:line="360" w:lineRule="auto"/>
              <w:jc w:val="center"/>
              <w:rPr>
                <w:rFonts w:hint="eastAsia" w:ascii="宋体" w:hAnsi="宋体" w:cs="宋体"/>
                <w:b/>
                <w:bCs/>
                <w:color w:val="auto"/>
                <w:szCs w:val="21"/>
              </w:rPr>
            </w:pPr>
            <w:r>
              <w:rPr>
                <w:rFonts w:hint="eastAsia" w:ascii="宋体" w:hAnsi="宋体" w:cs="宋体"/>
                <w:b/>
                <w:bCs/>
                <w:color w:val="auto"/>
                <w:szCs w:val="21"/>
              </w:rPr>
              <w:t>响应文件电子版要求</w:t>
            </w:r>
          </w:p>
        </w:tc>
        <w:tc>
          <w:tcPr>
            <w:tcW w:w="6416" w:type="dxa"/>
            <w:vAlign w:val="center"/>
          </w:tcPr>
          <w:p>
            <w:pPr>
              <w:snapToGrid w:val="0"/>
              <w:spacing w:line="360" w:lineRule="auto"/>
              <w:jc w:val="left"/>
              <w:rPr>
                <w:rFonts w:hint="eastAsia" w:ascii="宋体" w:hAnsi="宋体" w:cs="宋体"/>
                <w:color w:val="auto"/>
                <w:szCs w:val="21"/>
              </w:rPr>
            </w:pPr>
            <w:r>
              <w:rPr>
                <w:rFonts w:hint="eastAsia" w:ascii="宋体" w:hAnsi="宋体" w:cs="宋体"/>
                <w:color w:val="auto"/>
                <w:szCs w:val="21"/>
              </w:rPr>
              <w:t>1.响应文件电子版要求：按照本竞争性磋商文件“第五章 响应文件格式”编写，第五章未附格式的，由供应商自行拟定。</w:t>
            </w:r>
          </w:p>
          <w:p>
            <w:pPr>
              <w:snapToGrid w:val="0"/>
              <w:spacing w:line="360" w:lineRule="auto"/>
              <w:jc w:val="left"/>
              <w:rPr>
                <w:rFonts w:hint="eastAsia" w:ascii="宋体" w:hAnsi="宋体" w:cs="宋体"/>
                <w:color w:val="auto"/>
                <w:szCs w:val="21"/>
              </w:rPr>
            </w:pPr>
            <w:r>
              <w:rPr>
                <w:rFonts w:hint="eastAsia" w:ascii="宋体" w:hAnsi="宋体" w:cs="宋体"/>
                <w:color w:val="auto"/>
                <w:szCs w:val="21"/>
              </w:rPr>
              <w:t>2.响应文件电子版密封方式：电子响应文件通过平台有效CA加密后在</w:t>
            </w:r>
            <w:r>
              <w:rPr>
                <w:rFonts w:hint="eastAsia" w:ascii="宋体" w:hAnsi="宋体" w:cs="宋体"/>
                <w:color w:val="auto"/>
                <w:szCs w:val="21"/>
                <w:lang w:eastAsia="zh-CN"/>
              </w:rPr>
              <w:t>广西政府采购云平台</w:t>
            </w:r>
            <w:r>
              <w:rPr>
                <w:rFonts w:hint="eastAsia" w:ascii="宋体" w:hAnsi="宋体" w:cs="宋体"/>
                <w:color w:val="auto"/>
                <w:szCs w:val="21"/>
              </w:rPr>
              <w:t>投送。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15.2</w:t>
            </w:r>
          </w:p>
        </w:tc>
        <w:tc>
          <w:tcPr>
            <w:tcW w:w="2390" w:type="dxa"/>
            <w:vAlign w:val="center"/>
          </w:tcPr>
          <w:p>
            <w:pPr>
              <w:spacing w:line="360" w:lineRule="auto"/>
              <w:jc w:val="center"/>
              <w:rPr>
                <w:rFonts w:hint="eastAsia" w:ascii="宋体" w:hAnsi="宋体" w:cs="宋体"/>
                <w:b/>
                <w:bCs/>
                <w:color w:val="auto"/>
                <w:szCs w:val="21"/>
              </w:rPr>
            </w:pPr>
            <w:r>
              <w:rPr>
                <w:rFonts w:hint="eastAsia" w:ascii="宋体" w:hAnsi="宋体" w:cs="宋体"/>
                <w:b/>
                <w:bCs/>
                <w:color w:val="auto"/>
                <w:szCs w:val="21"/>
              </w:rPr>
              <w:t>响应报价要求</w:t>
            </w:r>
          </w:p>
        </w:tc>
        <w:tc>
          <w:tcPr>
            <w:tcW w:w="6416" w:type="dxa"/>
            <w:vAlign w:val="center"/>
          </w:tcPr>
          <w:p>
            <w:pPr>
              <w:snapToGrid w:val="0"/>
              <w:spacing w:line="360" w:lineRule="auto"/>
              <w:jc w:val="left"/>
              <w:rPr>
                <w:rFonts w:hint="eastAsia" w:ascii="宋体" w:hAnsi="宋体" w:cs="宋体"/>
                <w:color w:val="auto"/>
              </w:rPr>
            </w:pPr>
            <w:r>
              <w:rPr>
                <w:rFonts w:hint="eastAsia" w:ascii="宋体" w:hAnsi="宋体" w:cs="宋体"/>
                <w:color w:val="auto"/>
              </w:rPr>
              <w:t>响应报价必须包含满足本次竞标全部采购需求所应提供的服务，以及伴随的货物和工程（如有）的价格；包含竞标服务、货物、工程的成本、运输（含保险）、安装（如有）、调试、检验、技术服务、培训、税费等所有费用。（采购需求另有约定的，从其约定）</w:t>
            </w:r>
          </w:p>
          <w:p>
            <w:pPr>
              <w:pStyle w:val="15"/>
              <w:spacing w:line="360" w:lineRule="auto"/>
              <w:rPr>
                <w:rFonts w:hint="eastAsia" w:ascii="宋体" w:hAnsi="宋体" w:eastAsia="宋体" w:cs="宋体"/>
                <w:color w:val="auto"/>
                <w:lang w:eastAsia="zh-CN"/>
              </w:rPr>
            </w:pPr>
            <w:r>
              <w:rPr>
                <w:rFonts w:hint="eastAsia" w:ascii="宋体" w:hAnsi="宋体" w:cs="宋体"/>
                <w:b/>
                <w:color w:val="auto"/>
                <w:szCs w:val="21"/>
              </w:rPr>
              <w:t>响应报价包含验收费用</w:t>
            </w:r>
            <w:r>
              <w:rPr>
                <w:rFonts w:hint="eastAsia" w:ascii="宋体" w:hAnsi="宋体" w:cs="宋体"/>
                <w:b/>
                <w:color w:val="auto"/>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16.2</w:t>
            </w:r>
          </w:p>
        </w:tc>
        <w:tc>
          <w:tcPr>
            <w:tcW w:w="2390" w:type="dxa"/>
            <w:vAlign w:val="center"/>
          </w:tcPr>
          <w:p>
            <w:pPr>
              <w:spacing w:line="360" w:lineRule="auto"/>
              <w:jc w:val="center"/>
              <w:rPr>
                <w:rFonts w:hint="eastAsia" w:ascii="宋体" w:hAnsi="宋体" w:cs="宋体"/>
                <w:b/>
                <w:bCs/>
                <w:color w:val="auto"/>
                <w:szCs w:val="21"/>
              </w:rPr>
            </w:pPr>
            <w:r>
              <w:rPr>
                <w:rFonts w:hint="eastAsia" w:ascii="宋体" w:hAnsi="宋体" w:cs="宋体"/>
                <w:b/>
                <w:bCs/>
                <w:color w:val="auto"/>
                <w:szCs w:val="21"/>
              </w:rPr>
              <w:t>竞标有效期</w:t>
            </w:r>
          </w:p>
        </w:tc>
        <w:tc>
          <w:tcPr>
            <w:tcW w:w="6416" w:type="dxa"/>
            <w:vAlign w:val="center"/>
          </w:tcPr>
          <w:p>
            <w:pPr>
              <w:pStyle w:val="11"/>
              <w:widowControl w:val="0"/>
              <w:tabs>
                <w:tab w:val="clear" w:pos="454"/>
              </w:tabs>
              <w:snapToGrid w:val="0"/>
              <w:spacing w:afterLines="0" w:line="360" w:lineRule="auto"/>
              <w:ind w:left="283" w:hanging="283" w:hangingChars="135"/>
              <w:rPr>
                <w:rFonts w:hint="eastAsia" w:ascii="宋体" w:hAnsi="宋体" w:cs="宋体"/>
                <w:color w:val="auto"/>
                <w:kern w:val="2"/>
                <w:sz w:val="21"/>
                <w:szCs w:val="21"/>
              </w:rPr>
            </w:pPr>
            <w:r>
              <w:rPr>
                <w:rFonts w:hint="eastAsia" w:ascii="宋体" w:hAnsi="宋体" w:cs="宋体"/>
                <w:color w:val="auto"/>
                <w:kern w:val="2"/>
                <w:sz w:val="21"/>
                <w:szCs w:val="21"/>
              </w:rPr>
              <w:t>自首次响应文件提交截止之日起</w:t>
            </w:r>
            <w:r>
              <w:rPr>
                <w:rFonts w:hint="eastAsia" w:ascii="宋体" w:hAnsi="宋体" w:cs="宋体"/>
                <w:color w:val="auto"/>
                <w:kern w:val="2"/>
                <w:sz w:val="21"/>
                <w:szCs w:val="21"/>
                <w:u w:val="single"/>
              </w:rPr>
              <w:t xml:space="preserve"> 60 </w:t>
            </w:r>
            <w:r>
              <w:rPr>
                <w:rFonts w:hint="eastAsia" w:ascii="宋体" w:hAnsi="宋体" w:cs="宋体"/>
                <w:color w:val="auto"/>
                <w:kern w:val="2"/>
                <w:sz w:val="21"/>
                <w:szCs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17.1</w:t>
            </w:r>
          </w:p>
        </w:tc>
        <w:tc>
          <w:tcPr>
            <w:tcW w:w="2390" w:type="dxa"/>
            <w:vAlign w:val="center"/>
          </w:tcPr>
          <w:p>
            <w:pPr>
              <w:spacing w:line="360" w:lineRule="auto"/>
              <w:jc w:val="center"/>
              <w:rPr>
                <w:rFonts w:hint="eastAsia" w:ascii="宋体" w:hAnsi="宋体" w:cs="宋体"/>
                <w:b/>
                <w:bCs/>
                <w:color w:val="auto"/>
                <w:szCs w:val="21"/>
              </w:rPr>
            </w:pPr>
            <w:r>
              <w:rPr>
                <w:rFonts w:hint="eastAsia" w:ascii="宋体" w:hAnsi="宋体" w:cs="宋体"/>
                <w:b/>
                <w:bCs/>
                <w:color w:val="auto"/>
                <w:szCs w:val="21"/>
              </w:rPr>
              <w:t>磋商保证金</w:t>
            </w:r>
          </w:p>
        </w:tc>
        <w:tc>
          <w:tcPr>
            <w:tcW w:w="6416" w:type="dxa"/>
            <w:vAlign w:val="center"/>
          </w:tcPr>
          <w:p>
            <w:pPr>
              <w:snapToGrid w:val="0"/>
              <w:spacing w:line="360" w:lineRule="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eastAsia="zh-CN"/>
              </w:rPr>
              <w:t>本项目需要缴</w:t>
            </w:r>
            <w:r>
              <w:rPr>
                <w:rFonts w:hint="eastAsia" w:ascii="宋体" w:hAnsi="宋体" w:eastAsia="宋体" w:cs="宋体"/>
                <w:b/>
                <w:bCs/>
                <w:color w:val="auto"/>
                <w:kern w:val="0"/>
                <w:szCs w:val="21"/>
                <w:highlight w:val="none"/>
              </w:rPr>
              <w:t>纳</w:t>
            </w:r>
            <w:r>
              <w:rPr>
                <w:rFonts w:hint="eastAsia" w:ascii="宋体" w:hAnsi="宋体" w:eastAsia="宋体" w:cs="宋体"/>
                <w:b/>
                <w:bCs/>
                <w:color w:val="auto"/>
                <w:szCs w:val="21"/>
                <w:highlight w:val="none"/>
                <w:lang w:eastAsia="zh-CN"/>
              </w:rPr>
              <w:t>磋商保证金，</w:t>
            </w:r>
            <w:r>
              <w:rPr>
                <w:rFonts w:hint="eastAsia" w:ascii="宋体" w:hAnsi="宋体" w:eastAsia="宋体" w:cs="宋体"/>
                <w:b/>
                <w:bCs/>
                <w:color w:val="auto"/>
                <w:szCs w:val="21"/>
                <w:highlight w:val="none"/>
              </w:rPr>
              <w:t>相关要求</w:t>
            </w:r>
            <w:r>
              <w:rPr>
                <w:rFonts w:hint="eastAsia" w:ascii="宋体" w:hAnsi="宋体" w:eastAsia="宋体" w:cs="宋体"/>
                <w:b/>
                <w:bCs/>
                <w:color w:val="auto"/>
                <w:szCs w:val="21"/>
                <w:highlight w:val="none"/>
                <w:lang w:eastAsia="zh-CN"/>
              </w:rPr>
              <w:t>如下</w:t>
            </w:r>
            <w:r>
              <w:rPr>
                <w:rFonts w:hint="eastAsia" w:ascii="宋体" w:hAnsi="宋体" w:eastAsia="宋体" w:cs="宋体"/>
                <w:b/>
                <w:bCs/>
                <w:color w:val="auto"/>
                <w:szCs w:val="21"/>
                <w:highlight w:val="none"/>
              </w:rPr>
              <w:t>：</w:t>
            </w:r>
          </w:p>
          <w:p>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磋商保证金的</w:t>
            </w:r>
            <w:r>
              <w:rPr>
                <w:rFonts w:hint="eastAsia" w:ascii="宋体" w:hAnsi="宋体" w:eastAsia="宋体" w:cs="宋体"/>
                <w:color w:val="auto"/>
                <w:szCs w:val="21"/>
                <w:highlight w:val="none"/>
                <w:lang w:eastAsia="zh-CN"/>
              </w:rPr>
              <w:t>缴</w:t>
            </w:r>
            <w:r>
              <w:rPr>
                <w:rFonts w:hint="eastAsia" w:ascii="宋体" w:hAnsi="宋体" w:eastAsia="宋体" w:cs="宋体"/>
                <w:color w:val="auto"/>
                <w:szCs w:val="21"/>
                <w:highlight w:val="none"/>
              </w:rPr>
              <w:t>纳方式：详见竞争性磋商公告。</w:t>
            </w:r>
          </w:p>
          <w:p>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磋商保证金的金额：详见竞争性磋商公告。</w:t>
            </w:r>
          </w:p>
          <w:p>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.磋商保证金采用银行转账</w:t>
            </w:r>
            <w:r>
              <w:rPr>
                <w:rFonts w:hint="eastAsia" w:ascii="宋体" w:hAnsi="宋体" w:eastAsia="宋体" w:cs="宋体"/>
                <w:color w:val="auto"/>
                <w:szCs w:val="21"/>
                <w:highlight w:val="none"/>
                <w:lang w:eastAsia="zh-CN"/>
              </w:rPr>
              <w:t>缴</w:t>
            </w:r>
            <w:r>
              <w:rPr>
                <w:rFonts w:hint="eastAsia" w:ascii="宋体" w:hAnsi="宋体" w:eastAsia="宋体" w:cs="宋体"/>
                <w:color w:val="auto"/>
                <w:szCs w:val="21"/>
                <w:highlight w:val="none"/>
              </w:rPr>
              <w:t>纳方式的，在首次响应文件提交截止时间前交至采购代理机构指定账户并且到账，供应商应将银行转账底单的</w:t>
            </w:r>
            <w:r>
              <w:rPr>
                <w:rFonts w:hint="eastAsia" w:ascii="宋体" w:hAnsi="宋体" w:cs="宋体"/>
                <w:color w:val="auto"/>
                <w:szCs w:val="21"/>
                <w:highlight w:val="none"/>
                <w:lang w:eastAsia="zh-CN"/>
              </w:rPr>
              <w:t>扫描件</w:t>
            </w:r>
            <w:r>
              <w:rPr>
                <w:rFonts w:hint="eastAsia" w:ascii="宋体" w:hAnsi="宋体" w:eastAsia="宋体" w:cs="宋体"/>
                <w:color w:val="auto"/>
                <w:szCs w:val="21"/>
                <w:highlight w:val="none"/>
              </w:rPr>
              <w:t>作为磋商保证金提交凭证，放置于商务文件中，</w:t>
            </w:r>
            <w:r>
              <w:rPr>
                <w:rFonts w:hint="eastAsia" w:ascii="宋体" w:hAnsi="宋体" w:eastAsia="宋体" w:cs="宋体"/>
                <w:b/>
                <w:color w:val="auto"/>
                <w:szCs w:val="21"/>
                <w:highlight w:val="none"/>
              </w:rPr>
              <w:t>否则响应文件按无效响应处理</w:t>
            </w:r>
            <w:r>
              <w:rPr>
                <w:rFonts w:hint="eastAsia" w:ascii="宋体" w:hAnsi="宋体" w:eastAsia="宋体" w:cs="宋体"/>
                <w:color w:val="auto"/>
                <w:szCs w:val="21"/>
                <w:highlight w:val="none"/>
              </w:rPr>
              <w:t>。</w:t>
            </w:r>
          </w:p>
          <w:p>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.磋商保证金采用支票、汇票、本票或者金融机构、担保机构出具的保函</w:t>
            </w:r>
            <w:r>
              <w:rPr>
                <w:rFonts w:hint="eastAsia" w:ascii="宋体" w:hAnsi="宋体" w:eastAsia="宋体" w:cs="宋体"/>
                <w:color w:val="auto"/>
                <w:szCs w:val="21"/>
                <w:highlight w:val="none"/>
                <w:lang w:eastAsia="zh-CN"/>
              </w:rPr>
              <w:t>等缴</w:t>
            </w:r>
            <w:r>
              <w:rPr>
                <w:rFonts w:hint="eastAsia" w:ascii="宋体" w:hAnsi="宋体" w:eastAsia="宋体" w:cs="宋体"/>
                <w:color w:val="auto"/>
                <w:szCs w:val="21"/>
                <w:highlight w:val="none"/>
              </w:rPr>
              <w:t>纳方式的，供应商应将支票、汇票、本票或者金融</w:t>
            </w:r>
            <w:r>
              <w:rPr>
                <w:rFonts w:hint="eastAsia" w:ascii="宋体" w:hAnsi="宋体" w:eastAsia="宋体" w:cs="宋体"/>
                <w:color w:val="auto"/>
                <w:szCs w:val="21"/>
                <w:highlight w:val="none"/>
                <w:lang w:eastAsia="zh-CN"/>
              </w:rPr>
              <w:t>机构</w:t>
            </w:r>
            <w:r>
              <w:rPr>
                <w:rFonts w:hint="eastAsia" w:ascii="宋体" w:hAnsi="宋体" w:eastAsia="宋体" w:cs="宋体"/>
                <w:color w:val="auto"/>
                <w:szCs w:val="21"/>
                <w:highlight w:val="none"/>
              </w:rPr>
              <w:t>、担保机构出具的保函</w:t>
            </w:r>
            <w:r>
              <w:rPr>
                <w:rFonts w:hint="eastAsia" w:ascii="宋体" w:hAnsi="宋体" w:eastAsia="宋体" w:cs="宋体"/>
                <w:color w:val="auto"/>
                <w:szCs w:val="21"/>
                <w:highlight w:val="none"/>
                <w:lang w:eastAsia="zh-CN"/>
              </w:rPr>
              <w:t>等</w:t>
            </w:r>
            <w:r>
              <w:rPr>
                <w:rFonts w:hint="eastAsia" w:ascii="宋体" w:hAnsi="宋体" w:eastAsia="宋体" w:cs="宋体"/>
                <w:color w:val="auto"/>
                <w:szCs w:val="21"/>
                <w:highlight w:val="none"/>
              </w:rPr>
              <w:t>的</w:t>
            </w:r>
            <w:r>
              <w:rPr>
                <w:rFonts w:hint="eastAsia" w:ascii="宋体" w:hAnsi="宋体" w:cs="宋体"/>
                <w:color w:val="auto"/>
                <w:szCs w:val="21"/>
                <w:highlight w:val="none"/>
                <w:lang w:eastAsia="zh-CN"/>
              </w:rPr>
              <w:t>扫描件</w:t>
            </w:r>
            <w:r>
              <w:rPr>
                <w:rFonts w:hint="default"/>
                <w:color w:val="auto"/>
                <w:lang w:val="en-US" w:eastAsia="zh-CN"/>
              </w:rPr>
              <w:t>或者金融机构、担保机构出具的电子保函</w:t>
            </w:r>
            <w:r>
              <w:rPr>
                <w:rFonts w:hint="eastAsia" w:ascii="宋体" w:hAnsi="宋体" w:eastAsia="宋体" w:cs="宋体"/>
                <w:color w:val="auto"/>
                <w:szCs w:val="21"/>
                <w:highlight w:val="none"/>
              </w:rPr>
              <w:t>作为磋商保证金提交凭证，放置于商务文件中，</w:t>
            </w:r>
            <w:r>
              <w:rPr>
                <w:rFonts w:hint="eastAsia" w:ascii="宋体" w:hAnsi="宋体" w:eastAsia="宋体" w:cs="宋体"/>
                <w:b/>
                <w:color w:val="auto"/>
                <w:szCs w:val="21"/>
                <w:highlight w:val="none"/>
              </w:rPr>
              <w:t>否则响应文件按无效响应处理</w:t>
            </w:r>
            <w:r>
              <w:rPr>
                <w:rFonts w:hint="eastAsia" w:ascii="宋体" w:hAnsi="宋体" w:eastAsia="宋体" w:cs="宋体"/>
                <w:color w:val="auto"/>
                <w:szCs w:val="21"/>
                <w:highlight w:val="none"/>
              </w:rPr>
              <w:t>。供应商必须</w:t>
            </w:r>
            <w:r>
              <w:rPr>
                <w:rFonts w:hint="eastAsia" w:ascii="宋体" w:hAnsi="宋体" w:eastAsia="宋体" w:cs="宋体"/>
                <w:color w:val="auto"/>
                <w:szCs w:val="21"/>
                <w:highlight w:val="none"/>
                <w:lang w:eastAsia="zh-CN"/>
              </w:rPr>
              <w:t>在</w:t>
            </w:r>
            <w:r>
              <w:rPr>
                <w:rFonts w:hint="eastAsia" w:ascii="宋体" w:hAnsi="宋体" w:eastAsia="宋体" w:cs="宋体"/>
                <w:color w:val="auto"/>
                <w:kern w:val="0"/>
                <w:szCs w:val="21"/>
                <w:highlight w:val="none"/>
              </w:rPr>
              <w:t>首次响应文件提交截止时间前</w:t>
            </w:r>
            <w:r>
              <w:rPr>
                <w:rFonts w:hint="eastAsia" w:ascii="宋体" w:hAnsi="宋体" w:eastAsia="宋体" w:cs="宋体"/>
                <w:color w:val="auto"/>
                <w:szCs w:val="21"/>
                <w:highlight w:val="none"/>
              </w:rPr>
              <w:t>将支票、汇票、本票或者金融</w:t>
            </w:r>
            <w:r>
              <w:rPr>
                <w:rFonts w:hint="eastAsia" w:ascii="宋体" w:hAnsi="宋体" w:eastAsia="宋体" w:cs="宋体"/>
                <w:color w:val="auto"/>
                <w:szCs w:val="21"/>
                <w:highlight w:val="none"/>
                <w:lang w:eastAsia="zh-CN"/>
              </w:rPr>
              <w:t>机构</w:t>
            </w:r>
            <w:r>
              <w:rPr>
                <w:rFonts w:hint="eastAsia" w:ascii="宋体" w:hAnsi="宋体" w:eastAsia="宋体" w:cs="宋体"/>
                <w:color w:val="auto"/>
                <w:szCs w:val="21"/>
                <w:highlight w:val="none"/>
              </w:rPr>
              <w:t>、担保机构出具的保函（电子保函除外）等原件提交给采购代理机构，由采购代理机构向供应商出具回执，并妥善保管。</w:t>
            </w:r>
          </w:p>
          <w:p>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.磋商保证金指定</w:t>
            </w:r>
            <w:r>
              <w:rPr>
                <w:rFonts w:hint="eastAsia" w:ascii="宋体" w:hAnsi="宋体" w:eastAsia="宋体" w:cs="宋体"/>
                <w:color w:val="auto"/>
                <w:szCs w:val="21"/>
                <w:highlight w:val="none"/>
                <w:lang w:eastAsia="zh-CN"/>
              </w:rPr>
              <w:t>账</w:t>
            </w:r>
            <w:r>
              <w:rPr>
                <w:rFonts w:hint="eastAsia" w:ascii="宋体" w:hAnsi="宋体" w:eastAsia="宋体" w:cs="宋体"/>
                <w:color w:val="auto"/>
                <w:szCs w:val="21"/>
                <w:highlight w:val="none"/>
              </w:rPr>
              <w:t>户：详见竞争性磋商公告。</w:t>
            </w:r>
          </w:p>
          <w:p>
            <w:pPr>
              <w:snapToGrid w:val="0"/>
              <w:spacing w:line="36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 xml:space="preserve">备注： </w:t>
            </w:r>
          </w:p>
          <w:p>
            <w:pPr>
              <w:snapToGrid w:val="0"/>
              <w:spacing w:line="36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1.磋商保证金在首次响应文件提交截止时间后提交的，或者不按规定</w:t>
            </w:r>
            <w:r>
              <w:rPr>
                <w:rFonts w:hint="eastAsia" w:ascii="宋体" w:hAnsi="宋体" w:eastAsia="宋体" w:cs="宋体"/>
                <w:b/>
                <w:color w:val="auto"/>
                <w:szCs w:val="21"/>
                <w:highlight w:val="none"/>
                <w:lang w:eastAsia="zh-CN"/>
              </w:rPr>
              <w:t>缴</w:t>
            </w:r>
            <w:r>
              <w:rPr>
                <w:rFonts w:hint="eastAsia" w:ascii="宋体" w:hAnsi="宋体" w:eastAsia="宋体" w:cs="宋体"/>
                <w:b/>
                <w:color w:val="auto"/>
                <w:szCs w:val="21"/>
                <w:highlight w:val="none"/>
              </w:rPr>
              <w:t>纳方式</w:t>
            </w:r>
            <w:r>
              <w:rPr>
                <w:rFonts w:hint="eastAsia" w:ascii="宋体" w:hAnsi="宋体" w:eastAsia="宋体" w:cs="宋体"/>
                <w:b/>
                <w:color w:val="auto"/>
                <w:szCs w:val="21"/>
                <w:highlight w:val="none"/>
                <w:lang w:eastAsia="zh-CN"/>
              </w:rPr>
              <w:t>缴</w:t>
            </w:r>
            <w:r>
              <w:rPr>
                <w:rFonts w:hint="eastAsia" w:ascii="宋体" w:hAnsi="宋体" w:eastAsia="宋体" w:cs="宋体"/>
                <w:b/>
                <w:color w:val="auto"/>
                <w:szCs w:val="21"/>
                <w:highlight w:val="none"/>
              </w:rPr>
              <w:t>纳的，或者未足额</w:t>
            </w:r>
            <w:r>
              <w:rPr>
                <w:rFonts w:hint="eastAsia" w:ascii="宋体" w:hAnsi="宋体" w:eastAsia="宋体" w:cs="宋体"/>
                <w:b/>
                <w:color w:val="auto"/>
                <w:szCs w:val="21"/>
                <w:highlight w:val="none"/>
                <w:lang w:eastAsia="zh-CN"/>
              </w:rPr>
              <w:t>缴</w:t>
            </w:r>
            <w:r>
              <w:rPr>
                <w:rFonts w:hint="eastAsia" w:ascii="宋体" w:hAnsi="宋体" w:eastAsia="宋体" w:cs="宋体"/>
                <w:b/>
                <w:color w:val="auto"/>
                <w:szCs w:val="21"/>
                <w:highlight w:val="none"/>
              </w:rPr>
              <w:t>纳的（包含保函额度不足的），视为无效磋商保证金。</w:t>
            </w:r>
          </w:p>
          <w:p>
            <w:pPr>
              <w:snapToGrid w:val="0"/>
              <w:spacing w:line="36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2.供应商采用现</w:t>
            </w:r>
            <w:r>
              <w:rPr>
                <w:rFonts w:hint="eastAsia" w:ascii="宋体" w:hAnsi="宋体" w:eastAsia="宋体" w:cs="宋体"/>
                <w:b/>
                <w:color w:val="auto"/>
                <w:szCs w:val="21"/>
                <w:highlight w:val="none"/>
                <w:lang w:eastAsia="zh-CN"/>
              </w:rPr>
              <w:t>金</w:t>
            </w:r>
            <w:r>
              <w:rPr>
                <w:rFonts w:hint="eastAsia" w:ascii="宋体" w:hAnsi="宋体" w:eastAsia="宋体" w:cs="宋体"/>
                <w:b/>
                <w:color w:val="auto"/>
                <w:szCs w:val="21"/>
                <w:highlight w:val="none"/>
              </w:rPr>
              <w:t>方式或者从个人账户（自然人竞标除外）转出的磋商保证金，视为无效磋商保证金。</w:t>
            </w:r>
          </w:p>
          <w:p>
            <w:pPr>
              <w:snapToGrid w:val="0"/>
              <w:spacing w:line="36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3.支票、汇票或者本票出现无效或者背书情形的，视为无效磋商保证金。</w:t>
            </w:r>
          </w:p>
          <w:p>
            <w:pPr>
              <w:snapToGrid w:val="0"/>
              <w:spacing w:line="36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4.保函有效期低于竞标有效期的，视为无效磋商保证金。</w:t>
            </w:r>
          </w:p>
          <w:p>
            <w:pPr>
              <w:autoSpaceDE w:val="0"/>
              <w:autoSpaceDN w:val="0"/>
              <w:snapToGrid w:val="0"/>
              <w:spacing w:line="360" w:lineRule="auto"/>
              <w:textAlignment w:val="bottom"/>
              <w:rPr>
                <w:rFonts w:hint="eastAsia" w:ascii="宋体" w:hAnsi="宋体" w:cs="宋体"/>
                <w:color w:val="auto"/>
                <w:szCs w:val="21"/>
              </w:rPr>
            </w:pPr>
            <w:r>
              <w:rPr>
                <w:rFonts w:hint="eastAsia" w:ascii="宋体" w:hAnsi="宋体" w:eastAsia="宋体" w:cs="宋体"/>
                <w:b/>
                <w:color w:val="auto"/>
                <w:szCs w:val="21"/>
                <w:highlight w:val="none"/>
              </w:rPr>
              <w:t>5.采用金融、担保机构出具保函的，必须为无条件保函，否则视为无效磋商保证金。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963" w:type="dxa"/>
            <w:vMerge w:val="restart"/>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20.1</w:t>
            </w:r>
          </w:p>
        </w:tc>
        <w:tc>
          <w:tcPr>
            <w:tcW w:w="2390" w:type="dxa"/>
            <w:vAlign w:val="center"/>
          </w:tcPr>
          <w:p>
            <w:pPr>
              <w:spacing w:line="360" w:lineRule="auto"/>
              <w:jc w:val="center"/>
              <w:rPr>
                <w:rFonts w:hint="eastAsia" w:ascii="宋体" w:hAnsi="宋体" w:cs="宋体"/>
                <w:b/>
                <w:bCs/>
                <w:color w:val="auto"/>
                <w:szCs w:val="21"/>
              </w:rPr>
            </w:pPr>
            <w:r>
              <w:rPr>
                <w:rFonts w:hint="eastAsia" w:ascii="宋体" w:hAnsi="宋体" w:cs="宋体"/>
                <w:b/>
                <w:bCs/>
                <w:color w:val="auto"/>
                <w:szCs w:val="21"/>
              </w:rPr>
              <w:t>首次响应文件提交截止时间</w:t>
            </w:r>
          </w:p>
        </w:tc>
        <w:tc>
          <w:tcPr>
            <w:tcW w:w="6416" w:type="dxa"/>
            <w:vAlign w:val="center"/>
          </w:tcPr>
          <w:p>
            <w:pPr>
              <w:snapToGrid w:val="0"/>
              <w:spacing w:line="360" w:lineRule="auto"/>
              <w:jc w:val="left"/>
              <w:rPr>
                <w:rFonts w:hint="eastAsia" w:ascii="宋体" w:hAnsi="宋体" w:cs="宋体"/>
                <w:color w:val="auto"/>
                <w:szCs w:val="21"/>
                <w:u w:val="single"/>
              </w:rPr>
            </w:pPr>
            <w:r>
              <w:rPr>
                <w:rFonts w:hint="eastAsia" w:ascii="宋体" w:hAnsi="宋体" w:cs="宋体"/>
                <w:color w:val="auto"/>
                <w:szCs w:val="21"/>
              </w:rPr>
              <w:t>详见竞争性磋商公告。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963" w:type="dxa"/>
            <w:vMerge w:val="continue"/>
            <w:vAlign w:val="center"/>
          </w:tcPr>
          <w:p>
            <w:pPr>
              <w:spacing w:line="360" w:lineRule="auto"/>
              <w:jc w:val="center"/>
              <w:rPr>
                <w:rFonts w:hint="eastAsia" w:ascii="宋体" w:hAnsi="宋体" w:cs="宋体"/>
                <w:color w:val="auto"/>
                <w:szCs w:val="21"/>
              </w:rPr>
            </w:pPr>
          </w:p>
        </w:tc>
        <w:tc>
          <w:tcPr>
            <w:tcW w:w="2390" w:type="dxa"/>
            <w:vAlign w:val="center"/>
          </w:tcPr>
          <w:p>
            <w:pPr>
              <w:spacing w:line="360" w:lineRule="auto"/>
              <w:jc w:val="center"/>
              <w:rPr>
                <w:rFonts w:hint="eastAsia" w:ascii="宋体" w:hAnsi="宋体" w:cs="宋体"/>
                <w:b/>
                <w:bCs/>
                <w:color w:val="auto"/>
                <w:szCs w:val="21"/>
              </w:rPr>
            </w:pPr>
            <w:r>
              <w:rPr>
                <w:rFonts w:hint="eastAsia" w:ascii="宋体" w:hAnsi="宋体" w:cs="宋体"/>
                <w:b/>
                <w:bCs/>
                <w:color w:val="auto"/>
                <w:szCs w:val="21"/>
              </w:rPr>
              <w:t>首次响应文件开启时间</w:t>
            </w:r>
          </w:p>
        </w:tc>
        <w:tc>
          <w:tcPr>
            <w:tcW w:w="6416" w:type="dxa"/>
            <w:vAlign w:val="center"/>
          </w:tcPr>
          <w:p>
            <w:pPr>
              <w:snapToGrid w:val="0"/>
              <w:spacing w:line="360" w:lineRule="auto"/>
              <w:jc w:val="left"/>
              <w:rPr>
                <w:rFonts w:hint="eastAsia" w:ascii="宋体" w:hAnsi="宋体" w:cs="宋体"/>
                <w:color w:val="auto"/>
                <w:szCs w:val="21"/>
              </w:rPr>
            </w:pPr>
            <w:r>
              <w:rPr>
                <w:rFonts w:hint="eastAsia" w:ascii="宋体" w:hAnsi="宋体" w:cs="宋体"/>
                <w:color w:val="auto"/>
                <w:szCs w:val="21"/>
              </w:rPr>
              <w:t>详见竞争性磋商公告。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63" w:type="dxa"/>
            <w:vMerge w:val="continue"/>
            <w:vAlign w:val="center"/>
          </w:tcPr>
          <w:p>
            <w:pPr>
              <w:spacing w:line="360" w:lineRule="auto"/>
              <w:jc w:val="center"/>
              <w:rPr>
                <w:rFonts w:hint="eastAsia" w:ascii="宋体" w:hAnsi="宋体" w:cs="宋体"/>
                <w:color w:val="auto"/>
                <w:szCs w:val="21"/>
              </w:rPr>
            </w:pPr>
          </w:p>
        </w:tc>
        <w:tc>
          <w:tcPr>
            <w:tcW w:w="2390" w:type="dxa"/>
            <w:vAlign w:val="center"/>
          </w:tcPr>
          <w:p>
            <w:pPr>
              <w:spacing w:line="360" w:lineRule="auto"/>
              <w:jc w:val="center"/>
              <w:rPr>
                <w:rFonts w:hint="eastAsia" w:ascii="宋体" w:hAnsi="宋体" w:cs="宋体"/>
                <w:b/>
                <w:bCs/>
                <w:color w:val="auto"/>
                <w:szCs w:val="21"/>
              </w:rPr>
            </w:pPr>
            <w:r>
              <w:rPr>
                <w:rFonts w:hint="eastAsia" w:ascii="宋体" w:hAnsi="宋体" w:cs="宋体"/>
                <w:b/>
                <w:bCs/>
                <w:color w:val="auto"/>
                <w:szCs w:val="21"/>
              </w:rPr>
              <w:t>首次响应文件提交地点</w:t>
            </w:r>
          </w:p>
        </w:tc>
        <w:tc>
          <w:tcPr>
            <w:tcW w:w="6416" w:type="dxa"/>
            <w:vAlign w:val="center"/>
          </w:tcPr>
          <w:p>
            <w:pPr>
              <w:snapToGrid w:val="0"/>
              <w:spacing w:line="360" w:lineRule="auto"/>
              <w:jc w:val="left"/>
              <w:rPr>
                <w:rFonts w:hint="eastAsia" w:ascii="宋体" w:hAnsi="宋体" w:cs="宋体"/>
                <w:color w:val="auto"/>
                <w:szCs w:val="21"/>
                <w:u w:val="single"/>
              </w:rPr>
            </w:pPr>
            <w:r>
              <w:rPr>
                <w:rFonts w:hint="eastAsia" w:ascii="宋体" w:hAnsi="宋体" w:cs="宋体"/>
                <w:color w:val="auto"/>
                <w:szCs w:val="21"/>
              </w:rPr>
              <w:t>详见竞争性磋商公告。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63" w:type="dxa"/>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20.6</w:t>
            </w:r>
          </w:p>
        </w:tc>
        <w:tc>
          <w:tcPr>
            <w:tcW w:w="2390" w:type="dxa"/>
            <w:vAlign w:val="center"/>
          </w:tcPr>
          <w:p>
            <w:pPr>
              <w:spacing w:line="360" w:lineRule="auto"/>
              <w:jc w:val="center"/>
              <w:rPr>
                <w:rFonts w:hint="eastAsia" w:ascii="宋体" w:hAnsi="宋体" w:cs="宋体"/>
                <w:b/>
                <w:bCs/>
                <w:color w:val="auto"/>
                <w:szCs w:val="21"/>
              </w:rPr>
            </w:pPr>
            <w:r>
              <w:rPr>
                <w:rFonts w:hint="eastAsia" w:ascii="宋体" w:hAnsi="宋体" w:cs="宋体"/>
                <w:b/>
                <w:bCs/>
                <w:color w:val="auto"/>
                <w:szCs w:val="21"/>
              </w:rPr>
              <w:t>备份响应文件</w:t>
            </w:r>
          </w:p>
        </w:tc>
        <w:tc>
          <w:tcPr>
            <w:tcW w:w="6416" w:type="dxa"/>
            <w:vAlign w:val="center"/>
          </w:tcPr>
          <w:p>
            <w:pPr>
              <w:snapToGrid w:val="0"/>
              <w:spacing w:line="360" w:lineRule="auto"/>
              <w:jc w:val="left"/>
              <w:rPr>
                <w:rFonts w:hint="eastAsia" w:ascii="宋体" w:hAnsi="宋体" w:cs="宋体"/>
                <w:color w:val="auto"/>
                <w:szCs w:val="21"/>
              </w:rPr>
            </w:pPr>
            <w:r>
              <w:rPr>
                <w:rFonts w:hint="eastAsia" w:ascii="宋体" w:hAnsi="宋体" w:cs="宋体"/>
                <w:color w:val="auto"/>
                <w:szCs w:val="21"/>
              </w:rPr>
              <w:t>本项目不接受备份响应文件。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63" w:type="dxa"/>
            <w:vMerge w:val="restart"/>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26</w:t>
            </w:r>
          </w:p>
        </w:tc>
        <w:tc>
          <w:tcPr>
            <w:tcW w:w="2390" w:type="dxa"/>
            <w:vAlign w:val="center"/>
          </w:tcPr>
          <w:p>
            <w:pPr>
              <w:spacing w:line="360" w:lineRule="auto"/>
              <w:jc w:val="center"/>
              <w:rPr>
                <w:rFonts w:hint="eastAsia" w:ascii="宋体" w:hAnsi="宋体" w:cs="宋体"/>
                <w:b/>
                <w:bCs/>
                <w:color w:val="auto"/>
                <w:szCs w:val="21"/>
              </w:rPr>
            </w:pPr>
            <w:r>
              <w:rPr>
                <w:rFonts w:hint="eastAsia" w:ascii="宋体" w:hAnsi="宋体" w:cs="宋体"/>
                <w:b/>
                <w:bCs/>
                <w:color w:val="auto"/>
                <w:szCs w:val="21"/>
              </w:rPr>
              <w:t>负偏离要求</w:t>
            </w:r>
          </w:p>
        </w:tc>
        <w:tc>
          <w:tcPr>
            <w:tcW w:w="6416" w:type="dxa"/>
            <w:vAlign w:val="center"/>
          </w:tcPr>
          <w:p>
            <w:pPr>
              <w:snapToGrid w:val="0"/>
              <w:spacing w:line="360" w:lineRule="auto"/>
              <w:rPr>
                <w:rFonts w:hint="eastAsia" w:ascii="宋体" w:hAnsi="宋体" w:cs="宋体"/>
                <w:b/>
                <w:bCs/>
                <w:color w:val="auto"/>
                <w:szCs w:val="21"/>
              </w:rPr>
            </w:pPr>
            <w:r>
              <w:rPr>
                <w:rFonts w:hint="eastAsia" w:ascii="宋体" w:hAnsi="宋体" w:cs="宋体"/>
                <w:b/>
                <w:bCs/>
                <w:color w:val="auto"/>
                <w:szCs w:val="21"/>
              </w:rPr>
              <w:t>商务条款中允许负偏离的条款数为</w:t>
            </w:r>
            <w:r>
              <w:rPr>
                <w:rFonts w:hint="eastAsia" w:ascii="宋体" w:hAnsi="宋体" w:cs="宋体"/>
                <w:b/>
                <w:bCs/>
                <w:color w:val="auto"/>
                <w:szCs w:val="21"/>
                <w:u w:val="single"/>
              </w:rPr>
              <w:t xml:space="preserve">   </w:t>
            </w:r>
            <w:r>
              <w:rPr>
                <w:rFonts w:hint="eastAsia" w:ascii="宋体" w:hAnsi="宋体" w:cs="宋体"/>
                <w:b/>
                <w:bCs/>
                <w:color w:val="auto"/>
                <w:szCs w:val="21"/>
                <w:u w:val="single"/>
                <w:lang w:val="en-US" w:eastAsia="zh-CN"/>
              </w:rPr>
              <w:t>0</w:t>
            </w:r>
            <w:r>
              <w:rPr>
                <w:rFonts w:hint="eastAsia" w:ascii="宋体" w:hAnsi="宋体" w:cs="宋体"/>
                <w:b/>
                <w:bCs/>
                <w:color w:val="auto"/>
                <w:szCs w:val="21"/>
                <w:u w:val="single"/>
              </w:rPr>
              <w:t xml:space="preserve">   </w:t>
            </w:r>
            <w:r>
              <w:rPr>
                <w:rFonts w:hint="eastAsia" w:ascii="宋体" w:hAnsi="宋体" w:cs="宋体"/>
                <w:b/>
                <w:bCs/>
                <w:color w:val="auto"/>
                <w:szCs w:val="21"/>
              </w:rPr>
              <w:t>项。</w:t>
            </w:r>
          </w:p>
          <w:p>
            <w:pPr>
              <w:snapToGrid w:val="0"/>
              <w:spacing w:line="360" w:lineRule="auto"/>
              <w:rPr>
                <w:rFonts w:hint="eastAsia" w:ascii="宋体" w:hAnsi="宋体" w:cs="宋体"/>
                <w:b/>
                <w:bCs/>
                <w:color w:val="auto"/>
                <w:szCs w:val="21"/>
              </w:rPr>
            </w:pPr>
            <w:r>
              <w:rPr>
                <w:rFonts w:hint="eastAsia" w:ascii="宋体" w:hAnsi="宋体" w:cs="宋体"/>
                <w:b/>
                <w:bCs/>
                <w:color w:val="auto"/>
                <w:szCs w:val="21"/>
                <w:lang w:val="en-US" w:eastAsia="zh-CN"/>
              </w:rPr>
              <w:t>技术要求</w:t>
            </w:r>
            <w:r>
              <w:rPr>
                <w:rFonts w:hint="eastAsia" w:ascii="宋体" w:hAnsi="宋体" w:cs="宋体"/>
                <w:b/>
                <w:bCs/>
                <w:color w:val="auto"/>
                <w:szCs w:val="21"/>
              </w:rPr>
              <w:t>中允许负偏离的条款数为</w:t>
            </w:r>
            <w:r>
              <w:rPr>
                <w:rFonts w:hint="eastAsia" w:ascii="宋体" w:hAnsi="宋体" w:cs="宋体"/>
                <w:b/>
                <w:bCs/>
                <w:color w:val="auto"/>
                <w:szCs w:val="21"/>
                <w:u w:val="single"/>
              </w:rPr>
              <w:t xml:space="preserve">   </w:t>
            </w:r>
            <w:r>
              <w:rPr>
                <w:rFonts w:hint="eastAsia" w:ascii="宋体" w:hAnsi="宋体" w:cs="宋体"/>
                <w:b/>
                <w:bCs/>
                <w:color w:val="auto"/>
                <w:szCs w:val="21"/>
                <w:u w:val="single"/>
                <w:lang w:val="en-US" w:eastAsia="zh-CN"/>
              </w:rPr>
              <w:t>3</w:t>
            </w:r>
            <w:r>
              <w:rPr>
                <w:rFonts w:hint="eastAsia" w:ascii="宋体" w:hAnsi="宋体" w:cs="宋体"/>
                <w:b/>
                <w:bCs/>
                <w:color w:val="auto"/>
                <w:szCs w:val="21"/>
                <w:u w:val="single"/>
              </w:rPr>
              <w:t xml:space="preserve">   </w:t>
            </w:r>
            <w:r>
              <w:rPr>
                <w:rFonts w:hint="eastAsia" w:ascii="宋体" w:hAnsi="宋体" w:cs="宋体"/>
                <w:b/>
                <w:bCs/>
                <w:color w:val="auto"/>
                <w:szCs w:val="21"/>
              </w:rPr>
              <w:t>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63" w:type="dxa"/>
            <w:vMerge w:val="continue"/>
            <w:vAlign w:val="center"/>
          </w:tcPr>
          <w:p>
            <w:pPr>
              <w:spacing w:line="360" w:lineRule="auto"/>
              <w:jc w:val="center"/>
              <w:rPr>
                <w:rFonts w:hint="eastAsia" w:ascii="宋体" w:hAnsi="宋体" w:cs="宋体"/>
                <w:color w:val="auto"/>
                <w:szCs w:val="21"/>
              </w:rPr>
            </w:pPr>
          </w:p>
        </w:tc>
        <w:tc>
          <w:tcPr>
            <w:tcW w:w="2390" w:type="dxa"/>
            <w:vAlign w:val="center"/>
          </w:tcPr>
          <w:p>
            <w:pPr>
              <w:snapToGrid w:val="0"/>
              <w:spacing w:line="360" w:lineRule="auto"/>
              <w:jc w:val="center"/>
              <w:rPr>
                <w:rFonts w:hint="eastAsia" w:ascii="宋体" w:hAnsi="宋体" w:cs="宋体"/>
                <w:b/>
                <w:bCs/>
                <w:color w:val="auto"/>
                <w:szCs w:val="21"/>
              </w:rPr>
            </w:pPr>
            <w:r>
              <w:rPr>
                <w:rFonts w:hint="eastAsia" w:ascii="宋体" w:hAnsi="宋体" w:eastAsia="宋体" w:cs="宋体"/>
                <w:b/>
                <w:bCs/>
                <w:color w:val="auto"/>
                <w:szCs w:val="21"/>
              </w:rPr>
              <w:t>评</w:t>
            </w:r>
            <w:r>
              <w:rPr>
                <w:rFonts w:hint="eastAsia" w:ascii="宋体" w:hAnsi="宋体" w:eastAsia="宋体" w:cs="宋体"/>
                <w:b/>
                <w:bCs/>
                <w:color w:val="auto"/>
                <w:szCs w:val="21"/>
                <w:lang w:val="en-US" w:eastAsia="zh-CN"/>
              </w:rPr>
              <w:t>审</w:t>
            </w:r>
            <w:r>
              <w:rPr>
                <w:rFonts w:hint="eastAsia" w:ascii="宋体" w:hAnsi="宋体" w:eastAsia="宋体" w:cs="宋体"/>
                <w:b/>
                <w:bCs/>
                <w:color w:val="auto"/>
                <w:szCs w:val="21"/>
              </w:rPr>
              <w:t>方法</w:t>
            </w:r>
          </w:p>
        </w:tc>
        <w:tc>
          <w:tcPr>
            <w:tcW w:w="6416" w:type="dxa"/>
            <w:vAlign w:val="center"/>
          </w:tcPr>
          <w:p>
            <w:pPr>
              <w:pStyle w:val="13"/>
              <w:spacing w:line="360" w:lineRule="auto"/>
              <w:rPr>
                <w:rFonts w:hint="eastAsia" w:ascii="宋体" w:hAnsi="宋体" w:cs="宋体"/>
                <w:color w:val="auto"/>
                <w:szCs w:val="21"/>
              </w:rPr>
            </w:pPr>
            <w:r>
              <w:rPr>
                <w:rFonts w:hint="eastAsia"/>
                <w:color w:val="auto"/>
                <w:lang w:val="en-US" w:eastAsia="zh-CN"/>
              </w:rPr>
              <w:t>本项目采用综合评分法。综合评分法是指响应文件满足竞争性磋商文件全部实质性要求且按评审因素的量化指标评审得分最高的供应商为成交候选供应商的评审方法。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Merge w:val="continue"/>
            <w:vAlign w:val="center"/>
          </w:tcPr>
          <w:p>
            <w:pPr>
              <w:spacing w:line="360" w:lineRule="auto"/>
              <w:jc w:val="center"/>
              <w:rPr>
                <w:rFonts w:hint="eastAsia" w:ascii="宋体" w:hAnsi="宋体" w:cs="宋体"/>
                <w:color w:val="auto"/>
                <w:szCs w:val="21"/>
              </w:rPr>
            </w:pPr>
          </w:p>
        </w:tc>
        <w:tc>
          <w:tcPr>
            <w:tcW w:w="2390" w:type="dxa"/>
            <w:vAlign w:val="center"/>
          </w:tcPr>
          <w:p>
            <w:pPr>
              <w:snapToGrid w:val="0"/>
              <w:spacing w:line="360" w:lineRule="auto"/>
              <w:jc w:val="center"/>
              <w:rPr>
                <w:rFonts w:hint="eastAsia" w:ascii="宋体" w:hAnsi="宋体" w:cs="宋体"/>
                <w:b/>
                <w:bCs/>
                <w:color w:val="auto"/>
                <w:szCs w:val="21"/>
              </w:rPr>
            </w:pPr>
            <w:r>
              <w:rPr>
                <w:rFonts w:hint="eastAsia" w:ascii="宋体" w:hAnsi="宋体" w:cs="宋体"/>
                <w:b/>
                <w:bCs/>
                <w:color w:val="auto"/>
                <w:szCs w:val="21"/>
              </w:rPr>
              <w:t>磋商的顺序</w:t>
            </w:r>
          </w:p>
        </w:tc>
        <w:tc>
          <w:tcPr>
            <w:tcW w:w="6416" w:type="dxa"/>
            <w:vAlign w:val="center"/>
          </w:tcPr>
          <w:p>
            <w:pPr>
              <w:pStyle w:val="13"/>
              <w:spacing w:line="360" w:lineRule="auto"/>
              <w:rPr>
                <w:rFonts w:hint="eastAsia" w:ascii="宋体" w:hAnsi="宋体" w:cs="宋体"/>
                <w:color w:val="auto"/>
                <w:szCs w:val="21"/>
              </w:rPr>
            </w:pPr>
            <w:r>
              <w:rPr>
                <w:rFonts w:hint="eastAsia" w:ascii="宋体" w:hAnsi="宋体" w:cs="宋体"/>
                <w:color w:val="auto"/>
                <w:szCs w:val="21"/>
                <w:lang w:val="en-US" w:eastAsia="zh-CN"/>
              </w:rPr>
              <w:t>如采用视频会议形式进行磋商，将</w:t>
            </w:r>
            <w:r>
              <w:rPr>
                <w:rFonts w:hint="eastAsia" w:ascii="宋体" w:hAnsi="宋体" w:cs="宋体"/>
                <w:color w:val="auto"/>
                <w:szCs w:val="21"/>
              </w:rPr>
              <w:t>按照提交首次响应文件的顺序，通知磋商时，若某供应商不在通知现场时，该供应商排序到最后磋商，按照签到的顺序由其下一位供应商先参与磋商。</w:t>
            </w:r>
          </w:p>
          <w:p>
            <w:pPr>
              <w:pStyle w:val="13"/>
              <w:spacing w:line="360" w:lineRule="auto"/>
              <w:rPr>
                <w:rFonts w:hint="eastAsia" w:ascii="宋体" w:hAnsi="宋体" w:cs="宋体"/>
                <w:b/>
                <w:color w:val="auto"/>
                <w:szCs w:val="21"/>
              </w:rPr>
            </w:pPr>
            <w:r>
              <w:rPr>
                <w:rFonts w:hint="eastAsia" w:ascii="宋体" w:hAnsi="宋体" w:cs="宋体"/>
                <w:b/>
                <w:color w:val="auto"/>
                <w:szCs w:val="21"/>
              </w:rPr>
              <w:t>参与磋商前，磋商小组如有要求，供应商法定代表人或者委托代理人必须向磋商小组出示本人有效证件原件[有效证件可以是身份证（含临时身份证明）、机动车驾驶证、社会保障卡或者护照的其中一项]，若参与磋商的委托代理人不是响应文件中授权的委托代理人时，必须同时出示有效的法定代表人授权委托书原件，否则磋商小组将拒绝其参与磋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28</w:t>
            </w:r>
          </w:p>
        </w:tc>
        <w:tc>
          <w:tcPr>
            <w:tcW w:w="2390" w:type="dxa"/>
            <w:vAlign w:val="center"/>
          </w:tcPr>
          <w:p>
            <w:pPr>
              <w:spacing w:line="360" w:lineRule="auto"/>
              <w:jc w:val="center"/>
              <w:rPr>
                <w:rFonts w:hint="eastAsia" w:ascii="宋体" w:hAnsi="宋体" w:cs="宋体"/>
                <w:b/>
                <w:bCs/>
                <w:color w:val="auto"/>
                <w:szCs w:val="21"/>
              </w:rPr>
            </w:pPr>
            <w:r>
              <w:rPr>
                <w:rFonts w:hint="eastAsia" w:ascii="宋体" w:hAnsi="宋体" w:cs="宋体"/>
                <w:b/>
                <w:bCs/>
                <w:color w:val="auto"/>
                <w:szCs w:val="21"/>
              </w:rPr>
              <w:t>履约保证金</w:t>
            </w:r>
          </w:p>
        </w:tc>
        <w:tc>
          <w:tcPr>
            <w:tcW w:w="6416" w:type="dxa"/>
            <w:vAlign w:val="center"/>
          </w:tcPr>
          <w:p>
            <w:pPr>
              <w:spacing w:line="360" w:lineRule="auto"/>
              <w:rPr>
                <w:rFonts w:hint="eastAsia" w:ascii="宋体" w:hAnsi="宋体" w:cs="宋体"/>
                <w:b/>
                <w:bCs/>
                <w:color w:val="auto"/>
                <w:szCs w:val="21"/>
              </w:rPr>
            </w:pPr>
            <w:r>
              <w:rPr>
                <w:rFonts w:hint="eastAsia" w:ascii="宋体" w:hAnsi="宋体" w:cs="宋体"/>
                <w:b/>
                <w:bCs/>
                <w:color w:val="auto"/>
                <w:szCs w:val="21"/>
              </w:rPr>
              <w:t>本项目不需要缴</w:t>
            </w:r>
            <w:r>
              <w:rPr>
                <w:rFonts w:hint="eastAsia" w:ascii="宋体" w:hAnsi="宋体" w:cs="宋体"/>
                <w:b/>
                <w:bCs/>
                <w:color w:val="auto"/>
                <w:kern w:val="0"/>
                <w:szCs w:val="21"/>
              </w:rPr>
              <w:t>纳</w:t>
            </w:r>
            <w:r>
              <w:rPr>
                <w:rFonts w:hint="eastAsia" w:ascii="宋体" w:hAnsi="宋体" w:cs="宋体"/>
                <w:b/>
                <w:bCs/>
                <w:color w:val="auto"/>
                <w:szCs w:val="21"/>
              </w:rPr>
              <w:t>履约保证金。</w:t>
            </w:r>
          </w:p>
          <w:p>
            <w:pPr>
              <w:spacing w:line="360" w:lineRule="auto"/>
              <w:rPr>
                <w:rFonts w:hint="eastAsia" w:ascii="宋体" w:hAnsi="宋体" w:eastAsia="宋体" w:cs="宋体"/>
                <w:color w:val="auto"/>
                <w:szCs w:val="21"/>
                <w:lang w:eastAsia="zh-CN"/>
              </w:rPr>
            </w:pPr>
            <w:r>
              <w:rPr>
                <w:rFonts w:hint="eastAsia" w:ascii="宋体" w:hAnsi="宋体" w:cs="宋体"/>
                <w:color w:val="auto"/>
                <w:szCs w:val="21"/>
              </w:rPr>
              <w:t>备注：</w:t>
            </w:r>
          </w:p>
          <w:p>
            <w:pPr>
              <w:spacing w:line="360" w:lineRule="auto"/>
              <w:rPr>
                <w:rFonts w:hint="eastAsia" w:ascii="宋体" w:hAnsi="宋体" w:cs="宋体"/>
                <w:b/>
                <w:color w:val="auto"/>
                <w:szCs w:val="21"/>
              </w:rPr>
            </w:pPr>
            <w:r>
              <w:rPr>
                <w:rFonts w:hint="eastAsia" w:ascii="宋体" w:hAnsi="宋体" w:cs="宋体"/>
                <w:b/>
                <w:color w:val="auto"/>
                <w:szCs w:val="21"/>
                <w:lang w:val="en-US" w:eastAsia="zh-CN"/>
              </w:rPr>
              <w:t>1</w:t>
            </w:r>
            <w:r>
              <w:rPr>
                <w:rFonts w:hint="eastAsia" w:ascii="宋体" w:hAnsi="宋体" w:cs="宋体"/>
                <w:b/>
                <w:color w:val="auto"/>
                <w:szCs w:val="21"/>
              </w:rPr>
              <w:t>.履约保证金不足额缴纳的（包含保函额度不足的），或者不按规定提交方式提交的，或者保函有效期低于合同履行期限的（即合同中规定的当事人履行自己的义务，如交付标的物、价款或者报酬，履行劳务、完成工作的时间界限）的，视为未按规定提交履约保证金。</w:t>
            </w:r>
          </w:p>
          <w:p>
            <w:pPr>
              <w:spacing w:line="360" w:lineRule="auto"/>
              <w:rPr>
                <w:rFonts w:hint="eastAsia" w:ascii="宋体" w:hAnsi="宋体" w:cs="宋体"/>
                <w:b/>
                <w:color w:val="auto"/>
                <w:szCs w:val="21"/>
              </w:rPr>
            </w:pPr>
            <w:r>
              <w:rPr>
                <w:rFonts w:hint="eastAsia" w:ascii="宋体" w:hAnsi="宋体" w:cs="宋体"/>
                <w:b/>
                <w:color w:val="auto"/>
                <w:szCs w:val="21"/>
                <w:lang w:val="en-US" w:eastAsia="zh-CN"/>
              </w:rPr>
              <w:t>2</w:t>
            </w:r>
            <w:r>
              <w:rPr>
                <w:rFonts w:hint="eastAsia" w:ascii="宋体" w:hAnsi="宋体" w:cs="宋体"/>
                <w:b/>
                <w:color w:val="auto"/>
                <w:szCs w:val="21"/>
              </w:rPr>
              <w:t>.采用金融、担保机构出具保函的，必须为无条件保函，否则视为未按规定提交履约保证金。</w:t>
            </w:r>
          </w:p>
          <w:p>
            <w:pPr>
              <w:spacing w:line="360" w:lineRule="auto"/>
              <w:rPr>
                <w:rFonts w:hint="eastAsia" w:ascii="宋体" w:hAnsi="宋体" w:cs="宋体"/>
                <w:color w:val="auto"/>
                <w:szCs w:val="21"/>
              </w:rPr>
            </w:pPr>
            <w:r>
              <w:rPr>
                <w:rFonts w:hint="eastAsia" w:ascii="宋体" w:hAnsi="宋体" w:cs="宋体"/>
                <w:b/>
                <w:color w:val="auto"/>
                <w:szCs w:val="21"/>
                <w:lang w:val="en-US" w:eastAsia="zh-CN"/>
              </w:rPr>
              <w:t>3</w:t>
            </w:r>
            <w:r>
              <w:rPr>
                <w:rFonts w:hint="eastAsia" w:ascii="宋体" w:hAnsi="宋体" w:cs="宋体"/>
                <w:b/>
                <w:color w:val="auto"/>
                <w:szCs w:val="21"/>
              </w:rPr>
              <w:t xml:space="preserve">.供应商为联合体的，可由联合体任意一方或者联合体各方共同提交的履约保证金，视为有效履约保证金。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29.5</w:t>
            </w:r>
          </w:p>
        </w:tc>
        <w:tc>
          <w:tcPr>
            <w:tcW w:w="2390" w:type="dxa"/>
            <w:vAlign w:val="center"/>
          </w:tcPr>
          <w:p>
            <w:pPr>
              <w:spacing w:line="360" w:lineRule="auto"/>
              <w:jc w:val="center"/>
              <w:rPr>
                <w:rFonts w:hint="eastAsia" w:ascii="宋体" w:hAnsi="宋体" w:cs="宋体"/>
                <w:b/>
                <w:bCs/>
                <w:color w:val="auto"/>
                <w:szCs w:val="21"/>
              </w:rPr>
            </w:pPr>
            <w:r>
              <w:rPr>
                <w:rFonts w:hint="eastAsia" w:ascii="宋体" w:hAnsi="宋体" w:cs="宋体"/>
                <w:b/>
                <w:bCs/>
                <w:color w:val="auto"/>
                <w:szCs w:val="21"/>
              </w:rPr>
              <w:t>签订合同携带的材料</w:t>
            </w:r>
          </w:p>
        </w:tc>
        <w:tc>
          <w:tcPr>
            <w:tcW w:w="6416" w:type="dxa"/>
            <w:vAlign w:val="center"/>
          </w:tcPr>
          <w:p>
            <w:pPr>
              <w:autoSpaceDE w:val="0"/>
              <w:autoSpaceDN w:val="0"/>
              <w:snapToGrid w:val="0"/>
              <w:spacing w:line="360" w:lineRule="auto"/>
              <w:textAlignment w:val="bottom"/>
              <w:rPr>
                <w:rFonts w:hint="eastAsia" w:ascii="宋体" w:hAnsi="宋体" w:cs="宋体"/>
                <w:color w:val="auto"/>
                <w:szCs w:val="21"/>
              </w:rPr>
            </w:pPr>
            <w:r>
              <w:rPr>
                <w:rFonts w:hint="eastAsia" w:ascii="宋体" w:hAnsi="宋体" w:cs="宋体"/>
                <w:color w:val="auto"/>
                <w:szCs w:val="21"/>
              </w:rPr>
              <w:t>委托代理人负责签订合同的，须携带有效的法定代表人授权委托书及其委托代理人身份证原件等其他资格证件。</w:t>
            </w:r>
          </w:p>
          <w:p>
            <w:pPr>
              <w:snapToGrid w:val="0"/>
              <w:spacing w:line="360" w:lineRule="auto"/>
              <w:rPr>
                <w:rFonts w:hint="eastAsia" w:ascii="宋体" w:hAnsi="宋体" w:cs="宋体"/>
                <w:b/>
                <w:bCs/>
                <w:i/>
                <w:iCs/>
                <w:color w:val="auto"/>
                <w:szCs w:val="21"/>
              </w:rPr>
            </w:pPr>
            <w:r>
              <w:rPr>
                <w:rFonts w:hint="eastAsia" w:ascii="宋体" w:hAnsi="宋体" w:cs="宋体"/>
                <w:color w:val="auto"/>
                <w:szCs w:val="21"/>
              </w:rPr>
              <w:t>法定代表人负责签订合同的，须携带法定代表人身份证明原件及身份证原件等其他证明材料。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Merge w:val="restart"/>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31.2</w:t>
            </w:r>
          </w:p>
        </w:tc>
        <w:tc>
          <w:tcPr>
            <w:tcW w:w="2390" w:type="dxa"/>
            <w:vAlign w:val="center"/>
          </w:tcPr>
          <w:p>
            <w:pPr>
              <w:spacing w:line="360" w:lineRule="auto"/>
              <w:jc w:val="center"/>
              <w:rPr>
                <w:rFonts w:hint="eastAsia" w:ascii="宋体" w:hAnsi="宋体" w:cs="宋体"/>
                <w:b/>
                <w:bCs/>
                <w:color w:val="auto"/>
                <w:szCs w:val="21"/>
              </w:rPr>
            </w:pPr>
            <w:r>
              <w:rPr>
                <w:rFonts w:hint="eastAsia" w:ascii="宋体" w:hAnsi="宋体" w:cs="宋体"/>
                <w:b/>
                <w:bCs/>
                <w:color w:val="auto"/>
                <w:szCs w:val="21"/>
              </w:rPr>
              <w:t>接收质疑函方式</w:t>
            </w:r>
          </w:p>
        </w:tc>
        <w:tc>
          <w:tcPr>
            <w:tcW w:w="6416" w:type="dxa"/>
            <w:vAlign w:val="center"/>
          </w:tcPr>
          <w:p>
            <w:pPr>
              <w:snapToGrid w:val="0"/>
              <w:spacing w:line="360" w:lineRule="auto"/>
              <w:rPr>
                <w:rFonts w:hint="eastAsia" w:ascii="宋体" w:hAnsi="宋体" w:cs="宋体"/>
                <w:color w:val="auto"/>
                <w:szCs w:val="21"/>
              </w:rPr>
            </w:pPr>
            <w:r>
              <w:rPr>
                <w:rFonts w:hint="eastAsia" w:ascii="宋体" w:hAnsi="宋体" w:cs="宋体"/>
                <w:color w:val="auto"/>
                <w:szCs w:val="21"/>
              </w:rPr>
              <w:t>以书面形式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Merge w:val="continue"/>
            <w:vAlign w:val="center"/>
          </w:tcPr>
          <w:p>
            <w:pPr>
              <w:spacing w:line="360" w:lineRule="auto"/>
              <w:jc w:val="center"/>
              <w:rPr>
                <w:rFonts w:hint="eastAsia" w:ascii="宋体" w:hAnsi="宋体" w:cs="宋体"/>
                <w:color w:val="auto"/>
                <w:szCs w:val="21"/>
              </w:rPr>
            </w:pPr>
          </w:p>
        </w:tc>
        <w:tc>
          <w:tcPr>
            <w:tcW w:w="2390" w:type="dxa"/>
            <w:vAlign w:val="center"/>
          </w:tcPr>
          <w:p>
            <w:pPr>
              <w:spacing w:line="360" w:lineRule="auto"/>
              <w:jc w:val="center"/>
              <w:rPr>
                <w:rFonts w:hint="eastAsia" w:ascii="宋体" w:hAnsi="宋体" w:cs="宋体"/>
                <w:b/>
                <w:bCs/>
                <w:color w:val="auto"/>
                <w:szCs w:val="21"/>
              </w:rPr>
            </w:pPr>
            <w:r>
              <w:rPr>
                <w:rFonts w:hint="eastAsia" w:ascii="宋体" w:hAnsi="宋体" w:cs="宋体"/>
                <w:b/>
                <w:bCs/>
                <w:color w:val="auto"/>
                <w:szCs w:val="21"/>
              </w:rPr>
              <w:t>质疑联系部门及联系</w:t>
            </w:r>
          </w:p>
          <w:p>
            <w:pPr>
              <w:spacing w:line="360" w:lineRule="auto"/>
              <w:jc w:val="center"/>
              <w:rPr>
                <w:rFonts w:hint="eastAsia" w:ascii="宋体" w:hAnsi="宋体" w:cs="宋体"/>
                <w:b/>
                <w:bCs/>
                <w:color w:val="auto"/>
                <w:szCs w:val="21"/>
              </w:rPr>
            </w:pPr>
            <w:r>
              <w:rPr>
                <w:rFonts w:hint="eastAsia" w:ascii="宋体" w:hAnsi="宋体" w:cs="宋体"/>
                <w:b/>
                <w:bCs/>
                <w:color w:val="auto"/>
                <w:szCs w:val="21"/>
              </w:rPr>
              <w:t>方式</w:t>
            </w:r>
          </w:p>
        </w:tc>
        <w:tc>
          <w:tcPr>
            <w:tcW w:w="6416" w:type="dxa"/>
            <w:vAlign w:val="center"/>
          </w:tcPr>
          <w:p>
            <w:pPr>
              <w:numPr>
                <w:ilvl w:val="0"/>
                <w:numId w:val="2"/>
              </w:numPr>
              <w:snapToGrid w:val="0"/>
              <w:spacing w:line="360" w:lineRule="auto"/>
              <w:rPr>
                <w:rFonts w:hint="eastAsia" w:ascii="宋体" w:hAnsi="宋体" w:cs="宋体"/>
                <w:color w:val="auto"/>
                <w:szCs w:val="21"/>
              </w:rPr>
            </w:pPr>
            <w:bookmarkStart w:id="110" w:name="PO_3000001868_PM031_3"/>
            <w:r>
              <w:rPr>
                <w:rFonts w:hint="eastAsia" w:ascii="宋体" w:hAnsi="宋体" w:cs="宋体"/>
                <w:color w:val="auto"/>
                <w:szCs w:val="21"/>
              </w:rPr>
              <w:t>名称：</w:t>
            </w:r>
            <w:bookmarkEnd w:id="110"/>
            <w:r>
              <w:rPr>
                <w:rFonts w:hint="eastAsia" w:ascii="宋体" w:hAnsi="宋体" w:cs="宋体"/>
                <w:color w:val="auto"/>
                <w:szCs w:val="21"/>
                <w:lang w:eastAsia="zh-CN"/>
              </w:rPr>
              <w:t>广西壮族自治区统计局数据管理中心</w:t>
            </w:r>
          </w:p>
          <w:p>
            <w:pPr>
              <w:snapToGrid w:val="0"/>
              <w:spacing w:line="360" w:lineRule="auto"/>
              <w:rPr>
                <w:rFonts w:ascii="宋体" w:hAnsi="宋体" w:cs="宋体"/>
                <w:color w:val="auto"/>
                <w:szCs w:val="21"/>
              </w:rPr>
            </w:pPr>
            <w:r>
              <w:rPr>
                <w:rFonts w:hint="eastAsia" w:ascii="宋体" w:hAnsi="宋体" w:cs="宋体"/>
                <w:color w:val="auto"/>
                <w:szCs w:val="21"/>
              </w:rPr>
              <w:t>联系电话：</w:t>
            </w:r>
            <w:r>
              <w:rPr>
                <w:rFonts w:hint="eastAsia" w:ascii="宋体" w:hAnsi="宋体" w:cs="宋体"/>
                <w:color w:val="auto"/>
                <w:szCs w:val="21"/>
                <w:lang w:eastAsia="zh-CN"/>
              </w:rPr>
              <w:t>0771-5874201</w:t>
            </w:r>
          </w:p>
          <w:p>
            <w:pPr>
              <w:snapToGrid w:val="0"/>
              <w:spacing w:line="360" w:lineRule="auto"/>
              <w:rPr>
                <w:rFonts w:hint="eastAsia" w:ascii="宋体" w:hAnsi="宋体" w:eastAsia="宋体" w:cs="宋体"/>
                <w:color w:val="auto"/>
                <w:szCs w:val="21"/>
                <w:lang w:eastAsia="zh-CN"/>
              </w:rPr>
            </w:pPr>
            <w:r>
              <w:rPr>
                <w:rFonts w:hint="eastAsia" w:ascii="宋体" w:hAnsi="宋体" w:cs="宋体"/>
                <w:color w:val="auto"/>
                <w:szCs w:val="21"/>
              </w:rPr>
              <w:t>通讯地址：</w:t>
            </w:r>
            <w:r>
              <w:rPr>
                <w:rFonts w:hint="eastAsia" w:ascii="宋体" w:hAnsi="宋体" w:cs="宋体"/>
                <w:color w:val="auto"/>
                <w:szCs w:val="21"/>
                <w:lang w:eastAsia="zh-CN"/>
              </w:rPr>
              <w:t>南宁市兴宁区建宁路6号</w:t>
            </w:r>
          </w:p>
          <w:p>
            <w:pPr>
              <w:snapToGrid w:val="0"/>
              <w:spacing w:line="360" w:lineRule="auto"/>
              <w:rPr>
                <w:rFonts w:ascii="宋体" w:hAnsi="宋体" w:cs="宋体"/>
                <w:color w:val="auto"/>
                <w:szCs w:val="21"/>
              </w:rPr>
            </w:pPr>
            <w:r>
              <w:rPr>
                <w:rFonts w:hint="eastAsia" w:ascii="宋体" w:hAnsi="宋体" w:cs="宋体"/>
                <w:color w:val="auto"/>
                <w:szCs w:val="21"/>
              </w:rPr>
              <w:t>（2）名称：广西科联招标中心有限公司</w:t>
            </w:r>
          </w:p>
          <w:p>
            <w:pPr>
              <w:snapToGrid w:val="0"/>
              <w:spacing w:line="360" w:lineRule="auto"/>
              <w:rPr>
                <w:rFonts w:hint="eastAsia" w:hAnsi="宋体" w:cs="宋体"/>
                <w:color w:val="auto"/>
              </w:rPr>
            </w:pPr>
            <w:r>
              <w:rPr>
                <w:rFonts w:hint="eastAsia"/>
                <w:color w:val="auto"/>
                <w:szCs w:val="21"/>
              </w:rPr>
              <w:t>联系</w:t>
            </w:r>
            <w:r>
              <w:rPr>
                <w:color w:val="auto"/>
                <w:szCs w:val="21"/>
              </w:rPr>
              <w:t>地址</w:t>
            </w:r>
            <w:r>
              <w:rPr>
                <w:rFonts w:hint="eastAsia" w:cs="Helvetica"/>
                <w:color w:val="auto"/>
                <w:szCs w:val="21"/>
              </w:rPr>
              <w:t>：</w:t>
            </w:r>
            <w:r>
              <w:rPr>
                <w:rFonts w:hint="eastAsia" w:ascii="宋体" w:hAnsi="宋体"/>
                <w:color w:val="auto"/>
                <w:szCs w:val="21"/>
              </w:rPr>
              <w:t>广西南宁市大学东路170号广西科联招标中心有限公司</w:t>
            </w:r>
            <w:r>
              <w:rPr>
                <w:rFonts w:hint="eastAsia" w:hAnsi="宋体" w:cs="宋体"/>
                <w:color w:val="auto"/>
                <w:lang w:val="en-US" w:eastAsia="zh-CN"/>
              </w:rPr>
              <w:t>103</w:t>
            </w:r>
            <w:r>
              <w:rPr>
                <w:rFonts w:hint="eastAsia" w:hAnsi="宋体" w:cs="宋体"/>
                <w:color w:val="auto"/>
              </w:rPr>
              <w:t>室</w:t>
            </w:r>
          </w:p>
          <w:p>
            <w:pPr>
              <w:snapToGrid w:val="0"/>
              <w:spacing w:line="360" w:lineRule="auto"/>
              <w:rPr>
                <w:rFonts w:hint="eastAsia" w:ascii="宋体" w:hAnsi="宋体" w:cs="宋体"/>
                <w:color w:val="auto"/>
                <w:szCs w:val="21"/>
              </w:rPr>
            </w:pPr>
            <w:r>
              <w:rPr>
                <w:rFonts w:hint="eastAsia" w:ascii="宋体" w:hAnsi="宋体" w:cs="宋体"/>
                <w:color w:val="auto"/>
                <w:szCs w:val="21"/>
              </w:rPr>
              <w:t>联系电话：</w:t>
            </w:r>
            <w:r>
              <w:rPr>
                <w:rFonts w:hint="eastAsia" w:ascii="宋体" w:hAnsi="宋体" w:cs="宋体"/>
                <w:color w:val="auto"/>
              </w:rPr>
              <w:t>0771-3486228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Merge w:val="continue"/>
            <w:vAlign w:val="center"/>
          </w:tcPr>
          <w:p>
            <w:pPr>
              <w:spacing w:line="360" w:lineRule="auto"/>
              <w:jc w:val="center"/>
              <w:rPr>
                <w:rFonts w:hint="eastAsia" w:ascii="宋体" w:hAnsi="宋体" w:cs="宋体"/>
                <w:color w:val="auto"/>
                <w:szCs w:val="21"/>
              </w:rPr>
            </w:pPr>
          </w:p>
        </w:tc>
        <w:tc>
          <w:tcPr>
            <w:tcW w:w="2390" w:type="dxa"/>
            <w:vAlign w:val="center"/>
          </w:tcPr>
          <w:p>
            <w:pPr>
              <w:spacing w:line="360" w:lineRule="auto"/>
              <w:jc w:val="center"/>
              <w:rPr>
                <w:rFonts w:hint="eastAsia" w:ascii="宋体" w:hAnsi="宋体" w:cs="宋体"/>
                <w:b/>
                <w:bCs/>
                <w:color w:val="auto"/>
                <w:szCs w:val="21"/>
              </w:rPr>
            </w:pPr>
            <w:r>
              <w:rPr>
                <w:rFonts w:hint="eastAsia" w:ascii="宋体" w:hAnsi="宋体" w:cs="宋体"/>
                <w:b/>
                <w:bCs/>
                <w:color w:val="auto"/>
                <w:szCs w:val="21"/>
              </w:rPr>
              <w:t>现场提交质疑办理业务</w:t>
            </w:r>
          </w:p>
          <w:p>
            <w:pPr>
              <w:spacing w:line="360" w:lineRule="auto"/>
              <w:jc w:val="center"/>
              <w:rPr>
                <w:rFonts w:hint="eastAsia" w:ascii="宋体" w:hAnsi="宋体" w:cs="宋体"/>
                <w:b/>
                <w:bCs/>
                <w:color w:val="auto"/>
                <w:szCs w:val="21"/>
              </w:rPr>
            </w:pPr>
            <w:r>
              <w:rPr>
                <w:rFonts w:hint="eastAsia" w:ascii="宋体" w:hAnsi="宋体" w:cs="宋体"/>
                <w:b/>
                <w:bCs/>
                <w:color w:val="auto"/>
                <w:szCs w:val="21"/>
              </w:rPr>
              <w:t>时间</w:t>
            </w:r>
          </w:p>
        </w:tc>
        <w:tc>
          <w:tcPr>
            <w:tcW w:w="6416" w:type="dxa"/>
            <w:vAlign w:val="center"/>
          </w:tcPr>
          <w:p>
            <w:pPr>
              <w:snapToGrid w:val="0"/>
              <w:spacing w:line="360" w:lineRule="auto"/>
              <w:rPr>
                <w:rFonts w:hint="eastAsia" w:ascii="宋体" w:hAnsi="宋体" w:cs="宋体"/>
                <w:color w:val="auto"/>
                <w:szCs w:val="21"/>
              </w:rPr>
            </w:pPr>
            <w:r>
              <w:rPr>
                <w:rFonts w:hint="eastAsia" w:ascii="宋体" w:hAnsi="宋体" w:cs="宋体"/>
                <w:color w:val="auto"/>
              </w:rPr>
              <w:t>质疑期内每个工</w:t>
            </w:r>
            <w:r>
              <w:rPr>
                <w:rFonts w:hint="eastAsia" w:ascii="宋体" w:hAnsi="宋体" w:cs="宋体"/>
                <w:color w:val="auto"/>
                <w:u w:val="none"/>
              </w:rPr>
              <w:t>作日（北京时间）上午8时00分到12时00分，下午15时00分到18时00分。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31.6</w:t>
            </w:r>
          </w:p>
        </w:tc>
        <w:tc>
          <w:tcPr>
            <w:tcW w:w="2390" w:type="dxa"/>
            <w:vAlign w:val="center"/>
          </w:tcPr>
          <w:p>
            <w:pPr>
              <w:spacing w:line="360" w:lineRule="auto"/>
              <w:jc w:val="center"/>
              <w:rPr>
                <w:rFonts w:hint="eastAsia" w:ascii="宋体" w:hAnsi="宋体" w:cs="宋体"/>
                <w:b/>
                <w:bCs/>
                <w:color w:val="auto"/>
                <w:szCs w:val="21"/>
              </w:rPr>
            </w:pPr>
            <w:r>
              <w:rPr>
                <w:rFonts w:hint="eastAsia" w:ascii="宋体" w:hAnsi="宋体" w:cs="宋体"/>
                <w:b/>
                <w:bCs/>
                <w:color w:val="auto"/>
                <w:szCs w:val="21"/>
              </w:rPr>
              <w:t>受理投诉方式</w:t>
            </w:r>
          </w:p>
        </w:tc>
        <w:tc>
          <w:tcPr>
            <w:tcW w:w="6416" w:type="dxa"/>
            <w:vAlign w:val="center"/>
          </w:tcPr>
          <w:p>
            <w:pPr>
              <w:snapToGrid w:val="0"/>
              <w:spacing w:line="360" w:lineRule="auto"/>
              <w:rPr>
                <w:rFonts w:hint="eastAsia" w:ascii="宋体" w:hAnsi="宋体" w:cs="宋体"/>
                <w:color w:val="auto"/>
              </w:rPr>
            </w:pPr>
            <w:r>
              <w:rPr>
                <w:rFonts w:hint="eastAsia" w:ascii="宋体" w:hAnsi="宋体" w:cs="宋体"/>
                <w:color w:val="auto"/>
              </w:rPr>
              <w:t>1、受理方式：纸质方式受理，投诉书正、副本（经过质疑的事项才可投诉）。</w:t>
            </w:r>
          </w:p>
          <w:p>
            <w:pPr>
              <w:snapToGrid w:val="0"/>
              <w:spacing w:line="360" w:lineRule="auto"/>
              <w:rPr>
                <w:rFonts w:hint="eastAsia" w:ascii="宋体" w:hAnsi="宋体" w:cs="宋体"/>
                <w:color w:val="auto"/>
              </w:rPr>
            </w:pPr>
            <w:r>
              <w:rPr>
                <w:rFonts w:hint="eastAsia" w:ascii="宋体" w:hAnsi="宋体" w:cs="宋体"/>
                <w:color w:val="auto"/>
              </w:rPr>
              <w:t>2、通讯方式</w:t>
            </w:r>
          </w:p>
          <w:p>
            <w:pPr>
              <w:snapToGrid w:val="0"/>
              <w:spacing w:line="360" w:lineRule="auto"/>
              <w:rPr>
                <w:rFonts w:hint="eastAsia" w:ascii="宋体" w:hAnsi="宋体" w:cs="宋体"/>
                <w:color w:val="auto"/>
              </w:rPr>
            </w:pPr>
            <w:r>
              <w:rPr>
                <w:rFonts w:hint="eastAsia" w:ascii="宋体" w:hAnsi="宋体" w:cs="宋体"/>
                <w:color w:val="auto"/>
              </w:rPr>
              <w:t xml:space="preserve">名称： 广西壮族自治区财政厅 </w:t>
            </w:r>
          </w:p>
          <w:p>
            <w:pPr>
              <w:snapToGrid w:val="0"/>
              <w:spacing w:line="360" w:lineRule="auto"/>
              <w:rPr>
                <w:rFonts w:hint="eastAsia" w:ascii="宋体" w:hAnsi="宋体" w:cs="宋体"/>
                <w:color w:val="auto"/>
              </w:rPr>
            </w:pPr>
            <w:r>
              <w:rPr>
                <w:rFonts w:hint="eastAsia" w:ascii="宋体" w:hAnsi="宋体" w:cs="宋体"/>
                <w:color w:val="auto"/>
              </w:rPr>
              <w:t xml:space="preserve">地址： 南宁市青秀区桃源路69号 </w:t>
            </w:r>
          </w:p>
          <w:p>
            <w:pPr>
              <w:snapToGrid w:val="0"/>
              <w:spacing w:line="360" w:lineRule="auto"/>
              <w:rPr>
                <w:rFonts w:hint="eastAsia" w:ascii="宋体" w:hAnsi="宋体" w:cs="宋体"/>
                <w:color w:val="auto"/>
              </w:rPr>
            </w:pPr>
            <w:r>
              <w:rPr>
                <w:rFonts w:hint="eastAsia" w:ascii="宋体" w:hAnsi="宋体" w:cs="宋体"/>
                <w:color w:val="auto"/>
              </w:rPr>
              <w:t>联系电话：0771-5331544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33</w:t>
            </w:r>
          </w:p>
        </w:tc>
        <w:tc>
          <w:tcPr>
            <w:tcW w:w="2390" w:type="dxa"/>
            <w:vAlign w:val="center"/>
          </w:tcPr>
          <w:p>
            <w:pPr>
              <w:spacing w:line="360" w:lineRule="auto"/>
              <w:jc w:val="center"/>
              <w:rPr>
                <w:rFonts w:hint="eastAsia" w:ascii="宋体" w:hAnsi="宋体" w:cs="宋体"/>
                <w:b/>
                <w:bCs/>
                <w:color w:val="auto"/>
                <w:szCs w:val="21"/>
              </w:rPr>
            </w:pPr>
            <w:r>
              <w:rPr>
                <w:rFonts w:hint="eastAsia" w:ascii="宋体" w:hAnsi="宋体" w:cs="宋体"/>
                <w:b/>
                <w:bCs/>
                <w:color w:val="auto"/>
                <w:szCs w:val="21"/>
              </w:rPr>
              <w:t>采购代理服务费</w:t>
            </w:r>
          </w:p>
        </w:tc>
        <w:tc>
          <w:tcPr>
            <w:tcW w:w="6416" w:type="dxa"/>
            <w:vAlign w:val="center"/>
          </w:tcPr>
          <w:p>
            <w:pPr>
              <w:snapToGrid w:val="0"/>
              <w:spacing w:line="360" w:lineRule="auto"/>
              <w:rPr>
                <w:rFonts w:hint="eastAsia" w:ascii="宋体" w:hAnsi="宋体" w:cs="宋体"/>
                <w:color w:val="auto"/>
                <w:kern w:val="0"/>
                <w:szCs w:val="21"/>
              </w:rPr>
            </w:pPr>
            <w:r>
              <w:rPr>
                <w:rFonts w:hint="eastAsia" w:ascii="宋体" w:hAnsi="宋体" w:cs="宋体"/>
                <w:color w:val="auto"/>
                <w:kern w:val="0"/>
                <w:szCs w:val="21"/>
              </w:rPr>
              <w:t xml:space="preserve">1. </w:t>
            </w:r>
            <w:r>
              <w:rPr>
                <w:rFonts w:hint="eastAsia" w:ascii="宋体" w:hAnsi="宋体" w:cs="宋体"/>
                <w:color w:val="auto"/>
                <w:kern w:val="0"/>
                <w:szCs w:val="21"/>
                <w:lang w:val="en-US" w:eastAsia="zh-CN"/>
              </w:rPr>
              <w:t>本项目</w:t>
            </w:r>
            <w:r>
              <w:rPr>
                <w:rFonts w:hint="eastAsia" w:ascii="宋体" w:hAnsi="宋体" w:cs="宋体"/>
                <w:color w:val="auto"/>
                <w:kern w:val="0"/>
                <w:szCs w:val="21"/>
              </w:rPr>
              <w:t>收取采购代理服务费</w:t>
            </w:r>
          </w:p>
          <w:p>
            <w:pPr>
              <w:snapToGrid w:val="0"/>
              <w:spacing w:line="360" w:lineRule="auto"/>
              <w:rPr>
                <w:rFonts w:hint="eastAsia" w:ascii="宋体" w:hAnsi="宋体" w:cs="宋体"/>
                <w:color w:val="auto"/>
                <w:kern w:val="0"/>
                <w:szCs w:val="21"/>
                <w:u w:val="none"/>
              </w:rPr>
            </w:pPr>
            <w:r>
              <w:rPr>
                <w:rFonts w:hint="eastAsia" w:ascii="宋体" w:hAnsi="宋体" w:cs="宋体"/>
                <w:color w:val="auto"/>
                <w:kern w:val="0"/>
                <w:szCs w:val="21"/>
              </w:rPr>
              <w:t>2.采购代理服务费支付方式：</w:t>
            </w:r>
          </w:p>
          <w:p>
            <w:pPr>
              <w:snapToGrid w:val="0"/>
              <w:spacing w:line="360" w:lineRule="auto"/>
              <w:rPr>
                <w:rFonts w:hint="eastAsia" w:ascii="宋体" w:hAnsi="宋体" w:cs="宋体"/>
                <w:color w:val="auto"/>
                <w:kern w:val="0"/>
                <w:szCs w:val="21"/>
                <w:u w:val="none"/>
              </w:rPr>
            </w:pPr>
            <w:r>
              <w:rPr>
                <w:rFonts w:hint="eastAsia" w:ascii="宋体" w:hAnsi="宋体" w:cs="宋体"/>
                <w:color w:val="auto"/>
                <w:kern w:val="0"/>
                <w:szCs w:val="21"/>
                <w:u w:val="none"/>
              </w:rPr>
              <w:t>本项目采购代理服务费由成交供应商在签订合同前，</w:t>
            </w:r>
            <w:r>
              <w:rPr>
                <w:rFonts w:hint="eastAsia" w:ascii="宋体" w:hAnsi="宋体" w:cs="宋体"/>
                <w:color w:val="auto"/>
                <w:u w:val="none"/>
              </w:rPr>
              <w:t>以银行转账、电汇等方式</w:t>
            </w:r>
            <w:r>
              <w:rPr>
                <w:rFonts w:hint="eastAsia" w:ascii="宋体" w:hAnsi="宋体" w:cs="宋体"/>
                <w:color w:val="auto"/>
                <w:kern w:val="0"/>
                <w:szCs w:val="21"/>
                <w:u w:val="none"/>
              </w:rPr>
              <w:t>一次性向采购代理机构支付。</w:t>
            </w:r>
          </w:p>
          <w:p>
            <w:pPr>
              <w:snapToGrid w:val="0"/>
              <w:spacing w:line="360" w:lineRule="auto"/>
              <w:rPr>
                <w:rFonts w:hint="eastAsia" w:ascii="宋体" w:hAnsi="宋体" w:cs="宋体"/>
                <w:color w:val="auto"/>
                <w:kern w:val="0"/>
                <w:szCs w:val="21"/>
              </w:rPr>
            </w:pPr>
            <w:r>
              <w:rPr>
                <w:rFonts w:hint="eastAsia" w:ascii="宋体" w:hAnsi="宋体" w:cs="宋体"/>
                <w:color w:val="auto"/>
                <w:kern w:val="0"/>
                <w:szCs w:val="21"/>
              </w:rPr>
              <w:t>3.采购代理服务费收取标准：</w:t>
            </w:r>
          </w:p>
          <w:p>
            <w:pPr>
              <w:snapToGrid w:val="0"/>
              <w:spacing w:line="360" w:lineRule="auto"/>
              <w:rPr>
                <w:rFonts w:hint="eastAsia" w:ascii="宋体" w:hAnsi="宋体" w:cs="宋体"/>
                <w:color w:val="auto"/>
                <w:kern w:val="0"/>
                <w:szCs w:val="21"/>
                <w:u w:val="single"/>
              </w:rPr>
            </w:pPr>
            <w:r>
              <w:rPr>
                <w:rFonts w:hint="eastAsia" w:ascii="宋体" w:hAnsi="宋体" w:cs="宋体"/>
                <w:color w:val="auto"/>
                <w:kern w:val="0"/>
                <w:szCs w:val="21"/>
              </w:rPr>
              <w:t>以</w:t>
            </w:r>
            <w:r>
              <w:rPr>
                <w:rFonts w:hint="eastAsia" w:ascii="宋体" w:hAnsi="宋体" w:cs="宋体"/>
                <w:color w:val="auto"/>
                <w:kern w:val="0"/>
                <w:szCs w:val="21"/>
                <w:lang w:val="en-US" w:eastAsia="zh-CN"/>
              </w:rPr>
              <w:t>分标预算</w:t>
            </w:r>
            <w:r>
              <w:rPr>
                <w:rFonts w:hint="eastAsia" w:ascii="宋体" w:hAnsi="宋体" w:cs="宋体"/>
                <w:color w:val="auto"/>
                <w:kern w:val="0"/>
                <w:szCs w:val="21"/>
              </w:rPr>
              <w:t>金额为计费额，按</w:t>
            </w:r>
            <w:r>
              <w:rPr>
                <w:rFonts w:hint="eastAsia" w:ascii="宋体" w:hAnsi="宋体" w:cs="宋体"/>
                <w:color w:val="auto"/>
              </w:rPr>
              <w:t>本须知正文第33.2条规定的收费计算标准（</w:t>
            </w:r>
            <w:r>
              <w:rPr>
                <w:rFonts w:hint="eastAsia" w:ascii="宋体" w:hAnsi="宋体" w:cs="宋体"/>
                <w:b/>
                <w:bCs/>
                <w:color w:val="auto"/>
                <w:kern w:val="0"/>
                <w:szCs w:val="21"/>
                <w:u w:val="single"/>
              </w:rPr>
              <w:t>服务类</w:t>
            </w:r>
            <w:r>
              <w:rPr>
                <w:rFonts w:hint="eastAsia" w:ascii="宋体" w:hAnsi="宋体" w:cs="宋体"/>
                <w:color w:val="auto"/>
              </w:rPr>
              <w:t>）</w:t>
            </w:r>
            <w:r>
              <w:rPr>
                <w:rFonts w:hint="eastAsia" w:ascii="宋体" w:hAnsi="宋体" w:cs="宋体"/>
                <w:color w:val="auto"/>
                <w:kern w:val="0"/>
                <w:szCs w:val="21"/>
              </w:rPr>
              <w:t>采用差额定率累进法计算出收费基准价格，采购代理机构收费以收费基准价格收取</w:t>
            </w:r>
            <w:r>
              <w:rPr>
                <w:rFonts w:hint="eastAsia" w:ascii="宋体" w:hAnsi="宋体" w:cs="宋体"/>
                <w:color w:val="auto"/>
                <w:kern w:val="0"/>
                <w:szCs w:val="21"/>
                <w:lang w:eastAsia="zh-CN"/>
              </w:rPr>
              <w:t>，</w:t>
            </w:r>
            <w:r>
              <w:rPr>
                <w:rFonts w:hint="eastAsia" w:ascii="宋体" w:hAnsi="宋体" w:cs="宋体"/>
                <w:color w:val="auto"/>
                <w:kern w:val="0"/>
                <w:szCs w:val="21"/>
                <w:lang w:val="en-US" w:eastAsia="zh-CN"/>
              </w:rPr>
              <w:t>对应分标采购代理服务费不足¥6000.00的，按¥6000.00收取</w:t>
            </w:r>
            <w:r>
              <w:rPr>
                <w:rFonts w:hint="eastAsia" w:ascii="宋体" w:hAnsi="宋体" w:cs="宋体"/>
                <w:color w:val="auto"/>
                <w:kern w:val="0"/>
                <w:szCs w:val="21"/>
              </w:rPr>
              <w:t>。</w:t>
            </w:r>
          </w:p>
          <w:p>
            <w:pPr>
              <w:snapToGrid w:val="0"/>
              <w:spacing w:line="360" w:lineRule="auto"/>
              <w:rPr>
                <w:rFonts w:hint="eastAsia" w:ascii="宋体" w:hAnsi="宋体" w:cs="宋体"/>
                <w:color w:val="auto"/>
                <w:kern w:val="0"/>
                <w:szCs w:val="21"/>
              </w:rPr>
            </w:pPr>
            <w:r>
              <w:rPr>
                <w:rFonts w:hint="eastAsia" w:ascii="宋体" w:hAnsi="宋体" w:cs="宋体"/>
                <w:color w:val="auto"/>
                <w:kern w:val="0"/>
                <w:szCs w:val="21"/>
              </w:rPr>
              <w:t>4.采购代理服务费收取银行账户的信息</w:t>
            </w:r>
          </w:p>
          <w:p>
            <w:pPr>
              <w:snapToGrid w:val="0"/>
              <w:spacing w:line="360" w:lineRule="auto"/>
              <w:rPr>
                <w:rFonts w:hint="eastAsia" w:ascii="宋体" w:hAnsi="宋体" w:cs="宋体"/>
                <w:color w:val="auto"/>
                <w:kern w:val="0"/>
                <w:szCs w:val="21"/>
              </w:rPr>
            </w:pPr>
            <w:r>
              <w:rPr>
                <w:rFonts w:hint="eastAsia" w:ascii="宋体" w:hAnsi="宋体" w:cs="宋体"/>
                <w:color w:val="auto"/>
                <w:kern w:val="0"/>
                <w:szCs w:val="21"/>
              </w:rPr>
              <w:t>开户名称：广西科联招标中心有限公司</w:t>
            </w:r>
          </w:p>
          <w:p>
            <w:pPr>
              <w:snapToGrid w:val="0"/>
              <w:spacing w:line="360" w:lineRule="auto"/>
              <w:rPr>
                <w:rFonts w:hint="eastAsia" w:ascii="宋体" w:hAnsi="宋体" w:cs="宋体"/>
                <w:color w:val="auto"/>
                <w:kern w:val="0"/>
                <w:szCs w:val="21"/>
              </w:rPr>
            </w:pPr>
            <w:r>
              <w:rPr>
                <w:rFonts w:hint="eastAsia" w:ascii="宋体" w:hAnsi="宋体" w:cs="宋体"/>
                <w:color w:val="auto"/>
                <w:kern w:val="0"/>
                <w:szCs w:val="21"/>
              </w:rPr>
              <w:t>开户银行：中国工商银行南宁市高新科技支行</w:t>
            </w:r>
          </w:p>
          <w:p>
            <w:pPr>
              <w:snapToGrid w:val="0"/>
              <w:spacing w:line="360" w:lineRule="auto"/>
              <w:rPr>
                <w:rFonts w:hint="eastAsia" w:ascii="宋体" w:hAnsi="宋体" w:cs="宋体"/>
                <w:color w:val="auto"/>
                <w:kern w:val="0"/>
                <w:szCs w:val="21"/>
              </w:rPr>
            </w:pPr>
            <w:r>
              <w:rPr>
                <w:rFonts w:hint="eastAsia" w:ascii="宋体" w:hAnsi="宋体" w:cs="宋体"/>
                <w:color w:val="auto"/>
                <w:kern w:val="0"/>
                <w:szCs w:val="21"/>
              </w:rPr>
              <w:t>银行账号：2102111229300032105</w:t>
            </w:r>
          </w:p>
          <w:p>
            <w:pPr>
              <w:snapToGrid w:val="0"/>
              <w:spacing w:line="360" w:lineRule="auto"/>
              <w:rPr>
                <w:rFonts w:hint="eastAsia" w:ascii="宋体" w:hAnsi="宋体" w:cs="宋体"/>
                <w:color w:val="auto"/>
                <w:kern w:val="0"/>
                <w:szCs w:val="21"/>
              </w:rPr>
            </w:pPr>
            <w:r>
              <w:rPr>
                <w:rFonts w:hint="eastAsia" w:ascii="宋体" w:hAnsi="宋体" w:cs="宋体"/>
                <w:color w:val="auto"/>
                <w:kern w:val="0"/>
                <w:szCs w:val="21"/>
              </w:rPr>
              <w:t>开户行行号：102611011101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34.1</w:t>
            </w:r>
          </w:p>
        </w:tc>
        <w:tc>
          <w:tcPr>
            <w:tcW w:w="2390" w:type="dxa"/>
            <w:vAlign w:val="center"/>
          </w:tcPr>
          <w:p>
            <w:pPr>
              <w:spacing w:line="360" w:lineRule="auto"/>
              <w:jc w:val="center"/>
              <w:rPr>
                <w:rFonts w:hint="eastAsia" w:ascii="宋体" w:hAnsi="宋体" w:cs="宋体"/>
                <w:b/>
                <w:bCs/>
                <w:color w:val="auto"/>
                <w:szCs w:val="21"/>
              </w:rPr>
            </w:pPr>
            <w:r>
              <w:rPr>
                <w:rFonts w:hint="eastAsia" w:ascii="宋体" w:hAnsi="宋体" w:cs="宋体"/>
                <w:b/>
                <w:bCs/>
                <w:color w:val="auto"/>
                <w:szCs w:val="21"/>
              </w:rPr>
              <w:t>解释</w:t>
            </w:r>
          </w:p>
        </w:tc>
        <w:tc>
          <w:tcPr>
            <w:tcW w:w="6416" w:type="dxa"/>
            <w:vAlign w:val="center"/>
          </w:tcPr>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cs="宋体"/>
                <w:b/>
                <w:color w:val="auto"/>
                <w:kern w:val="0"/>
                <w:szCs w:val="21"/>
              </w:rPr>
            </w:pPr>
            <w:r>
              <w:rPr>
                <w:rFonts w:hint="eastAsia" w:ascii="宋体" w:hAnsi="宋体" w:cs="宋体"/>
                <w:b/>
                <w:color w:val="auto"/>
                <w:kern w:val="0"/>
                <w:szCs w:val="21"/>
              </w:rPr>
              <w:t>解释：</w:t>
            </w:r>
            <w:r>
              <w:rPr>
                <w:rFonts w:hint="eastAsia" w:ascii="宋体" w:hAnsi="宋体" w:cs="宋体"/>
                <w:color w:val="auto"/>
                <w:kern w:val="0"/>
                <w:szCs w:val="21"/>
              </w:rPr>
              <w:t>构成本竞争性磋商文件的各个组成文件应互为解释，互为说明；除竞争性磋商文件中有特别规定外，仅适用于竞标阶段的规定，按更正公告（澄清公告）、竞争性磋商公告、采购需求、供应商须知、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ascii="宋体" w:hAnsi="宋体" w:cs="宋体"/>
                <w:b/>
                <w:color w:val="auto"/>
                <w:kern w:val="0"/>
                <w:szCs w:val="21"/>
              </w:rPr>
              <w:t>由采购人或者采购代理机构负责解释。</w:t>
            </w:r>
          </w:p>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cs="宋体"/>
                <w:b/>
                <w:color w:val="auto"/>
                <w:kern w:val="0"/>
                <w:szCs w:val="21"/>
              </w:rPr>
            </w:pPr>
            <w:r>
              <w:rPr>
                <w:rFonts w:hint="eastAsia" w:ascii="宋体" w:hAnsi="宋体" w:cs="宋体"/>
                <w:b/>
                <w:color w:val="auto"/>
                <w:kern w:val="0"/>
                <w:szCs w:val="21"/>
              </w:rPr>
              <w:t>法律责任：</w:t>
            </w:r>
          </w:p>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cs="宋体"/>
                <w:color w:val="auto"/>
                <w:kern w:val="0"/>
                <w:szCs w:val="21"/>
              </w:rPr>
            </w:pPr>
            <w:r>
              <w:rPr>
                <w:rFonts w:hint="eastAsia" w:ascii="宋体" w:hAnsi="宋体" w:cs="宋体"/>
                <w:color w:val="auto"/>
                <w:kern w:val="0"/>
                <w:szCs w:val="21"/>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34.2</w:t>
            </w:r>
          </w:p>
        </w:tc>
        <w:tc>
          <w:tcPr>
            <w:tcW w:w="2390" w:type="dxa"/>
            <w:vAlign w:val="center"/>
          </w:tcPr>
          <w:p>
            <w:pPr>
              <w:spacing w:line="360" w:lineRule="auto"/>
              <w:jc w:val="center"/>
              <w:rPr>
                <w:rFonts w:hint="eastAsia" w:ascii="宋体" w:hAnsi="宋体" w:cs="宋体"/>
                <w:b/>
                <w:bCs/>
                <w:color w:val="auto"/>
                <w:szCs w:val="21"/>
              </w:rPr>
            </w:pPr>
            <w:r>
              <w:rPr>
                <w:rFonts w:hint="eastAsia" w:ascii="宋体" w:hAnsi="宋体" w:cs="宋体"/>
                <w:b/>
                <w:bCs/>
                <w:color w:val="auto"/>
                <w:szCs w:val="21"/>
              </w:rPr>
              <w:t>其他</w:t>
            </w:r>
          </w:p>
        </w:tc>
        <w:tc>
          <w:tcPr>
            <w:tcW w:w="6416" w:type="dxa"/>
            <w:vAlign w:val="center"/>
          </w:tcPr>
          <w:p>
            <w:pPr>
              <w:pStyle w:val="13"/>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hint="eastAsia" w:ascii="宋体" w:hAnsi="宋体" w:cs="宋体"/>
                <w:color w:val="auto"/>
                <w:szCs w:val="21"/>
              </w:rPr>
            </w:pPr>
            <w:r>
              <w:rPr>
                <w:rFonts w:hint="eastAsia" w:ascii="宋体" w:hAnsi="宋体" w:cs="宋体"/>
                <w:color w:val="auto"/>
                <w:szCs w:val="21"/>
              </w:rPr>
              <w:t>1.本竞争性磋商文件中描述供应商的“公章”是指根据我国对公章的管理规定，用供应商法定主体行为名称制作的实物印章或供应商通过指定电子化政府采购平台办理数字证书（CA认证）获得的以法定主体行为名称制作的电子印章。除本竞争性磋商文件有特殊规定外，供应商的财务章、部门章、工会章、合同章、投标专用章、业务专用章及银行的转账章、现金收讫章、现金付讫章等其他形式印章均不能代替公章。</w:t>
            </w:r>
          </w:p>
          <w:p>
            <w:pPr>
              <w:pStyle w:val="13"/>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hint="eastAsia" w:ascii="宋体" w:hAnsi="宋体" w:cs="宋体"/>
                <w:color w:val="auto"/>
                <w:szCs w:val="21"/>
              </w:rPr>
            </w:pPr>
            <w:r>
              <w:rPr>
                <w:rFonts w:hint="eastAsia" w:ascii="宋体" w:hAnsi="宋体" w:cs="宋体"/>
                <w:color w:val="auto"/>
                <w:szCs w:val="21"/>
              </w:rPr>
              <w:t>2.本竞争性磋商文件中描述供应商的“签字”是指供应商通过指定电子化政府采购平台办理数字证书（CA认证）获得的以供应商法定代表人或者委托代理人姓名制作的电子印章或手写签字。</w:t>
            </w:r>
          </w:p>
          <w:p>
            <w:pPr>
              <w:pStyle w:val="13"/>
              <w:keepNext w:val="0"/>
              <w:keepLines w:val="0"/>
              <w:pageBreakBefore w:val="0"/>
              <w:widowControl w:val="0"/>
              <w:tabs>
                <w:tab w:val="center" w:pos="4153"/>
                <w:tab w:val="right" w:pos="8306"/>
              </w:tabs>
              <w:kinsoku/>
              <w:wordWrap/>
              <w:overflowPunct/>
              <w:topLinePunct w:val="0"/>
              <w:autoSpaceDE/>
              <w:autoSpaceDN/>
              <w:bidi w:val="0"/>
              <w:adjustRightInd/>
              <w:spacing w:line="400" w:lineRule="exact"/>
              <w:ind w:firstLine="420" w:firstLineChars="200"/>
              <w:textAlignment w:val="auto"/>
              <w:rPr>
                <w:rFonts w:hint="eastAsia" w:ascii="宋体" w:hAnsi="宋体" w:cs="宋体"/>
                <w:color w:val="auto"/>
                <w:szCs w:val="21"/>
              </w:rPr>
            </w:pPr>
            <w:r>
              <w:rPr>
                <w:rFonts w:hint="eastAsia" w:ascii="宋体" w:hAnsi="宋体" w:cs="宋体"/>
                <w:color w:val="auto"/>
                <w:szCs w:val="21"/>
              </w:rPr>
              <w:t>3.本竞争性磋商文件所称的“电子签章”“电子签名”，是指经</w:t>
            </w:r>
            <w:r>
              <w:rPr>
                <w:rFonts w:hint="eastAsia" w:ascii="宋体" w:hAnsi="宋体" w:cs="宋体"/>
                <w:color w:val="auto"/>
                <w:szCs w:val="21"/>
                <w:lang w:eastAsia="zh-CN"/>
              </w:rPr>
              <w:t>广西政府采购云平台</w:t>
            </w:r>
            <w:r>
              <w:rPr>
                <w:rFonts w:hint="eastAsia" w:ascii="宋体" w:hAnsi="宋体" w:cs="宋体"/>
                <w:color w:val="auto"/>
                <w:szCs w:val="21"/>
              </w:rPr>
              <w:t>认可的CA认证的电子签名数据为表现形式的印章，可用于签署电子响应文件，电子印章与实物印章具有同等法律效力，不因其采用电子化表现形式而否定其法律效力。</w:t>
            </w:r>
          </w:p>
          <w:p>
            <w:pPr>
              <w:pStyle w:val="13"/>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hint="eastAsia" w:ascii="宋体" w:hAnsi="宋体" w:cs="宋体"/>
                <w:color w:val="auto"/>
                <w:szCs w:val="21"/>
              </w:rPr>
            </w:pPr>
            <w:r>
              <w:rPr>
                <w:rFonts w:hint="eastAsia" w:ascii="宋体" w:hAnsi="宋体" w:cs="宋体"/>
                <w:color w:val="auto"/>
                <w:szCs w:val="21"/>
              </w:rPr>
              <w:t>4.供应商为其他组织、自然人时，本磋商文件规定的法定代表人指负责人或者自然人。本磋商文件所称负责人是指参加竞标的其他组织营业执照上的负责人，本磋商文件所称自然人指参与竞标的自然人本人。</w:t>
            </w:r>
          </w:p>
          <w:p>
            <w:pPr>
              <w:pStyle w:val="13"/>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hint="eastAsia" w:ascii="宋体" w:hAnsi="宋体" w:cs="宋体"/>
                <w:color w:val="auto"/>
                <w:szCs w:val="21"/>
              </w:rPr>
            </w:pPr>
            <w:r>
              <w:rPr>
                <w:rFonts w:hint="eastAsia" w:ascii="宋体" w:hAnsi="宋体" w:cs="宋体"/>
                <w:color w:val="auto"/>
                <w:szCs w:val="21"/>
              </w:rPr>
              <w:t>5.自然人竞标的，竞争性磋商文件规定盖公章处由自然人摁手指指印。</w:t>
            </w:r>
          </w:p>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cs="宋体"/>
                <w:color w:val="auto"/>
                <w:kern w:val="0"/>
                <w:szCs w:val="21"/>
              </w:rPr>
            </w:pPr>
            <w:r>
              <w:rPr>
                <w:rFonts w:hint="eastAsia" w:ascii="宋体" w:hAnsi="宋体" w:cs="宋体"/>
                <w:color w:val="auto"/>
                <w:szCs w:val="21"/>
              </w:rPr>
              <w:t xml:space="preserve">    6.本竞争性磋商文件所称的“以上”“以下”“以内”“届满”，包括本数；所称的“不满”“超过”“以外”，不包括本数。</w:t>
            </w:r>
          </w:p>
        </w:tc>
      </w:tr>
    </w:tbl>
    <w:p>
      <w:pPr>
        <w:pStyle w:val="3"/>
        <w:spacing w:line="420" w:lineRule="exact"/>
        <w:jc w:val="center"/>
        <w:rPr>
          <w:rFonts w:hint="eastAsia" w:ascii="宋体" w:hAnsi="宋体"/>
          <w:b w:val="0"/>
          <w:color w:val="auto"/>
        </w:rPr>
      </w:pPr>
      <w:r>
        <w:rPr>
          <w:rFonts w:ascii="宋体" w:hAnsi="宋体"/>
          <w:b w:val="0"/>
          <w:color w:val="auto"/>
        </w:rPr>
        <w:br w:type="page"/>
      </w:r>
      <w:bookmarkStart w:id="111" w:name="_Toc80886929"/>
      <w:bookmarkStart w:id="112" w:name="_Toc30957"/>
      <w:bookmarkStart w:id="113" w:name="_Toc27094"/>
      <w:r>
        <w:rPr>
          <w:rFonts w:hint="eastAsia" w:ascii="宋体" w:hAnsi="宋体"/>
          <w:b w:val="0"/>
          <w:color w:val="auto"/>
        </w:rPr>
        <w:t>第二节 供应商须知正文</w:t>
      </w:r>
      <w:bookmarkEnd w:id="111"/>
      <w:bookmarkEnd w:id="112"/>
      <w:bookmarkEnd w:id="113"/>
    </w:p>
    <w:p>
      <w:pPr>
        <w:pStyle w:val="4"/>
        <w:spacing w:before="0" w:after="0" w:line="360" w:lineRule="auto"/>
        <w:ind w:firstLine="640" w:firstLineChars="200"/>
        <w:rPr>
          <w:rFonts w:hint="eastAsia"/>
          <w:b w:val="0"/>
          <w:color w:val="auto"/>
        </w:rPr>
      </w:pPr>
      <w:bookmarkStart w:id="114" w:name="_Toc6457"/>
      <w:bookmarkStart w:id="115" w:name="_Toc26166"/>
      <w:bookmarkStart w:id="116" w:name="_Toc80886930"/>
      <w:r>
        <w:rPr>
          <w:rFonts w:hint="eastAsia"/>
          <w:b w:val="0"/>
          <w:color w:val="auto"/>
        </w:rPr>
        <w:t>一、总则</w:t>
      </w:r>
      <w:bookmarkEnd w:id="114"/>
      <w:bookmarkEnd w:id="115"/>
      <w:bookmarkEnd w:id="116"/>
    </w:p>
    <w:p>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1.适用范围</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1.1本项目采购人、采购代理机构、供应商、磋商小组的相关行为均受《中华人民共和国政府采购法》《中华人民共和国政府采购法实施条例》《政府采购竞争性磋商采购方式管理暂行办法》《财政部关于政府采购竞争性磋商采购方式管理暂行办法有关问题的补充通知》及本项目本级和上级财政部门政府采购有关规定的约束和保护。</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1.2</w:t>
      </w:r>
      <w:r>
        <w:rPr>
          <w:rFonts w:hint="eastAsia" w:ascii="宋体" w:hAnsi="宋体" w:cs="宋体"/>
          <w:color w:val="auto"/>
          <w:spacing w:val="-6"/>
          <w:szCs w:val="21"/>
        </w:rPr>
        <w:t>本竞争性磋商文件（以下简称磋商文件）适用于本项目的所有采购程序和环节（法律、法规另有规定的，从其规定）。</w:t>
      </w:r>
    </w:p>
    <w:p>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2.定义</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2.1“采购人”是指依法进行政府采购的国家机关、事业单位、团体组织。</w:t>
      </w:r>
    </w:p>
    <w:p>
      <w:pPr>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rPr>
        <w:t>2.2“采购代理机构”是指政府采购集中采购机构和集中采购机构以外的采购代理机构。</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2.3“供应商”是指向采购人提供货物、工程或者服务的法人、其他组织或者自然人。</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2.4“服务”是指除货物和工程以外的其他政府采购对象。</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2.5“竞标”是指供应商按照本项目竞争性磋商公告规定的方式获取磋商文件、提交响应文件并希望获得标的的行为。</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2.6“响应文件”</w:t>
      </w:r>
      <w:r>
        <w:rPr>
          <w:rFonts w:hint="eastAsia" w:ascii="宋体" w:hAnsi="宋体" w:cs="宋体"/>
          <w:color w:val="auto"/>
          <w:spacing w:val="-6"/>
          <w:szCs w:val="21"/>
        </w:rPr>
        <w:t>是指：供应商根据本磋商文件要求，编制包含资格证明、</w:t>
      </w:r>
      <w:r>
        <w:rPr>
          <w:rFonts w:hint="eastAsia" w:ascii="宋体" w:hAnsi="宋体" w:cs="宋体"/>
          <w:color w:val="auto"/>
          <w:szCs w:val="21"/>
        </w:rPr>
        <w:t>报价文件、商务和技术文件</w:t>
      </w:r>
      <w:r>
        <w:rPr>
          <w:rFonts w:hint="eastAsia" w:ascii="宋体" w:hAnsi="宋体" w:cs="宋体"/>
          <w:color w:val="auto"/>
          <w:spacing w:val="-6"/>
          <w:szCs w:val="21"/>
        </w:rPr>
        <w:t>等所有内容的文件。</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2.7“实质性要求”是指磋商文件中已经指明不满足则响应文件按无效响应处理的条款，或者不能负偏离的条款，或者采购需求中带“▲”的条款。</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2.8“正偏离”，是指响应文件对磋商文件“采购需求”中有关条款作出的响应优于条款要求并有利于采购人的情形。</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2.9“负偏离”，是指响应文件对磋商文件“采购需求”中有关条款作出的响应不满足条款要求，导致采购人要求不能得到满足的情形。</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2.10“允许负偏离的条款”是指采购需求中的不属于“实质性要求”的条款。</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2.11“书面形式”是指合同书、信件和数据电文（包括电报、电传、传真、电子数据交换和电子邮件）等可以有形地表现所载内容的形式。</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2.12“首次报价”是指供应商提交的首次响应文件中的报价。</w:t>
      </w:r>
    </w:p>
    <w:p>
      <w:pPr>
        <w:spacing w:line="360" w:lineRule="auto"/>
        <w:ind w:firstLine="420" w:firstLineChars="200"/>
        <w:rPr>
          <w:rFonts w:hint="eastAsia" w:cs="宋体"/>
          <w:color w:val="auto"/>
          <w:szCs w:val="21"/>
        </w:rPr>
      </w:pPr>
      <w:r>
        <w:rPr>
          <w:rFonts w:hint="eastAsia" w:ascii="宋体" w:hAnsi="宋体" w:cs="宋体"/>
          <w:color w:val="auto"/>
          <w:szCs w:val="21"/>
        </w:rPr>
        <w:t>2.13“评审报价”是指供应商提</w:t>
      </w:r>
      <w:r>
        <w:rPr>
          <w:rFonts w:hint="eastAsia" w:cs="宋体"/>
          <w:color w:val="auto"/>
          <w:szCs w:val="21"/>
        </w:rPr>
        <w:t>交的最后报价并经修正（如有）和政策功能价格扣除（如有）后的价格。</w:t>
      </w:r>
    </w:p>
    <w:p>
      <w:pPr>
        <w:spacing w:line="360" w:lineRule="auto"/>
        <w:ind w:firstLine="482" w:firstLineChars="200"/>
        <w:rPr>
          <w:rFonts w:ascii="黑体" w:hAnsi="黑体" w:eastAsia="黑体" w:cs="宋体"/>
          <w:b/>
          <w:bCs/>
          <w:color w:val="auto"/>
          <w:sz w:val="24"/>
        </w:rPr>
      </w:pPr>
      <w:r>
        <w:rPr>
          <w:rFonts w:hint="eastAsia" w:ascii="黑体" w:hAnsi="黑体" w:eastAsia="黑体" w:cs="宋体"/>
          <w:b/>
          <w:bCs/>
          <w:color w:val="auto"/>
          <w:sz w:val="24"/>
        </w:rPr>
        <w:t>3.供应商的资格条件</w:t>
      </w:r>
    </w:p>
    <w:p>
      <w:pPr>
        <w:spacing w:line="360" w:lineRule="auto"/>
        <w:ind w:firstLine="420" w:firstLineChars="200"/>
        <w:rPr>
          <w:rFonts w:hint="eastAsia" w:cs="宋体"/>
          <w:color w:val="auto"/>
          <w:szCs w:val="21"/>
        </w:rPr>
      </w:pPr>
      <w:r>
        <w:rPr>
          <w:rFonts w:hint="eastAsia" w:cs="宋体"/>
          <w:color w:val="auto"/>
          <w:szCs w:val="21"/>
        </w:rPr>
        <w:t>供应商的资格条件详见“供应商须知前附表”。</w:t>
      </w:r>
    </w:p>
    <w:p>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4.磋商费用</w:t>
      </w:r>
    </w:p>
    <w:p>
      <w:pPr>
        <w:spacing w:line="360" w:lineRule="auto"/>
        <w:ind w:firstLine="420" w:firstLineChars="200"/>
        <w:rPr>
          <w:rFonts w:hint="eastAsia" w:cs="宋体"/>
          <w:color w:val="auto"/>
          <w:szCs w:val="21"/>
        </w:rPr>
      </w:pPr>
      <w:r>
        <w:rPr>
          <w:rFonts w:hint="eastAsia" w:cs="宋体"/>
          <w:color w:val="auto"/>
          <w:szCs w:val="21"/>
        </w:rPr>
        <w:t>供应商应承担参与本次采购活动有关的所有费用，包括但不限于勘查现场、编制和提交响应文件、参加磋商与应答、签订合同等，不论竞标结果如何，均应自行承担。</w:t>
      </w:r>
    </w:p>
    <w:p>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5.联合体竞标</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5.1本项目是否接受联合体竞标，详见“供应商须知前附表”。</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5.2</w:t>
      </w:r>
      <w:r>
        <w:rPr>
          <w:rFonts w:hint="eastAsia" w:ascii="宋体" w:hAnsi="宋体" w:cs="宋体"/>
          <w:color w:val="auto"/>
        </w:rPr>
        <w:t>如接受联合体竞标，</w:t>
      </w:r>
      <w:r>
        <w:rPr>
          <w:rFonts w:hint="eastAsia" w:ascii="宋体" w:hAnsi="宋体" w:cs="宋体"/>
          <w:color w:val="auto"/>
          <w:szCs w:val="21"/>
        </w:rPr>
        <w:t>联合体竞标要求详见“供应商须知前附表”。</w:t>
      </w:r>
    </w:p>
    <w:p>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 xml:space="preserve">6.转包与分包             </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6.1本项目不允许转包。</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6.2本项目是否允许分包详见“供应商须知前附表”，本项目不允许违法分包。</w:t>
      </w:r>
    </w:p>
    <w:p>
      <w:pPr>
        <w:spacing w:line="360" w:lineRule="auto"/>
        <w:ind w:firstLine="482" w:firstLineChars="200"/>
        <w:rPr>
          <w:rFonts w:hint="eastAsia" w:ascii="黑体" w:hAnsi="黑体" w:eastAsia="黑体" w:cs="宋体"/>
          <w:b/>
          <w:bCs/>
          <w:color w:val="auto"/>
          <w:sz w:val="24"/>
        </w:rPr>
      </w:pPr>
      <w:bookmarkStart w:id="117" w:name="_Toc254970532"/>
      <w:bookmarkStart w:id="118" w:name="_Toc254970673"/>
      <w:r>
        <w:rPr>
          <w:rFonts w:hint="eastAsia" w:ascii="黑体" w:hAnsi="黑体" w:eastAsia="黑体" w:cs="宋体"/>
          <w:b/>
          <w:bCs/>
          <w:color w:val="auto"/>
          <w:sz w:val="24"/>
        </w:rPr>
        <w:t>7.特别说明</w:t>
      </w:r>
      <w:bookmarkEnd w:id="117"/>
      <w:bookmarkEnd w:id="118"/>
    </w:p>
    <w:p>
      <w:pPr>
        <w:spacing w:line="360" w:lineRule="auto"/>
        <w:ind w:firstLine="420" w:firstLineChars="200"/>
        <w:rPr>
          <w:rFonts w:hint="eastAsia" w:ascii="宋体" w:hAnsi="宋体" w:cs="宋体"/>
          <w:color w:val="auto"/>
          <w:szCs w:val="21"/>
        </w:rPr>
      </w:pPr>
      <w:bookmarkStart w:id="119" w:name="_8.1提供相同品牌产品且通过资格审查、符合性审查的不同投标人参加同一合"/>
      <w:bookmarkEnd w:id="119"/>
      <w:r>
        <w:rPr>
          <w:rFonts w:hint="eastAsia" w:ascii="宋体" w:hAnsi="宋体" w:cs="宋体"/>
          <w:color w:val="auto"/>
          <w:szCs w:val="21"/>
        </w:rPr>
        <w:t>7.1</w:t>
      </w:r>
      <w:bookmarkStart w:id="120" w:name="_Hlk65832145"/>
      <w:r>
        <w:rPr>
          <w:rFonts w:hint="eastAsia" w:ascii="宋体" w:hAnsi="宋体" w:cs="宋体"/>
          <w:color w:val="auto"/>
          <w:szCs w:val="21"/>
        </w:rPr>
        <w:t>如果本磋商文件要求提供供应商或制造商的资格、信誉、荣誉、业绩与企业认证等材料的，资格、信誉、荣誉、业绩与企业认证等必须为供应商或者制造商所拥有或自身获得 。</w:t>
      </w:r>
    </w:p>
    <w:bookmarkEnd w:id="120"/>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7.2供应商应仔细阅读磋商文件的所有内容，按照磋商文件的要求提交响应文件，并对所提供的全部资料的真实性承担法律责任。</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pPr>
        <w:spacing w:line="360" w:lineRule="auto"/>
        <w:ind w:firstLine="422" w:firstLineChars="200"/>
        <w:rPr>
          <w:rFonts w:hint="eastAsia" w:ascii="宋体" w:hAnsi="宋体" w:cs="宋体"/>
          <w:b/>
          <w:bCs/>
          <w:color w:val="auto"/>
          <w:szCs w:val="21"/>
        </w:rPr>
      </w:pPr>
      <w:r>
        <w:rPr>
          <w:rFonts w:hint="eastAsia" w:ascii="宋体" w:hAnsi="宋体" w:cs="宋体"/>
          <w:b/>
          <w:bCs/>
          <w:color w:val="auto"/>
          <w:szCs w:val="21"/>
        </w:rPr>
        <w:t>7.4在政府采购活动中，采购人员及相关人员与供应商有下列利害关系之一的，应当回避：</w:t>
      </w:r>
    </w:p>
    <w:p>
      <w:pPr>
        <w:spacing w:line="360" w:lineRule="auto"/>
        <w:ind w:firstLine="422" w:firstLineChars="200"/>
        <w:rPr>
          <w:rFonts w:hint="eastAsia" w:ascii="宋体" w:hAnsi="宋体" w:cs="宋体"/>
          <w:b/>
          <w:bCs/>
          <w:color w:val="auto"/>
          <w:szCs w:val="21"/>
        </w:rPr>
      </w:pPr>
      <w:r>
        <w:rPr>
          <w:rFonts w:hint="eastAsia" w:ascii="宋体" w:hAnsi="宋体" w:cs="宋体"/>
          <w:b/>
          <w:bCs/>
          <w:color w:val="auto"/>
          <w:szCs w:val="21"/>
        </w:rPr>
        <w:t>（1）参加采购活动前3年内与供应商存在劳动关系；</w:t>
      </w:r>
    </w:p>
    <w:p>
      <w:pPr>
        <w:spacing w:line="360" w:lineRule="auto"/>
        <w:ind w:firstLine="422" w:firstLineChars="200"/>
        <w:rPr>
          <w:rFonts w:hint="eastAsia" w:ascii="宋体" w:hAnsi="宋体" w:cs="宋体"/>
          <w:b/>
          <w:bCs/>
          <w:color w:val="auto"/>
          <w:szCs w:val="21"/>
        </w:rPr>
      </w:pPr>
      <w:r>
        <w:rPr>
          <w:rFonts w:hint="eastAsia" w:ascii="宋体" w:hAnsi="宋体" w:cs="宋体"/>
          <w:b/>
          <w:bCs/>
          <w:color w:val="auto"/>
          <w:szCs w:val="21"/>
        </w:rPr>
        <w:t>（2）参加采购活动前3年内担任供应商的董事、监事；</w:t>
      </w:r>
    </w:p>
    <w:p>
      <w:pPr>
        <w:spacing w:line="360" w:lineRule="auto"/>
        <w:ind w:firstLine="422" w:firstLineChars="200"/>
        <w:rPr>
          <w:rFonts w:hint="eastAsia" w:ascii="宋体" w:hAnsi="宋体" w:cs="宋体"/>
          <w:b/>
          <w:bCs/>
          <w:color w:val="auto"/>
          <w:szCs w:val="21"/>
        </w:rPr>
      </w:pPr>
      <w:r>
        <w:rPr>
          <w:rFonts w:hint="eastAsia" w:ascii="宋体" w:hAnsi="宋体" w:cs="宋体"/>
          <w:b/>
          <w:bCs/>
          <w:color w:val="auto"/>
          <w:szCs w:val="21"/>
        </w:rPr>
        <w:t>（3）参加采购活动前3年内是供应商的控股股东或者实际控制人；</w:t>
      </w:r>
    </w:p>
    <w:p>
      <w:pPr>
        <w:spacing w:line="360" w:lineRule="auto"/>
        <w:ind w:firstLine="422" w:firstLineChars="200"/>
        <w:rPr>
          <w:rFonts w:hint="eastAsia" w:ascii="宋体" w:hAnsi="宋体" w:cs="宋体"/>
          <w:b/>
          <w:bCs/>
          <w:color w:val="auto"/>
          <w:szCs w:val="21"/>
        </w:rPr>
      </w:pPr>
      <w:r>
        <w:rPr>
          <w:rFonts w:hint="eastAsia" w:ascii="宋体" w:hAnsi="宋体" w:cs="宋体"/>
          <w:b/>
          <w:bCs/>
          <w:color w:val="auto"/>
          <w:szCs w:val="21"/>
        </w:rPr>
        <w:t>（4）与供应商的法定代表人或者负责人有夫妻、直系血亲、三代以内旁系血亲或者近姻亲关系；</w:t>
      </w:r>
    </w:p>
    <w:p>
      <w:pPr>
        <w:spacing w:line="360" w:lineRule="auto"/>
        <w:ind w:firstLine="422" w:firstLineChars="200"/>
        <w:rPr>
          <w:rFonts w:hint="eastAsia" w:ascii="宋体" w:hAnsi="宋体" w:cs="宋体"/>
          <w:b/>
          <w:bCs/>
          <w:color w:val="auto"/>
          <w:szCs w:val="21"/>
        </w:rPr>
      </w:pPr>
      <w:r>
        <w:rPr>
          <w:rFonts w:hint="eastAsia" w:ascii="宋体" w:hAnsi="宋体" w:cs="宋体"/>
          <w:b/>
          <w:bCs/>
          <w:color w:val="auto"/>
          <w:szCs w:val="21"/>
        </w:rPr>
        <w:t>（5）与供应商有其他可能影响政府采购活动公平、公正进行的关系。</w:t>
      </w:r>
    </w:p>
    <w:p>
      <w:pPr>
        <w:spacing w:line="360" w:lineRule="auto"/>
        <w:ind w:firstLine="422" w:firstLineChars="200"/>
        <w:rPr>
          <w:rFonts w:hint="eastAsia" w:ascii="宋体" w:hAnsi="宋体" w:cs="宋体"/>
          <w:b/>
          <w:bCs/>
          <w:color w:val="auto"/>
          <w:szCs w:val="21"/>
        </w:rPr>
      </w:pPr>
      <w:r>
        <w:rPr>
          <w:rFonts w:hint="eastAsia" w:ascii="宋体" w:hAnsi="宋体" w:cs="宋体"/>
          <w:b/>
          <w:bCs/>
          <w:color w:val="auto"/>
          <w:szCs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spacing w:line="360" w:lineRule="auto"/>
        <w:ind w:firstLine="422" w:firstLineChars="200"/>
        <w:rPr>
          <w:rFonts w:hint="eastAsia" w:ascii="宋体" w:hAnsi="宋体" w:cs="宋体"/>
          <w:b/>
          <w:bCs/>
          <w:color w:val="auto"/>
          <w:szCs w:val="21"/>
        </w:rPr>
      </w:pPr>
      <w:r>
        <w:rPr>
          <w:rFonts w:hint="eastAsia" w:ascii="宋体" w:hAnsi="宋体" w:cs="宋体"/>
          <w:b/>
          <w:bCs/>
          <w:color w:val="auto"/>
          <w:szCs w:val="21"/>
        </w:rPr>
        <w:t>7.5有下列情形之一的视为供应商相互串通竞标，响应文件将被视为无效：</w:t>
      </w:r>
    </w:p>
    <w:p>
      <w:pPr>
        <w:spacing w:line="360" w:lineRule="auto"/>
        <w:ind w:firstLine="422" w:firstLineChars="200"/>
        <w:rPr>
          <w:rFonts w:hint="eastAsia" w:ascii="宋体" w:hAnsi="宋体" w:cs="宋体"/>
          <w:b/>
          <w:bCs/>
          <w:color w:val="auto"/>
          <w:szCs w:val="21"/>
        </w:rPr>
      </w:pPr>
      <w:r>
        <w:rPr>
          <w:rFonts w:hint="eastAsia" w:ascii="宋体" w:hAnsi="宋体" w:cs="宋体"/>
          <w:b/>
          <w:bCs/>
          <w:color w:val="auto"/>
          <w:szCs w:val="21"/>
        </w:rPr>
        <w:t>（1）不同供应商的响应文件由同一单位或者个人编制；或不同</w:t>
      </w:r>
      <w:r>
        <w:rPr>
          <w:rFonts w:hint="eastAsia" w:ascii="宋体" w:hAnsi="宋体" w:cs="宋体"/>
          <w:b/>
          <w:bCs/>
          <w:color w:val="auto"/>
          <w:szCs w:val="21"/>
          <w:lang w:eastAsia="zh-CN"/>
        </w:rPr>
        <w:t>供应商</w:t>
      </w:r>
      <w:r>
        <w:rPr>
          <w:rFonts w:hint="eastAsia" w:ascii="宋体" w:hAnsi="宋体" w:cs="宋体"/>
          <w:b/>
          <w:bCs/>
          <w:color w:val="auto"/>
          <w:szCs w:val="21"/>
        </w:rPr>
        <w:t xml:space="preserve">报名的IP地址一致的； </w:t>
      </w:r>
    </w:p>
    <w:p>
      <w:pPr>
        <w:spacing w:line="360" w:lineRule="auto"/>
        <w:ind w:firstLine="422" w:firstLineChars="200"/>
        <w:rPr>
          <w:rFonts w:hint="eastAsia" w:ascii="宋体" w:hAnsi="宋体" w:cs="宋体"/>
          <w:b/>
          <w:bCs/>
          <w:color w:val="auto"/>
          <w:szCs w:val="21"/>
        </w:rPr>
      </w:pPr>
      <w:r>
        <w:rPr>
          <w:rFonts w:hint="eastAsia" w:ascii="宋体" w:hAnsi="宋体" w:cs="宋体"/>
          <w:b/>
          <w:bCs/>
          <w:color w:val="auto"/>
          <w:szCs w:val="21"/>
        </w:rPr>
        <w:t>（2）不同供应商委托同一单位或者个人办理竞标事宜；</w:t>
      </w:r>
    </w:p>
    <w:p>
      <w:pPr>
        <w:spacing w:line="360" w:lineRule="auto"/>
        <w:ind w:firstLine="422" w:firstLineChars="200"/>
        <w:rPr>
          <w:rFonts w:hint="eastAsia" w:ascii="宋体" w:hAnsi="宋体" w:cs="宋体"/>
          <w:b/>
          <w:bCs/>
          <w:color w:val="auto"/>
          <w:szCs w:val="21"/>
        </w:rPr>
      </w:pPr>
      <w:r>
        <w:rPr>
          <w:rFonts w:hint="eastAsia" w:ascii="宋体" w:hAnsi="宋体" w:cs="宋体"/>
          <w:b/>
          <w:bCs/>
          <w:color w:val="auto"/>
          <w:szCs w:val="21"/>
        </w:rPr>
        <w:t>（3）不同的供应商的响应文件载明的项目管理员为同一个人；</w:t>
      </w:r>
    </w:p>
    <w:p>
      <w:pPr>
        <w:spacing w:line="360" w:lineRule="auto"/>
        <w:ind w:firstLine="422" w:firstLineChars="200"/>
        <w:rPr>
          <w:rFonts w:hint="eastAsia" w:ascii="宋体" w:hAnsi="宋体" w:cs="宋体"/>
          <w:b/>
          <w:bCs/>
          <w:color w:val="auto"/>
          <w:szCs w:val="21"/>
        </w:rPr>
      </w:pPr>
      <w:r>
        <w:rPr>
          <w:rFonts w:hint="eastAsia" w:ascii="宋体" w:hAnsi="宋体" w:cs="宋体"/>
          <w:b/>
          <w:bCs/>
          <w:color w:val="auto"/>
          <w:szCs w:val="21"/>
        </w:rPr>
        <w:t>（4）不同供应商的响应文件异常一致或者报价呈规律性差异；</w:t>
      </w:r>
    </w:p>
    <w:p>
      <w:pPr>
        <w:spacing w:line="360" w:lineRule="auto"/>
        <w:ind w:firstLine="422" w:firstLineChars="200"/>
        <w:rPr>
          <w:rFonts w:hint="eastAsia" w:ascii="宋体" w:hAnsi="宋体" w:cs="宋体"/>
          <w:b/>
          <w:bCs/>
          <w:color w:val="auto"/>
          <w:szCs w:val="21"/>
        </w:rPr>
      </w:pPr>
      <w:r>
        <w:rPr>
          <w:rFonts w:hint="eastAsia" w:ascii="宋体" w:hAnsi="宋体" w:cs="宋体"/>
          <w:b/>
          <w:bCs/>
          <w:color w:val="auto"/>
          <w:szCs w:val="21"/>
        </w:rPr>
        <w:t>（5）不同供应商的响应文件相互混装；</w:t>
      </w:r>
    </w:p>
    <w:p>
      <w:pPr>
        <w:tabs>
          <w:tab w:val="left" w:pos="6931"/>
        </w:tabs>
        <w:spacing w:line="360" w:lineRule="auto"/>
        <w:ind w:firstLine="422" w:firstLineChars="200"/>
        <w:rPr>
          <w:rFonts w:hint="eastAsia" w:ascii="宋体" w:hAnsi="宋体" w:cs="宋体"/>
          <w:b/>
          <w:bCs/>
          <w:color w:val="auto"/>
          <w:szCs w:val="21"/>
        </w:rPr>
      </w:pPr>
      <w:r>
        <w:rPr>
          <w:rFonts w:hint="eastAsia" w:ascii="宋体" w:hAnsi="宋体" w:cs="宋体"/>
          <w:b/>
          <w:bCs/>
          <w:color w:val="auto"/>
          <w:szCs w:val="21"/>
        </w:rPr>
        <w:t>（6）不同供应商的磋商保证金从同一单位或者个人账户转出。</w:t>
      </w:r>
      <w:r>
        <w:rPr>
          <w:rFonts w:hint="eastAsia" w:ascii="宋体" w:hAnsi="宋体" w:cs="宋体"/>
          <w:b/>
          <w:bCs/>
          <w:color w:val="auto"/>
          <w:szCs w:val="21"/>
        </w:rPr>
        <w:tab/>
      </w:r>
    </w:p>
    <w:p>
      <w:pPr>
        <w:spacing w:line="360" w:lineRule="auto"/>
        <w:ind w:firstLine="422" w:firstLineChars="200"/>
        <w:rPr>
          <w:rFonts w:hint="eastAsia" w:ascii="宋体" w:hAnsi="宋体" w:cs="宋体"/>
          <w:b/>
          <w:bCs/>
          <w:color w:val="auto"/>
          <w:szCs w:val="21"/>
        </w:rPr>
      </w:pPr>
      <w:r>
        <w:rPr>
          <w:rFonts w:hint="eastAsia" w:ascii="宋体" w:hAnsi="宋体" w:cs="宋体"/>
          <w:b/>
          <w:bCs/>
          <w:color w:val="auto"/>
          <w:szCs w:val="21"/>
        </w:rPr>
        <w:t>7.6供应商有下列情形之一的，属于恶意串通行为，将报同级监督管理部门：</w:t>
      </w:r>
    </w:p>
    <w:p>
      <w:pPr>
        <w:spacing w:line="360" w:lineRule="auto"/>
        <w:ind w:firstLine="422" w:firstLineChars="200"/>
        <w:rPr>
          <w:rFonts w:hint="eastAsia" w:ascii="宋体" w:hAnsi="宋体" w:cs="宋体"/>
          <w:b/>
          <w:bCs/>
          <w:color w:val="auto"/>
          <w:szCs w:val="21"/>
        </w:rPr>
      </w:pPr>
      <w:r>
        <w:rPr>
          <w:rFonts w:hint="eastAsia" w:ascii="宋体" w:hAnsi="宋体" w:cs="宋体"/>
          <w:b/>
          <w:bCs/>
          <w:color w:val="auto"/>
          <w:szCs w:val="21"/>
        </w:rPr>
        <w:t>（1）供应商直接或者间接从采购人或者采购代理机构处获得其他供应商的相关信息并修改其响应文件；</w:t>
      </w:r>
    </w:p>
    <w:p>
      <w:pPr>
        <w:spacing w:line="360" w:lineRule="auto"/>
        <w:ind w:firstLine="422" w:firstLineChars="200"/>
        <w:rPr>
          <w:rFonts w:hint="eastAsia" w:ascii="宋体" w:hAnsi="宋体" w:cs="宋体"/>
          <w:b/>
          <w:bCs/>
          <w:color w:val="auto"/>
          <w:szCs w:val="21"/>
        </w:rPr>
      </w:pPr>
      <w:r>
        <w:rPr>
          <w:rFonts w:hint="eastAsia" w:ascii="宋体" w:hAnsi="宋体" w:cs="宋体"/>
          <w:b/>
          <w:bCs/>
          <w:color w:val="auto"/>
          <w:szCs w:val="21"/>
        </w:rPr>
        <w:t>（2）供应商按照采购人或者采购代理机构的授意撤换、修改响应文件；</w:t>
      </w:r>
    </w:p>
    <w:p>
      <w:pPr>
        <w:spacing w:line="360" w:lineRule="auto"/>
        <w:ind w:firstLine="422" w:firstLineChars="200"/>
        <w:rPr>
          <w:rFonts w:hint="eastAsia" w:ascii="宋体" w:hAnsi="宋体" w:cs="宋体"/>
          <w:b/>
          <w:bCs/>
          <w:color w:val="auto"/>
          <w:szCs w:val="21"/>
        </w:rPr>
      </w:pPr>
      <w:r>
        <w:rPr>
          <w:rFonts w:hint="eastAsia" w:ascii="宋体" w:hAnsi="宋体" w:cs="宋体"/>
          <w:b/>
          <w:bCs/>
          <w:color w:val="auto"/>
          <w:szCs w:val="21"/>
        </w:rPr>
        <w:t>（3）供应商之间协商报价、技术方案等响应文件的实质性内容；</w:t>
      </w:r>
    </w:p>
    <w:p>
      <w:pPr>
        <w:spacing w:line="360" w:lineRule="auto"/>
        <w:ind w:firstLine="422" w:firstLineChars="200"/>
        <w:rPr>
          <w:rFonts w:hint="eastAsia" w:ascii="宋体" w:hAnsi="宋体" w:cs="宋体"/>
          <w:b/>
          <w:bCs/>
          <w:color w:val="auto"/>
          <w:szCs w:val="21"/>
        </w:rPr>
      </w:pPr>
      <w:r>
        <w:rPr>
          <w:rFonts w:hint="eastAsia" w:ascii="宋体" w:hAnsi="宋体" w:cs="宋体"/>
          <w:b/>
          <w:bCs/>
          <w:color w:val="auto"/>
          <w:szCs w:val="21"/>
        </w:rPr>
        <w:t>（4）属于同一集团、协会、商会等组织成员的供应商按照该组织要求协同参加政府采购活动；</w:t>
      </w:r>
    </w:p>
    <w:p>
      <w:pPr>
        <w:spacing w:line="360" w:lineRule="auto"/>
        <w:ind w:firstLine="422" w:firstLineChars="200"/>
        <w:rPr>
          <w:rFonts w:hint="eastAsia" w:ascii="宋体" w:hAnsi="宋体" w:cs="宋体"/>
          <w:b/>
          <w:bCs/>
          <w:color w:val="auto"/>
          <w:szCs w:val="21"/>
        </w:rPr>
      </w:pPr>
      <w:r>
        <w:rPr>
          <w:rFonts w:hint="eastAsia" w:ascii="宋体" w:hAnsi="宋体" w:cs="宋体"/>
          <w:b/>
          <w:bCs/>
          <w:color w:val="auto"/>
          <w:szCs w:val="21"/>
        </w:rPr>
        <w:t>（5）供应商之间事先约定一致抬高或者压低报价，或者在政府采购活动中事先约定轮流以高价位或者低价位成交，或者事先约定由某一特定供应商成交，然后再参加竞标；</w:t>
      </w:r>
    </w:p>
    <w:p>
      <w:pPr>
        <w:spacing w:line="360" w:lineRule="auto"/>
        <w:ind w:firstLine="422" w:firstLineChars="200"/>
        <w:rPr>
          <w:rFonts w:hint="eastAsia" w:ascii="宋体" w:hAnsi="宋体" w:cs="宋体"/>
          <w:b/>
          <w:bCs/>
          <w:color w:val="auto"/>
          <w:szCs w:val="21"/>
        </w:rPr>
      </w:pPr>
      <w:r>
        <w:rPr>
          <w:rFonts w:hint="eastAsia" w:ascii="宋体" w:hAnsi="宋体" w:cs="宋体"/>
          <w:b/>
          <w:bCs/>
          <w:color w:val="auto"/>
          <w:szCs w:val="21"/>
        </w:rPr>
        <w:t>（6）供应商之间商定部分供应商放弃参加政府采购活动或者放弃成交；</w:t>
      </w:r>
    </w:p>
    <w:p>
      <w:pPr>
        <w:spacing w:line="360" w:lineRule="auto"/>
        <w:ind w:firstLine="422" w:firstLineChars="200"/>
        <w:rPr>
          <w:rFonts w:hint="eastAsia" w:ascii="宋体" w:hAnsi="宋体" w:cs="宋体"/>
          <w:b/>
          <w:bCs/>
          <w:color w:val="auto"/>
          <w:szCs w:val="21"/>
        </w:rPr>
      </w:pPr>
      <w:r>
        <w:rPr>
          <w:rFonts w:hint="eastAsia" w:ascii="宋体" w:hAnsi="宋体" w:cs="宋体"/>
          <w:b/>
          <w:bCs/>
          <w:color w:val="auto"/>
          <w:szCs w:val="21"/>
        </w:rPr>
        <w:t>（7）供应商与采购人或者采购代理机构之间、供应商相互之间，为谋求特定供应商成交或者排斥其他供应商的其他串通行为。</w:t>
      </w:r>
    </w:p>
    <w:p>
      <w:pPr>
        <w:pStyle w:val="4"/>
        <w:spacing w:before="0" w:after="0" w:line="360" w:lineRule="auto"/>
        <w:ind w:firstLine="640" w:firstLineChars="200"/>
        <w:rPr>
          <w:rFonts w:hint="eastAsia"/>
          <w:b w:val="0"/>
          <w:bCs w:val="0"/>
          <w:color w:val="auto"/>
        </w:rPr>
      </w:pPr>
      <w:bookmarkStart w:id="121" w:name="_Toc27583"/>
      <w:bookmarkStart w:id="122" w:name="_Toc254970534"/>
      <w:bookmarkStart w:id="123" w:name="_Toc80886931"/>
      <w:bookmarkStart w:id="124" w:name="_Toc254970675"/>
      <w:bookmarkStart w:id="125" w:name="_Toc12713"/>
    </w:p>
    <w:p>
      <w:pPr>
        <w:pStyle w:val="4"/>
        <w:spacing w:before="0" w:after="0" w:line="360" w:lineRule="auto"/>
        <w:ind w:firstLine="640" w:firstLineChars="200"/>
        <w:rPr>
          <w:rFonts w:hint="eastAsia"/>
          <w:b w:val="0"/>
          <w:bCs w:val="0"/>
          <w:color w:val="auto"/>
        </w:rPr>
      </w:pPr>
      <w:r>
        <w:rPr>
          <w:rFonts w:hint="eastAsia"/>
          <w:b w:val="0"/>
          <w:bCs w:val="0"/>
          <w:color w:val="auto"/>
        </w:rPr>
        <w:t>二、磋商文件</w:t>
      </w:r>
      <w:bookmarkEnd w:id="121"/>
      <w:bookmarkEnd w:id="122"/>
      <w:bookmarkEnd w:id="123"/>
      <w:bookmarkEnd w:id="124"/>
      <w:bookmarkEnd w:id="125"/>
    </w:p>
    <w:p>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8.磋商文件的构成</w:t>
      </w:r>
    </w:p>
    <w:p>
      <w:pPr>
        <w:spacing w:line="360" w:lineRule="auto"/>
        <w:ind w:firstLine="420" w:firstLineChars="200"/>
        <w:jc w:val="left"/>
        <w:rPr>
          <w:rFonts w:hint="eastAsia"/>
          <w:color w:val="auto"/>
          <w:szCs w:val="21"/>
        </w:rPr>
      </w:pPr>
      <w:r>
        <w:rPr>
          <w:rFonts w:hint="eastAsia"/>
          <w:color w:val="auto"/>
          <w:szCs w:val="21"/>
        </w:rPr>
        <w:t>第一章 竞争性磋商公告；</w:t>
      </w:r>
    </w:p>
    <w:p>
      <w:pPr>
        <w:spacing w:line="360" w:lineRule="auto"/>
        <w:ind w:firstLine="420" w:firstLineChars="200"/>
        <w:jc w:val="left"/>
        <w:rPr>
          <w:rFonts w:hint="eastAsia"/>
          <w:color w:val="auto"/>
          <w:szCs w:val="21"/>
        </w:rPr>
      </w:pPr>
      <w:r>
        <w:rPr>
          <w:rFonts w:hint="eastAsia"/>
          <w:color w:val="auto"/>
          <w:szCs w:val="21"/>
        </w:rPr>
        <w:t>第二章 采购需求；</w:t>
      </w:r>
    </w:p>
    <w:p>
      <w:pPr>
        <w:spacing w:line="360" w:lineRule="auto"/>
        <w:ind w:firstLine="420" w:firstLineChars="200"/>
        <w:jc w:val="left"/>
        <w:rPr>
          <w:rFonts w:hint="eastAsia"/>
          <w:color w:val="auto"/>
          <w:szCs w:val="21"/>
        </w:rPr>
      </w:pPr>
      <w:r>
        <w:rPr>
          <w:rFonts w:hint="eastAsia"/>
          <w:color w:val="auto"/>
          <w:szCs w:val="21"/>
        </w:rPr>
        <w:t xml:space="preserve">第三章 供应商须知； </w:t>
      </w:r>
    </w:p>
    <w:p>
      <w:pPr>
        <w:spacing w:line="360" w:lineRule="auto"/>
        <w:ind w:firstLine="420" w:firstLineChars="200"/>
        <w:jc w:val="left"/>
        <w:rPr>
          <w:rFonts w:hint="eastAsia"/>
          <w:color w:val="auto"/>
          <w:szCs w:val="21"/>
        </w:rPr>
      </w:pPr>
      <w:r>
        <w:rPr>
          <w:rFonts w:hint="eastAsia"/>
          <w:color w:val="auto"/>
          <w:szCs w:val="21"/>
        </w:rPr>
        <w:t>第四章 评审程序、评审方法和评审标准；</w:t>
      </w:r>
    </w:p>
    <w:p>
      <w:pPr>
        <w:spacing w:line="360" w:lineRule="auto"/>
        <w:ind w:firstLine="420" w:firstLineChars="200"/>
        <w:jc w:val="left"/>
        <w:rPr>
          <w:rFonts w:hint="eastAsia"/>
          <w:color w:val="auto"/>
          <w:szCs w:val="21"/>
        </w:rPr>
      </w:pPr>
      <w:r>
        <w:rPr>
          <w:rFonts w:hint="eastAsia"/>
          <w:color w:val="auto"/>
          <w:szCs w:val="21"/>
        </w:rPr>
        <w:t>第五章 响应文件格式；</w:t>
      </w:r>
    </w:p>
    <w:p>
      <w:pPr>
        <w:spacing w:line="360" w:lineRule="auto"/>
        <w:ind w:firstLine="420" w:firstLineChars="200"/>
        <w:jc w:val="left"/>
        <w:rPr>
          <w:rFonts w:hint="eastAsia"/>
          <w:color w:val="auto"/>
          <w:szCs w:val="21"/>
        </w:rPr>
      </w:pPr>
      <w:r>
        <w:rPr>
          <w:rFonts w:hint="eastAsia"/>
          <w:color w:val="auto"/>
          <w:szCs w:val="21"/>
        </w:rPr>
        <w:t>第六章 合同文本；</w:t>
      </w:r>
    </w:p>
    <w:p>
      <w:pPr>
        <w:spacing w:line="360" w:lineRule="auto"/>
        <w:ind w:firstLine="420" w:firstLineChars="200"/>
        <w:jc w:val="left"/>
        <w:rPr>
          <w:rFonts w:hint="eastAsia"/>
          <w:color w:val="auto"/>
          <w:szCs w:val="21"/>
        </w:rPr>
      </w:pPr>
      <w:r>
        <w:rPr>
          <w:rFonts w:hint="eastAsia"/>
          <w:color w:val="auto"/>
          <w:szCs w:val="21"/>
        </w:rPr>
        <w:t>第七章 质疑、投诉材料格式。</w:t>
      </w:r>
    </w:p>
    <w:p>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9.供应商的询问</w:t>
      </w:r>
    </w:p>
    <w:p>
      <w:pPr>
        <w:spacing w:line="360" w:lineRule="auto"/>
        <w:ind w:firstLine="420" w:firstLineChars="200"/>
        <w:rPr>
          <w:rFonts w:hint="eastAsia"/>
          <w:color w:val="auto"/>
          <w:szCs w:val="21"/>
        </w:rPr>
      </w:pPr>
      <w:r>
        <w:rPr>
          <w:rFonts w:hint="eastAsia"/>
          <w:color w:val="auto"/>
          <w:szCs w:val="21"/>
        </w:rPr>
        <w:t>供应商应认真阅读磋商文件的采购需求，如供应商对磋商文件有疑问的，如要求采购人作出澄清或者修改的，供应商尽应在</w:t>
      </w:r>
      <w:r>
        <w:rPr>
          <w:color w:val="auto"/>
          <w:szCs w:val="21"/>
        </w:rPr>
        <w:t>提交首次响应文件截止之日前</w:t>
      </w:r>
      <w:r>
        <w:rPr>
          <w:rFonts w:hint="eastAsia"/>
          <w:color w:val="auto"/>
          <w:szCs w:val="21"/>
        </w:rPr>
        <w:t>，以书面形式向</w:t>
      </w:r>
      <w:r>
        <w:rPr>
          <w:color w:val="auto"/>
          <w:szCs w:val="21"/>
        </w:rPr>
        <w:t>采购人、采购代理机构</w:t>
      </w:r>
      <w:r>
        <w:rPr>
          <w:rFonts w:hint="eastAsia"/>
          <w:color w:val="auto"/>
          <w:szCs w:val="21"/>
        </w:rPr>
        <w:t>提出。</w:t>
      </w:r>
    </w:p>
    <w:p>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10.磋商文件的澄清和修改</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10.1已获取磋商文件的潜在供应商，若有问题需要澄清，应于应标截止时间前，以书面形式向采购代理机构提出，采购代理机构与采购人研究后，对认为有必要回答的问题，按照本章10.3的内容处理。</w:t>
      </w:r>
    </w:p>
    <w:p>
      <w:pPr>
        <w:spacing w:line="360" w:lineRule="auto"/>
        <w:ind w:firstLine="422" w:firstLineChars="200"/>
        <w:rPr>
          <w:rFonts w:hint="eastAsia" w:ascii="宋体" w:hAnsi="宋体" w:cs="宋体"/>
          <w:b/>
          <w:color w:val="auto"/>
          <w:szCs w:val="21"/>
        </w:rPr>
      </w:pPr>
      <w:r>
        <w:rPr>
          <w:rFonts w:hint="eastAsia" w:ascii="宋体" w:hAnsi="宋体" w:cs="宋体"/>
          <w:b/>
          <w:color w:val="auto"/>
          <w:szCs w:val="21"/>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5日前，以书面形式（目前为网上公告和系统短信等形式）通知所有获取磋商文件的供应商，不足5日的，应当顺延提交首次响应文件截止时间。澄清或者更正公告在竞争性磋商公告发布媒体上发布，一经发布，视作已以书面形式通知所有获取竞争性磋商文件的潜在供应商，不再另行通知，所有潜在供应商应密切关注竞争性磋商公告发布媒体，因未能及时获知，由此产生的后果均应自行承担。</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10.4</w:t>
      </w:r>
      <w:r>
        <w:rPr>
          <w:rFonts w:hint="eastAsia" w:ascii="宋体" w:hAnsi="宋体" w:cs="宋体"/>
          <w:color w:val="auto"/>
          <w:shd w:val="clear" w:color="auto" w:fill="FFFFFF"/>
        </w:rPr>
        <w:t>采购信息更正公告的内容应当包括采购人和采购代理机构名称、地址、联系方式，原公告的采购项目名称及首次公告日期，更正事项、内容及日期，采购项目联系人和电话。</w:t>
      </w:r>
    </w:p>
    <w:p>
      <w:pPr>
        <w:spacing w:line="360" w:lineRule="auto"/>
        <w:ind w:firstLine="420" w:firstLineChars="200"/>
        <w:rPr>
          <w:rFonts w:hint="eastAsia" w:ascii="宋体" w:hAnsi="宋体" w:cs="宋体"/>
          <w:color w:val="auto"/>
        </w:rPr>
      </w:pPr>
      <w:r>
        <w:rPr>
          <w:rFonts w:hint="eastAsia" w:ascii="宋体" w:hAnsi="宋体" w:cs="宋体"/>
          <w:color w:val="auto"/>
        </w:rPr>
        <w:t>10.5  采购人和采购代理机构可以视采购具体情况，变更提交首次响应文件截止时间和竞谈时间，将变更时间将在</w:t>
      </w:r>
      <w:r>
        <w:rPr>
          <w:rFonts w:hint="eastAsia" w:ascii="宋体" w:hAnsi="宋体" w:cs="宋体"/>
          <w:color w:val="auto"/>
          <w:lang w:eastAsia="zh-CN"/>
        </w:rPr>
        <w:t>“</w:t>
      </w:r>
      <w:r>
        <w:rPr>
          <w:rFonts w:hint="eastAsia" w:ascii="宋体" w:hAnsi="宋体" w:cs="宋体"/>
          <w:color w:val="auto"/>
        </w:rPr>
        <w:t>竞争性磋商公告”中“七、其他补充事宜2.网上查询地址”规定的政府采购信息发布媒体上发布更正公告。</w:t>
      </w:r>
    </w:p>
    <w:p>
      <w:pPr>
        <w:spacing w:line="360" w:lineRule="auto"/>
        <w:ind w:firstLine="400" w:firstLineChars="200"/>
        <w:rPr>
          <w:rFonts w:hint="eastAsia" w:ascii="宋体" w:hAnsi="宋体" w:cs="宋体"/>
          <w:color w:val="auto"/>
          <w:kern w:val="0"/>
          <w:sz w:val="20"/>
          <w:szCs w:val="21"/>
        </w:rPr>
      </w:pPr>
      <w:r>
        <w:rPr>
          <w:rFonts w:hint="eastAsia" w:ascii="宋体" w:hAnsi="宋体" w:cs="宋体"/>
          <w:color w:val="auto"/>
          <w:kern w:val="0"/>
          <w:sz w:val="20"/>
          <w:szCs w:val="21"/>
        </w:rPr>
        <w:t>▲</w:t>
      </w:r>
      <w:r>
        <w:rPr>
          <w:rFonts w:hint="eastAsia" w:ascii="宋体" w:hAnsi="宋体" w:cs="宋体"/>
          <w:b/>
          <w:color w:val="auto"/>
          <w:kern w:val="0"/>
          <w:sz w:val="20"/>
          <w:szCs w:val="21"/>
        </w:rPr>
        <w:t>响应文件未按磋商文件的澄清、修改的内容编制，又不符合实质性要求的，其响应文件按无效处理。</w:t>
      </w:r>
    </w:p>
    <w:p>
      <w:pPr>
        <w:pStyle w:val="4"/>
        <w:spacing w:before="0" w:after="0" w:line="360" w:lineRule="auto"/>
        <w:ind w:firstLine="320" w:firstLineChars="100"/>
        <w:rPr>
          <w:rFonts w:hint="eastAsia"/>
          <w:b w:val="0"/>
          <w:bCs w:val="0"/>
          <w:color w:val="auto"/>
        </w:rPr>
      </w:pPr>
      <w:r>
        <w:rPr>
          <w:rFonts w:hint="eastAsia"/>
          <w:b w:val="0"/>
          <w:bCs w:val="0"/>
          <w:color w:val="auto"/>
        </w:rPr>
        <w:t xml:space="preserve"> </w:t>
      </w:r>
    </w:p>
    <w:p>
      <w:pPr>
        <w:pStyle w:val="4"/>
        <w:spacing w:before="0" w:after="0" w:line="360" w:lineRule="auto"/>
        <w:ind w:firstLine="320" w:firstLineChars="100"/>
        <w:rPr>
          <w:rFonts w:hint="eastAsia"/>
          <w:b w:val="0"/>
          <w:bCs w:val="0"/>
          <w:color w:val="auto"/>
        </w:rPr>
      </w:pPr>
      <w:r>
        <w:rPr>
          <w:rFonts w:hint="eastAsia"/>
          <w:b w:val="0"/>
          <w:bCs w:val="0"/>
          <w:color w:val="auto"/>
        </w:rPr>
        <w:t xml:space="preserve"> </w:t>
      </w:r>
      <w:bookmarkStart w:id="126" w:name="_Toc80886932"/>
      <w:bookmarkStart w:id="127" w:name="_Toc21480"/>
      <w:bookmarkStart w:id="128" w:name="_Toc21690"/>
      <w:r>
        <w:rPr>
          <w:rFonts w:hint="eastAsia"/>
          <w:b w:val="0"/>
          <w:bCs w:val="0"/>
          <w:color w:val="auto"/>
        </w:rPr>
        <w:t>三、响应文件的编制</w:t>
      </w:r>
      <w:bookmarkEnd w:id="126"/>
      <w:bookmarkEnd w:id="127"/>
      <w:bookmarkEnd w:id="128"/>
    </w:p>
    <w:p>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11.响应文件的编制原则</w:t>
      </w:r>
    </w:p>
    <w:p>
      <w:pPr>
        <w:spacing w:line="360" w:lineRule="auto"/>
        <w:ind w:firstLine="420" w:firstLineChars="200"/>
        <w:rPr>
          <w:rFonts w:hint="eastAsia" w:cs="宋体"/>
          <w:color w:val="auto"/>
          <w:szCs w:val="21"/>
        </w:rPr>
      </w:pPr>
      <w:r>
        <w:rPr>
          <w:rFonts w:hint="eastAsia" w:cs="宋体"/>
          <w:color w:val="auto"/>
          <w:szCs w:val="21"/>
        </w:rPr>
        <w:t>供应商必须按照磋商文件的要求编制响应文件，并对其提交的响应文件的真实性、合法性承担法律责任。响应文件必须对磋商文件作出实质性响应。</w:t>
      </w:r>
    </w:p>
    <w:p>
      <w:pPr>
        <w:spacing w:line="360" w:lineRule="auto"/>
        <w:ind w:firstLine="482" w:firstLineChars="200"/>
        <w:rPr>
          <w:rFonts w:ascii="黑体" w:hAnsi="黑体" w:eastAsia="黑体" w:cs="宋体"/>
          <w:b/>
          <w:bCs/>
          <w:color w:val="auto"/>
          <w:sz w:val="24"/>
        </w:rPr>
      </w:pPr>
      <w:r>
        <w:rPr>
          <w:rFonts w:hint="eastAsia" w:ascii="黑体" w:hAnsi="黑体" w:eastAsia="黑体" w:cs="宋体"/>
          <w:b/>
          <w:bCs/>
          <w:color w:val="auto"/>
          <w:sz w:val="24"/>
        </w:rPr>
        <w:t>12.响应文件的组成</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12.1响应文件由资格证明文件、报价文件、商务和技术文件三部分组成。</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12.1.1资格证明文件：详见供应商须知前附表</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12.1.2商务技术文件：详见供应商须知前附表</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12.1.3报价文件：详见供应商须知前附表</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12.2响应文件电子版：详见供应商须知前附表</w:t>
      </w:r>
    </w:p>
    <w:p>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13.计量单位</w:t>
      </w:r>
    </w:p>
    <w:p>
      <w:pPr>
        <w:spacing w:line="360" w:lineRule="auto"/>
        <w:ind w:firstLine="420" w:firstLineChars="200"/>
        <w:rPr>
          <w:rFonts w:hint="eastAsia" w:cs="宋体"/>
          <w:color w:val="auto"/>
          <w:szCs w:val="21"/>
        </w:rPr>
      </w:pPr>
      <w:r>
        <w:rPr>
          <w:rFonts w:hint="eastAsia" w:cs="宋体"/>
          <w:color w:val="auto"/>
          <w:szCs w:val="21"/>
        </w:rPr>
        <w:t>磋商文件已有明确规定的，使用磋商文件规定的计量单位；磋商文件没有规定的，应采用中华人民共和国法定计量单位，货币种类为人民币，否则视同未响应。</w:t>
      </w:r>
    </w:p>
    <w:p>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14.竞标的风险</w:t>
      </w:r>
    </w:p>
    <w:p>
      <w:pPr>
        <w:spacing w:line="360" w:lineRule="auto"/>
        <w:ind w:firstLine="420" w:firstLineChars="200"/>
        <w:rPr>
          <w:rFonts w:hint="eastAsia" w:cs="宋体"/>
          <w:color w:val="auto"/>
          <w:szCs w:val="21"/>
        </w:rPr>
      </w:pPr>
      <w:r>
        <w:rPr>
          <w:rFonts w:hint="eastAsia" w:cs="宋体"/>
          <w:color w:val="auto"/>
          <w:szCs w:val="21"/>
        </w:rPr>
        <w:t>供应商没有按照磋商文件要求提供全部资料，或者供应商没有对磋商文件在各方面作出实质性响应可能导致其响应无效，是供应商应当考虑的风险。</w:t>
      </w:r>
    </w:p>
    <w:p>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15.响应报价要求和构成</w:t>
      </w:r>
    </w:p>
    <w:p>
      <w:pPr>
        <w:tabs>
          <w:tab w:val="left" w:pos="2492"/>
        </w:tabs>
        <w:spacing w:line="360" w:lineRule="auto"/>
        <w:ind w:firstLine="420" w:firstLineChars="200"/>
        <w:rPr>
          <w:rFonts w:hint="eastAsia" w:ascii="宋体" w:hAnsi="宋体" w:cs="宋体"/>
          <w:color w:val="auto"/>
          <w:szCs w:val="21"/>
        </w:rPr>
      </w:pPr>
      <w:r>
        <w:rPr>
          <w:rFonts w:hint="eastAsia" w:ascii="宋体" w:hAnsi="宋体" w:cs="宋体"/>
          <w:color w:val="auto"/>
          <w:szCs w:val="21"/>
        </w:rPr>
        <w:t>15.1响应报价应按“第五章 响应文件格式”中“响应报价表”格式填写。</w:t>
      </w:r>
    </w:p>
    <w:p>
      <w:pPr>
        <w:tabs>
          <w:tab w:val="left" w:pos="2492"/>
        </w:tabs>
        <w:spacing w:line="360" w:lineRule="auto"/>
        <w:ind w:firstLine="420" w:firstLineChars="200"/>
        <w:rPr>
          <w:rFonts w:hint="eastAsia" w:ascii="宋体" w:hAnsi="宋体" w:cs="宋体"/>
          <w:color w:val="auto"/>
          <w:szCs w:val="21"/>
        </w:rPr>
      </w:pPr>
      <w:r>
        <w:rPr>
          <w:rFonts w:hint="eastAsia" w:ascii="宋体" w:hAnsi="宋体" w:cs="宋体"/>
          <w:color w:val="auto"/>
          <w:szCs w:val="21"/>
        </w:rPr>
        <w:t>15.2响应报价的价格构成见“供应商须知前附表”。</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15.3响应报价要求</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15.3.1供应商的响应报价应符合以下要求，否则响应文件按无效响应处理：</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（1）供应商必须就“采购需求”中所竞标的项目/每个分标的全部内容分别作完整唯一总价报价，不得存在漏项报价；</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（2）供应商必须就所竞标的项目/分标的</w:t>
      </w:r>
      <w:r>
        <w:rPr>
          <w:rFonts w:hint="eastAsia" w:ascii="宋体" w:hAnsi="宋体" w:cs="宋体"/>
          <w:color w:val="auto"/>
          <w:szCs w:val="21"/>
          <w:lang w:val="en-US" w:eastAsia="zh-CN"/>
        </w:rPr>
        <w:t>要求</w:t>
      </w:r>
      <w:r>
        <w:rPr>
          <w:rFonts w:hint="eastAsia" w:ascii="宋体" w:hAnsi="宋体" w:cs="宋体"/>
          <w:color w:val="auto"/>
          <w:szCs w:val="21"/>
        </w:rPr>
        <w:t>作唯一报价。</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15.3.2响应报价（包含首次报价、最后报价）超过所竞标项目/分标规定的采购预算金额或者最高限价的（如本项目公布了最高限价），其响应文件将按无效处理。</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15.3.3</w:t>
      </w:r>
      <w:bookmarkStart w:id="129" w:name="_Hlk42592874"/>
      <w:r>
        <w:rPr>
          <w:rFonts w:hint="eastAsia" w:ascii="宋体" w:hAnsi="宋体" w:cs="宋体"/>
          <w:color w:val="auto"/>
          <w:szCs w:val="21"/>
        </w:rPr>
        <w:t>响应报价（包含首次报价、最后报价）超过分项采购预算金额或者最高限价的（如本项目公布了最高限价），其响应文件将按无效处理。</w:t>
      </w:r>
    </w:p>
    <w:bookmarkEnd w:id="129"/>
    <w:p>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16.竞标有效期</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16.1竞标有效期是指为保证采购人有足够的时间在提交响应文件后完成评审、确定成交供应商、合同签订等工作而要求供应商提交的响应文件在一定时间内保持有效的期限。</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16.2 竞标有效期应由供应商按“供应商须知前附表”规定的期限作出响应。</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16.3供应商的响应文件在竞标有效期内均保持有效。</w:t>
      </w:r>
    </w:p>
    <w:p>
      <w:pPr>
        <w:spacing w:line="360" w:lineRule="auto"/>
        <w:ind w:firstLine="482" w:firstLineChars="200"/>
        <w:rPr>
          <w:rFonts w:hint="eastAsia" w:ascii="黑体" w:hAnsi="黑体" w:eastAsia="黑体" w:cs="宋体"/>
          <w:b/>
          <w:bCs/>
          <w:i/>
          <w:iCs/>
          <w:color w:val="auto"/>
          <w:sz w:val="24"/>
        </w:rPr>
      </w:pPr>
      <w:r>
        <w:rPr>
          <w:rFonts w:hint="eastAsia" w:ascii="黑体" w:hAnsi="黑体" w:eastAsia="黑体" w:cs="宋体"/>
          <w:b/>
          <w:bCs/>
          <w:color w:val="auto"/>
          <w:sz w:val="24"/>
        </w:rPr>
        <w:t>17.磋商保证金</w:t>
      </w:r>
    </w:p>
    <w:p>
      <w:pPr>
        <w:spacing w:line="360" w:lineRule="auto"/>
        <w:ind w:left="420" w:leftChars="200"/>
        <w:rPr>
          <w:rFonts w:hint="eastAsia" w:ascii="宋体" w:hAnsi="宋体" w:cs="宋体"/>
          <w:color w:val="auto"/>
          <w:szCs w:val="21"/>
        </w:rPr>
      </w:pPr>
      <w:r>
        <w:rPr>
          <w:rFonts w:hint="eastAsia" w:ascii="宋体" w:hAnsi="宋体" w:cs="宋体"/>
          <w:color w:val="auto"/>
          <w:szCs w:val="21"/>
        </w:rPr>
        <w:t>17.1供应商须按“供应商须知前附表”的规定提交磋商保证金。</w:t>
      </w:r>
    </w:p>
    <w:p>
      <w:pPr>
        <w:spacing w:line="360" w:lineRule="auto"/>
        <w:ind w:left="420" w:leftChars="200"/>
        <w:rPr>
          <w:rFonts w:hint="eastAsia" w:ascii="宋体" w:hAnsi="宋体" w:cs="宋体"/>
          <w:color w:val="auto"/>
          <w:szCs w:val="21"/>
        </w:rPr>
      </w:pPr>
      <w:r>
        <w:rPr>
          <w:rFonts w:hint="eastAsia" w:ascii="宋体" w:hAnsi="宋体" w:cs="宋体"/>
          <w:color w:val="auto"/>
          <w:szCs w:val="21"/>
        </w:rPr>
        <w:t>17.2磋商保证金的退还</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17.2.1未</w:t>
      </w:r>
      <w:r>
        <w:rPr>
          <w:rFonts w:hint="eastAsia" w:ascii="宋体" w:hAnsi="宋体" w:cs="宋体"/>
          <w:color w:val="auto"/>
          <w:spacing w:val="-6"/>
          <w:szCs w:val="21"/>
        </w:rPr>
        <w:t>成交供应商的磋商保证金自成交通知书发出之日起</w:t>
      </w:r>
      <w:r>
        <w:rPr>
          <w:rFonts w:hint="eastAsia" w:ascii="宋体" w:hAnsi="宋体" w:cs="宋体"/>
          <w:color w:val="auto"/>
          <w:spacing w:val="-6"/>
          <w:szCs w:val="21"/>
          <w:lang w:eastAsia="zh-CN"/>
        </w:rPr>
        <w:t>5个工作日</w:t>
      </w:r>
      <w:r>
        <w:rPr>
          <w:rFonts w:hint="eastAsia" w:ascii="宋体" w:hAnsi="宋体" w:cs="宋体"/>
          <w:color w:val="auto"/>
          <w:spacing w:val="-6"/>
          <w:szCs w:val="21"/>
        </w:rPr>
        <w:t>内退还，退还方式如下：</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（1）采用银行转账方式的，以转账方式退回到供应商银行账户。</w:t>
      </w:r>
    </w:p>
    <w:p>
      <w:pPr>
        <w:pStyle w:val="7"/>
        <w:spacing w:line="360" w:lineRule="auto"/>
        <w:ind w:firstLine="315" w:firstLineChars="150"/>
        <w:rPr>
          <w:rFonts w:hint="eastAsia" w:ascii="宋体" w:hAnsi="宋体"/>
          <w:color w:val="auto"/>
          <w:szCs w:val="21"/>
        </w:rPr>
      </w:pPr>
      <w:r>
        <w:rPr>
          <w:rFonts w:hint="eastAsia" w:ascii="宋体" w:hAnsi="宋体" w:cs="宋体"/>
          <w:color w:val="auto"/>
          <w:szCs w:val="21"/>
        </w:rPr>
        <w:t>（2）</w:t>
      </w:r>
      <w:r>
        <w:rPr>
          <w:rFonts w:hint="eastAsia" w:ascii="宋体" w:hAnsi="宋体"/>
          <w:color w:val="auto"/>
          <w:szCs w:val="21"/>
        </w:rPr>
        <w:t>采用支票、汇票、本票或者金融机构、担保机构出具的保函等方式的，由供应商代表持相关授权证明材料至采购代理机构办理支票、汇票、本票或者金融机构、担保机构出具的保函等原件退还手续。</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17.2.2成交供应商的磋商保证金自签订合同之日起</w:t>
      </w:r>
      <w:r>
        <w:rPr>
          <w:rFonts w:hint="eastAsia" w:ascii="宋体" w:hAnsi="宋体" w:cs="宋体"/>
          <w:color w:val="auto"/>
          <w:szCs w:val="21"/>
          <w:lang w:eastAsia="zh-CN"/>
        </w:rPr>
        <w:t>5个工作日</w:t>
      </w:r>
      <w:r>
        <w:rPr>
          <w:rFonts w:hint="eastAsia" w:ascii="宋体" w:hAnsi="宋体" w:cs="宋体"/>
          <w:color w:val="auto"/>
          <w:szCs w:val="21"/>
        </w:rPr>
        <w:t xml:space="preserve">内退还，退还方式同未成交供应商的磋商保证金的退还方式；或者转为成交供应商的履约保证金。 </w:t>
      </w:r>
    </w:p>
    <w:p>
      <w:pPr>
        <w:spacing w:line="360" w:lineRule="auto"/>
        <w:ind w:left="420" w:leftChars="200"/>
        <w:rPr>
          <w:rFonts w:hint="eastAsia" w:ascii="宋体" w:hAnsi="宋体" w:cs="宋体"/>
          <w:color w:val="auto"/>
          <w:szCs w:val="21"/>
        </w:rPr>
      </w:pPr>
      <w:r>
        <w:rPr>
          <w:rFonts w:hint="eastAsia" w:ascii="宋体" w:hAnsi="宋体" w:cs="宋体"/>
          <w:color w:val="auto"/>
          <w:szCs w:val="21"/>
        </w:rPr>
        <w:t>17.3磋商保证金不计息。</w:t>
      </w:r>
    </w:p>
    <w:p>
      <w:pPr>
        <w:spacing w:line="360" w:lineRule="auto"/>
        <w:ind w:left="420" w:leftChars="200"/>
        <w:rPr>
          <w:rFonts w:hint="eastAsia" w:ascii="宋体" w:hAnsi="宋体" w:cs="宋体"/>
          <w:color w:val="auto"/>
          <w:szCs w:val="21"/>
        </w:rPr>
      </w:pPr>
      <w:r>
        <w:rPr>
          <w:rFonts w:hint="eastAsia" w:ascii="宋体" w:hAnsi="宋体" w:cs="宋体"/>
          <w:color w:val="auto"/>
          <w:szCs w:val="21"/>
        </w:rPr>
        <w:t xml:space="preserve">17.4供应商有下列情形之一的，磋商保证金将不予退还： </w:t>
      </w:r>
    </w:p>
    <w:p>
      <w:pPr>
        <w:spacing w:line="360" w:lineRule="auto"/>
        <w:ind w:left="420" w:leftChars="200"/>
        <w:rPr>
          <w:rFonts w:hint="eastAsia" w:ascii="宋体" w:hAnsi="宋体" w:cs="宋体"/>
          <w:color w:val="auto"/>
          <w:szCs w:val="21"/>
        </w:rPr>
      </w:pPr>
      <w:r>
        <w:rPr>
          <w:rFonts w:hint="eastAsia" w:ascii="宋体" w:hAnsi="宋体" w:cs="宋体"/>
          <w:color w:val="auto"/>
          <w:szCs w:val="21"/>
        </w:rPr>
        <w:t>（1）供应商在提交响应文件截止时间后撤回响应文件的；</w:t>
      </w:r>
    </w:p>
    <w:p>
      <w:pPr>
        <w:spacing w:line="360" w:lineRule="auto"/>
        <w:ind w:left="420" w:leftChars="200"/>
        <w:rPr>
          <w:rFonts w:hint="eastAsia" w:ascii="宋体" w:hAnsi="宋体" w:cs="宋体"/>
          <w:color w:val="auto"/>
          <w:szCs w:val="21"/>
        </w:rPr>
      </w:pPr>
      <w:r>
        <w:rPr>
          <w:rFonts w:hint="eastAsia" w:ascii="宋体" w:hAnsi="宋体" w:cs="宋体"/>
          <w:color w:val="auto"/>
          <w:szCs w:val="21"/>
        </w:rPr>
        <w:t>（2）供应商在响应文件中提供虚假材料的；</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（3）除因不可抗力或者磋商文件认可的情形以外，成交供应商不与采购人签订合同的；</w:t>
      </w:r>
    </w:p>
    <w:p>
      <w:pPr>
        <w:spacing w:line="360" w:lineRule="auto"/>
        <w:ind w:left="420" w:leftChars="200"/>
        <w:rPr>
          <w:rFonts w:hint="eastAsia" w:ascii="宋体" w:hAnsi="宋体" w:cs="宋体"/>
          <w:color w:val="auto"/>
          <w:szCs w:val="21"/>
        </w:rPr>
      </w:pPr>
      <w:r>
        <w:rPr>
          <w:rFonts w:hint="eastAsia" w:ascii="宋体" w:hAnsi="宋体" w:cs="宋体"/>
          <w:color w:val="auto"/>
          <w:szCs w:val="21"/>
        </w:rPr>
        <w:t>（4）供应商与采购人、其他供应商或者采购代理机构恶意串通的；</w:t>
      </w:r>
    </w:p>
    <w:p>
      <w:pPr>
        <w:spacing w:line="360" w:lineRule="auto"/>
        <w:ind w:left="420" w:leftChars="200"/>
        <w:rPr>
          <w:rFonts w:cs="宋体"/>
          <w:color w:val="auto"/>
          <w:szCs w:val="21"/>
        </w:rPr>
      </w:pPr>
      <w:r>
        <w:rPr>
          <w:rFonts w:hint="eastAsia" w:ascii="宋体" w:hAnsi="宋体" w:cs="宋体"/>
          <w:color w:val="auto"/>
          <w:szCs w:val="21"/>
        </w:rPr>
        <w:t>（5）磋商文件规定的其他情形。</w:t>
      </w:r>
    </w:p>
    <w:p>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18.响应文件编制的要求</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cs="宋体"/>
          <w:color w:val="auto"/>
        </w:rPr>
        <w:t>由此引发的</w:t>
      </w:r>
      <w:r>
        <w:rPr>
          <w:rFonts w:hint="eastAsia" w:ascii="宋体" w:hAnsi="宋体" w:cs="宋体"/>
          <w:color w:val="auto"/>
          <w:szCs w:val="21"/>
        </w:rPr>
        <w:t>后果由供应商承担。</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18.2响应文件应按资格证明文件、报价文件分别编制，商务技术文件合并编制，本磋商只接受电子版响应文件，要求见本章“12.2响应文件电子版要求”。</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18.</w:t>
      </w:r>
      <w:bookmarkStart w:id="130" w:name="_Hlk65832699"/>
      <w:r>
        <w:rPr>
          <w:rFonts w:hint="eastAsia" w:ascii="宋体" w:hAnsi="宋体" w:cs="宋体"/>
          <w:color w:val="auto"/>
          <w:szCs w:val="21"/>
        </w:rPr>
        <w:t>3响应文件须由供应商按</w:t>
      </w:r>
      <w:r>
        <w:rPr>
          <w:rFonts w:hint="eastAsia" w:ascii="宋体" w:hAnsi="宋体" w:cs="宋体"/>
          <w:color w:val="auto"/>
          <w:kern w:val="0"/>
          <w:szCs w:val="21"/>
          <w:lang w:val="zh-CN"/>
        </w:rPr>
        <w:t>“</w:t>
      </w:r>
      <w:r>
        <w:rPr>
          <w:rFonts w:hint="eastAsia" w:ascii="宋体" w:hAnsi="宋体" w:cs="宋体"/>
          <w:color w:val="auto"/>
          <w:szCs w:val="21"/>
        </w:rPr>
        <w:t>第五章 响应文件格式</w:t>
      </w:r>
      <w:r>
        <w:rPr>
          <w:rFonts w:hint="eastAsia" w:ascii="宋体" w:hAnsi="宋体" w:cs="宋体"/>
          <w:color w:val="auto"/>
          <w:kern w:val="0"/>
          <w:szCs w:val="21"/>
          <w:lang w:val="zh-CN"/>
        </w:rPr>
        <w:t>”</w:t>
      </w:r>
      <w:r>
        <w:rPr>
          <w:rFonts w:hint="eastAsia" w:ascii="宋体" w:hAnsi="宋体" w:cs="宋体"/>
          <w:color w:val="auto"/>
          <w:szCs w:val="21"/>
        </w:rPr>
        <w:t>要求进行签署、盖章</w:t>
      </w:r>
      <w:bookmarkEnd w:id="130"/>
      <w:r>
        <w:rPr>
          <w:rFonts w:hint="eastAsia" w:ascii="宋体" w:hAnsi="宋体" w:cs="宋体"/>
          <w:color w:val="auto"/>
          <w:szCs w:val="21"/>
        </w:rPr>
        <w:t>，</w:t>
      </w:r>
      <w:r>
        <w:rPr>
          <w:rFonts w:hint="eastAsia" w:ascii="宋体" w:hAnsi="宋体" w:cs="宋体"/>
          <w:b/>
          <w:bCs/>
          <w:color w:val="auto"/>
          <w:szCs w:val="21"/>
        </w:rPr>
        <w:t>否则其响应文件按无效响应处理</w:t>
      </w:r>
      <w:r>
        <w:rPr>
          <w:rFonts w:hint="eastAsia" w:ascii="宋体" w:hAnsi="宋体" w:cs="宋体"/>
          <w:color w:val="auto"/>
          <w:szCs w:val="21"/>
        </w:rPr>
        <w:t>。</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18.4响应文件中标注的供应商名称应与营业执照（事业单位法人证书、执业许可证、自然人身份证）及供应商公章一致，</w:t>
      </w:r>
      <w:r>
        <w:rPr>
          <w:rFonts w:hint="eastAsia" w:ascii="宋体" w:hAnsi="宋体" w:cs="宋体"/>
          <w:b/>
          <w:bCs/>
          <w:color w:val="auto"/>
          <w:szCs w:val="21"/>
        </w:rPr>
        <w:t>否则其响应文件按无效响应处理。</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18.5响应文件应避免涂改、行间插字或者删除。</w:t>
      </w:r>
    </w:p>
    <w:p>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19.响应文件的密封和标记</w:t>
      </w:r>
    </w:p>
    <w:p>
      <w:pPr>
        <w:spacing w:line="360" w:lineRule="auto"/>
        <w:ind w:firstLine="420" w:firstLineChars="200"/>
        <w:rPr>
          <w:rFonts w:hint="eastAsia" w:ascii="宋体" w:hAnsi="宋体" w:cs="宋体"/>
          <w:color w:val="auto"/>
          <w:kern w:val="0"/>
          <w:szCs w:val="21"/>
          <w:lang w:val="zh-CN"/>
        </w:rPr>
      </w:pPr>
      <w:r>
        <w:rPr>
          <w:rFonts w:hint="eastAsia" w:ascii="宋体" w:hAnsi="宋体" w:cs="宋体"/>
          <w:color w:val="auto"/>
          <w:kern w:val="0"/>
          <w:szCs w:val="21"/>
          <w:lang w:val="zh-CN"/>
        </w:rPr>
        <w:t>19.1供应商进行电子交易应安装客户端软件，并按照磋商文件和电子交易平台的要求编制并加密响应文件。供应商未按规定加密的响应文件，电子交易平台将拒收并提示。</w:t>
      </w:r>
    </w:p>
    <w:p>
      <w:pPr>
        <w:spacing w:line="360" w:lineRule="auto"/>
        <w:ind w:firstLine="420" w:firstLineChars="200"/>
        <w:rPr>
          <w:rFonts w:hint="eastAsia" w:ascii="宋体" w:hAnsi="宋体" w:cs="宋体"/>
          <w:color w:val="auto"/>
          <w:kern w:val="0"/>
          <w:szCs w:val="21"/>
          <w:lang w:val="zh-CN"/>
        </w:rPr>
      </w:pPr>
      <w:r>
        <w:rPr>
          <w:rFonts w:hint="eastAsia" w:ascii="宋体" w:hAnsi="宋体" w:cs="宋体"/>
          <w:color w:val="auto"/>
          <w:kern w:val="0"/>
          <w:szCs w:val="21"/>
          <w:lang w:val="zh-CN"/>
        </w:rPr>
        <w:t>19.2使用广西政府采购云平台电子交易客户端需要提前申领CA数字证书。</w:t>
      </w:r>
    </w:p>
    <w:p>
      <w:pPr>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19.3为确保网上操作合法、有效和安全，供应商应当在响应文件提交截止时间前完成在“</w:t>
      </w:r>
      <w:r>
        <w:rPr>
          <w:rFonts w:hint="eastAsia" w:ascii="宋体" w:hAnsi="宋体" w:cs="宋体"/>
          <w:color w:val="auto"/>
          <w:kern w:val="0"/>
          <w:szCs w:val="21"/>
          <w:lang w:val="en-US" w:eastAsia="zh-CN"/>
        </w:rPr>
        <w:t>广西</w:t>
      </w:r>
      <w:r>
        <w:rPr>
          <w:rFonts w:hint="eastAsia" w:ascii="宋体" w:hAnsi="宋体" w:cs="宋体"/>
          <w:color w:val="auto"/>
          <w:kern w:val="0"/>
          <w:szCs w:val="21"/>
        </w:rPr>
        <w:t>政府采购云平台”的身份认证，确保在电子交易过程中能够对相关数据电文进行加密和使用电子签名。</w:t>
      </w:r>
    </w:p>
    <w:p>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20.响应文件的提交</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20.1供应商必须在“供应商须知前附表”规定的时间和地点提交响应文件。</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20.2 在响应文件提交截止时间以后，不能补充、修改响应文件。</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20.3 在提交“最后报价”后，供应商不能退出磋商。</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20.4 电子交易平台收到响应文件，将妥善保存并即时向供应商发出确认回执通知。在响应文件提交截止时间前，除供应商补充、修改或者撤回响应文件外，任何单位和个人不得解密或提取响应文件。</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20.5 采购机构不可视情况延长提交响应文件的截止时间。</w:t>
      </w:r>
    </w:p>
    <w:p>
      <w:pPr>
        <w:spacing w:line="360" w:lineRule="auto"/>
        <w:ind w:firstLine="420" w:firstLineChars="200"/>
        <w:rPr>
          <w:rFonts w:hint="eastAsia" w:ascii="宋体" w:hAnsi="宋体" w:cs="宋体"/>
          <w:color w:val="auto"/>
          <w:sz w:val="24"/>
        </w:rPr>
      </w:pPr>
      <w:r>
        <w:rPr>
          <w:rFonts w:hint="eastAsia" w:ascii="宋体" w:hAnsi="宋体" w:cs="宋体"/>
          <w:color w:val="auto"/>
          <w:szCs w:val="21"/>
        </w:rPr>
        <w:t>20.6备份响应文件。</w:t>
      </w:r>
      <w:r>
        <w:rPr>
          <w:rFonts w:hint="eastAsia" w:ascii="宋体" w:hAnsi="宋体" w:cs="宋体"/>
          <w:bCs/>
          <w:color w:val="auto"/>
          <w:szCs w:val="21"/>
        </w:rPr>
        <w:t>详见“供应商须知前附表”。</w:t>
      </w:r>
    </w:p>
    <w:p>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21.首次响应文件的补充、修改与撤回</w:t>
      </w:r>
    </w:p>
    <w:p>
      <w:pPr>
        <w:spacing w:line="360" w:lineRule="auto"/>
        <w:ind w:firstLine="420" w:firstLineChars="200"/>
        <w:rPr>
          <w:rFonts w:hint="eastAsia" w:cs="宋体"/>
          <w:color w:val="auto"/>
          <w:szCs w:val="21"/>
        </w:rPr>
      </w:pPr>
      <w:r>
        <w:rPr>
          <w:rFonts w:hint="eastAsia" w:cs="宋体"/>
          <w:color w:val="auto"/>
          <w:szCs w:val="21"/>
        </w:rPr>
        <w:t>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文件提交截止时间后提交的响应文件，电子交易平台将拒收。</w:t>
      </w:r>
    </w:p>
    <w:p>
      <w:pPr>
        <w:spacing w:line="360" w:lineRule="auto"/>
        <w:ind w:firstLine="482" w:firstLineChars="200"/>
        <w:rPr>
          <w:rFonts w:ascii="黑体" w:hAnsi="黑体" w:eastAsia="黑体" w:cs="宋体"/>
          <w:b/>
          <w:bCs/>
          <w:color w:val="auto"/>
          <w:sz w:val="24"/>
        </w:rPr>
      </w:pPr>
      <w:bookmarkStart w:id="131" w:name="_Hlk45702405"/>
      <w:r>
        <w:rPr>
          <w:rFonts w:hint="eastAsia" w:ascii="黑体" w:hAnsi="黑体" w:eastAsia="黑体" w:cs="宋体"/>
          <w:b/>
          <w:bCs/>
          <w:color w:val="auto"/>
          <w:sz w:val="24"/>
        </w:rPr>
        <w:t>22. 首次响应文件的退回</w:t>
      </w:r>
    </w:p>
    <w:p>
      <w:pPr>
        <w:spacing w:line="360" w:lineRule="auto"/>
        <w:ind w:firstLine="420" w:firstLineChars="200"/>
        <w:rPr>
          <w:rFonts w:hint="eastAsia" w:cs="宋体"/>
          <w:color w:val="auto"/>
          <w:szCs w:val="21"/>
        </w:rPr>
      </w:pPr>
      <w:r>
        <w:rPr>
          <w:rFonts w:hint="eastAsia" w:cs="宋体"/>
          <w:color w:val="auto"/>
          <w:szCs w:val="21"/>
        </w:rPr>
        <w:t>在首次响应文件提交截止时间止提交响应文件的供应商不足3家时</w:t>
      </w:r>
      <w:r>
        <w:rPr>
          <w:rFonts w:hint="eastAsia" w:cs="宋体"/>
          <w:color w:val="auto"/>
          <w:szCs w:val="21"/>
          <w:lang w:eastAsia="zh-CN"/>
        </w:rPr>
        <w:t>，</w:t>
      </w:r>
      <w:r>
        <w:rPr>
          <w:rFonts w:hint="eastAsia" w:cs="宋体"/>
          <w:color w:val="auto"/>
          <w:szCs w:val="21"/>
        </w:rPr>
        <w:t>电子响应文件</w:t>
      </w:r>
      <w:r>
        <w:rPr>
          <w:rFonts w:hint="eastAsia" w:cs="宋体"/>
          <w:color w:val="auto"/>
          <w:szCs w:val="21"/>
          <w:lang w:val="en-US" w:eastAsia="zh-CN"/>
        </w:rPr>
        <w:t>的退回</w:t>
      </w:r>
      <w:r>
        <w:rPr>
          <w:rFonts w:hint="eastAsia" w:cs="宋体"/>
          <w:color w:val="auto"/>
          <w:szCs w:val="21"/>
        </w:rPr>
        <w:t>由</w:t>
      </w:r>
      <w:r>
        <w:rPr>
          <w:rFonts w:hint="eastAsia" w:cs="宋体"/>
          <w:color w:val="auto"/>
          <w:szCs w:val="21"/>
          <w:lang w:eastAsia="zh-CN"/>
        </w:rPr>
        <w:t>广西政府采购云平台</w:t>
      </w:r>
      <w:r>
        <w:rPr>
          <w:rFonts w:hint="eastAsia" w:cs="宋体"/>
          <w:color w:val="auto"/>
          <w:szCs w:val="21"/>
          <w:lang w:val="en-US" w:eastAsia="zh-CN"/>
        </w:rPr>
        <w:t>自动</w:t>
      </w:r>
      <w:r>
        <w:rPr>
          <w:rFonts w:hint="eastAsia" w:cs="宋体"/>
          <w:color w:val="auto"/>
          <w:szCs w:val="21"/>
        </w:rPr>
        <w:t>操作。</w:t>
      </w:r>
    </w:p>
    <w:p>
      <w:pPr>
        <w:spacing w:line="360" w:lineRule="auto"/>
        <w:ind w:firstLine="482" w:firstLineChars="200"/>
        <w:rPr>
          <w:rFonts w:ascii="黑体" w:hAnsi="黑体" w:eastAsia="黑体" w:cs="宋体"/>
          <w:b/>
          <w:bCs/>
          <w:color w:val="auto"/>
          <w:sz w:val="24"/>
        </w:rPr>
      </w:pPr>
      <w:r>
        <w:rPr>
          <w:rFonts w:hint="eastAsia" w:ascii="黑体" w:hAnsi="黑体" w:eastAsia="黑体" w:cs="宋体"/>
          <w:b/>
          <w:bCs/>
          <w:color w:val="auto"/>
          <w:sz w:val="24"/>
        </w:rPr>
        <w:t>23. 截止时间后的撤回</w:t>
      </w:r>
    </w:p>
    <w:bookmarkEnd w:id="131"/>
    <w:p>
      <w:pPr>
        <w:pStyle w:val="15"/>
        <w:spacing w:line="360" w:lineRule="auto"/>
        <w:ind w:firstLine="420" w:firstLineChars="200"/>
        <w:rPr>
          <w:rFonts w:hint="eastAsia" w:cs="宋体"/>
          <w:i/>
          <w:iCs/>
          <w:color w:val="auto"/>
          <w:szCs w:val="21"/>
        </w:rPr>
      </w:pPr>
      <w:r>
        <w:rPr>
          <w:rFonts w:hint="eastAsia"/>
          <w:color w:val="auto"/>
        </w:rPr>
        <w:t>供应商在首次响应文件提交截止时间后向采购人、采购代理机构书面申请撤回电子响应文件的，将根据本须知正文17.4的规定不予退还其磋商保证金（如有）。</w:t>
      </w:r>
    </w:p>
    <w:p>
      <w:pPr>
        <w:pStyle w:val="4"/>
        <w:spacing w:before="0" w:after="0" w:line="360" w:lineRule="auto"/>
        <w:ind w:firstLine="640" w:firstLineChars="200"/>
        <w:rPr>
          <w:rFonts w:hint="eastAsia"/>
          <w:b w:val="0"/>
          <w:bCs w:val="0"/>
          <w:color w:val="auto"/>
        </w:rPr>
      </w:pPr>
      <w:r>
        <w:rPr>
          <w:rFonts w:hint="eastAsia"/>
          <w:b w:val="0"/>
          <w:bCs w:val="0"/>
          <w:color w:val="auto"/>
        </w:rPr>
        <w:t xml:space="preserve"> </w:t>
      </w:r>
      <w:bookmarkStart w:id="132" w:name="_Toc80886933"/>
      <w:bookmarkStart w:id="133" w:name="_Toc17876"/>
      <w:bookmarkStart w:id="134" w:name="_Toc20044"/>
    </w:p>
    <w:p>
      <w:pPr>
        <w:pStyle w:val="4"/>
        <w:spacing w:before="0" w:after="0" w:line="360" w:lineRule="auto"/>
        <w:ind w:firstLine="640" w:firstLineChars="200"/>
        <w:rPr>
          <w:rFonts w:hint="eastAsia"/>
          <w:b w:val="0"/>
          <w:bCs w:val="0"/>
          <w:color w:val="auto"/>
        </w:rPr>
      </w:pPr>
      <w:r>
        <w:rPr>
          <w:rFonts w:hint="eastAsia"/>
          <w:b w:val="0"/>
          <w:bCs w:val="0"/>
          <w:color w:val="auto"/>
        </w:rPr>
        <w:t>四、评审及磋商</w:t>
      </w:r>
      <w:bookmarkEnd w:id="132"/>
      <w:bookmarkEnd w:id="133"/>
      <w:bookmarkEnd w:id="134"/>
    </w:p>
    <w:p>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24.磋商小组成立</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w:t>
      </w:r>
    </w:p>
    <w:p>
      <w:pPr>
        <w:spacing w:line="360" w:lineRule="auto"/>
        <w:ind w:firstLine="482" w:firstLineChars="200"/>
        <w:rPr>
          <w:rFonts w:ascii="黑体" w:hAnsi="黑体" w:eastAsia="黑体" w:cs="宋体"/>
          <w:b/>
          <w:bCs/>
          <w:color w:val="auto"/>
          <w:sz w:val="24"/>
        </w:rPr>
      </w:pPr>
      <w:r>
        <w:rPr>
          <w:rFonts w:ascii="黑体" w:hAnsi="黑体" w:eastAsia="黑体" w:cs="宋体"/>
          <w:b/>
          <w:bCs/>
          <w:color w:val="auto"/>
          <w:sz w:val="24"/>
        </w:rPr>
        <w:t>25.</w:t>
      </w:r>
      <w:r>
        <w:rPr>
          <w:rFonts w:hint="eastAsia" w:ascii="黑体" w:hAnsi="黑体" w:eastAsia="黑体" w:cs="宋体"/>
          <w:b/>
          <w:bCs/>
          <w:color w:val="auto"/>
          <w:sz w:val="24"/>
        </w:rPr>
        <w:t>首次响应文件的开启</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25.1首次响应文件由磋商小组或者采购代理机构在“供应商须知前附表”规定的时间开启。</w:t>
      </w:r>
    </w:p>
    <w:p>
      <w:pPr>
        <w:spacing w:line="360" w:lineRule="auto"/>
        <w:ind w:firstLine="420" w:firstLineChars="200"/>
        <w:rPr>
          <w:rFonts w:hint="eastAsia" w:ascii="宋体" w:hAnsi="宋体" w:cs="宋体"/>
          <w:bCs/>
          <w:color w:val="auto"/>
          <w:kern w:val="0"/>
          <w:szCs w:val="21"/>
        </w:rPr>
      </w:pPr>
      <w:r>
        <w:rPr>
          <w:rFonts w:hint="eastAsia" w:ascii="宋体" w:hAnsi="宋体" w:cs="宋体"/>
          <w:color w:val="auto"/>
          <w:kern w:val="0"/>
          <w:szCs w:val="21"/>
        </w:rPr>
        <w:t xml:space="preserve">25.2 </w:t>
      </w:r>
      <w:r>
        <w:rPr>
          <w:rFonts w:hint="eastAsia" w:ascii="宋体" w:hAnsi="宋体" w:cs="宋体"/>
          <w:bCs/>
          <w:color w:val="auto"/>
          <w:kern w:val="0"/>
          <w:szCs w:val="21"/>
        </w:rPr>
        <w:t>响应文件解密</w:t>
      </w:r>
    </w:p>
    <w:p>
      <w:pPr>
        <w:snapToGrid w:val="0"/>
        <w:spacing w:line="360" w:lineRule="auto"/>
        <w:ind w:firstLine="420" w:firstLineChars="200"/>
        <w:rPr>
          <w:rFonts w:hint="eastAsia" w:ascii="宋体" w:hAnsi="宋体" w:cs="宋体"/>
          <w:color w:val="auto"/>
          <w:kern w:val="0"/>
          <w:szCs w:val="21"/>
        </w:rPr>
      </w:pPr>
      <w:r>
        <w:rPr>
          <w:rFonts w:hint="eastAsia" w:ascii="宋体" w:hAnsi="宋体" w:cs="宋体"/>
          <w:bCs/>
          <w:color w:val="auto"/>
          <w:kern w:val="0"/>
          <w:szCs w:val="21"/>
        </w:rPr>
        <w:t>采购代理机构将在“供应商须知前附表”规定的时</w:t>
      </w:r>
      <w:r>
        <w:rPr>
          <w:rFonts w:hint="eastAsia" w:ascii="宋体" w:hAnsi="宋体" w:cs="宋体"/>
          <w:color w:val="auto"/>
          <w:kern w:val="0"/>
          <w:szCs w:val="21"/>
        </w:rPr>
        <w:t>间通过电子交易平台组织响应文件开启，采购机构依托电子交易平台发起开始解密指令，供应商的法定代表人或其委托代理人</w:t>
      </w:r>
      <w:r>
        <w:rPr>
          <w:rFonts w:hint="eastAsia" w:ascii="宋体" w:hAnsi="宋体" w:cs="宋体"/>
          <w:b/>
          <w:color w:val="auto"/>
          <w:kern w:val="0"/>
          <w:szCs w:val="21"/>
        </w:rPr>
        <w:t>须携带加密时所用的CA锁按平台提示和采购文件的规定登录到</w:t>
      </w:r>
      <w:r>
        <w:rPr>
          <w:rFonts w:hint="eastAsia" w:ascii="宋体" w:hAnsi="宋体" w:cs="宋体"/>
          <w:b/>
          <w:color w:val="auto"/>
          <w:kern w:val="0"/>
          <w:szCs w:val="21"/>
          <w:lang w:eastAsia="zh-CN"/>
        </w:rPr>
        <w:t>广西政府采购云平台</w:t>
      </w:r>
      <w:r>
        <w:rPr>
          <w:rFonts w:hint="eastAsia" w:ascii="宋体" w:hAnsi="宋体" w:cs="宋体"/>
          <w:b/>
          <w:color w:val="auto"/>
          <w:kern w:val="0"/>
          <w:szCs w:val="21"/>
        </w:rPr>
        <w:t>电子开标大厅签到并在规定的时间内完成对电子响应文件在线解密</w:t>
      </w:r>
      <w:r>
        <w:rPr>
          <w:rFonts w:hint="eastAsia" w:ascii="宋体" w:hAnsi="宋体" w:cs="宋体"/>
          <w:color w:val="auto"/>
          <w:kern w:val="0"/>
          <w:szCs w:val="21"/>
        </w:rPr>
        <w:t>。</w:t>
      </w:r>
      <w:r>
        <w:rPr>
          <w:rFonts w:hint="eastAsia" w:ascii="宋体" w:hAnsi="宋体" w:cs="宋体"/>
          <w:color w:val="auto"/>
          <w:kern w:val="1"/>
          <w:szCs w:val="21"/>
        </w:rPr>
        <w:t>响应文件未按时解密的</w:t>
      </w:r>
      <w:r>
        <w:rPr>
          <w:rFonts w:hint="eastAsia" w:ascii="宋体" w:hAnsi="宋体" w:cs="宋体"/>
          <w:color w:val="auto"/>
          <w:kern w:val="0"/>
          <w:szCs w:val="21"/>
        </w:rPr>
        <w:t>，</w:t>
      </w:r>
      <w:r>
        <w:rPr>
          <w:rFonts w:hint="eastAsia" w:ascii="宋体" w:hAnsi="宋体" w:cs="宋体"/>
          <w:b/>
          <w:color w:val="auto"/>
          <w:kern w:val="0"/>
          <w:szCs w:val="21"/>
        </w:rPr>
        <w:t>视为响应文件无效。</w:t>
      </w:r>
      <w:r>
        <w:rPr>
          <w:rFonts w:hint="eastAsia" w:ascii="宋体" w:hAnsi="宋体" w:cs="宋体"/>
          <w:color w:val="auto"/>
          <w:kern w:val="0"/>
          <w:szCs w:val="21"/>
        </w:rPr>
        <w:t>（解密</w:t>
      </w:r>
      <w:r>
        <w:rPr>
          <w:rFonts w:hint="eastAsia" w:ascii="宋体" w:hAnsi="宋体" w:cs="宋体"/>
          <w:bCs/>
          <w:color w:val="auto"/>
          <w:kern w:val="0"/>
          <w:szCs w:val="21"/>
        </w:rPr>
        <w:t>异常情况处理：详见本章</w:t>
      </w:r>
      <w:r>
        <w:rPr>
          <w:rFonts w:hint="eastAsia" w:ascii="宋体" w:hAnsi="宋体" w:cs="宋体"/>
          <w:color w:val="auto"/>
          <w:kern w:val="0"/>
          <w:szCs w:val="21"/>
        </w:rPr>
        <w:t>26.4电子交易活动的中止。）</w:t>
      </w:r>
    </w:p>
    <w:p>
      <w:pPr>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如</w:t>
      </w:r>
      <w:r>
        <w:rPr>
          <w:rFonts w:hint="eastAsia" w:ascii="宋体" w:hAnsi="宋体" w:cs="宋体"/>
          <w:bCs/>
          <w:color w:val="auto"/>
          <w:kern w:val="0"/>
          <w:szCs w:val="21"/>
        </w:rPr>
        <w:t>供应商成功解密响应文件，但未在</w:t>
      </w:r>
      <w:r>
        <w:rPr>
          <w:rFonts w:hint="eastAsia" w:ascii="宋体" w:hAnsi="宋体" w:cs="宋体"/>
          <w:bCs/>
          <w:color w:val="auto"/>
          <w:kern w:val="0"/>
          <w:szCs w:val="21"/>
          <w:lang w:eastAsia="zh-CN"/>
        </w:rPr>
        <w:t>广西政府采购云平台电子开标大厅</w:t>
      </w:r>
      <w:r>
        <w:rPr>
          <w:rFonts w:hint="eastAsia" w:ascii="宋体" w:hAnsi="宋体" w:cs="宋体"/>
          <w:bCs/>
          <w:color w:val="auto"/>
          <w:kern w:val="0"/>
          <w:szCs w:val="21"/>
        </w:rPr>
        <w:t>参加磋商的，视同认可磋商过程和结果，</w:t>
      </w:r>
      <w:r>
        <w:rPr>
          <w:rFonts w:hint="eastAsia" w:ascii="宋体" w:hAnsi="宋体" w:cs="宋体"/>
          <w:color w:val="auto"/>
          <w:kern w:val="0"/>
          <w:szCs w:val="21"/>
        </w:rPr>
        <w:t>由此产生的后果由供应商自行负责。 参与磋商的供应商不足3家的，不得磋商。</w:t>
      </w:r>
    </w:p>
    <w:p>
      <w:pPr>
        <w:spacing w:line="360" w:lineRule="auto"/>
        <w:ind w:firstLine="482" w:firstLineChars="200"/>
        <w:rPr>
          <w:rFonts w:hint="eastAsia" w:ascii="黑体" w:hAnsi="黑体" w:eastAsia="黑体" w:cs="宋体"/>
          <w:b/>
          <w:bCs/>
          <w:color w:val="auto"/>
          <w:sz w:val="24"/>
        </w:rPr>
      </w:pPr>
      <w:r>
        <w:rPr>
          <w:rFonts w:ascii="黑体" w:hAnsi="黑体" w:eastAsia="黑体" w:cs="宋体"/>
          <w:b/>
          <w:bCs/>
          <w:color w:val="auto"/>
          <w:sz w:val="24"/>
        </w:rPr>
        <w:t>26</w:t>
      </w:r>
      <w:r>
        <w:rPr>
          <w:rFonts w:hint="eastAsia" w:ascii="黑体" w:hAnsi="黑体" w:eastAsia="黑体" w:cs="宋体"/>
          <w:b/>
          <w:bCs/>
          <w:color w:val="auto"/>
          <w:sz w:val="24"/>
        </w:rPr>
        <w:t>.评审程序、评审方法和评审标准</w:t>
      </w:r>
    </w:p>
    <w:p>
      <w:pPr>
        <w:spacing w:line="360" w:lineRule="auto"/>
        <w:ind w:firstLine="420" w:firstLineChars="200"/>
        <w:rPr>
          <w:rFonts w:hint="eastAsia" w:ascii="宋体" w:hAnsi="宋体" w:cs="宋体"/>
          <w:color w:val="auto"/>
        </w:rPr>
      </w:pPr>
      <w:r>
        <w:rPr>
          <w:rFonts w:hint="eastAsia" w:ascii="宋体" w:hAnsi="宋体" w:cs="宋体"/>
          <w:color w:val="auto"/>
        </w:rPr>
        <w:t>26.1本项目的评审方法详见“供应商须知前附表”。磋商小组按照“第四章 评审程序、评审方法和评审标准”规定的方法、评审因素、标准和程序对响应文件进行评审。</w:t>
      </w:r>
    </w:p>
    <w:p>
      <w:pPr>
        <w:spacing w:line="360" w:lineRule="auto"/>
        <w:ind w:firstLine="420" w:firstLineChars="200"/>
        <w:rPr>
          <w:rFonts w:hint="eastAsia" w:ascii="宋体" w:hAnsi="宋体" w:cs="宋体"/>
          <w:color w:val="auto"/>
        </w:rPr>
      </w:pPr>
      <w:r>
        <w:rPr>
          <w:rFonts w:hint="eastAsia" w:ascii="宋体" w:hAnsi="宋体" w:cs="宋体"/>
          <w:color w:val="auto"/>
        </w:rPr>
        <w:t>26.2磋商文件内容违反国家有关强制性规定的，磋商小组应当停止评审并向采购人或者采购代理机构说明情况，并在评审报告中书面体现。</w:t>
      </w:r>
    </w:p>
    <w:p>
      <w:pPr>
        <w:spacing w:line="360" w:lineRule="auto"/>
        <w:ind w:firstLine="420" w:firstLineChars="200"/>
        <w:rPr>
          <w:rFonts w:hint="eastAsia" w:ascii="宋体" w:hAnsi="宋体" w:cs="宋体"/>
          <w:color w:val="auto"/>
          <w:szCs w:val="21"/>
        </w:rPr>
      </w:pPr>
      <w:r>
        <w:rPr>
          <w:rFonts w:hint="eastAsia" w:ascii="宋体" w:hAnsi="宋体" w:cs="宋体"/>
          <w:color w:val="auto"/>
        </w:rPr>
        <w:t>26.3 采购需求负偏离要求及磋商顺序详见“供应商须知前附表</w:t>
      </w:r>
      <w:r>
        <w:rPr>
          <w:rFonts w:hint="eastAsia" w:ascii="宋体" w:hAnsi="宋体" w:cs="宋体"/>
          <w:color w:val="auto"/>
          <w:szCs w:val="21"/>
        </w:rPr>
        <w:t>”。</w:t>
      </w:r>
    </w:p>
    <w:p>
      <w:pPr>
        <w:spacing w:line="360" w:lineRule="auto"/>
        <w:ind w:firstLine="420" w:firstLineChars="200"/>
        <w:rPr>
          <w:rFonts w:hint="eastAsia" w:ascii="宋体" w:hAnsi="宋体" w:cs="宋体"/>
          <w:color w:val="auto"/>
        </w:rPr>
      </w:pPr>
      <w:r>
        <w:rPr>
          <w:rFonts w:hint="eastAsia" w:ascii="宋体" w:hAnsi="宋体" w:cs="宋体"/>
          <w:color w:val="auto"/>
        </w:rPr>
        <w:t>26.4电子交易活动的中止。采购过程中出现以下情形，导致电子交易平台无法正常运行，或者无法保证电子交易的公平、公正和安全时，采购机构可中止电子交易活动：</w:t>
      </w:r>
    </w:p>
    <w:p>
      <w:pPr>
        <w:spacing w:line="360" w:lineRule="auto"/>
        <w:ind w:firstLine="420" w:firstLineChars="200"/>
        <w:rPr>
          <w:rFonts w:hint="eastAsia" w:ascii="宋体" w:hAnsi="宋体" w:cs="宋体"/>
          <w:color w:val="auto"/>
        </w:rPr>
      </w:pPr>
      <w:r>
        <w:rPr>
          <w:rFonts w:hint="eastAsia" w:ascii="宋体" w:hAnsi="宋体" w:cs="宋体"/>
          <w:color w:val="auto"/>
        </w:rPr>
        <w:t xml:space="preserve">（1）电子交易平台发生故障而无法登录访问的； </w:t>
      </w:r>
    </w:p>
    <w:p>
      <w:pPr>
        <w:spacing w:line="360" w:lineRule="auto"/>
        <w:ind w:firstLine="420" w:firstLineChars="200"/>
        <w:rPr>
          <w:rFonts w:hint="eastAsia" w:ascii="宋体" w:hAnsi="宋体" w:cs="宋体"/>
          <w:color w:val="auto"/>
        </w:rPr>
      </w:pPr>
      <w:r>
        <w:rPr>
          <w:rFonts w:hint="eastAsia" w:ascii="宋体" w:hAnsi="宋体" w:cs="宋体"/>
          <w:color w:val="auto"/>
        </w:rPr>
        <w:t>（2）电子交易平台应用或数据库出现错误，不能进行正常操作的；</w:t>
      </w:r>
    </w:p>
    <w:p>
      <w:pPr>
        <w:spacing w:line="360" w:lineRule="auto"/>
        <w:ind w:firstLine="420" w:firstLineChars="200"/>
        <w:rPr>
          <w:rFonts w:hint="eastAsia" w:ascii="宋体" w:hAnsi="宋体" w:cs="宋体"/>
          <w:color w:val="auto"/>
        </w:rPr>
      </w:pPr>
      <w:r>
        <w:rPr>
          <w:rFonts w:hint="eastAsia" w:ascii="宋体" w:hAnsi="宋体" w:cs="宋体"/>
          <w:color w:val="auto"/>
        </w:rPr>
        <w:t>（3）电子交易平台发现严重安全漏洞，有潜在泄密危险的；</w:t>
      </w:r>
    </w:p>
    <w:p>
      <w:pPr>
        <w:spacing w:line="360" w:lineRule="auto"/>
        <w:ind w:firstLine="420" w:firstLineChars="200"/>
        <w:rPr>
          <w:rFonts w:hint="eastAsia" w:ascii="宋体" w:hAnsi="宋体" w:cs="宋体"/>
          <w:color w:val="auto"/>
        </w:rPr>
      </w:pPr>
      <w:r>
        <w:rPr>
          <w:rFonts w:hint="eastAsia" w:ascii="宋体" w:hAnsi="宋体" w:cs="宋体"/>
          <w:color w:val="auto"/>
        </w:rPr>
        <w:t xml:space="preserve">（4）病毒发作导致不能进行正常操作的； </w:t>
      </w:r>
    </w:p>
    <w:p>
      <w:pPr>
        <w:spacing w:line="360" w:lineRule="auto"/>
        <w:ind w:firstLine="420" w:firstLineChars="200"/>
        <w:rPr>
          <w:rFonts w:hint="eastAsia" w:ascii="宋体" w:hAnsi="宋体" w:cs="宋体"/>
          <w:color w:val="auto"/>
        </w:rPr>
      </w:pPr>
      <w:r>
        <w:rPr>
          <w:rFonts w:hint="eastAsia" w:ascii="宋体" w:hAnsi="宋体" w:cs="宋体"/>
          <w:color w:val="auto"/>
        </w:rPr>
        <w:t>（5）其他无法保证电子交易的公平、公正和安全的情况。</w:t>
      </w:r>
    </w:p>
    <w:p>
      <w:pPr>
        <w:spacing w:line="360" w:lineRule="auto"/>
        <w:ind w:firstLine="420" w:firstLineChars="200"/>
        <w:rPr>
          <w:rFonts w:hint="eastAsia" w:ascii="宋体" w:hAnsi="宋体" w:cs="宋体"/>
          <w:color w:val="auto"/>
        </w:rPr>
      </w:pPr>
      <w:r>
        <w:rPr>
          <w:rFonts w:hint="eastAsia" w:ascii="宋体" w:hAnsi="宋体" w:cs="宋体"/>
          <w:color w:val="auto"/>
        </w:rPr>
        <w:t>26.5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pPr>
        <w:pStyle w:val="4"/>
        <w:spacing w:before="0" w:after="0" w:line="360" w:lineRule="auto"/>
        <w:ind w:firstLine="480" w:firstLineChars="150"/>
        <w:rPr>
          <w:rFonts w:hint="eastAsia"/>
          <w:b w:val="0"/>
          <w:bCs w:val="0"/>
          <w:color w:val="auto"/>
        </w:rPr>
      </w:pPr>
      <w:bookmarkStart w:id="135" w:name="_Toc12018"/>
      <w:bookmarkStart w:id="136" w:name="_Toc80886934"/>
      <w:bookmarkStart w:id="137" w:name="_Toc17745"/>
    </w:p>
    <w:p>
      <w:pPr>
        <w:pStyle w:val="4"/>
        <w:spacing w:before="0" w:after="0" w:line="360" w:lineRule="auto"/>
        <w:ind w:firstLine="480" w:firstLineChars="150"/>
        <w:rPr>
          <w:rFonts w:hint="eastAsia"/>
          <w:b w:val="0"/>
          <w:bCs w:val="0"/>
          <w:color w:val="auto"/>
        </w:rPr>
      </w:pPr>
      <w:r>
        <w:rPr>
          <w:rFonts w:hint="eastAsia"/>
          <w:b w:val="0"/>
          <w:bCs w:val="0"/>
          <w:color w:val="auto"/>
        </w:rPr>
        <w:t>五、成交及合同</w:t>
      </w:r>
      <w:bookmarkEnd w:id="135"/>
      <w:bookmarkEnd w:id="136"/>
      <w:bookmarkEnd w:id="137"/>
    </w:p>
    <w:p>
      <w:pPr>
        <w:spacing w:line="360" w:lineRule="auto"/>
        <w:ind w:firstLine="482" w:firstLineChars="200"/>
        <w:rPr>
          <w:rFonts w:hint="eastAsia" w:ascii="黑体" w:hAnsi="黑体" w:eastAsia="黑体" w:cs="宋体"/>
          <w:b/>
          <w:bCs/>
          <w:color w:val="auto"/>
          <w:sz w:val="24"/>
        </w:rPr>
      </w:pPr>
      <w:r>
        <w:rPr>
          <w:rFonts w:ascii="黑体" w:hAnsi="黑体" w:eastAsia="黑体" w:cs="宋体"/>
          <w:b/>
          <w:bCs/>
          <w:color w:val="auto"/>
          <w:sz w:val="24"/>
        </w:rPr>
        <w:t>27</w:t>
      </w:r>
      <w:r>
        <w:rPr>
          <w:rFonts w:hint="eastAsia" w:ascii="黑体" w:hAnsi="黑体" w:eastAsia="黑体" w:cs="宋体"/>
          <w:b/>
          <w:bCs/>
          <w:color w:val="auto"/>
          <w:sz w:val="24"/>
        </w:rPr>
        <w:t>.确定成交供应商及结果公告</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27.1确定成交供应商。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27.2成交通知及成交结果公告。采购代理机构应当在</w:t>
      </w:r>
      <w:r>
        <w:rPr>
          <w:rFonts w:hint="eastAsia" w:ascii="宋体" w:hAnsi="宋体" w:cs="宋体"/>
          <w:color w:val="auto"/>
          <w:kern w:val="0"/>
          <w:szCs w:val="21"/>
        </w:rPr>
        <w:t>成交</w:t>
      </w:r>
      <w:r>
        <w:rPr>
          <w:rFonts w:hint="eastAsia" w:ascii="宋体" w:hAnsi="宋体" w:cs="宋体"/>
          <w:color w:val="auto"/>
          <w:szCs w:val="21"/>
        </w:rPr>
        <w:t>供应商确定后2个工作日内，在省级以上财政部门指定的媒体上公告成交结果，同时向成交供应商发出成交通知书。</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27.3采购人或者采购代理机构发出成交通知书前，应当对成交供应商信用进行查询核实，对列入失信被执行人、重大税收违法失信主体、政府采购严重违法失信行为记录名单及其他不符合《中华人民共和国政府采购法》第二十二条规定条件的供应商，取消其成交资格，并依法确定排名第二的成交候选人为成交供应商。排名第二的成交候选人因上述规定的同样原因被取消成交资格的，采购人可以依法确定排名第三的成交候选人为成交供应商，以此类推。以上信息查询记录及相关证据与磋商文件一并保存。成交供应商享受《政府采购促进中小企业发展管理办法》（财库〔2020〕46号）规定的中小企业扶持政策的，采购人、采购代理机构应当随成交结果公开成交供应商的《中小企业声明函》。</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pPr>
        <w:spacing w:line="360" w:lineRule="auto"/>
        <w:ind w:firstLine="420" w:firstLineChars="200"/>
        <w:rPr>
          <w:rFonts w:hint="eastAsia" w:ascii="宋体" w:hAnsi="宋体" w:cs="宋体"/>
          <w:color w:val="auto"/>
          <w:szCs w:val="21"/>
        </w:rPr>
      </w:pPr>
      <w:r>
        <w:rPr>
          <w:rFonts w:hint="eastAsia" w:ascii="宋体" w:hAnsi="宋体" w:cs="宋体"/>
          <w:bCs/>
          <w:color w:val="auto"/>
          <w:szCs w:val="21"/>
        </w:rPr>
        <w:t>27.5排名第一的成交候选人放弃成交，采购人可以按照评审报告推荐的成交候选人名单排序，依法确定下一候选人为成交</w:t>
      </w:r>
      <w:r>
        <w:rPr>
          <w:rFonts w:hint="eastAsia" w:ascii="宋体" w:hAnsi="宋体" w:cs="宋体"/>
          <w:color w:val="auto"/>
          <w:szCs w:val="21"/>
        </w:rPr>
        <w:t>供应商</w:t>
      </w:r>
      <w:r>
        <w:rPr>
          <w:rFonts w:hint="eastAsia" w:ascii="宋体" w:hAnsi="宋体" w:cs="宋体"/>
          <w:bCs/>
          <w:color w:val="auto"/>
          <w:szCs w:val="21"/>
        </w:rPr>
        <w:t>，也可以重新开展政府采购活动</w:t>
      </w:r>
      <w:r>
        <w:rPr>
          <w:rFonts w:hint="eastAsia" w:ascii="宋体" w:hAnsi="宋体" w:cs="宋体"/>
          <w:color w:val="auto"/>
          <w:szCs w:val="21"/>
        </w:rPr>
        <w:t>。</w:t>
      </w:r>
    </w:p>
    <w:p>
      <w:pPr>
        <w:spacing w:line="360" w:lineRule="auto"/>
        <w:ind w:firstLine="482" w:firstLineChars="200"/>
        <w:rPr>
          <w:rFonts w:hint="eastAsia" w:ascii="黑体" w:hAnsi="黑体" w:eastAsia="黑体" w:cs="宋体"/>
          <w:b/>
          <w:bCs/>
          <w:color w:val="auto"/>
          <w:sz w:val="24"/>
        </w:rPr>
      </w:pPr>
      <w:r>
        <w:rPr>
          <w:rFonts w:ascii="黑体" w:hAnsi="黑体" w:eastAsia="黑体" w:cs="宋体"/>
          <w:b/>
          <w:bCs/>
          <w:color w:val="auto"/>
          <w:sz w:val="24"/>
        </w:rPr>
        <w:t>28</w:t>
      </w:r>
      <w:r>
        <w:rPr>
          <w:rFonts w:hint="eastAsia" w:ascii="黑体" w:hAnsi="黑体" w:eastAsia="黑体" w:cs="宋体"/>
          <w:b/>
          <w:bCs/>
          <w:color w:val="auto"/>
          <w:sz w:val="24"/>
        </w:rPr>
        <w:t>.履约保证金</w:t>
      </w:r>
    </w:p>
    <w:p>
      <w:pPr>
        <w:spacing w:line="360" w:lineRule="auto"/>
        <w:ind w:firstLine="424" w:firstLineChars="202"/>
        <w:rPr>
          <w:rFonts w:hint="eastAsia" w:ascii="宋体" w:hAnsi="宋体" w:cs="宋体"/>
          <w:color w:val="auto"/>
          <w:szCs w:val="21"/>
        </w:rPr>
      </w:pPr>
      <w:r>
        <w:rPr>
          <w:rFonts w:ascii="宋体" w:hAnsi="宋体" w:cs="宋体"/>
          <w:color w:val="auto"/>
          <w:szCs w:val="21"/>
        </w:rPr>
        <w:t>28</w:t>
      </w:r>
      <w:r>
        <w:rPr>
          <w:rFonts w:hint="eastAsia" w:ascii="宋体" w:hAnsi="宋体" w:cs="宋体"/>
          <w:color w:val="auto"/>
          <w:szCs w:val="21"/>
        </w:rPr>
        <w:t>.1</w:t>
      </w:r>
      <w:r>
        <w:rPr>
          <w:rFonts w:ascii="宋体" w:hAnsi="宋体" w:cs="宋体"/>
          <w:color w:val="auto"/>
          <w:szCs w:val="21"/>
        </w:rPr>
        <w:t xml:space="preserve"> </w:t>
      </w:r>
      <w:r>
        <w:rPr>
          <w:rFonts w:hint="eastAsia" w:ascii="宋体" w:hAnsi="宋体" w:cs="宋体"/>
          <w:color w:val="auto"/>
          <w:szCs w:val="21"/>
        </w:rPr>
        <w:t>履约保证金的金额、提交方式、退付的时间和条件详见 “供应商须知前附表”。成交供应商未按规定提交履约保证金的，视为拒绝</w:t>
      </w:r>
      <w:r>
        <w:rPr>
          <w:rFonts w:ascii="宋体" w:hAnsi="宋体"/>
          <w:color w:val="auto"/>
        </w:rPr>
        <w:t>与采购人</w:t>
      </w:r>
      <w:r>
        <w:rPr>
          <w:rFonts w:hint="eastAsia" w:ascii="宋体" w:hAnsi="宋体" w:cs="宋体"/>
          <w:color w:val="auto"/>
          <w:szCs w:val="21"/>
        </w:rPr>
        <w:t>签订合同，采购人可以按照评审报告推荐的成交候选人名单排序，依法确定下一候选人为成交供应商，也可以重新开展政府采购活动。</w:t>
      </w:r>
    </w:p>
    <w:p>
      <w:pPr>
        <w:spacing w:line="360" w:lineRule="auto"/>
        <w:ind w:firstLine="424" w:firstLineChars="202"/>
        <w:rPr>
          <w:rFonts w:hint="eastAsia" w:ascii="宋体" w:hAnsi="宋体" w:cs="宋体"/>
          <w:color w:val="auto"/>
          <w:szCs w:val="21"/>
        </w:rPr>
      </w:pPr>
      <w:r>
        <w:rPr>
          <w:rFonts w:ascii="宋体" w:hAnsi="宋体" w:cs="宋体"/>
          <w:color w:val="auto"/>
          <w:szCs w:val="21"/>
        </w:rPr>
        <w:t>28</w:t>
      </w:r>
      <w:r>
        <w:rPr>
          <w:rFonts w:hint="eastAsia" w:ascii="宋体" w:hAnsi="宋体" w:cs="宋体"/>
          <w:color w:val="auto"/>
          <w:szCs w:val="21"/>
        </w:rPr>
        <w:t>.2签订合同后，如成交供应商不按双方签订的合同规定履约，则没收其全部履约保证金，履约保证金不足以赔偿损失的，按实际损失赔偿。</w:t>
      </w:r>
    </w:p>
    <w:p>
      <w:pPr>
        <w:spacing w:line="360" w:lineRule="auto"/>
        <w:ind w:firstLine="424" w:firstLineChars="202"/>
        <w:rPr>
          <w:rFonts w:hint="eastAsia" w:ascii="宋体" w:hAnsi="宋体" w:cs="宋体"/>
          <w:color w:val="auto"/>
          <w:szCs w:val="21"/>
        </w:rPr>
      </w:pPr>
      <w:r>
        <w:rPr>
          <w:rFonts w:ascii="宋体" w:hAnsi="宋体" w:cs="宋体"/>
          <w:color w:val="auto"/>
          <w:szCs w:val="21"/>
        </w:rPr>
        <w:t>28</w:t>
      </w:r>
      <w:r>
        <w:rPr>
          <w:rFonts w:hint="eastAsia" w:ascii="宋体" w:hAnsi="宋体" w:cs="宋体"/>
          <w:color w:val="auto"/>
          <w:szCs w:val="21"/>
        </w:rPr>
        <w:t>.</w:t>
      </w:r>
      <w:r>
        <w:rPr>
          <w:rFonts w:ascii="宋体" w:hAnsi="宋体" w:cs="宋体"/>
          <w:color w:val="auto"/>
          <w:szCs w:val="21"/>
        </w:rPr>
        <w:t>3</w:t>
      </w:r>
      <w:r>
        <w:rPr>
          <w:rFonts w:hint="eastAsia" w:ascii="宋体" w:hAnsi="宋体" w:cs="宋体"/>
          <w:color w:val="auto"/>
          <w:szCs w:val="21"/>
        </w:rPr>
        <w:t>在履约保证金退还日期前，若成交供应商的开户名称、开户银行、账号有变动的，请以书面形式通知履约保证金收取单位，否则由此产生的后果由成交供应商自行承担。</w:t>
      </w:r>
    </w:p>
    <w:p>
      <w:pPr>
        <w:spacing w:line="360" w:lineRule="auto"/>
        <w:ind w:firstLine="482" w:firstLineChars="200"/>
        <w:rPr>
          <w:rFonts w:hint="eastAsia" w:ascii="黑体" w:hAnsi="黑体" w:eastAsia="黑体" w:cs="宋体"/>
          <w:b/>
          <w:bCs/>
          <w:color w:val="auto"/>
          <w:sz w:val="24"/>
        </w:rPr>
      </w:pPr>
      <w:r>
        <w:rPr>
          <w:rFonts w:ascii="黑体" w:hAnsi="黑体" w:eastAsia="黑体" w:cs="宋体"/>
          <w:b/>
          <w:bCs/>
          <w:color w:val="auto"/>
          <w:sz w:val="24"/>
        </w:rPr>
        <w:t>29</w:t>
      </w:r>
      <w:r>
        <w:rPr>
          <w:rFonts w:hint="eastAsia" w:ascii="黑体" w:hAnsi="黑体" w:eastAsia="黑体" w:cs="宋体"/>
          <w:b/>
          <w:bCs/>
          <w:color w:val="auto"/>
          <w:sz w:val="24"/>
        </w:rPr>
        <w:t>.签订合同</w:t>
      </w:r>
    </w:p>
    <w:p>
      <w:pPr>
        <w:pStyle w:val="69"/>
        <w:snapToGrid w:val="0"/>
        <w:spacing w:before="0"/>
        <w:ind w:firstLine="420"/>
        <w:rPr>
          <w:rFonts w:hint="eastAsia" w:ascii="宋体" w:hAnsi="宋体" w:cs="宋体"/>
          <w:color w:val="auto"/>
          <w:sz w:val="21"/>
          <w:szCs w:val="21"/>
          <w:lang w:val="zh-CN"/>
        </w:rPr>
      </w:pPr>
      <w:r>
        <w:rPr>
          <w:rFonts w:hint="eastAsia" w:ascii="宋体" w:hAnsi="宋体" w:cs="宋体"/>
          <w:color w:val="auto"/>
          <w:sz w:val="21"/>
          <w:szCs w:val="21"/>
        </w:rPr>
        <w:t>29.1采购人与成交供应商应当在成交通知书规定的时间内，按照磋商文件确定的合同文本以及采购标的、服务技术、采购金额、采购数量、技术和服务要求等事项签订政府采购合同。</w:t>
      </w:r>
      <w:r>
        <w:rPr>
          <w:rFonts w:hint="eastAsia" w:ascii="宋体" w:hAnsi="宋体" w:cs="宋体"/>
          <w:color w:val="auto"/>
          <w:sz w:val="21"/>
          <w:szCs w:val="21"/>
          <w:lang w:val="zh-CN"/>
        </w:rPr>
        <w:t>如成交供应商为联合体的，由联合体成员各方法定代表人或其授权代表与采购人代表签订合同。</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29.3成交供应商拒绝签订政府采购合同的，采购人可以按照评审报告推荐的成交候选人名单排序，依法确定下一候选人为成交供应商，也可以重新开展采购活动。拒绝签订政府采购合同的成交供应商不得参加对该项目重新开展的采购活动。</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29.4如签订合同并生效后，供应商无故拒绝或延期，除按照合同条款处理外，列入不良行为记录，并给予通报。</w:t>
      </w:r>
    </w:p>
    <w:p>
      <w:pPr>
        <w:spacing w:line="360" w:lineRule="auto"/>
        <w:ind w:firstLine="420" w:firstLineChars="200"/>
        <w:rPr>
          <w:rFonts w:hint="eastAsia" w:ascii="宋体" w:hAnsi="宋体" w:cs="宋体"/>
          <w:b/>
          <w:bCs/>
          <w:i/>
          <w:iCs/>
          <w:color w:val="auto"/>
          <w:szCs w:val="21"/>
        </w:rPr>
      </w:pPr>
      <w:r>
        <w:rPr>
          <w:rFonts w:hint="eastAsia" w:ascii="宋体" w:hAnsi="宋体" w:cs="宋体"/>
          <w:color w:val="auto"/>
          <w:szCs w:val="21"/>
        </w:rPr>
        <w:t>29.5采购合同由采购人与成交供应商根据磋商文件、响应文件等内容签订，成交供应商应当在签订合同时向采购人出示相关证明材料，具体内容详见 “供应商须知前附表”，经采购人核验合格后方可签订合同。</w:t>
      </w:r>
    </w:p>
    <w:p>
      <w:pPr>
        <w:spacing w:line="360" w:lineRule="auto"/>
        <w:ind w:firstLine="482" w:firstLineChars="200"/>
        <w:rPr>
          <w:rFonts w:hint="eastAsia" w:ascii="黑体" w:hAnsi="黑体" w:eastAsia="黑体" w:cs="宋体"/>
          <w:b/>
          <w:bCs/>
          <w:color w:val="auto"/>
          <w:sz w:val="24"/>
        </w:rPr>
      </w:pPr>
      <w:r>
        <w:rPr>
          <w:rFonts w:ascii="黑体" w:hAnsi="黑体" w:eastAsia="黑体" w:cs="宋体"/>
          <w:b/>
          <w:bCs/>
          <w:color w:val="auto"/>
          <w:sz w:val="24"/>
        </w:rPr>
        <w:t>30</w:t>
      </w:r>
      <w:r>
        <w:rPr>
          <w:rFonts w:hint="eastAsia" w:ascii="黑体" w:hAnsi="黑体" w:eastAsia="黑体" w:cs="宋体"/>
          <w:b/>
          <w:bCs/>
          <w:color w:val="auto"/>
          <w:sz w:val="24"/>
        </w:rPr>
        <w:t>.政府采购合同公告</w:t>
      </w:r>
    </w:p>
    <w:p>
      <w:pPr>
        <w:spacing w:line="360" w:lineRule="auto"/>
        <w:ind w:firstLine="420" w:firstLineChars="200"/>
        <w:rPr>
          <w:rFonts w:hint="eastAsia" w:ascii="Calibri"/>
          <w:color w:val="auto"/>
        </w:rPr>
      </w:pPr>
      <w:r>
        <w:rPr>
          <w:rFonts w:hint="eastAsia" w:ascii="宋体" w:hAnsi="宋体" w:cs="宋体"/>
          <w:color w:val="auto"/>
          <w:szCs w:val="21"/>
        </w:rPr>
        <w:t>采购人应当自政府采购合同签订之日起2个工作日内，将政府采购合同在省级以上人民政府财政部门指定的媒体上公告，但政府采购合同中涉及国家秘密、商业秘密的内容除外</w:t>
      </w:r>
      <w:r>
        <w:rPr>
          <w:rFonts w:ascii="Calibri"/>
          <w:color w:val="auto"/>
        </w:rPr>
        <w:t>。</w:t>
      </w:r>
    </w:p>
    <w:p>
      <w:pPr>
        <w:spacing w:line="360" w:lineRule="auto"/>
        <w:ind w:firstLine="482" w:firstLineChars="200"/>
        <w:rPr>
          <w:rFonts w:hint="eastAsia" w:ascii="黑体" w:hAnsi="黑体" w:eastAsia="黑体" w:cs="宋体"/>
          <w:b/>
          <w:bCs/>
          <w:color w:val="auto"/>
          <w:sz w:val="24"/>
        </w:rPr>
      </w:pPr>
      <w:r>
        <w:rPr>
          <w:rFonts w:ascii="黑体" w:hAnsi="黑体" w:eastAsia="黑体" w:cs="宋体"/>
          <w:b/>
          <w:bCs/>
          <w:color w:val="auto"/>
          <w:sz w:val="24"/>
        </w:rPr>
        <w:t>31</w:t>
      </w:r>
      <w:r>
        <w:rPr>
          <w:rFonts w:hint="eastAsia" w:ascii="黑体" w:hAnsi="黑体" w:eastAsia="黑体" w:cs="宋体"/>
          <w:b/>
          <w:bCs/>
          <w:color w:val="auto"/>
          <w:sz w:val="24"/>
        </w:rPr>
        <w:t>. 询问、质疑和投诉</w:t>
      </w:r>
    </w:p>
    <w:p>
      <w:pPr>
        <w:spacing w:line="360" w:lineRule="auto"/>
        <w:ind w:firstLine="420" w:firstLineChars="200"/>
        <w:rPr>
          <w:rFonts w:hint="eastAsia" w:ascii="宋体" w:hAnsi="宋体" w:cs="宋体"/>
          <w:color w:val="auto"/>
        </w:rPr>
      </w:pPr>
      <w:r>
        <w:rPr>
          <w:rFonts w:hint="eastAsia" w:ascii="宋体" w:hAnsi="宋体" w:cs="宋体"/>
          <w:color w:val="auto"/>
        </w:rPr>
        <w:t>31.1供应商对政府采购活动事项有疑问的，可以向采购人或者采购代理机构提出询问，采购人或者采购代理机构应当在3个工作日内对供应商依法提出的询问作出答复。</w:t>
      </w:r>
    </w:p>
    <w:p>
      <w:pPr>
        <w:spacing w:line="360" w:lineRule="auto"/>
        <w:ind w:firstLine="420" w:firstLineChars="200"/>
        <w:rPr>
          <w:rFonts w:hint="eastAsia" w:ascii="宋体" w:hAnsi="宋体" w:cs="宋体"/>
          <w:b/>
          <w:color w:val="auto"/>
          <w:szCs w:val="21"/>
        </w:rPr>
      </w:pPr>
      <w:r>
        <w:rPr>
          <w:rFonts w:hint="eastAsia" w:ascii="宋体" w:hAnsi="宋体" w:cs="宋体"/>
          <w:color w:val="auto"/>
        </w:rPr>
        <w:t>31.2供应商认为磋商文件、采购过程或者成交结果使自己的合法权益受到损害的，应当在知道或者应知其权益受到损害之日起7个工作日内，以书面形式向采购人或者采购代理机构提出质疑，</w:t>
      </w:r>
      <w:r>
        <w:rPr>
          <w:rFonts w:hint="eastAsia" w:ascii="宋体" w:hAnsi="宋体" w:cs="宋体"/>
          <w:color w:val="auto"/>
          <w:shd w:val="clear" w:color="auto" w:fill="FFFFFF"/>
        </w:rPr>
        <w:t>接收质疑函的方式、联系部门、联系电话和通讯地址等信息详见</w:t>
      </w:r>
      <w:r>
        <w:rPr>
          <w:rFonts w:hint="eastAsia" w:ascii="宋体" w:hAnsi="宋体" w:cs="宋体"/>
          <w:color w:val="auto"/>
          <w:szCs w:val="21"/>
        </w:rPr>
        <w:t>“供应商须知前附表”</w:t>
      </w:r>
      <w:r>
        <w:rPr>
          <w:rFonts w:hint="eastAsia" w:ascii="宋体" w:hAnsi="宋体" w:cs="宋体"/>
          <w:color w:val="auto"/>
        </w:rPr>
        <w:t>。</w:t>
      </w:r>
      <w:r>
        <w:rPr>
          <w:rFonts w:hint="eastAsia" w:ascii="宋体" w:hAnsi="宋体" w:cs="宋体"/>
          <w:b/>
          <w:color w:val="auto"/>
          <w:szCs w:val="21"/>
        </w:rPr>
        <w:t xml:space="preserve">具体质疑起算时间及处理方式如下： </w:t>
      </w:r>
    </w:p>
    <w:p>
      <w:pPr>
        <w:spacing w:line="360" w:lineRule="auto"/>
        <w:ind w:firstLine="420" w:firstLineChars="200"/>
        <w:rPr>
          <w:rFonts w:hint="eastAsia" w:ascii="宋体" w:hAnsi="宋体" w:cs="宋体"/>
          <w:bCs/>
          <w:color w:val="auto"/>
        </w:rPr>
      </w:pPr>
      <w:r>
        <w:rPr>
          <w:rFonts w:hint="eastAsia" w:ascii="宋体" w:hAnsi="宋体" w:cs="宋体"/>
          <w:bCs/>
          <w:color w:val="auto"/>
        </w:rPr>
        <w:t>（1）潜在供应商依法获取采购文件后，认为采购文件使自己的权益受到损害的，应当在竞争性磋商文件公告期限届满之日起7个工作日内提出质疑。</w:t>
      </w:r>
      <w:r>
        <w:rPr>
          <w:rFonts w:hint="eastAsia" w:ascii="宋体" w:hAnsi="宋体" w:cs="宋体"/>
          <w:color w:val="auto"/>
        </w:rPr>
        <w:t>委托代理协议无特殊约定的，</w:t>
      </w:r>
      <w:r>
        <w:rPr>
          <w:rFonts w:hint="eastAsia" w:ascii="宋体" w:hAnsi="宋体" w:cs="宋体"/>
          <w:bCs/>
          <w:color w:val="auto"/>
        </w:rPr>
        <w:t>对竞争性磋商文件中采购需求（含资格要求、采购预算和评分办法）的质疑由采购人受理并负责答复；对竞争性磋商文件中的采购执行程序的质疑由采购代理机构受理并负责答复。</w:t>
      </w:r>
    </w:p>
    <w:p>
      <w:pPr>
        <w:spacing w:line="360" w:lineRule="auto"/>
        <w:ind w:firstLine="420" w:firstLineChars="200"/>
        <w:rPr>
          <w:rFonts w:hint="eastAsia" w:ascii="宋体" w:hAnsi="宋体" w:cs="宋体"/>
          <w:bCs/>
          <w:color w:val="auto"/>
        </w:rPr>
      </w:pPr>
      <w:r>
        <w:rPr>
          <w:rFonts w:hint="eastAsia" w:ascii="宋体" w:hAnsi="宋体" w:cs="宋体"/>
          <w:bCs/>
          <w:color w:val="auto"/>
        </w:rPr>
        <w:t>（2）供应商认为采购过程使自己的权益受到损害的，应当在各采购程序环节结束之日起7个工作日内提出质疑。对采购过程中资格审查、符合性审查等具体评审情况的质疑应向采购人或者采购代理机构提出，由采购人或者采购代理机构受理并负责答复；对采购过程中采购执行程序的质疑由采购代理机构受理并负责答复。</w:t>
      </w:r>
    </w:p>
    <w:p>
      <w:pPr>
        <w:spacing w:line="360" w:lineRule="auto"/>
        <w:ind w:firstLine="420" w:firstLineChars="200"/>
        <w:rPr>
          <w:rFonts w:hint="eastAsia" w:ascii="宋体" w:hAnsi="宋体" w:cs="宋体"/>
          <w:bCs/>
          <w:color w:val="auto"/>
        </w:rPr>
      </w:pPr>
      <w:r>
        <w:rPr>
          <w:rFonts w:hint="eastAsia" w:ascii="宋体" w:hAnsi="宋体" w:cs="宋体"/>
          <w:bCs/>
          <w:color w:val="auto"/>
        </w:rPr>
        <w:t>（3）供应商认为成交结果使自己的权益受到损害的，应当在成交结果公告期限届满之日起7个工作日内提出质疑，由采购人受理并负责答复。</w:t>
      </w:r>
    </w:p>
    <w:p>
      <w:pPr>
        <w:spacing w:line="360" w:lineRule="auto"/>
        <w:ind w:firstLine="420" w:firstLineChars="200"/>
        <w:rPr>
          <w:rFonts w:hint="eastAsia" w:ascii="宋体" w:hAnsi="宋体" w:cs="宋体"/>
          <w:color w:val="auto"/>
        </w:rPr>
      </w:pPr>
      <w:r>
        <w:rPr>
          <w:rFonts w:hint="eastAsia" w:ascii="宋体" w:hAnsi="宋体" w:cs="宋体"/>
          <w:color w:val="auto"/>
        </w:rPr>
        <w:t>31.3供应商提出的询问或者质疑超出采购人对采购代理机构委托授权范围的，采购代理机构应当告知供应商向采购人提出。政府采购评审专家应当配合采购人或者采购代理机构答复供应商的询问和质疑。</w:t>
      </w:r>
    </w:p>
    <w:p>
      <w:pPr>
        <w:spacing w:line="360" w:lineRule="auto"/>
        <w:ind w:firstLine="422" w:firstLineChars="200"/>
        <w:rPr>
          <w:rFonts w:hint="eastAsia" w:ascii="宋体" w:hAnsi="宋体" w:cs="宋体"/>
          <w:color w:val="auto"/>
        </w:rPr>
      </w:pPr>
      <w:r>
        <w:rPr>
          <w:rFonts w:hint="eastAsia" w:ascii="宋体" w:hAnsi="宋体" w:cs="宋体"/>
          <w:b/>
          <w:bCs/>
          <w:color w:val="auto"/>
        </w:rPr>
        <w:t>31.4 供应商提出质疑应当提交质疑函和必要的证明材料，针对同一采购程序环节的质疑必须在法定质疑期内一次性提出。质疑函应当包括下列内容（质疑函格式后附）：</w:t>
      </w:r>
    </w:p>
    <w:p>
      <w:pPr>
        <w:spacing w:line="360" w:lineRule="auto"/>
        <w:ind w:firstLine="420" w:firstLineChars="200"/>
        <w:rPr>
          <w:rFonts w:hint="eastAsia" w:ascii="宋体" w:hAnsi="宋体" w:cs="宋体"/>
          <w:color w:val="auto"/>
        </w:rPr>
      </w:pPr>
      <w:r>
        <w:rPr>
          <w:rFonts w:hint="eastAsia" w:ascii="宋体" w:hAnsi="宋体" w:cs="宋体"/>
          <w:color w:val="auto"/>
        </w:rPr>
        <w:t>（1）供应商的姓名或者名称、地址、邮编、联系人及联系电话；</w:t>
      </w:r>
    </w:p>
    <w:p>
      <w:pPr>
        <w:spacing w:line="360" w:lineRule="auto"/>
        <w:ind w:firstLine="420" w:firstLineChars="200"/>
        <w:rPr>
          <w:rFonts w:hint="eastAsia" w:ascii="宋体" w:hAnsi="宋体" w:cs="宋体"/>
          <w:color w:val="auto"/>
        </w:rPr>
      </w:pPr>
      <w:r>
        <w:rPr>
          <w:rFonts w:hint="eastAsia" w:ascii="宋体" w:hAnsi="宋体" w:cs="宋体"/>
          <w:color w:val="auto"/>
        </w:rPr>
        <w:t>（2）质疑项目的名称、编号；</w:t>
      </w:r>
    </w:p>
    <w:p>
      <w:pPr>
        <w:spacing w:line="360" w:lineRule="auto"/>
        <w:ind w:firstLine="420" w:firstLineChars="200"/>
        <w:rPr>
          <w:rFonts w:hint="eastAsia" w:ascii="宋体" w:hAnsi="宋体" w:cs="宋体"/>
          <w:color w:val="auto"/>
        </w:rPr>
      </w:pPr>
      <w:r>
        <w:rPr>
          <w:rFonts w:hint="eastAsia" w:ascii="宋体" w:hAnsi="宋体" w:cs="宋体"/>
          <w:color w:val="auto"/>
        </w:rPr>
        <w:t>（3）具体、明确的质疑事项和与质疑事项相关的请求；</w:t>
      </w:r>
    </w:p>
    <w:p>
      <w:pPr>
        <w:spacing w:line="360" w:lineRule="auto"/>
        <w:ind w:firstLine="420" w:firstLineChars="200"/>
        <w:rPr>
          <w:rFonts w:hint="eastAsia" w:ascii="宋体" w:hAnsi="宋体" w:cs="宋体"/>
          <w:color w:val="auto"/>
        </w:rPr>
      </w:pPr>
      <w:r>
        <w:rPr>
          <w:rFonts w:hint="eastAsia" w:ascii="宋体" w:hAnsi="宋体" w:cs="宋体"/>
          <w:color w:val="auto"/>
        </w:rPr>
        <w:t>（4）事实依据；</w:t>
      </w:r>
    </w:p>
    <w:p>
      <w:pPr>
        <w:spacing w:line="360" w:lineRule="auto"/>
        <w:ind w:firstLine="420" w:firstLineChars="200"/>
        <w:rPr>
          <w:rFonts w:hint="eastAsia" w:ascii="宋体" w:hAnsi="宋体" w:cs="宋体"/>
          <w:color w:val="auto"/>
        </w:rPr>
      </w:pPr>
      <w:r>
        <w:rPr>
          <w:rFonts w:hint="eastAsia" w:ascii="宋体" w:hAnsi="宋体" w:cs="宋体"/>
          <w:color w:val="auto"/>
        </w:rPr>
        <w:t>（5）必要的法律依据；</w:t>
      </w:r>
    </w:p>
    <w:p>
      <w:pPr>
        <w:spacing w:line="360" w:lineRule="auto"/>
        <w:ind w:firstLine="420" w:firstLineChars="200"/>
        <w:rPr>
          <w:rFonts w:hint="eastAsia" w:ascii="宋体" w:hAnsi="宋体" w:cs="宋体"/>
          <w:color w:val="auto"/>
        </w:rPr>
      </w:pPr>
      <w:r>
        <w:rPr>
          <w:rFonts w:hint="eastAsia" w:ascii="宋体" w:hAnsi="宋体" w:cs="宋体"/>
          <w:color w:val="auto"/>
        </w:rPr>
        <w:t>（6）提出质疑的日期。</w:t>
      </w:r>
    </w:p>
    <w:p>
      <w:pPr>
        <w:spacing w:line="360" w:lineRule="auto"/>
        <w:ind w:firstLine="420" w:firstLineChars="200"/>
        <w:rPr>
          <w:rFonts w:hint="eastAsia" w:ascii="宋体" w:hAnsi="宋体" w:cs="宋体"/>
          <w:color w:val="auto"/>
        </w:rPr>
      </w:pPr>
      <w:r>
        <w:rPr>
          <w:rFonts w:hint="eastAsia" w:ascii="宋体" w:hAnsi="宋体" w:cs="宋体"/>
          <w:color w:val="auto"/>
        </w:rPr>
        <w:t>供应商为自然人的，应当由本人签字；供应商为法人或者其他组织的，应当由法定代表人、主要负责人，或者其委托代理人签字或者盖章，并加盖公章。</w:t>
      </w:r>
    </w:p>
    <w:p>
      <w:pPr>
        <w:spacing w:line="360" w:lineRule="auto"/>
        <w:ind w:firstLine="420" w:firstLineChars="200"/>
        <w:rPr>
          <w:rFonts w:hint="eastAsia" w:ascii="宋体" w:hAnsi="宋体" w:cs="宋体"/>
          <w:color w:val="auto"/>
        </w:rPr>
      </w:pPr>
      <w:r>
        <w:rPr>
          <w:rFonts w:hint="eastAsia" w:ascii="宋体" w:hAnsi="宋体" w:cs="宋体"/>
          <w:color w:val="auto"/>
        </w:rPr>
        <w:t>31.5采购人、采购代理机构认为供应商质疑不成立，或者成立但未对成交结果构成影响的，继续开展采购活动；认为供应商质疑成立且影响或者可能影响成交结果的，按照下列情况处理：</w:t>
      </w:r>
    </w:p>
    <w:p>
      <w:pPr>
        <w:spacing w:line="360" w:lineRule="auto"/>
        <w:ind w:firstLine="420" w:firstLineChars="200"/>
        <w:rPr>
          <w:rFonts w:hint="eastAsia" w:ascii="宋体" w:hAnsi="宋体" w:cs="宋体"/>
          <w:color w:val="auto"/>
        </w:rPr>
      </w:pPr>
      <w:r>
        <w:rPr>
          <w:rFonts w:hint="eastAsia" w:ascii="宋体" w:hAnsi="宋体" w:cs="宋体"/>
          <w:color w:val="auto"/>
        </w:rPr>
        <w:t>（一）对采购文件提出的质疑，依法通过澄清或者修改可以继续开展采购活动的，澄清或者修改采购文件后继续开展采购活动；否则应当修改采购文件后重新开展采购活动。</w:t>
      </w:r>
    </w:p>
    <w:p>
      <w:pPr>
        <w:spacing w:line="360" w:lineRule="auto"/>
        <w:ind w:firstLine="420" w:firstLineChars="200"/>
        <w:rPr>
          <w:rFonts w:hint="eastAsia" w:ascii="宋体" w:hAnsi="宋体" w:cs="宋体"/>
          <w:color w:val="auto"/>
        </w:rPr>
      </w:pPr>
      <w:r>
        <w:rPr>
          <w:rFonts w:hint="eastAsia" w:ascii="宋体" w:hAnsi="宋体" w:cs="宋体"/>
          <w:color w:val="auto"/>
        </w:rPr>
        <w:t>（二）对采购过程或者成交结果提出的质疑，合格供应商符合法定数量时，可以从合格的成交候选人中另行确定成交供应商的，应当依法另行确定成交供应商；否则应当重新开展采购活动。</w:t>
      </w:r>
    </w:p>
    <w:p>
      <w:pPr>
        <w:spacing w:line="360" w:lineRule="auto"/>
        <w:ind w:firstLine="420" w:firstLineChars="200"/>
        <w:rPr>
          <w:rFonts w:hint="eastAsia" w:ascii="宋体" w:hAnsi="宋体" w:cs="宋体"/>
          <w:color w:val="auto"/>
        </w:rPr>
      </w:pPr>
      <w:r>
        <w:rPr>
          <w:rFonts w:hint="eastAsia" w:ascii="宋体" w:hAnsi="宋体" w:cs="宋体"/>
          <w:color w:val="auto"/>
        </w:rPr>
        <w:t>质疑答复导致成交结果改变的，采购人或者采购代理机构应当将有关情况书面报告本级财政部门。</w:t>
      </w:r>
    </w:p>
    <w:p>
      <w:pPr>
        <w:spacing w:line="360" w:lineRule="auto"/>
        <w:ind w:firstLine="422" w:firstLineChars="200"/>
        <w:rPr>
          <w:rFonts w:hint="eastAsia" w:ascii="宋体" w:hAnsi="宋体" w:cs="宋体"/>
          <w:color w:val="auto"/>
        </w:rPr>
      </w:pPr>
      <w:r>
        <w:rPr>
          <w:rFonts w:hint="eastAsia" w:ascii="宋体" w:hAnsi="宋体" w:cs="宋体"/>
          <w:b/>
          <w:bCs/>
          <w:color w:val="auto"/>
        </w:rPr>
        <w:t>31.6投诉的权利。质疑供应商对采购人或采购代理机构的答复不满意，或者采购人或采购代理机构未在规定时间内作出答复的，可以在答复期满后15个工作日内向《政府采购质疑和投诉办法》（财政部令第94号）第六条规定的财政部门提起投诉（投诉书格式后附），受理投诉方式见“供应商须知前附表”</w:t>
      </w:r>
      <w:r>
        <w:rPr>
          <w:rFonts w:hint="eastAsia" w:ascii="宋体" w:hAnsi="宋体" w:cs="宋体"/>
          <w:color w:val="auto"/>
        </w:rPr>
        <w:t>。</w:t>
      </w:r>
      <w:bookmarkStart w:id="138" w:name="_Toc80205930"/>
    </w:p>
    <w:p>
      <w:pPr>
        <w:pStyle w:val="4"/>
        <w:spacing w:before="0" w:after="0" w:line="360" w:lineRule="auto"/>
        <w:ind w:firstLine="315" w:firstLineChars="98"/>
        <w:rPr>
          <w:rFonts w:hint="eastAsia"/>
          <w:color w:val="auto"/>
        </w:rPr>
      </w:pPr>
      <w:bookmarkStart w:id="139" w:name="_Toc80886935"/>
      <w:bookmarkStart w:id="140" w:name="_Toc9275"/>
      <w:bookmarkStart w:id="141" w:name="_Toc26989"/>
    </w:p>
    <w:p>
      <w:pPr>
        <w:pStyle w:val="4"/>
        <w:spacing w:before="0" w:after="0" w:line="360" w:lineRule="auto"/>
        <w:ind w:firstLine="313" w:firstLineChars="98"/>
        <w:rPr>
          <w:b w:val="0"/>
          <w:color w:val="auto"/>
        </w:rPr>
      </w:pPr>
      <w:r>
        <w:rPr>
          <w:rFonts w:hint="eastAsia"/>
          <w:b w:val="0"/>
          <w:bCs w:val="0"/>
          <w:color w:val="auto"/>
        </w:rPr>
        <w:t>六</w:t>
      </w:r>
      <w:r>
        <w:rPr>
          <w:rFonts w:hint="eastAsia"/>
          <w:b w:val="0"/>
          <w:color w:val="auto"/>
        </w:rPr>
        <w:t>、验收</w:t>
      </w:r>
      <w:bookmarkEnd w:id="138"/>
      <w:bookmarkEnd w:id="139"/>
      <w:bookmarkEnd w:id="140"/>
      <w:bookmarkEnd w:id="141"/>
    </w:p>
    <w:p>
      <w:pPr>
        <w:tabs>
          <w:tab w:val="left" w:pos="0"/>
        </w:tabs>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32.验收</w:t>
      </w:r>
    </w:p>
    <w:p>
      <w:pPr>
        <w:tabs>
          <w:tab w:val="left" w:pos="0"/>
        </w:tabs>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32.2采购人可以邀请参加本项目的其他供应商或者第三方机构参与验收。参与验收的供应商或者第三方机构的意见作为验收书的参考资料一并存档。</w:t>
      </w:r>
    </w:p>
    <w:p>
      <w:pPr>
        <w:tabs>
          <w:tab w:val="left" w:pos="0"/>
        </w:tabs>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w:t>
      </w:r>
      <w:r>
        <w:rPr>
          <w:rFonts w:hint="eastAsia"/>
          <w:color w:val="auto"/>
          <w:lang w:eastAsia="zh-CN"/>
        </w:rPr>
        <w:t>（</w:t>
      </w:r>
      <w:r>
        <w:rPr>
          <w:rFonts w:hint="eastAsia"/>
          <w:color w:val="auto"/>
          <w:lang w:val="en-US" w:eastAsia="zh-CN"/>
        </w:rPr>
        <w:t>如有</w:t>
      </w:r>
      <w:r>
        <w:rPr>
          <w:rFonts w:hint="eastAsia"/>
          <w:color w:val="auto"/>
          <w:lang w:eastAsia="zh-CN"/>
        </w:rPr>
        <w:t>）</w:t>
      </w:r>
      <w:r>
        <w:rPr>
          <w:rFonts w:hint="eastAsia" w:ascii="宋体" w:hAnsi="宋体" w:cs="宋体"/>
          <w:color w:val="auto"/>
          <w:kern w:val="0"/>
          <w:szCs w:val="21"/>
        </w:rPr>
        <w:t>返还条件挂钩。履约验收的各项资料应当存档备查。</w:t>
      </w:r>
    </w:p>
    <w:p>
      <w:pPr>
        <w:tabs>
          <w:tab w:val="left" w:pos="0"/>
        </w:tabs>
        <w:spacing w:line="360" w:lineRule="auto"/>
        <w:ind w:firstLine="420" w:firstLineChars="200"/>
        <w:rPr>
          <w:rFonts w:hint="eastAsia" w:ascii="宋体" w:hAnsi="宋体" w:cs="宋体"/>
          <w:color w:val="auto"/>
          <w:szCs w:val="21"/>
        </w:rPr>
      </w:pPr>
      <w:r>
        <w:rPr>
          <w:rFonts w:hint="eastAsia" w:ascii="宋体" w:hAnsi="宋体" w:cs="宋体"/>
          <w:color w:val="auto"/>
          <w:kern w:val="0"/>
          <w:szCs w:val="21"/>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pStyle w:val="4"/>
        <w:spacing w:before="0" w:after="0" w:line="360" w:lineRule="auto"/>
        <w:ind w:firstLine="320" w:firstLineChars="100"/>
        <w:rPr>
          <w:rFonts w:hint="eastAsia"/>
          <w:b w:val="0"/>
          <w:bCs w:val="0"/>
          <w:color w:val="auto"/>
        </w:rPr>
      </w:pPr>
      <w:bookmarkStart w:id="142" w:name="_Toc10913"/>
      <w:bookmarkStart w:id="143" w:name="_Toc80886936"/>
      <w:bookmarkStart w:id="144" w:name="_Toc1170"/>
    </w:p>
    <w:p>
      <w:pPr>
        <w:pStyle w:val="4"/>
        <w:spacing w:before="0" w:after="0" w:line="360" w:lineRule="auto"/>
        <w:ind w:firstLine="320" w:firstLineChars="100"/>
        <w:rPr>
          <w:rFonts w:hint="eastAsia"/>
          <w:b w:val="0"/>
          <w:bCs w:val="0"/>
          <w:color w:val="auto"/>
        </w:rPr>
      </w:pPr>
      <w:r>
        <w:rPr>
          <w:rFonts w:hint="eastAsia"/>
          <w:b w:val="0"/>
          <w:bCs w:val="0"/>
          <w:color w:val="auto"/>
        </w:rPr>
        <w:t>七、其他事项</w:t>
      </w:r>
      <w:bookmarkEnd w:id="142"/>
      <w:bookmarkEnd w:id="143"/>
      <w:bookmarkEnd w:id="144"/>
    </w:p>
    <w:p>
      <w:pPr>
        <w:spacing w:line="360" w:lineRule="auto"/>
        <w:ind w:firstLine="482" w:firstLineChars="200"/>
        <w:rPr>
          <w:rFonts w:hint="eastAsia" w:ascii="黑体" w:hAnsi="黑体" w:eastAsia="黑体" w:cs="宋体"/>
          <w:b/>
          <w:bCs/>
          <w:color w:val="auto"/>
          <w:sz w:val="24"/>
        </w:rPr>
      </w:pPr>
      <w:r>
        <w:rPr>
          <w:rFonts w:ascii="黑体" w:hAnsi="黑体" w:eastAsia="黑体" w:cs="宋体"/>
          <w:b/>
          <w:bCs/>
          <w:color w:val="auto"/>
          <w:sz w:val="24"/>
        </w:rPr>
        <w:t>3</w:t>
      </w:r>
      <w:r>
        <w:rPr>
          <w:rFonts w:hint="eastAsia" w:ascii="黑体" w:hAnsi="黑体" w:eastAsia="黑体" w:cs="宋体"/>
          <w:b/>
          <w:bCs/>
          <w:color w:val="auto"/>
          <w:sz w:val="24"/>
        </w:rPr>
        <w:t>3.采购代理服务费</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33.1 采购代理服务费收费标准及缴费账户详见“供应商须知前附表”，供应商为联合体的，可以由联合体中的一方或者多方共同缴纳采购代理服务费。</w:t>
      </w:r>
    </w:p>
    <w:p>
      <w:pPr>
        <w:pStyle w:val="15"/>
        <w:ind w:firstLine="420" w:firstLineChars="200"/>
        <w:rPr>
          <w:rFonts w:hint="eastAsia" w:ascii="宋体" w:hAnsi="宋体" w:cs="宋体"/>
          <w:color w:val="auto"/>
        </w:rPr>
      </w:pPr>
      <w:r>
        <w:rPr>
          <w:rFonts w:hint="eastAsia" w:ascii="宋体" w:hAnsi="宋体" w:cs="宋体"/>
          <w:color w:val="auto"/>
          <w:szCs w:val="21"/>
        </w:rPr>
        <w:t>33.2采购代理服务费收费计算标准：</w:t>
      </w:r>
    </w:p>
    <w:tbl>
      <w:tblPr>
        <w:tblStyle w:val="32"/>
        <w:tblW w:w="8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532"/>
        <w:gridCol w:w="1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Borders>
              <w:tl2br w:val="single" w:color="auto" w:sz="4" w:space="0"/>
            </w:tcBorders>
          </w:tcPr>
          <w:p>
            <w:pPr>
              <w:spacing w:line="360" w:lineRule="auto"/>
              <w:rPr>
                <w:rFonts w:hint="eastAsia" w:ascii="宋体" w:hAnsi="宋体" w:cs="宋体"/>
                <w:color w:val="auto"/>
                <w:szCs w:val="21"/>
              </w:rPr>
            </w:pPr>
            <w:r>
              <w:rPr>
                <w:rFonts w:hint="eastAsia" w:ascii="宋体" w:hAnsi="宋体" w:cs="宋体"/>
                <w:color w:val="auto"/>
                <w:szCs w:val="21"/>
              </w:rPr>
              <w:t xml:space="preserve">               费率</w:t>
            </w:r>
          </w:p>
          <w:p>
            <w:pPr>
              <w:spacing w:line="360" w:lineRule="auto"/>
              <w:rPr>
                <w:rFonts w:hint="eastAsia" w:ascii="宋体" w:hAnsi="宋体" w:cs="宋体"/>
                <w:color w:val="auto"/>
                <w:szCs w:val="21"/>
              </w:rPr>
            </w:pPr>
            <w:r>
              <w:rPr>
                <w:rFonts w:hint="eastAsia" w:ascii="宋体" w:hAnsi="宋体" w:cs="宋体"/>
                <w:color w:val="auto"/>
                <w:szCs w:val="21"/>
              </w:rPr>
              <w:t>金额</w:t>
            </w:r>
          </w:p>
        </w:tc>
        <w:tc>
          <w:tcPr>
            <w:tcW w:w="1659" w:type="dxa"/>
            <w:vAlign w:val="center"/>
          </w:tcPr>
          <w:p>
            <w:pPr>
              <w:spacing w:line="360" w:lineRule="auto"/>
              <w:ind w:firstLine="105" w:firstLineChars="50"/>
              <w:jc w:val="center"/>
              <w:rPr>
                <w:rFonts w:hint="eastAsia" w:ascii="宋体" w:hAnsi="宋体" w:cs="宋体"/>
                <w:color w:val="auto"/>
                <w:szCs w:val="21"/>
              </w:rPr>
            </w:pPr>
            <w:r>
              <w:rPr>
                <w:rFonts w:hint="eastAsia" w:ascii="宋体" w:hAnsi="宋体" w:cs="宋体"/>
                <w:color w:val="auto"/>
                <w:szCs w:val="21"/>
              </w:rPr>
              <w:t>货物类</w:t>
            </w:r>
          </w:p>
        </w:tc>
        <w:tc>
          <w:tcPr>
            <w:tcW w:w="1532" w:type="dxa"/>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服务类</w:t>
            </w:r>
          </w:p>
        </w:tc>
        <w:tc>
          <w:tcPr>
            <w:tcW w:w="1546" w:type="dxa"/>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工程类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pPr>
              <w:spacing w:line="360" w:lineRule="auto"/>
              <w:rPr>
                <w:rFonts w:hint="eastAsia" w:ascii="宋体" w:hAnsi="宋体" w:cs="宋体"/>
                <w:color w:val="auto"/>
                <w:szCs w:val="21"/>
              </w:rPr>
            </w:pPr>
            <w:r>
              <w:rPr>
                <w:rFonts w:hint="eastAsia" w:ascii="宋体" w:hAnsi="宋体" w:cs="宋体"/>
                <w:color w:val="auto"/>
                <w:szCs w:val="21"/>
              </w:rPr>
              <w:t>100万元以下</w:t>
            </w:r>
          </w:p>
        </w:tc>
        <w:tc>
          <w:tcPr>
            <w:tcW w:w="1659" w:type="dxa"/>
          </w:tcPr>
          <w:p>
            <w:pPr>
              <w:spacing w:line="360" w:lineRule="auto"/>
              <w:rPr>
                <w:rFonts w:hint="eastAsia" w:ascii="宋体" w:hAnsi="宋体" w:cs="宋体"/>
                <w:color w:val="auto"/>
                <w:szCs w:val="21"/>
              </w:rPr>
            </w:pPr>
            <w:r>
              <w:rPr>
                <w:rFonts w:hint="eastAsia" w:ascii="宋体" w:hAnsi="宋体" w:cs="宋体"/>
                <w:color w:val="auto"/>
                <w:kern w:val="0"/>
                <w:szCs w:val="21"/>
              </w:rPr>
              <w:t xml:space="preserve">  1.5%                </w:t>
            </w:r>
          </w:p>
        </w:tc>
        <w:tc>
          <w:tcPr>
            <w:tcW w:w="1532" w:type="dxa"/>
          </w:tcPr>
          <w:p>
            <w:pPr>
              <w:spacing w:line="360" w:lineRule="auto"/>
              <w:ind w:firstLine="210" w:firstLineChars="100"/>
              <w:rPr>
                <w:rFonts w:hint="eastAsia" w:ascii="宋体" w:hAnsi="宋体" w:cs="宋体"/>
                <w:color w:val="auto"/>
                <w:szCs w:val="21"/>
              </w:rPr>
            </w:pPr>
            <w:r>
              <w:rPr>
                <w:rFonts w:hint="eastAsia" w:ascii="宋体" w:hAnsi="宋体" w:cs="宋体"/>
                <w:color w:val="auto"/>
                <w:kern w:val="0"/>
                <w:szCs w:val="21"/>
              </w:rPr>
              <w:t>1.5%</w:t>
            </w:r>
          </w:p>
        </w:tc>
        <w:tc>
          <w:tcPr>
            <w:tcW w:w="1546" w:type="dxa"/>
          </w:tcPr>
          <w:p>
            <w:pPr>
              <w:spacing w:line="360" w:lineRule="auto"/>
              <w:ind w:firstLine="210" w:firstLineChars="100"/>
              <w:rPr>
                <w:rFonts w:hint="eastAsia" w:ascii="宋体" w:hAnsi="宋体" w:cs="宋体"/>
                <w:color w:val="auto"/>
                <w:szCs w:val="21"/>
              </w:rPr>
            </w:pPr>
            <w:r>
              <w:rPr>
                <w:rFonts w:hint="eastAsia" w:ascii="宋体" w:hAnsi="宋体" w:cs="宋体"/>
                <w:color w:val="auto"/>
                <w:kern w:val="0"/>
                <w:szCs w:val="21"/>
              </w:rPr>
              <w:t xml:space="preserve">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pPr>
              <w:spacing w:line="360" w:lineRule="auto"/>
              <w:rPr>
                <w:rFonts w:hint="eastAsia" w:ascii="宋体" w:hAnsi="宋体" w:cs="宋体"/>
                <w:color w:val="auto"/>
                <w:szCs w:val="21"/>
              </w:rPr>
            </w:pPr>
            <w:r>
              <w:rPr>
                <w:rFonts w:hint="eastAsia" w:ascii="宋体" w:hAnsi="宋体" w:cs="宋体"/>
                <w:color w:val="auto"/>
                <w:szCs w:val="21"/>
              </w:rPr>
              <w:t>100～500万元</w:t>
            </w:r>
          </w:p>
        </w:tc>
        <w:tc>
          <w:tcPr>
            <w:tcW w:w="1659" w:type="dxa"/>
          </w:tcPr>
          <w:p>
            <w:pPr>
              <w:spacing w:line="360" w:lineRule="auto"/>
              <w:ind w:firstLine="210" w:firstLineChars="100"/>
              <w:rPr>
                <w:rFonts w:hint="eastAsia" w:ascii="宋体" w:hAnsi="宋体" w:cs="宋体"/>
                <w:color w:val="auto"/>
                <w:szCs w:val="21"/>
              </w:rPr>
            </w:pPr>
            <w:r>
              <w:rPr>
                <w:rFonts w:hint="eastAsia" w:ascii="宋体" w:hAnsi="宋体" w:cs="宋体"/>
                <w:color w:val="auto"/>
                <w:kern w:val="0"/>
                <w:szCs w:val="21"/>
              </w:rPr>
              <w:t xml:space="preserve">1.1%                 </w:t>
            </w:r>
          </w:p>
        </w:tc>
        <w:tc>
          <w:tcPr>
            <w:tcW w:w="1532" w:type="dxa"/>
          </w:tcPr>
          <w:p>
            <w:pPr>
              <w:spacing w:line="360" w:lineRule="auto"/>
              <w:ind w:firstLine="210" w:firstLineChars="100"/>
              <w:rPr>
                <w:rFonts w:hint="eastAsia" w:ascii="宋体" w:hAnsi="宋体" w:cs="宋体"/>
                <w:color w:val="auto"/>
                <w:szCs w:val="21"/>
              </w:rPr>
            </w:pPr>
            <w:r>
              <w:rPr>
                <w:rFonts w:hint="eastAsia" w:ascii="宋体" w:hAnsi="宋体" w:cs="宋体"/>
                <w:color w:val="auto"/>
                <w:kern w:val="0"/>
                <w:szCs w:val="21"/>
              </w:rPr>
              <w:t>0.8%</w:t>
            </w:r>
          </w:p>
        </w:tc>
        <w:tc>
          <w:tcPr>
            <w:tcW w:w="1546" w:type="dxa"/>
          </w:tcPr>
          <w:p>
            <w:pPr>
              <w:spacing w:line="360" w:lineRule="auto"/>
              <w:ind w:firstLine="210" w:firstLineChars="100"/>
              <w:rPr>
                <w:rFonts w:hint="eastAsia" w:ascii="宋体" w:hAnsi="宋体" w:cs="宋体"/>
                <w:color w:val="auto"/>
                <w:szCs w:val="21"/>
              </w:rPr>
            </w:pPr>
            <w:r>
              <w:rPr>
                <w:rFonts w:hint="eastAsia" w:ascii="宋体" w:hAnsi="宋体" w:cs="宋体"/>
                <w:color w:val="auto"/>
                <w:kern w:val="0"/>
                <w:szCs w:val="21"/>
              </w:rPr>
              <w:t xml:space="preserve">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pPr>
              <w:spacing w:line="360" w:lineRule="auto"/>
              <w:rPr>
                <w:rFonts w:hint="eastAsia" w:ascii="宋体" w:hAnsi="宋体" w:cs="宋体"/>
                <w:color w:val="auto"/>
                <w:szCs w:val="21"/>
              </w:rPr>
            </w:pPr>
            <w:r>
              <w:rPr>
                <w:rFonts w:hint="eastAsia" w:ascii="宋体" w:hAnsi="宋体" w:cs="宋体"/>
                <w:color w:val="auto"/>
                <w:szCs w:val="21"/>
              </w:rPr>
              <w:t>500～1000万元</w:t>
            </w:r>
          </w:p>
        </w:tc>
        <w:tc>
          <w:tcPr>
            <w:tcW w:w="1659" w:type="dxa"/>
          </w:tcPr>
          <w:p>
            <w:pPr>
              <w:spacing w:line="360" w:lineRule="auto"/>
              <w:rPr>
                <w:rFonts w:hint="eastAsia" w:ascii="宋体" w:hAnsi="宋体" w:cs="宋体"/>
                <w:color w:val="auto"/>
                <w:szCs w:val="21"/>
              </w:rPr>
            </w:pPr>
            <w:r>
              <w:rPr>
                <w:rFonts w:hint="eastAsia" w:ascii="宋体" w:hAnsi="宋体" w:cs="宋体"/>
                <w:color w:val="auto"/>
                <w:kern w:val="0"/>
                <w:szCs w:val="21"/>
              </w:rPr>
              <w:t xml:space="preserve">  0.8%                </w:t>
            </w:r>
          </w:p>
        </w:tc>
        <w:tc>
          <w:tcPr>
            <w:tcW w:w="1532" w:type="dxa"/>
          </w:tcPr>
          <w:p>
            <w:pPr>
              <w:spacing w:line="360" w:lineRule="auto"/>
              <w:ind w:firstLine="210" w:firstLineChars="100"/>
              <w:rPr>
                <w:rFonts w:hint="eastAsia" w:ascii="宋体" w:hAnsi="宋体" w:cs="宋体"/>
                <w:color w:val="auto"/>
                <w:szCs w:val="21"/>
              </w:rPr>
            </w:pPr>
            <w:r>
              <w:rPr>
                <w:rFonts w:hint="eastAsia" w:ascii="宋体" w:hAnsi="宋体" w:cs="宋体"/>
                <w:color w:val="auto"/>
                <w:kern w:val="0"/>
                <w:szCs w:val="21"/>
              </w:rPr>
              <w:t>0.45%</w:t>
            </w:r>
          </w:p>
        </w:tc>
        <w:tc>
          <w:tcPr>
            <w:tcW w:w="1546" w:type="dxa"/>
          </w:tcPr>
          <w:p>
            <w:pPr>
              <w:spacing w:line="360" w:lineRule="auto"/>
              <w:ind w:firstLine="210" w:firstLineChars="100"/>
              <w:rPr>
                <w:rFonts w:hint="eastAsia" w:ascii="宋体" w:hAnsi="宋体" w:cs="宋体"/>
                <w:color w:val="auto"/>
                <w:szCs w:val="21"/>
              </w:rPr>
            </w:pPr>
            <w:r>
              <w:rPr>
                <w:rFonts w:hint="eastAsia" w:ascii="宋体" w:hAnsi="宋体" w:cs="宋体"/>
                <w:color w:val="auto"/>
                <w:kern w:val="0"/>
                <w:szCs w:val="21"/>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pPr>
              <w:spacing w:line="360" w:lineRule="auto"/>
              <w:rPr>
                <w:rFonts w:hint="eastAsia" w:ascii="宋体" w:hAnsi="宋体" w:cs="宋体"/>
                <w:color w:val="auto"/>
                <w:szCs w:val="21"/>
              </w:rPr>
            </w:pPr>
            <w:r>
              <w:rPr>
                <w:rFonts w:hint="eastAsia" w:ascii="宋体" w:hAnsi="宋体" w:cs="宋体"/>
                <w:color w:val="auto"/>
                <w:szCs w:val="21"/>
              </w:rPr>
              <w:t>1000～5000万元</w:t>
            </w:r>
          </w:p>
        </w:tc>
        <w:tc>
          <w:tcPr>
            <w:tcW w:w="1659" w:type="dxa"/>
          </w:tcPr>
          <w:p>
            <w:pPr>
              <w:spacing w:line="360" w:lineRule="auto"/>
              <w:ind w:firstLine="210" w:firstLineChars="100"/>
              <w:rPr>
                <w:rFonts w:hint="eastAsia" w:ascii="宋体" w:hAnsi="宋体" w:cs="宋体"/>
                <w:color w:val="auto"/>
                <w:szCs w:val="21"/>
              </w:rPr>
            </w:pPr>
            <w:r>
              <w:rPr>
                <w:rFonts w:hint="eastAsia" w:ascii="宋体" w:hAnsi="宋体" w:cs="宋体"/>
                <w:color w:val="auto"/>
                <w:kern w:val="0"/>
                <w:szCs w:val="21"/>
              </w:rPr>
              <w:t xml:space="preserve">0.5%                </w:t>
            </w:r>
          </w:p>
        </w:tc>
        <w:tc>
          <w:tcPr>
            <w:tcW w:w="1532" w:type="dxa"/>
          </w:tcPr>
          <w:p>
            <w:pPr>
              <w:spacing w:line="360" w:lineRule="auto"/>
              <w:ind w:firstLine="210" w:firstLineChars="100"/>
              <w:rPr>
                <w:rFonts w:hint="eastAsia" w:ascii="宋体" w:hAnsi="宋体" w:cs="宋体"/>
                <w:color w:val="auto"/>
                <w:szCs w:val="21"/>
              </w:rPr>
            </w:pPr>
            <w:r>
              <w:rPr>
                <w:rFonts w:hint="eastAsia" w:ascii="宋体" w:hAnsi="宋体" w:cs="宋体"/>
                <w:color w:val="auto"/>
                <w:kern w:val="0"/>
                <w:szCs w:val="21"/>
              </w:rPr>
              <w:t>0.25%</w:t>
            </w:r>
          </w:p>
        </w:tc>
        <w:tc>
          <w:tcPr>
            <w:tcW w:w="1546" w:type="dxa"/>
          </w:tcPr>
          <w:p>
            <w:pPr>
              <w:spacing w:line="360" w:lineRule="auto"/>
              <w:ind w:firstLine="210" w:firstLineChars="100"/>
              <w:rPr>
                <w:rFonts w:hint="eastAsia" w:ascii="宋体" w:hAnsi="宋体" w:cs="宋体"/>
                <w:color w:val="auto"/>
                <w:szCs w:val="21"/>
              </w:rPr>
            </w:pPr>
            <w:r>
              <w:rPr>
                <w:rFonts w:hint="eastAsia" w:ascii="宋体" w:hAnsi="宋体" w:cs="宋体"/>
                <w:color w:val="auto"/>
                <w:kern w:val="0"/>
                <w:szCs w:val="21"/>
              </w:rPr>
              <w:t xml:space="preserve">0.35%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pPr>
              <w:spacing w:line="360" w:lineRule="auto"/>
              <w:rPr>
                <w:rFonts w:hint="eastAsia" w:ascii="宋体" w:hAnsi="宋体" w:cs="宋体"/>
                <w:color w:val="auto"/>
                <w:szCs w:val="21"/>
              </w:rPr>
            </w:pPr>
            <w:r>
              <w:rPr>
                <w:rFonts w:hint="eastAsia" w:ascii="宋体" w:hAnsi="宋体" w:cs="宋体"/>
                <w:color w:val="auto"/>
                <w:szCs w:val="21"/>
              </w:rPr>
              <w:t>5000万元～1亿元</w:t>
            </w:r>
          </w:p>
        </w:tc>
        <w:tc>
          <w:tcPr>
            <w:tcW w:w="1659" w:type="dxa"/>
          </w:tcPr>
          <w:p>
            <w:pPr>
              <w:spacing w:line="360" w:lineRule="auto"/>
              <w:ind w:firstLine="210" w:firstLineChars="100"/>
              <w:rPr>
                <w:rFonts w:hint="eastAsia" w:ascii="宋体" w:hAnsi="宋体" w:cs="宋体"/>
                <w:color w:val="auto"/>
                <w:szCs w:val="21"/>
              </w:rPr>
            </w:pPr>
            <w:r>
              <w:rPr>
                <w:rFonts w:hint="eastAsia" w:ascii="宋体" w:hAnsi="宋体" w:cs="宋体"/>
                <w:color w:val="auto"/>
                <w:kern w:val="0"/>
                <w:szCs w:val="21"/>
              </w:rPr>
              <w:t xml:space="preserve">0.25%                 </w:t>
            </w:r>
          </w:p>
        </w:tc>
        <w:tc>
          <w:tcPr>
            <w:tcW w:w="1532" w:type="dxa"/>
          </w:tcPr>
          <w:p>
            <w:pPr>
              <w:spacing w:line="360" w:lineRule="auto"/>
              <w:ind w:firstLine="210" w:firstLineChars="100"/>
              <w:rPr>
                <w:rFonts w:hint="eastAsia" w:ascii="宋体" w:hAnsi="宋体" w:cs="宋体"/>
                <w:color w:val="auto"/>
                <w:szCs w:val="21"/>
              </w:rPr>
            </w:pPr>
            <w:r>
              <w:rPr>
                <w:rFonts w:hint="eastAsia" w:ascii="宋体" w:hAnsi="宋体" w:cs="宋体"/>
                <w:color w:val="auto"/>
                <w:kern w:val="0"/>
                <w:szCs w:val="21"/>
              </w:rPr>
              <w:t>0.1%</w:t>
            </w:r>
          </w:p>
        </w:tc>
        <w:tc>
          <w:tcPr>
            <w:tcW w:w="1546" w:type="dxa"/>
          </w:tcPr>
          <w:p>
            <w:pPr>
              <w:spacing w:line="360" w:lineRule="auto"/>
              <w:ind w:firstLine="210" w:firstLineChars="100"/>
              <w:rPr>
                <w:rFonts w:hint="eastAsia" w:ascii="宋体" w:hAnsi="宋体" w:cs="宋体"/>
                <w:color w:val="auto"/>
                <w:szCs w:val="21"/>
              </w:rPr>
            </w:pPr>
            <w:r>
              <w:rPr>
                <w:rFonts w:hint="eastAsia" w:ascii="宋体" w:hAnsi="宋体" w:cs="宋体"/>
                <w:color w:val="auto"/>
                <w:kern w:val="0"/>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pPr>
              <w:spacing w:line="360" w:lineRule="auto"/>
              <w:rPr>
                <w:rFonts w:hint="eastAsia" w:ascii="宋体" w:hAnsi="宋体" w:cs="宋体"/>
                <w:color w:val="auto"/>
                <w:szCs w:val="21"/>
              </w:rPr>
            </w:pPr>
            <w:r>
              <w:rPr>
                <w:rFonts w:hint="eastAsia" w:ascii="宋体" w:hAnsi="宋体" w:cs="宋体"/>
                <w:color w:val="auto"/>
                <w:szCs w:val="21"/>
              </w:rPr>
              <w:t>1～5亿元</w:t>
            </w:r>
          </w:p>
        </w:tc>
        <w:tc>
          <w:tcPr>
            <w:tcW w:w="1659" w:type="dxa"/>
          </w:tcPr>
          <w:p>
            <w:pPr>
              <w:spacing w:line="360" w:lineRule="auto"/>
              <w:ind w:firstLine="210" w:firstLineChars="100"/>
              <w:rPr>
                <w:rFonts w:hint="eastAsia" w:ascii="宋体" w:hAnsi="宋体" w:cs="宋体"/>
                <w:color w:val="auto"/>
                <w:szCs w:val="21"/>
              </w:rPr>
            </w:pPr>
            <w:r>
              <w:rPr>
                <w:rFonts w:hint="eastAsia" w:ascii="宋体" w:hAnsi="宋体" w:cs="宋体"/>
                <w:color w:val="auto"/>
                <w:szCs w:val="21"/>
              </w:rPr>
              <w:t>0.05%</w:t>
            </w:r>
          </w:p>
        </w:tc>
        <w:tc>
          <w:tcPr>
            <w:tcW w:w="1532" w:type="dxa"/>
          </w:tcPr>
          <w:p>
            <w:pPr>
              <w:spacing w:line="360" w:lineRule="auto"/>
              <w:rPr>
                <w:rFonts w:hint="eastAsia" w:ascii="宋体" w:hAnsi="宋体" w:cs="宋体"/>
                <w:color w:val="auto"/>
                <w:szCs w:val="21"/>
              </w:rPr>
            </w:pPr>
            <w:r>
              <w:rPr>
                <w:rFonts w:hint="eastAsia" w:ascii="宋体" w:hAnsi="宋体" w:cs="宋体"/>
                <w:color w:val="auto"/>
                <w:szCs w:val="21"/>
              </w:rPr>
              <w:t xml:space="preserve">  0.05%</w:t>
            </w:r>
          </w:p>
        </w:tc>
        <w:tc>
          <w:tcPr>
            <w:tcW w:w="1546" w:type="dxa"/>
          </w:tcPr>
          <w:p>
            <w:pPr>
              <w:spacing w:line="360" w:lineRule="auto"/>
              <w:rPr>
                <w:rFonts w:hint="eastAsia" w:ascii="宋体" w:hAnsi="宋体" w:cs="宋体"/>
                <w:color w:val="auto"/>
                <w:szCs w:val="21"/>
              </w:rPr>
            </w:pPr>
            <w:r>
              <w:rPr>
                <w:rFonts w:hint="eastAsia" w:ascii="宋体" w:hAnsi="宋体" w:cs="宋体"/>
                <w:color w:val="auto"/>
                <w:szCs w:val="21"/>
              </w:rPr>
              <w:t xml:space="preserve">  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pPr>
              <w:spacing w:line="360" w:lineRule="auto"/>
              <w:rPr>
                <w:rFonts w:hint="eastAsia" w:ascii="宋体" w:hAnsi="宋体" w:cs="宋体"/>
                <w:color w:val="auto"/>
                <w:szCs w:val="21"/>
              </w:rPr>
            </w:pPr>
            <w:r>
              <w:rPr>
                <w:rFonts w:hint="eastAsia" w:ascii="宋体" w:hAnsi="宋体" w:cs="宋体"/>
                <w:color w:val="auto"/>
                <w:szCs w:val="21"/>
              </w:rPr>
              <w:t>5～10亿元</w:t>
            </w:r>
          </w:p>
        </w:tc>
        <w:tc>
          <w:tcPr>
            <w:tcW w:w="1659" w:type="dxa"/>
          </w:tcPr>
          <w:p>
            <w:pPr>
              <w:spacing w:line="360" w:lineRule="auto"/>
              <w:ind w:firstLine="105" w:firstLineChars="50"/>
              <w:rPr>
                <w:rFonts w:hint="eastAsia" w:ascii="宋体" w:hAnsi="宋体" w:cs="宋体"/>
                <w:color w:val="auto"/>
                <w:szCs w:val="21"/>
              </w:rPr>
            </w:pPr>
            <w:r>
              <w:rPr>
                <w:rFonts w:hint="eastAsia" w:ascii="宋体" w:hAnsi="宋体" w:cs="宋体"/>
                <w:color w:val="auto"/>
                <w:szCs w:val="21"/>
              </w:rPr>
              <w:t>0.035%</w:t>
            </w:r>
          </w:p>
        </w:tc>
        <w:tc>
          <w:tcPr>
            <w:tcW w:w="1532" w:type="dxa"/>
          </w:tcPr>
          <w:p>
            <w:pPr>
              <w:spacing w:line="360" w:lineRule="auto"/>
              <w:rPr>
                <w:rFonts w:hint="eastAsia" w:ascii="宋体" w:hAnsi="宋体" w:cs="宋体"/>
                <w:color w:val="auto"/>
                <w:szCs w:val="21"/>
              </w:rPr>
            </w:pPr>
            <w:r>
              <w:rPr>
                <w:rFonts w:hint="eastAsia" w:ascii="宋体" w:hAnsi="宋体" w:cs="宋体"/>
                <w:color w:val="auto"/>
                <w:szCs w:val="21"/>
              </w:rPr>
              <w:t xml:space="preserve">  0.035%</w:t>
            </w:r>
          </w:p>
        </w:tc>
        <w:tc>
          <w:tcPr>
            <w:tcW w:w="1546" w:type="dxa"/>
          </w:tcPr>
          <w:p>
            <w:pPr>
              <w:spacing w:line="360" w:lineRule="auto"/>
              <w:ind w:firstLine="105" w:firstLineChars="50"/>
              <w:rPr>
                <w:rFonts w:hint="eastAsia" w:ascii="宋体" w:hAnsi="宋体" w:cs="宋体"/>
                <w:color w:val="auto"/>
                <w:szCs w:val="21"/>
              </w:rPr>
            </w:pPr>
            <w:r>
              <w:rPr>
                <w:rFonts w:hint="eastAsia" w:ascii="宋体" w:hAnsi="宋体" w:cs="宋体"/>
                <w:color w:val="auto"/>
                <w:szCs w:val="21"/>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pPr>
              <w:spacing w:line="360" w:lineRule="auto"/>
              <w:rPr>
                <w:rFonts w:hint="eastAsia" w:ascii="宋体" w:hAnsi="宋体" w:cs="宋体"/>
                <w:color w:val="auto"/>
                <w:szCs w:val="21"/>
              </w:rPr>
            </w:pPr>
            <w:r>
              <w:rPr>
                <w:rFonts w:hint="eastAsia" w:ascii="宋体" w:hAnsi="宋体" w:cs="宋体"/>
                <w:color w:val="auto"/>
                <w:szCs w:val="21"/>
              </w:rPr>
              <w:t>10～50亿元</w:t>
            </w:r>
          </w:p>
        </w:tc>
        <w:tc>
          <w:tcPr>
            <w:tcW w:w="1659" w:type="dxa"/>
          </w:tcPr>
          <w:p>
            <w:pPr>
              <w:spacing w:line="360" w:lineRule="auto"/>
              <w:ind w:firstLine="105" w:firstLineChars="50"/>
              <w:rPr>
                <w:rFonts w:hint="eastAsia" w:ascii="宋体" w:hAnsi="宋体" w:cs="宋体"/>
                <w:color w:val="auto"/>
                <w:szCs w:val="21"/>
              </w:rPr>
            </w:pPr>
            <w:r>
              <w:rPr>
                <w:rFonts w:hint="eastAsia" w:ascii="宋体" w:hAnsi="宋体" w:cs="宋体"/>
                <w:color w:val="auto"/>
                <w:szCs w:val="21"/>
              </w:rPr>
              <w:t>0.008%</w:t>
            </w:r>
          </w:p>
        </w:tc>
        <w:tc>
          <w:tcPr>
            <w:tcW w:w="1532" w:type="dxa"/>
          </w:tcPr>
          <w:p>
            <w:pPr>
              <w:spacing w:line="360" w:lineRule="auto"/>
              <w:ind w:firstLine="210" w:firstLineChars="100"/>
              <w:rPr>
                <w:rFonts w:hint="eastAsia" w:ascii="宋体" w:hAnsi="宋体" w:cs="宋体"/>
                <w:color w:val="auto"/>
                <w:szCs w:val="21"/>
              </w:rPr>
            </w:pPr>
            <w:r>
              <w:rPr>
                <w:rFonts w:hint="eastAsia" w:ascii="宋体" w:hAnsi="宋体" w:cs="宋体"/>
                <w:color w:val="auto"/>
                <w:szCs w:val="21"/>
              </w:rPr>
              <w:t>0.008%</w:t>
            </w:r>
          </w:p>
        </w:tc>
        <w:tc>
          <w:tcPr>
            <w:tcW w:w="1546" w:type="dxa"/>
          </w:tcPr>
          <w:p>
            <w:pPr>
              <w:spacing w:line="360" w:lineRule="auto"/>
              <w:ind w:firstLine="105" w:firstLineChars="50"/>
              <w:rPr>
                <w:rFonts w:hint="eastAsia" w:ascii="宋体" w:hAnsi="宋体" w:cs="宋体"/>
                <w:color w:val="auto"/>
                <w:szCs w:val="21"/>
              </w:rPr>
            </w:pPr>
            <w:r>
              <w:rPr>
                <w:rFonts w:hint="eastAsia" w:ascii="宋体" w:hAnsi="宋体" w:cs="宋体"/>
                <w:color w:val="auto"/>
                <w:szCs w:val="21"/>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pPr>
              <w:spacing w:line="360" w:lineRule="auto"/>
              <w:rPr>
                <w:rFonts w:hint="eastAsia" w:ascii="宋体" w:hAnsi="宋体" w:cs="宋体"/>
                <w:color w:val="auto"/>
                <w:szCs w:val="21"/>
              </w:rPr>
            </w:pPr>
            <w:r>
              <w:rPr>
                <w:rFonts w:hint="eastAsia" w:ascii="宋体" w:hAnsi="宋体" w:cs="宋体"/>
                <w:color w:val="auto"/>
                <w:szCs w:val="21"/>
              </w:rPr>
              <w:t>50～100亿元</w:t>
            </w:r>
          </w:p>
        </w:tc>
        <w:tc>
          <w:tcPr>
            <w:tcW w:w="1659" w:type="dxa"/>
          </w:tcPr>
          <w:p>
            <w:pPr>
              <w:spacing w:line="360" w:lineRule="auto"/>
              <w:rPr>
                <w:rFonts w:hint="eastAsia" w:ascii="宋体" w:hAnsi="宋体" w:cs="宋体"/>
                <w:color w:val="auto"/>
                <w:szCs w:val="21"/>
              </w:rPr>
            </w:pPr>
            <w:r>
              <w:rPr>
                <w:rFonts w:hint="eastAsia" w:ascii="宋体" w:hAnsi="宋体" w:cs="宋体"/>
                <w:color w:val="auto"/>
                <w:szCs w:val="21"/>
              </w:rPr>
              <w:t xml:space="preserve"> 0.006%</w:t>
            </w:r>
          </w:p>
        </w:tc>
        <w:tc>
          <w:tcPr>
            <w:tcW w:w="1532" w:type="dxa"/>
          </w:tcPr>
          <w:p>
            <w:pPr>
              <w:spacing w:line="360" w:lineRule="auto"/>
              <w:ind w:firstLine="210" w:firstLineChars="100"/>
              <w:rPr>
                <w:rFonts w:hint="eastAsia" w:ascii="宋体" w:hAnsi="宋体" w:cs="宋体"/>
                <w:color w:val="auto"/>
                <w:szCs w:val="21"/>
              </w:rPr>
            </w:pPr>
            <w:r>
              <w:rPr>
                <w:rFonts w:hint="eastAsia" w:ascii="宋体" w:hAnsi="宋体" w:cs="宋体"/>
                <w:color w:val="auto"/>
                <w:szCs w:val="21"/>
              </w:rPr>
              <w:t>0.006%</w:t>
            </w:r>
          </w:p>
        </w:tc>
        <w:tc>
          <w:tcPr>
            <w:tcW w:w="1546" w:type="dxa"/>
          </w:tcPr>
          <w:p>
            <w:pPr>
              <w:spacing w:line="360" w:lineRule="auto"/>
              <w:ind w:firstLine="105" w:firstLineChars="50"/>
              <w:rPr>
                <w:rFonts w:hint="eastAsia" w:ascii="宋体" w:hAnsi="宋体" w:cs="宋体"/>
                <w:color w:val="auto"/>
                <w:szCs w:val="21"/>
              </w:rPr>
            </w:pPr>
            <w:r>
              <w:rPr>
                <w:rFonts w:hint="eastAsia" w:ascii="宋体" w:hAnsi="宋体" w:cs="宋体"/>
                <w:color w:val="auto"/>
                <w:szCs w:val="21"/>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pPr>
              <w:spacing w:line="360" w:lineRule="auto"/>
              <w:rPr>
                <w:rFonts w:hint="eastAsia" w:ascii="宋体" w:hAnsi="宋体" w:cs="宋体"/>
                <w:color w:val="auto"/>
                <w:szCs w:val="21"/>
              </w:rPr>
            </w:pPr>
            <w:r>
              <w:rPr>
                <w:rFonts w:hint="eastAsia" w:ascii="宋体" w:hAnsi="宋体" w:cs="宋体"/>
                <w:color w:val="auto"/>
                <w:szCs w:val="21"/>
              </w:rPr>
              <w:t>100亿</w:t>
            </w:r>
            <w:r>
              <w:rPr>
                <w:rFonts w:hint="eastAsia" w:ascii="宋体" w:hAnsi="宋体" w:cs="宋体"/>
                <w:color w:val="auto"/>
                <w:szCs w:val="21"/>
                <w:lang w:val="en-US" w:eastAsia="zh-CN"/>
              </w:rPr>
              <w:t>元</w:t>
            </w:r>
            <w:r>
              <w:rPr>
                <w:rFonts w:hint="eastAsia" w:ascii="宋体" w:hAnsi="宋体" w:cs="宋体"/>
                <w:color w:val="auto"/>
                <w:szCs w:val="21"/>
              </w:rPr>
              <w:t>以上</w:t>
            </w:r>
          </w:p>
        </w:tc>
        <w:tc>
          <w:tcPr>
            <w:tcW w:w="1659" w:type="dxa"/>
          </w:tcPr>
          <w:p>
            <w:pPr>
              <w:spacing w:line="360" w:lineRule="auto"/>
              <w:rPr>
                <w:rFonts w:hint="eastAsia" w:ascii="宋体" w:hAnsi="宋体" w:cs="宋体"/>
                <w:color w:val="auto"/>
                <w:szCs w:val="21"/>
              </w:rPr>
            </w:pPr>
            <w:r>
              <w:rPr>
                <w:rFonts w:hint="eastAsia" w:ascii="宋体" w:hAnsi="宋体" w:cs="宋体"/>
                <w:color w:val="auto"/>
                <w:szCs w:val="21"/>
              </w:rPr>
              <w:t xml:space="preserve"> 0.004%</w:t>
            </w:r>
          </w:p>
        </w:tc>
        <w:tc>
          <w:tcPr>
            <w:tcW w:w="1532" w:type="dxa"/>
          </w:tcPr>
          <w:p>
            <w:pPr>
              <w:spacing w:line="360" w:lineRule="auto"/>
              <w:ind w:firstLine="210" w:firstLineChars="100"/>
              <w:rPr>
                <w:rFonts w:hint="eastAsia" w:ascii="宋体" w:hAnsi="宋体" w:cs="宋体"/>
                <w:color w:val="auto"/>
                <w:szCs w:val="21"/>
              </w:rPr>
            </w:pPr>
            <w:r>
              <w:rPr>
                <w:rFonts w:hint="eastAsia" w:ascii="宋体" w:hAnsi="宋体" w:cs="宋体"/>
                <w:color w:val="auto"/>
                <w:szCs w:val="21"/>
              </w:rPr>
              <w:t>0.004%</w:t>
            </w:r>
          </w:p>
        </w:tc>
        <w:tc>
          <w:tcPr>
            <w:tcW w:w="1546" w:type="dxa"/>
          </w:tcPr>
          <w:p>
            <w:pPr>
              <w:spacing w:line="360" w:lineRule="auto"/>
              <w:ind w:firstLine="105" w:firstLineChars="50"/>
              <w:rPr>
                <w:rFonts w:hint="eastAsia" w:ascii="宋体" w:hAnsi="宋体" w:cs="宋体"/>
                <w:color w:val="auto"/>
                <w:szCs w:val="21"/>
              </w:rPr>
            </w:pPr>
            <w:r>
              <w:rPr>
                <w:rFonts w:hint="eastAsia" w:ascii="宋体" w:hAnsi="宋体" w:cs="宋体"/>
                <w:color w:val="auto"/>
                <w:szCs w:val="21"/>
              </w:rPr>
              <w:t>0.004%</w:t>
            </w:r>
          </w:p>
        </w:tc>
      </w:tr>
    </w:tbl>
    <w:p>
      <w:pPr>
        <w:spacing w:line="360" w:lineRule="auto"/>
        <w:ind w:firstLine="420" w:firstLineChars="200"/>
        <w:rPr>
          <w:rFonts w:hint="eastAsia" w:ascii="宋体" w:hAnsi="宋体" w:cs="宋体"/>
          <w:color w:val="auto"/>
        </w:rPr>
      </w:pPr>
      <w:r>
        <w:rPr>
          <w:rFonts w:hint="eastAsia" w:ascii="宋体" w:hAnsi="宋体" w:cs="宋体"/>
          <w:color w:val="auto"/>
        </w:rPr>
        <w:t>注：</w:t>
      </w:r>
    </w:p>
    <w:p>
      <w:pPr>
        <w:spacing w:line="360" w:lineRule="auto"/>
        <w:ind w:firstLine="420" w:firstLineChars="200"/>
        <w:rPr>
          <w:rFonts w:hint="eastAsia" w:ascii="宋体" w:hAnsi="宋体" w:cs="宋体"/>
          <w:color w:val="auto"/>
        </w:rPr>
      </w:pPr>
      <w:r>
        <w:rPr>
          <w:rFonts w:hint="eastAsia" w:ascii="宋体" w:hAnsi="宋体" w:cs="宋体"/>
          <w:color w:val="auto"/>
        </w:rPr>
        <w:t>（1）按本表费率计算的收费为采购代理的收费基准价格；</w:t>
      </w:r>
    </w:p>
    <w:p>
      <w:pPr>
        <w:spacing w:line="360" w:lineRule="auto"/>
        <w:ind w:firstLine="420" w:firstLineChars="200"/>
        <w:rPr>
          <w:rFonts w:hint="eastAsia" w:ascii="宋体" w:hAnsi="宋体" w:cs="宋体"/>
          <w:color w:val="auto"/>
        </w:rPr>
      </w:pPr>
      <w:r>
        <w:rPr>
          <w:rFonts w:hint="eastAsia" w:ascii="宋体" w:hAnsi="宋体" w:cs="宋体"/>
          <w:color w:val="auto"/>
        </w:rPr>
        <w:t>（2）采购代理收费按差额定率累进法计算。</w:t>
      </w:r>
    </w:p>
    <w:p>
      <w:pPr>
        <w:spacing w:line="360" w:lineRule="auto"/>
        <w:ind w:firstLine="420" w:firstLineChars="200"/>
        <w:rPr>
          <w:rFonts w:hint="eastAsia" w:ascii="宋体" w:hAnsi="宋体" w:cs="宋体"/>
          <w:color w:val="auto"/>
        </w:rPr>
      </w:pPr>
      <w:r>
        <w:rPr>
          <w:rFonts w:hint="eastAsia" w:ascii="宋体" w:hAnsi="宋体" w:cs="宋体"/>
          <w:color w:val="auto"/>
        </w:rPr>
        <w:t>例如：</w:t>
      </w:r>
      <w:r>
        <w:rPr>
          <w:rFonts w:hint="eastAsia" w:ascii="宋体" w:hAnsi="宋体" w:cs="宋体"/>
          <w:color w:val="auto"/>
          <w:lang w:val="en-US" w:eastAsia="zh-CN"/>
        </w:rPr>
        <w:t>某项目成交金额</w:t>
      </w:r>
      <w:r>
        <w:rPr>
          <w:rFonts w:hint="eastAsia" w:ascii="宋体" w:hAnsi="宋体" w:cs="宋体"/>
          <w:color w:val="auto"/>
        </w:rPr>
        <w:t>为1</w:t>
      </w:r>
      <w:r>
        <w:rPr>
          <w:rFonts w:hint="eastAsia" w:ascii="宋体" w:hAnsi="宋体" w:cs="宋体"/>
          <w:color w:val="auto"/>
          <w:lang w:val="en-US" w:eastAsia="zh-CN"/>
        </w:rPr>
        <w:t>98</w:t>
      </w:r>
      <w:r>
        <w:rPr>
          <w:rFonts w:hint="eastAsia" w:ascii="宋体" w:hAnsi="宋体" w:cs="宋体"/>
          <w:color w:val="auto"/>
        </w:rPr>
        <w:t>万元，计算采购代理收费额如下：</w:t>
      </w:r>
    </w:p>
    <w:p>
      <w:pPr>
        <w:spacing w:line="360" w:lineRule="auto"/>
        <w:ind w:firstLine="420" w:firstLineChars="200"/>
        <w:rPr>
          <w:rFonts w:hint="eastAsia" w:ascii="宋体" w:hAnsi="宋体" w:cs="宋体"/>
          <w:color w:val="auto"/>
        </w:rPr>
      </w:pPr>
      <w:r>
        <w:rPr>
          <w:rFonts w:hint="eastAsia" w:ascii="宋体" w:hAnsi="宋体" w:cs="宋体"/>
          <w:color w:val="auto"/>
        </w:rPr>
        <w:t>100 万元 ×l.5 ％＝ 1.5 万元</w:t>
      </w:r>
    </w:p>
    <w:p>
      <w:pPr>
        <w:spacing w:line="360" w:lineRule="auto"/>
        <w:ind w:firstLine="420" w:firstLineChars="200"/>
        <w:rPr>
          <w:rFonts w:hint="eastAsia" w:ascii="宋体" w:hAnsi="宋体" w:cs="宋体"/>
          <w:color w:val="auto"/>
        </w:rPr>
      </w:pPr>
      <w:r>
        <w:rPr>
          <w:rFonts w:hint="eastAsia" w:ascii="宋体" w:hAnsi="宋体" w:cs="宋体"/>
          <w:color w:val="auto"/>
        </w:rPr>
        <w:t>（ 1</w:t>
      </w:r>
      <w:r>
        <w:rPr>
          <w:rFonts w:hint="eastAsia" w:ascii="宋体" w:hAnsi="宋体" w:cs="宋体"/>
          <w:color w:val="auto"/>
          <w:lang w:val="en-US" w:eastAsia="zh-CN"/>
        </w:rPr>
        <w:t>98</w:t>
      </w:r>
      <w:r>
        <w:rPr>
          <w:rFonts w:hint="eastAsia" w:ascii="宋体" w:hAnsi="宋体" w:cs="宋体"/>
          <w:color w:val="auto"/>
        </w:rPr>
        <w:t xml:space="preserve"> － 100 ）万元 ×0.8％＝ 0.</w:t>
      </w:r>
      <w:r>
        <w:rPr>
          <w:rFonts w:hint="eastAsia" w:ascii="宋体" w:hAnsi="宋体" w:cs="宋体"/>
          <w:color w:val="auto"/>
          <w:lang w:val="en-US" w:eastAsia="zh-CN"/>
        </w:rPr>
        <w:t>784</w:t>
      </w:r>
      <w:r>
        <w:rPr>
          <w:rFonts w:hint="eastAsia" w:ascii="宋体" w:hAnsi="宋体" w:cs="宋体"/>
          <w:color w:val="auto"/>
        </w:rPr>
        <w:t>万元</w:t>
      </w:r>
    </w:p>
    <w:p>
      <w:pPr>
        <w:spacing w:line="360" w:lineRule="auto"/>
        <w:ind w:firstLine="420" w:firstLineChars="200"/>
        <w:rPr>
          <w:rFonts w:hint="eastAsia" w:ascii="宋体" w:hAnsi="宋体" w:cs="宋体"/>
          <w:color w:val="auto"/>
        </w:rPr>
      </w:pPr>
      <w:r>
        <w:rPr>
          <w:rFonts w:hint="eastAsia" w:ascii="宋体" w:hAnsi="宋体" w:cs="宋体"/>
          <w:color w:val="auto"/>
        </w:rPr>
        <w:t xml:space="preserve">合计收费＝ 1.5 ＋ 0.784＝ </w:t>
      </w:r>
      <w:r>
        <w:rPr>
          <w:rFonts w:hint="eastAsia" w:ascii="宋体" w:hAnsi="宋体" w:cs="宋体"/>
          <w:color w:val="auto"/>
          <w:lang w:val="en-US" w:eastAsia="zh-CN"/>
        </w:rPr>
        <w:t>2.284</w:t>
      </w:r>
      <w:r>
        <w:rPr>
          <w:rFonts w:hint="eastAsia" w:ascii="宋体" w:hAnsi="宋体" w:cs="宋体"/>
          <w:color w:val="auto"/>
        </w:rPr>
        <w:t xml:space="preserve"> 万元</w:t>
      </w:r>
    </w:p>
    <w:p>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34</w:t>
      </w:r>
      <w:r>
        <w:rPr>
          <w:rFonts w:ascii="黑体" w:hAnsi="黑体" w:eastAsia="黑体" w:cs="宋体"/>
          <w:b/>
          <w:bCs/>
          <w:color w:val="auto"/>
          <w:sz w:val="24"/>
        </w:rPr>
        <w:t>.需要补充的其他内容</w:t>
      </w:r>
    </w:p>
    <w:p>
      <w:pPr>
        <w:spacing w:line="360" w:lineRule="auto"/>
        <w:ind w:firstLine="420" w:firstLineChars="200"/>
        <w:textAlignment w:val="center"/>
        <w:rPr>
          <w:rFonts w:hint="eastAsia" w:ascii="宋体" w:hAnsi="宋体" w:cs="宋体"/>
          <w:color w:val="auto"/>
          <w:szCs w:val="21"/>
        </w:rPr>
      </w:pPr>
      <w:r>
        <w:rPr>
          <w:rFonts w:hint="eastAsia" w:ascii="宋体" w:hAnsi="宋体" w:cs="宋体"/>
          <w:color w:val="auto"/>
          <w:szCs w:val="21"/>
        </w:rPr>
        <w:t>34.1本磋商文件解释规则详见“供应商须知前附表”。</w:t>
      </w:r>
    </w:p>
    <w:p>
      <w:pPr>
        <w:spacing w:line="360" w:lineRule="auto"/>
        <w:ind w:firstLine="420" w:firstLineChars="200"/>
        <w:textAlignment w:val="center"/>
        <w:rPr>
          <w:rFonts w:hint="eastAsia" w:ascii="宋体" w:hAnsi="宋体" w:cs="宋体"/>
          <w:color w:val="auto"/>
          <w:szCs w:val="21"/>
        </w:rPr>
      </w:pPr>
      <w:r>
        <w:rPr>
          <w:rFonts w:hint="eastAsia" w:ascii="宋体" w:hAnsi="宋体" w:cs="宋体"/>
          <w:color w:val="auto"/>
          <w:szCs w:val="21"/>
        </w:rPr>
        <w:t>34.2 其他事项详见“供应商须知前附表”。</w:t>
      </w:r>
    </w:p>
    <w:p>
      <w:pPr>
        <w:spacing w:line="360" w:lineRule="auto"/>
        <w:ind w:firstLine="420" w:firstLineChars="200"/>
        <w:textAlignment w:val="center"/>
        <w:rPr>
          <w:rFonts w:hint="eastAsia" w:ascii="宋体" w:hAnsi="宋体" w:cs="宋体"/>
          <w:color w:val="auto"/>
          <w:szCs w:val="21"/>
        </w:rPr>
      </w:pPr>
      <w:r>
        <w:rPr>
          <w:rFonts w:hint="eastAsia" w:ascii="宋体" w:hAnsi="宋体" w:cs="宋体"/>
          <w:color w:val="auto"/>
          <w:szCs w:val="21"/>
        </w:rPr>
        <w:t>34.3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ascii="宋体" w:hAnsi="宋体" w:cs="宋体"/>
          <w:color w:val="auto"/>
          <w:kern w:val="0"/>
          <w:szCs w:val="21"/>
        </w:rPr>
        <w:t>服务由中小企业承接，即提供服务的人员为中小企业依照《中华人民共和国劳动合同法》订立劳动合同的从业人员，不对其中涉及的货物的制造商和工程承建商作出要求的</w:t>
      </w:r>
      <w:r>
        <w:rPr>
          <w:rFonts w:hint="eastAsia" w:ascii="宋体" w:hAnsi="宋体" w:cs="宋体"/>
          <w:color w:val="auto"/>
          <w:szCs w:val="21"/>
        </w:rPr>
        <w:t>，享受本文件规定的中小企业扶持政策。</w:t>
      </w:r>
    </w:p>
    <w:p>
      <w:pPr>
        <w:spacing w:line="360" w:lineRule="auto"/>
        <w:ind w:firstLine="420" w:firstLineChars="200"/>
        <w:textAlignment w:val="center"/>
        <w:rPr>
          <w:rFonts w:hint="eastAsia" w:ascii="宋体" w:hAnsi="宋体" w:cs="宋体"/>
          <w:color w:val="auto"/>
          <w:szCs w:val="21"/>
        </w:rPr>
      </w:pPr>
      <w:r>
        <w:rPr>
          <w:rFonts w:hint="eastAsia" w:ascii="宋体" w:hAnsi="宋体" w:cs="宋体"/>
          <w:color w:val="auto"/>
          <w:szCs w:val="21"/>
        </w:rPr>
        <w:t>以联合体形式参加政府采购活动，联合体各方均为中小企业的，联合体视同中小企业。其中，联合体各方均为小微企业的，联合体视同小微企业。</w:t>
      </w:r>
    </w:p>
    <w:p>
      <w:pPr>
        <w:spacing w:line="360" w:lineRule="auto"/>
        <w:ind w:firstLine="420" w:firstLineChars="200"/>
        <w:textAlignment w:val="center"/>
        <w:rPr>
          <w:rFonts w:hint="eastAsia" w:ascii="宋体" w:hAnsi="宋体" w:cs="宋体"/>
          <w:color w:val="auto"/>
          <w:szCs w:val="21"/>
        </w:rPr>
      </w:pPr>
      <w:r>
        <w:rPr>
          <w:rFonts w:hint="eastAsia" w:ascii="宋体" w:hAnsi="宋体" w:cs="宋体"/>
          <w:color w:val="auto"/>
          <w:szCs w:val="21"/>
        </w:rPr>
        <w:t>依据本文件规定享受扶持政策获得政府采购合同的，小微企业不得将合同分包给大中型企业，中型企业不得将合同分包给大型企业。</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35. 广西线上“政采贷”政策告知函</w:t>
      </w:r>
    </w:p>
    <w:p>
      <w:pPr>
        <w:spacing w:line="580" w:lineRule="exact"/>
        <w:jc w:val="center"/>
        <w:rPr>
          <w:rFonts w:hint="eastAsia" w:ascii="宋体" w:hAnsi="宋体" w:cs="宋体"/>
          <w:color w:val="auto"/>
          <w:sz w:val="32"/>
          <w:szCs w:val="32"/>
        </w:rPr>
      </w:pPr>
    </w:p>
    <w:p>
      <w:pPr>
        <w:spacing w:line="580" w:lineRule="exact"/>
        <w:jc w:val="center"/>
        <w:rPr>
          <w:rFonts w:hint="eastAsia" w:ascii="宋体" w:hAnsi="宋体" w:cs="宋体"/>
          <w:color w:val="auto"/>
          <w:sz w:val="32"/>
          <w:szCs w:val="32"/>
        </w:rPr>
      </w:pPr>
      <w:r>
        <w:rPr>
          <w:rFonts w:hint="eastAsia" w:ascii="宋体" w:hAnsi="宋体" w:cs="宋体"/>
          <w:color w:val="auto"/>
          <w:sz w:val="32"/>
          <w:szCs w:val="32"/>
        </w:rPr>
        <w:br w:type="page"/>
      </w:r>
      <w:r>
        <w:rPr>
          <w:rFonts w:hint="eastAsia" w:ascii="宋体" w:hAnsi="宋体" w:cs="宋体"/>
          <w:color w:val="auto"/>
          <w:sz w:val="32"/>
          <w:szCs w:val="32"/>
        </w:rPr>
        <w:t>广西线上“政采贷”政策告知函</w:t>
      </w:r>
    </w:p>
    <w:p>
      <w:pPr>
        <w:spacing w:line="580" w:lineRule="exact"/>
        <w:ind w:firstLine="420" w:firstLineChars="200"/>
        <w:rPr>
          <w:rFonts w:hint="eastAsia" w:ascii="宋体" w:hAnsi="宋体" w:cs="宋体"/>
          <w:color w:val="auto"/>
          <w:szCs w:val="32"/>
        </w:rPr>
      </w:pPr>
    </w:p>
    <w:p>
      <w:pPr>
        <w:spacing w:line="580" w:lineRule="exact"/>
        <w:rPr>
          <w:rFonts w:hint="eastAsia" w:ascii="宋体" w:hAnsi="宋体" w:cs="宋体"/>
          <w:color w:val="auto"/>
          <w:szCs w:val="21"/>
        </w:rPr>
      </w:pPr>
      <w:r>
        <w:rPr>
          <w:rFonts w:hint="eastAsia" w:ascii="宋体" w:hAnsi="宋体" w:cs="宋体"/>
          <w:color w:val="auto"/>
          <w:szCs w:val="21"/>
        </w:rPr>
        <w:t>各供应商：</w:t>
      </w:r>
    </w:p>
    <w:p>
      <w:pPr>
        <w:spacing w:line="580" w:lineRule="exact"/>
        <w:ind w:firstLine="420" w:firstLineChars="200"/>
        <w:rPr>
          <w:rFonts w:hint="eastAsia" w:ascii="宋体" w:hAnsi="宋体" w:cs="宋体"/>
          <w:color w:val="auto"/>
          <w:szCs w:val="21"/>
        </w:rPr>
      </w:pPr>
      <w:r>
        <w:rPr>
          <w:rFonts w:hint="eastAsia" w:ascii="宋体" w:hAnsi="宋体" w:cs="宋体"/>
          <w:color w:val="auto"/>
          <w:szCs w:val="21"/>
        </w:rPr>
        <w:t>欢迎贵公司参与广西政府采购活动！</w:t>
      </w:r>
    </w:p>
    <w:p>
      <w:pPr>
        <w:spacing w:line="580" w:lineRule="exact"/>
        <w:ind w:firstLine="420" w:firstLineChars="200"/>
        <w:rPr>
          <w:rFonts w:hint="eastAsia" w:ascii="宋体" w:hAnsi="宋体" w:cs="宋体"/>
          <w:color w:val="auto"/>
          <w:szCs w:val="21"/>
        </w:rPr>
      </w:pPr>
      <w:r>
        <w:rPr>
          <w:rFonts w:hint="eastAsia" w:ascii="宋体" w:hAnsi="宋体" w:cs="宋体"/>
          <w:color w:val="auto"/>
          <w:szCs w:val="21"/>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银行业金融机构申请贷款，融资机构将根据《中国人民银行南宁中心支行 广西壮族自治区财政厅关于推广线上“政采贷”融资模式的通知》（南宁银发〔2021〕258号），按照双方自愿的原则提供便捷、优惠的贷款服务。</w:t>
      </w:r>
    </w:p>
    <w:p>
      <w:pPr>
        <w:spacing w:line="580" w:lineRule="exact"/>
        <w:ind w:firstLine="420" w:firstLineChars="200"/>
        <w:rPr>
          <w:rFonts w:hint="eastAsia" w:ascii="宋体" w:hAnsi="宋体" w:cs="宋体"/>
          <w:color w:val="auto"/>
          <w:szCs w:val="21"/>
        </w:rPr>
      </w:pPr>
      <w:r>
        <w:rPr>
          <w:rFonts w:hint="eastAsia" w:ascii="宋体" w:hAnsi="宋体" w:cs="宋体"/>
          <w:color w:val="auto"/>
          <w:szCs w:val="21"/>
        </w:rPr>
        <w:t>相关金融产品和银行业金融机构联系方式，可在中征应收账款融资服务平台查询（网址：</w:t>
      </w:r>
      <w:r>
        <w:rPr>
          <w:color w:val="auto"/>
        </w:rPr>
        <w:fldChar w:fldCharType="begin"/>
      </w:r>
      <w:r>
        <w:rPr>
          <w:color w:val="auto"/>
        </w:rPr>
        <w:instrText xml:space="preserve"> HYPERLINK "https://www.crcrfsp.com/" </w:instrText>
      </w:r>
      <w:r>
        <w:rPr>
          <w:color w:val="auto"/>
        </w:rPr>
        <w:fldChar w:fldCharType="separate"/>
      </w:r>
      <w:r>
        <w:rPr>
          <w:rStyle w:val="38"/>
          <w:rFonts w:hint="eastAsia" w:ascii="宋体" w:hAnsi="宋体" w:cs="宋体"/>
          <w:color w:val="auto"/>
          <w:szCs w:val="21"/>
        </w:rPr>
        <w:t>https://www.crcrfsp.com/</w:t>
      </w:r>
      <w:r>
        <w:rPr>
          <w:rStyle w:val="38"/>
          <w:rFonts w:hint="eastAsia" w:ascii="宋体" w:hAnsi="宋体" w:cs="宋体"/>
          <w:color w:val="auto"/>
          <w:szCs w:val="21"/>
        </w:rPr>
        <w:fldChar w:fldCharType="end"/>
      </w:r>
      <w:r>
        <w:rPr>
          <w:rFonts w:hint="eastAsia" w:ascii="宋体" w:hAnsi="宋体" w:cs="宋体"/>
          <w:color w:val="auto"/>
          <w:szCs w:val="21"/>
        </w:rPr>
        <w:t>，客服电话：400-009-0001）。</w:t>
      </w:r>
    </w:p>
    <w:p>
      <w:pPr>
        <w:pStyle w:val="23"/>
        <w:rPr>
          <w:rFonts w:hint="eastAsia" w:ascii="宋体" w:hAnsi="宋体" w:cs="宋体"/>
          <w:color w:val="auto"/>
          <w:szCs w:val="21"/>
        </w:rPr>
      </w:pPr>
      <w:r>
        <w:rPr>
          <w:rFonts w:hint="eastAsia" w:ascii="宋体" w:hAnsi="宋体" w:cs="宋体"/>
          <w:color w:val="auto"/>
          <w:szCs w:val="21"/>
        </w:rPr>
        <w:br w:type="page"/>
      </w:r>
    </w:p>
    <w:p>
      <w:pPr>
        <w:pStyle w:val="2"/>
        <w:spacing w:line="240" w:lineRule="auto"/>
        <w:jc w:val="center"/>
        <w:rPr>
          <w:rFonts w:hint="eastAsia" w:ascii="Calibri" w:hAnsi="Calibri"/>
          <w:color w:val="auto"/>
        </w:rPr>
      </w:pPr>
      <w:bookmarkStart w:id="145" w:name="_Toc80886937"/>
      <w:bookmarkStart w:id="146" w:name="_Toc8593"/>
      <w:bookmarkStart w:id="147" w:name="_Toc8412"/>
      <w:bookmarkStart w:id="148" w:name="_Toc1088"/>
      <w:bookmarkStart w:id="149" w:name="_Toc3879"/>
      <w:bookmarkStart w:id="150" w:name="_Toc28979"/>
      <w:bookmarkStart w:id="151" w:name="_Toc17511"/>
      <w:bookmarkStart w:id="152" w:name="_Toc3976"/>
      <w:r>
        <w:rPr>
          <w:rFonts w:hint="eastAsia" w:ascii="Calibri" w:hAnsi="Calibri"/>
          <w:color w:val="auto"/>
        </w:rPr>
        <w:t>第四章  评审程序、评审方法和评审标准</w:t>
      </w:r>
      <w:bookmarkEnd w:id="145"/>
      <w:bookmarkEnd w:id="146"/>
      <w:bookmarkEnd w:id="147"/>
      <w:bookmarkEnd w:id="148"/>
      <w:bookmarkEnd w:id="149"/>
      <w:bookmarkEnd w:id="150"/>
      <w:bookmarkEnd w:id="151"/>
      <w:bookmarkEnd w:id="152"/>
    </w:p>
    <w:p>
      <w:pPr>
        <w:pStyle w:val="3"/>
        <w:jc w:val="center"/>
        <w:rPr>
          <w:rFonts w:hint="eastAsia" w:ascii="宋体" w:hAnsi="宋体"/>
          <w:b w:val="0"/>
          <w:color w:val="auto"/>
        </w:rPr>
      </w:pPr>
      <w:bookmarkStart w:id="153" w:name="_Toc17424"/>
      <w:bookmarkStart w:id="154" w:name="_Toc80886938"/>
      <w:bookmarkStart w:id="155" w:name="_Toc11607"/>
      <w:r>
        <w:rPr>
          <w:rFonts w:hint="eastAsia" w:ascii="宋体" w:hAnsi="宋体"/>
          <w:b w:val="0"/>
          <w:color w:val="auto"/>
        </w:rPr>
        <w:t>第一节 评审程序和评审方法</w:t>
      </w:r>
      <w:bookmarkEnd w:id="153"/>
      <w:bookmarkEnd w:id="154"/>
      <w:bookmarkEnd w:id="155"/>
    </w:p>
    <w:p>
      <w:pPr>
        <w:spacing w:line="360" w:lineRule="auto"/>
        <w:ind w:firstLine="482" w:firstLineChars="200"/>
        <w:rPr>
          <w:rFonts w:ascii="黑体" w:hAnsi="黑体" w:eastAsia="黑体" w:cs="宋体"/>
          <w:b/>
          <w:bCs/>
          <w:color w:val="auto"/>
          <w:sz w:val="24"/>
        </w:rPr>
      </w:pPr>
      <w:r>
        <w:rPr>
          <w:rFonts w:ascii="黑体" w:hAnsi="黑体" w:eastAsia="黑体" w:cs="宋体"/>
          <w:b/>
          <w:bCs/>
          <w:color w:val="auto"/>
          <w:sz w:val="24"/>
        </w:rPr>
        <w:t>1</w:t>
      </w:r>
      <w:r>
        <w:rPr>
          <w:rFonts w:hint="eastAsia" w:ascii="黑体" w:hAnsi="黑体" w:eastAsia="黑体" w:cs="宋体"/>
          <w:b/>
          <w:bCs/>
          <w:color w:val="auto"/>
          <w:sz w:val="24"/>
        </w:rPr>
        <w:t>.确认磋商文件</w:t>
      </w:r>
    </w:p>
    <w:p>
      <w:pPr>
        <w:spacing w:line="360" w:lineRule="auto"/>
        <w:ind w:firstLine="420" w:firstLineChars="200"/>
        <w:rPr>
          <w:rFonts w:hint="eastAsia" w:cs="宋体"/>
          <w:color w:val="auto"/>
          <w:szCs w:val="21"/>
        </w:rPr>
      </w:pPr>
      <w:r>
        <w:rPr>
          <w:rFonts w:hint="eastAsia" w:cs="宋体"/>
          <w:color w:val="auto"/>
          <w:szCs w:val="21"/>
        </w:rPr>
        <w:t>由磋商小组确认磋商文件。</w:t>
      </w:r>
    </w:p>
    <w:p>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2.资格审查</w:t>
      </w:r>
    </w:p>
    <w:p>
      <w:pPr>
        <w:snapToGrid w:val="0"/>
        <w:spacing w:line="360" w:lineRule="auto"/>
        <w:ind w:firstLine="420" w:firstLineChars="200"/>
        <w:rPr>
          <w:rFonts w:hint="eastAsia" w:ascii="宋体" w:hAnsi="宋体" w:cs="宋体"/>
          <w:color w:val="auto"/>
          <w:szCs w:val="21"/>
        </w:rPr>
      </w:pPr>
      <w:r>
        <w:rPr>
          <w:rFonts w:hint="eastAsia" w:ascii="宋体" w:hAnsi="宋体" w:cs="宋体"/>
          <w:color w:val="auto"/>
          <w:szCs w:val="21"/>
        </w:rPr>
        <w:t>2.1响应文件开启后，磋商小组依法对供应商的资格证明文件进行审查。</w:t>
      </w:r>
    </w:p>
    <w:p>
      <w:pPr>
        <w:snapToGrid w:val="0"/>
        <w:spacing w:line="360" w:lineRule="auto"/>
        <w:ind w:firstLine="420" w:firstLineChars="200"/>
        <w:rPr>
          <w:rFonts w:hint="eastAsia" w:ascii="宋体" w:hAnsi="宋体" w:cs="宋体"/>
          <w:color w:val="auto"/>
          <w:szCs w:val="21"/>
        </w:rPr>
      </w:pPr>
      <w:r>
        <w:rPr>
          <w:rFonts w:hint="eastAsia" w:ascii="宋体" w:hAnsi="宋体" w:cs="宋体"/>
          <w:color w:val="auto"/>
          <w:szCs w:val="21"/>
        </w:rPr>
        <w:t>注：采购人代表或者采购代理机构在资格审查结束前，对供应商进行信用查询。</w:t>
      </w:r>
    </w:p>
    <w:p>
      <w:pPr>
        <w:snapToGrid w:val="0"/>
        <w:spacing w:line="360" w:lineRule="auto"/>
        <w:ind w:firstLine="420" w:firstLineChars="200"/>
        <w:jc w:val="left"/>
        <w:rPr>
          <w:rFonts w:hint="eastAsia" w:ascii="宋体" w:hAnsi="宋体" w:cs="宋体"/>
          <w:color w:val="auto"/>
          <w:szCs w:val="21"/>
          <w:u w:val="none"/>
        </w:rPr>
      </w:pPr>
      <w:r>
        <w:rPr>
          <w:rFonts w:hint="eastAsia" w:ascii="宋体" w:hAnsi="宋体" w:cs="宋体"/>
          <w:color w:val="auto"/>
          <w:szCs w:val="21"/>
        </w:rPr>
        <w:t>（1）查询渠道：</w:t>
      </w:r>
      <w:r>
        <w:rPr>
          <w:rFonts w:hint="eastAsia" w:ascii="宋体" w:hAnsi="宋体" w:cs="宋体"/>
          <w:color w:val="auto"/>
          <w:szCs w:val="21"/>
          <w:lang w:eastAsia="zh-CN"/>
        </w:rPr>
        <w:t>广西政府采购云平台</w:t>
      </w:r>
      <w:r>
        <w:rPr>
          <w:rFonts w:hint="eastAsia" w:ascii="宋体" w:hAnsi="宋体" w:cs="宋体"/>
          <w:color w:val="auto"/>
          <w:szCs w:val="21"/>
        </w:rPr>
        <w:t>“信用中国”网</w:t>
      </w:r>
      <w:r>
        <w:rPr>
          <w:rFonts w:hint="eastAsia" w:ascii="宋体" w:hAnsi="宋体" w:cs="宋体"/>
          <w:color w:val="auto"/>
          <w:szCs w:val="21"/>
          <w:u w:val="none"/>
        </w:rPr>
        <w:t>站(</w:t>
      </w:r>
      <w:r>
        <w:rPr>
          <w:color w:val="auto"/>
          <w:u w:val="none"/>
        </w:rPr>
        <w:fldChar w:fldCharType="begin"/>
      </w:r>
      <w:r>
        <w:rPr>
          <w:color w:val="auto"/>
          <w:u w:val="none"/>
        </w:rPr>
        <w:instrText xml:space="preserve"> HYPERLINK "http://www.creditchina.gov.cn" </w:instrText>
      </w:r>
      <w:r>
        <w:rPr>
          <w:color w:val="auto"/>
          <w:u w:val="none"/>
        </w:rPr>
        <w:fldChar w:fldCharType="separate"/>
      </w:r>
      <w:r>
        <w:rPr>
          <w:rStyle w:val="40"/>
          <w:rFonts w:hint="eastAsia" w:ascii="宋体" w:hAnsi="宋体" w:cs="宋体"/>
          <w:color w:val="auto"/>
          <w:u w:val="none"/>
        </w:rPr>
        <w:t>www.creditchina.gov.cn</w:t>
      </w:r>
      <w:r>
        <w:rPr>
          <w:rStyle w:val="40"/>
          <w:rFonts w:hint="eastAsia" w:ascii="宋体" w:hAnsi="宋体" w:cs="宋体"/>
          <w:color w:val="auto"/>
          <w:u w:val="none"/>
        </w:rPr>
        <w:fldChar w:fldCharType="end"/>
      </w:r>
      <w:r>
        <w:rPr>
          <w:rFonts w:hint="eastAsia" w:ascii="宋体" w:hAnsi="宋体" w:cs="宋体"/>
          <w:color w:val="auto"/>
          <w:szCs w:val="21"/>
          <w:u w:val="none"/>
        </w:rPr>
        <w:t>)、中国政府采购网(</w:t>
      </w:r>
      <w:r>
        <w:rPr>
          <w:color w:val="auto"/>
          <w:u w:val="none"/>
        </w:rPr>
        <w:fldChar w:fldCharType="begin"/>
      </w:r>
      <w:r>
        <w:rPr>
          <w:color w:val="auto"/>
          <w:u w:val="none"/>
        </w:rPr>
        <w:instrText xml:space="preserve"> HYPERLINK "http://www.ccgp.gov.cn" </w:instrText>
      </w:r>
      <w:r>
        <w:rPr>
          <w:color w:val="auto"/>
          <w:u w:val="none"/>
        </w:rPr>
        <w:fldChar w:fldCharType="separate"/>
      </w:r>
      <w:r>
        <w:rPr>
          <w:rStyle w:val="40"/>
          <w:rFonts w:hint="eastAsia" w:ascii="宋体" w:hAnsi="宋体" w:cs="宋体"/>
          <w:color w:val="auto"/>
          <w:u w:val="none"/>
        </w:rPr>
        <w:t>www.ccgp.gov.cn</w:t>
      </w:r>
      <w:r>
        <w:rPr>
          <w:rStyle w:val="40"/>
          <w:rFonts w:hint="eastAsia" w:ascii="宋体" w:hAnsi="宋体" w:cs="宋体"/>
          <w:color w:val="auto"/>
          <w:u w:val="none"/>
        </w:rPr>
        <w:fldChar w:fldCharType="end"/>
      </w:r>
      <w:r>
        <w:rPr>
          <w:rFonts w:hint="eastAsia" w:ascii="宋体" w:hAnsi="宋体" w:cs="宋体"/>
          <w:color w:val="auto"/>
          <w:szCs w:val="21"/>
          <w:u w:val="none"/>
        </w:rPr>
        <w:t>)链接入口。</w:t>
      </w:r>
    </w:p>
    <w:p>
      <w:pPr>
        <w:snapToGrid w:val="0"/>
        <w:spacing w:line="360" w:lineRule="auto"/>
        <w:ind w:firstLine="420" w:firstLineChars="200"/>
        <w:rPr>
          <w:rFonts w:hint="eastAsia" w:ascii="宋体" w:hAnsi="宋体" w:cs="宋体"/>
          <w:color w:val="auto"/>
          <w:szCs w:val="21"/>
        </w:rPr>
      </w:pPr>
      <w:r>
        <w:rPr>
          <w:rFonts w:hint="eastAsia" w:ascii="宋体" w:hAnsi="宋体" w:cs="宋体"/>
          <w:color w:val="auto"/>
          <w:szCs w:val="21"/>
        </w:rPr>
        <w:t>（2）信用查询截止时点：资格审查结束前。</w:t>
      </w:r>
    </w:p>
    <w:p>
      <w:pPr>
        <w:snapToGrid w:val="0"/>
        <w:spacing w:line="360" w:lineRule="auto"/>
        <w:ind w:firstLine="420" w:firstLineChars="200"/>
        <w:rPr>
          <w:rFonts w:hint="eastAsia" w:ascii="宋体" w:hAnsi="宋体" w:cs="宋体"/>
          <w:color w:val="auto"/>
          <w:szCs w:val="21"/>
        </w:rPr>
      </w:pPr>
      <w:r>
        <w:rPr>
          <w:rFonts w:hint="eastAsia" w:ascii="宋体" w:hAnsi="宋体" w:cs="宋体"/>
          <w:color w:val="auto"/>
          <w:szCs w:val="21"/>
        </w:rPr>
        <w:t>查询记录和证据留存方式：在查询网站中直接打印查询记录，截图另存为电子文档作为评审资料保存。</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（3）信用信息使用规则：对在“信用中国”网站(www.creditchina.gov.cn)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2.2资格审查标准为本磋商文件中载明对供应商资格要求的条件。资格审查采用合格制，凡符合磋商文件规定的供应商资格要求的响应文件均通过资格审查。</w:t>
      </w:r>
    </w:p>
    <w:p>
      <w:pPr>
        <w:spacing w:line="360" w:lineRule="auto"/>
        <w:ind w:firstLine="422" w:firstLineChars="200"/>
        <w:rPr>
          <w:rFonts w:hint="eastAsia" w:ascii="宋体" w:hAnsi="宋体" w:cs="宋体"/>
          <w:b/>
          <w:bCs/>
          <w:color w:val="auto"/>
          <w:szCs w:val="21"/>
        </w:rPr>
      </w:pPr>
      <w:r>
        <w:rPr>
          <w:rFonts w:hint="eastAsia" w:ascii="宋体" w:hAnsi="宋体" w:cs="宋体"/>
          <w:b/>
          <w:bCs/>
          <w:color w:val="auto"/>
          <w:szCs w:val="21"/>
        </w:rPr>
        <w:t>2.3供应商有下列情形之一的，资格审查不通过，其响应文件按无效响应处理：</w:t>
      </w:r>
    </w:p>
    <w:p>
      <w:pPr>
        <w:snapToGrid w:val="0"/>
        <w:spacing w:line="360" w:lineRule="auto"/>
        <w:ind w:firstLine="420" w:firstLineChars="200"/>
        <w:rPr>
          <w:rFonts w:hint="eastAsia" w:ascii="宋体" w:hAnsi="宋体" w:cs="宋体"/>
          <w:color w:val="auto"/>
          <w:szCs w:val="21"/>
        </w:rPr>
      </w:pPr>
      <w:r>
        <w:rPr>
          <w:rFonts w:hint="eastAsia" w:ascii="宋体" w:hAnsi="宋体" w:cs="宋体"/>
          <w:color w:val="auto"/>
          <w:szCs w:val="21"/>
        </w:rPr>
        <w:t>（1）不具备磋商文件中规定的资格要求的；</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（2）响应文件未提供任一项“供应商须知前附表”资格证明文件规定的“必须提供”的文件资料的；</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（3）响应文件提供的资格证明文件出现任一项不符合“供应商须知前附表”资格证明文件规定的“必须提供”的文件资料要求或者无效的。</w:t>
      </w:r>
    </w:p>
    <w:p>
      <w:pPr>
        <w:spacing w:line="360" w:lineRule="auto"/>
        <w:ind w:firstLine="420" w:firstLineChars="200"/>
        <w:rPr>
          <w:rFonts w:hint="eastAsia" w:ascii="宋体" w:hAnsi="宋体" w:cs="宋体"/>
          <w:color w:val="auto"/>
          <w:szCs w:val="21"/>
        </w:rPr>
      </w:pPr>
      <w:bookmarkStart w:id="156" w:name="_Hlk68601553"/>
      <w:r>
        <w:rPr>
          <w:rFonts w:hint="eastAsia" w:ascii="宋体" w:hAnsi="宋体" w:cs="宋体"/>
          <w:color w:val="auto"/>
          <w:szCs w:val="21"/>
        </w:rPr>
        <w:t>（4）同一合同项下的不同供应商，单位负责人为同一人或者存在直接控股、管理关系的；为本项目提供过整体设计、规范编制或者项目管理、监理、检测等服务的。</w:t>
      </w:r>
      <w:bookmarkEnd w:id="156"/>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2.4通过资格审查的合格供应商不足3家的，不得进入符合性审查环节，采购人或者采购代理机构应当重新开展采购活动。</w:t>
      </w:r>
    </w:p>
    <w:p>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3.符合性审查</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3.1由磋商小组对通过资格审查的合格供应商的响应文件的响应报价、商务、技术等实质性要求进行符合性审查，以确定其是否满足磋商文件的实质性要求。</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60" w:lineRule="auto"/>
        <w:ind w:firstLine="420" w:firstLineChars="200"/>
        <w:rPr>
          <w:rFonts w:hint="eastAsia" w:ascii="宋体" w:hAnsi="宋体" w:cs="宋体"/>
          <w:color w:val="auto"/>
          <w:spacing w:val="-6"/>
          <w:szCs w:val="21"/>
        </w:rPr>
      </w:pPr>
      <w:r>
        <w:rPr>
          <w:rFonts w:hint="eastAsia" w:ascii="宋体" w:hAnsi="宋体" w:cs="宋体"/>
          <w:color w:val="auto"/>
          <w:szCs w:val="21"/>
        </w:rPr>
        <w:t>3.3磋商小组要求供应商澄清、说明或者更正响应文件应当以电子澄清函形式作出。供应商的澄清、说明或者更正应当以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供应商公章</w:t>
      </w:r>
      <w:r>
        <w:rPr>
          <w:rFonts w:hint="eastAsia" w:ascii="宋体" w:hAnsi="宋体" w:cs="宋体"/>
          <w:color w:val="auto"/>
          <w:spacing w:val="-6"/>
          <w:szCs w:val="21"/>
        </w:rPr>
        <w:t>。供应商为自然人的，必须由本人签字并附身份证明。</w:t>
      </w:r>
    </w:p>
    <w:p>
      <w:pPr>
        <w:spacing w:line="360" w:lineRule="auto"/>
        <w:ind w:firstLine="396" w:firstLineChars="200"/>
        <w:rPr>
          <w:rFonts w:hint="eastAsia" w:ascii="宋体" w:hAnsi="宋体" w:cs="宋体"/>
          <w:color w:val="auto"/>
          <w:szCs w:val="21"/>
        </w:rPr>
      </w:pPr>
      <w:r>
        <w:rPr>
          <w:rFonts w:hint="eastAsia" w:ascii="宋体" w:hAnsi="宋体" w:cs="宋体"/>
          <w:color w:val="auto"/>
          <w:spacing w:val="-6"/>
          <w:szCs w:val="21"/>
        </w:rPr>
        <w:t>3.4</w:t>
      </w:r>
      <w:r>
        <w:rPr>
          <w:rFonts w:hint="eastAsia" w:ascii="宋体" w:hAnsi="宋体" w:cs="宋体"/>
          <w:color w:val="auto"/>
          <w:szCs w:val="21"/>
        </w:rPr>
        <w:t xml:space="preserve">首次响应文件报价出现前后不一致的，按照下列规定修正： </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（1）响应文件中响应报价表内容与响应文件中相应内容不一致的，以响应报价表为准；</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（2）大写金额和小写金额不一致的，以大写金额为准；</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（3）单价金额小数点或者百分比有明显错位的，以响应报价表的总价为准，并修改单价；</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（4）总价金额与按单价汇总金额不一致的，以单价金额计算结果为准。</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同时出现两种以上不一致的，按照以上（1）-（4）规定的顺序逐条进行修正。修正后的报价经供应商确认后产生约束力，供应商不确认的，其响应文件按无效响应处理。</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3.5商务技术、报价评审</w:t>
      </w:r>
    </w:p>
    <w:p>
      <w:pPr>
        <w:spacing w:line="360" w:lineRule="auto"/>
        <w:ind w:firstLine="422" w:firstLineChars="200"/>
        <w:rPr>
          <w:rFonts w:hint="eastAsia" w:ascii="宋体" w:hAnsi="宋体" w:cs="宋体"/>
          <w:b/>
          <w:bCs/>
          <w:color w:val="auto"/>
          <w:szCs w:val="21"/>
        </w:rPr>
      </w:pPr>
      <w:r>
        <w:rPr>
          <w:rFonts w:hint="eastAsia" w:ascii="宋体" w:hAnsi="宋体" w:cs="宋体"/>
          <w:b/>
          <w:bCs/>
          <w:color w:val="auto"/>
          <w:szCs w:val="21"/>
        </w:rPr>
        <w:t>在评审时，如发现下列情形之一的，将被视为响应文件无效处理：</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（1）商务技术评审</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1）响应文件未按磋商文件要求签署、盖章；</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 xml:space="preserve">2）委托代理人未能出具有效身份证明或者出具的身份证明与授权委托书中的信息不符； </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4）商务条款中标“▲”的条款发生负偏离的或者允许负偏离的条款数超过“供应商须知前附表”规定项数的或者标明实质性的要求发生负偏离；</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5）未对竞标有效期作出响应或者响应文件承诺的竞标有效期不满足磋商文件要求；</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6）响应文件的实质性内容未使用中文表述、使用计量单位不符合磋商文件要求；</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7）响应文件中的文件资料因填写不齐全或者内容虚假或者出现其他情形而导致被磋商小组认定无效；</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8）响应文件含有采购人不能接受的附加条件；</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9）属于“供应商须知正文”第7.5条情形；</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10）技术需求允许负偏离的条款数超过“供应商须知前附表”规定项数；</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11）虚假竞标，或者出现其他情形而导致被磋商小组认定无效；</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12）竞标技术方案不明确，磋商文件未允许但响应文件中存在一个或者一个以上备选（替代）竞标方案；</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13）响应文件标注的项目名称或者项目编号与竞争性磋商文件标注的项目名称或者项目编号不一致的；</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14）未响应磋商文件实质性要求；</w:t>
      </w:r>
    </w:p>
    <w:p>
      <w:pPr>
        <w:pStyle w:val="15"/>
        <w:ind w:firstLine="420" w:firstLineChars="200"/>
        <w:rPr>
          <w:rFonts w:hint="eastAsia" w:ascii="宋体" w:hAnsi="宋体" w:cs="宋体"/>
          <w:color w:val="auto"/>
        </w:rPr>
      </w:pPr>
      <w:r>
        <w:rPr>
          <w:rFonts w:hint="eastAsia" w:ascii="宋体" w:hAnsi="宋体" w:cs="宋体"/>
          <w:color w:val="auto"/>
          <w:szCs w:val="21"/>
        </w:rPr>
        <w:t>15）提交的磋商保证金无效的或者未按照磋商文件的规定提交磋商保证金；</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16）法律、法规和磋商文件规定的其他无效情形。</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（2）报价评审</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 响应文件未提供“供应商须知前附表” 报价文件中规定的“响应报价表”；</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2）未采用人民币报价或者未按照磋商文件标明的币种报价；</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3）供应商未就所竞标项目/分标进行报价或者存在漏项报价；供应商未就所竞标项目/分标的单项内容作唯一报价；供应商未就所竞标项目/分标的全部内容作唯一总价报价；供应商响应文件中存在有选择、有条件报价的（磋商文件允许有备选方案或者其他约定的除外）；</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4）响应报价（包含首次报价、最后报价）超过所竞标项目/分标规定的采购预算金额或者最高限价的（如本项目公布了最高限价）；响应报价（包含首次报价、最后报价）超过磋商文件分项采购预算金额或者最高限价的（如本项目公布了最高限价）；</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5）修正后的报价，供应商不确认的；或者经供应商确认修正后的响应报价（包含首次报价、最后报价）超过所竞标项目/分标规定的采购预算金额或者最高限价（如本项目公布了最高限价）；或者经供应商确认修正后响应报价（包含首次报价、最后报价）超过磋商文件分项采购预算金额或者最高限价的（如本项目公布了最高限价）。</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6）响应文件响应的标的数量及单位与竞争性磋商文件要求实质性不一致的。</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3.7非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pPr>
        <w:ind w:firstLine="482" w:firstLineChars="200"/>
        <w:rPr>
          <w:rFonts w:hint="eastAsia" w:ascii="宋体" w:hAnsi="宋体" w:cs="宋体"/>
          <w:b/>
          <w:bCs/>
          <w:color w:val="auto"/>
          <w:sz w:val="24"/>
        </w:rPr>
      </w:pPr>
      <w:r>
        <w:rPr>
          <w:rFonts w:hint="eastAsia" w:ascii="宋体" w:hAnsi="宋体" w:cs="宋体"/>
          <w:b/>
          <w:bCs/>
          <w:color w:val="auto"/>
          <w:sz w:val="24"/>
        </w:rPr>
        <w:t>4.磋商程序</w:t>
      </w:r>
    </w:p>
    <w:p>
      <w:pPr>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4.1磋商小组按照“供应商须知前附表”</w:t>
      </w:r>
      <w:r>
        <w:rPr>
          <w:rFonts w:hint="eastAsia" w:ascii="宋体" w:hAnsi="宋体" w:cs="宋体"/>
          <w:color w:val="auto"/>
          <w:szCs w:val="21"/>
        </w:rPr>
        <w:t xml:space="preserve"> </w:t>
      </w:r>
      <w:r>
        <w:rPr>
          <w:rFonts w:hint="eastAsia" w:ascii="宋体" w:hAnsi="宋体" w:cs="宋体"/>
          <w:color w:val="auto"/>
          <w:kern w:val="0"/>
          <w:szCs w:val="21"/>
        </w:rPr>
        <w:t>确定的</w:t>
      </w:r>
      <w:r>
        <w:rPr>
          <w:rFonts w:hint="eastAsia" w:ascii="宋体" w:hAnsi="宋体" w:cs="宋体"/>
          <w:color w:val="auto"/>
          <w:szCs w:val="21"/>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4.3对磋商文件作出的实质性变动是磋商文件的有效组成部分，由磋商小组及时以电子澄清函形式同时通知所有参加磋商的供应商。</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4.4供应商必须按照磋商文件的变动情况和磋商小组的要求以回函的形式重新提交响应文件，并加盖供应商公章。供应商为自然人的，必须由本人签字并附身份证明。参加磋商的供应商未在规定时间内重新提交响应文件的，视同退出磋商。</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4.5磋商中，</w:t>
      </w:r>
      <w:r>
        <w:rPr>
          <w:rFonts w:hint="eastAsia" w:ascii="宋体" w:hAnsi="宋体" w:cs="宋体"/>
          <w:color w:val="auto"/>
          <w:spacing w:val="-6"/>
          <w:szCs w:val="21"/>
        </w:rPr>
        <w:t>磋商的任何一方不得透露与磋商有关的其他供应商的技术资料、价格和其他信息。</w:t>
      </w:r>
    </w:p>
    <w:p>
      <w:pPr>
        <w:widowControl/>
        <w:tabs>
          <w:tab w:val="left" w:pos="540"/>
        </w:tabs>
        <w:spacing w:line="360" w:lineRule="auto"/>
        <w:ind w:firstLine="420" w:firstLineChars="200"/>
        <w:jc w:val="left"/>
        <w:rPr>
          <w:rFonts w:hint="eastAsia" w:ascii="宋体" w:hAnsi="宋体" w:cs="宋体"/>
          <w:b/>
          <w:color w:val="auto"/>
        </w:rPr>
      </w:pPr>
      <w:r>
        <w:rPr>
          <w:rFonts w:hint="eastAsia" w:ascii="宋体" w:hAnsi="宋体" w:cs="宋体"/>
          <w:color w:val="auto"/>
          <w:szCs w:val="21"/>
        </w:rPr>
        <w:t>4.6磋商小组应对磋商过程和重要磋商内容进行记录，作为评审报告一部分，磋商小组在记录上签字确认。</w:t>
      </w:r>
      <w:r>
        <w:rPr>
          <w:rFonts w:hint="eastAsia" w:ascii="宋体" w:hAnsi="宋体" w:cs="宋体"/>
          <w:b/>
          <w:color w:val="auto"/>
        </w:rPr>
        <w:t>主要内容包括：</w:t>
      </w:r>
    </w:p>
    <w:p>
      <w:pPr>
        <w:pStyle w:val="69"/>
        <w:spacing w:before="0"/>
        <w:ind w:firstLine="396"/>
        <w:rPr>
          <w:rFonts w:hint="eastAsia" w:ascii="宋体" w:hAnsi="宋体" w:cs="宋体"/>
          <w:color w:val="auto"/>
          <w:spacing w:val="-6"/>
          <w:kern w:val="2"/>
          <w:sz w:val="21"/>
          <w:szCs w:val="21"/>
        </w:rPr>
      </w:pPr>
      <w:r>
        <w:rPr>
          <w:rFonts w:hint="eastAsia" w:ascii="宋体" w:hAnsi="宋体" w:cs="宋体"/>
          <w:color w:val="auto"/>
          <w:spacing w:val="-6"/>
          <w:kern w:val="2"/>
          <w:sz w:val="21"/>
          <w:szCs w:val="21"/>
        </w:rPr>
        <w:t>（1）按照相关规定进行公示的，公示情况说明；</w:t>
      </w:r>
    </w:p>
    <w:p>
      <w:pPr>
        <w:pStyle w:val="69"/>
        <w:spacing w:before="0"/>
        <w:ind w:firstLine="396"/>
        <w:rPr>
          <w:rFonts w:hint="eastAsia" w:ascii="宋体" w:hAnsi="宋体" w:cs="宋体"/>
          <w:color w:val="auto"/>
          <w:spacing w:val="-6"/>
          <w:kern w:val="2"/>
          <w:sz w:val="21"/>
          <w:szCs w:val="21"/>
        </w:rPr>
      </w:pPr>
      <w:r>
        <w:rPr>
          <w:rFonts w:hint="eastAsia" w:ascii="宋体" w:hAnsi="宋体" w:cs="宋体"/>
          <w:color w:val="auto"/>
          <w:spacing w:val="-6"/>
          <w:kern w:val="2"/>
          <w:sz w:val="21"/>
          <w:szCs w:val="21"/>
        </w:rPr>
        <w:t>（2）磋商日期和地点，磋商人员名单；</w:t>
      </w:r>
    </w:p>
    <w:p>
      <w:pPr>
        <w:pStyle w:val="69"/>
        <w:spacing w:before="0"/>
        <w:ind w:firstLine="396"/>
        <w:rPr>
          <w:rFonts w:hint="eastAsia" w:ascii="宋体" w:hAnsi="宋体" w:cs="宋体"/>
          <w:color w:val="auto"/>
          <w:spacing w:val="-6"/>
          <w:kern w:val="2"/>
          <w:sz w:val="21"/>
          <w:szCs w:val="21"/>
        </w:rPr>
      </w:pPr>
      <w:r>
        <w:rPr>
          <w:rFonts w:hint="eastAsia" w:ascii="宋体" w:hAnsi="宋体" w:cs="宋体"/>
          <w:color w:val="auto"/>
          <w:spacing w:val="-6"/>
          <w:kern w:val="2"/>
          <w:sz w:val="21"/>
          <w:szCs w:val="21"/>
        </w:rPr>
        <w:t>（3）合同主要条款及价格商定情况。</w:t>
      </w:r>
    </w:p>
    <w:p>
      <w:pPr>
        <w:widowControl/>
        <w:tabs>
          <w:tab w:val="left" w:pos="540"/>
        </w:tabs>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4.7磋商过程中重新提交的响应文件，供应商可以在开启前补充、修改。</w:t>
      </w:r>
    </w:p>
    <w:p>
      <w:pPr>
        <w:tabs>
          <w:tab w:val="left" w:pos="2835"/>
        </w:tabs>
        <w:spacing w:line="360" w:lineRule="auto"/>
        <w:ind w:firstLine="420" w:firstLineChars="200"/>
        <w:rPr>
          <w:rFonts w:hint="eastAsia" w:ascii="宋体" w:hAnsi="宋体" w:cs="宋体"/>
          <w:color w:val="auto"/>
          <w:szCs w:val="21"/>
        </w:rPr>
      </w:pPr>
      <w:r>
        <w:rPr>
          <w:rFonts w:hint="eastAsia" w:ascii="宋体" w:hAnsi="宋体" w:cs="宋体"/>
          <w:color w:val="auto"/>
          <w:szCs w:val="21"/>
        </w:rPr>
        <w:t>4.8对磋商过程提交的响应文件进行有效性、完整性和响应程度审查，通过审查的合格供应商不足3家的，采购人或者采购代理机构应当重新开展采购活动。</w:t>
      </w:r>
    </w:p>
    <w:p>
      <w:pPr>
        <w:ind w:firstLine="200"/>
        <w:rPr>
          <w:rFonts w:hint="eastAsia" w:ascii="宋体" w:hAnsi="宋体" w:cs="宋体"/>
          <w:color w:val="auto"/>
          <w:szCs w:val="21"/>
        </w:rPr>
      </w:pPr>
      <w:r>
        <w:rPr>
          <w:rFonts w:hint="eastAsia" w:ascii="宋体" w:hAnsi="宋体" w:cs="宋体"/>
          <w:b/>
          <w:bCs/>
          <w:color w:val="auto"/>
          <w:sz w:val="24"/>
        </w:rPr>
        <w:t>5. 最后报价</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5.1磋商文件能够详细列明采购标的的技术、服务要求的，磋商结束后，由磋商小组要求所有继续参加磋商的供应商在规定时间内密封提交最后报价，除本章第5.3条外，提交最后报价的供应商不得少于3家，否则必须重新采购。</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5.4已经提交响应文件的供应商，在提交最后报价之前，可以根据磋商情况退出磋商，退出磋商的供应商的响应文件按无效响应处理。</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5.5供应商未在规定时间内提交最后报价的，视同退出磋商，其响应文件按无效处理。</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5.6磋商小组收齐本项目/某一分标最后报价后统一开启，磋商小组对最后报价进行有效性、完整性和响应程度的审查。</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 xml:space="preserve">5.7最终响应文件的报价出现前后不一致的，按照本章第3.4条的规定修正。 </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5.8修正后的最后报价出现下列情形的，按无效响应处理：</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（1）供应商不确认的（全流程电子化评标采取在线确认）；</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（2）经供应商确认修正后的响应报价（包含首次报价、最后报价）超过所竞标项目/分标规定的采购预算金额或者最高限价的（如本项目公布了最高限价）；</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（3）经供应商确认修正后的响应报价（包含首次报价、最后报价）超过分项采购预算金额或者最高限价的（如本项目公布了最高限价）。</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5.9经供应商确认修正后的最后报价作为评审及签订合同的依据。</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5.10供应商出现最后报价按无效响应处理或者响应文件按无效处理时</w:t>
      </w:r>
      <w:r>
        <w:rPr>
          <w:rFonts w:hint="eastAsia" w:ascii="宋体" w:hAnsi="宋体" w:cs="宋体"/>
          <w:color w:val="auto"/>
          <w:sz w:val="22"/>
          <w:szCs w:val="22"/>
        </w:rPr>
        <w:t>，磋商小组应当告知有关供应商</w:t>
      </w:r>
      <w:r>
        <w:rPr>
          <w:rFonts w:hint="eastAsia" w:ascii="宋体" w:hAnsi="宋体" w:cs="宋体"/>
          <w:color w:val="auto"/>
          <w:szCs w:val="21"/>
        </w:rPr>
        <w:t>。</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5.11最后报价结束后，磋商小组不得再与供应商进行任何形式的商谈。</w:t>
      </w:r>
    </w:p>
    <w:p>
      <w:pPr>
        <w:pStyle w:val="23"/>
        <w:spacing w:line="360" w:lineRule="auto"/>
        <w:ind w:firstLine="422" w:firstLineChars="200"/>
        <w:rPr>
          <w:rFonts w:hint="eastAsia"/>
          <w:color w:val="auto"/>
        </w:rPr>
      </w:pPr>
      <w:r>
        <w:rPr>
          <w:rFonts w:hint="eastAsia" w:ascii="宋体" w:hAnsi="宋体" w:cs="宋体"/>
          <w:b/>
          <w:bCs/>
          <w:color w:val="auto"/>
          <w:sz w:val="21"/>
          <w:szCs w:val="21"/>
        </w:rPr>
        <w:t>注：</w:t>
      </w:r>
      <w:r>
        <w:rPr>
          <w:rFonts w:hint="eastAsia"/>
          <w:b/>
          <w:bCs/>
          <w:color w:val="auto"/>
          <w:sz w:val="21"/>
          <w:szCs w:val="21"/>
        </w:rPr>
        <w:t>如磋商小组要求提供最后报价附件的，需按规定的时间提供。最后报价有时间限制，供应商可参照竞争性磋商文件“第五章 响应文件格式”的最后报价表提前准备，以免耽误最后报价</w:t>
      </w:r>
      <w:r>
        <w:rPr>
          <w:rFonts w:hint="eastAsia" w:ascii="宋体" w:hAnsi="宋体" w:cs="宋体"/>
          <w:b/>
          <w:bCs/>
          <w:color w:val="auto"/>
          <w:sz w:val="21"/>
          <w:szCs w:val="21"/>
          <w:lang w:val="zh-CN"/>
        </w:rPr>
        <w:t>。</w:t>
      </w:r>
    </w:p>
    <w:p>
      <w:pPr>
        <w:ind w:firstLine="200"/>
        <w:rPr>
          <w:rFonts w:ascii="黑体" w:hAnsi="黑体" w:eastAsia="黑体" w:cs="宋体"/>
          <w:b/>
          <w:bCs/>
          <w:color w:val="auto"/>
          <w:sz w:val="24"/>
        </w:rPr>
      </w:pPr>
      <w:r>
        <w:rPr>
          <w:rFonts w:hint="eastAsia" w:ascii="黑体" w:hAnsi="黑体" w:eastAsia="黑体" w:cs="宋体"/>
          <w:b/>
          <w:bCs/>
          <w:color w:val="auto"/>
          <w:sz w:val="24"/>
        </w:rPr>
        <w:t>6</w:t>
      </w:r>
      <w:r>
        <w:rPr>
          <w:rFonts w:ascii="黑体" w:hAnsi="黑体" w:eastAsia="黑体" w:cs="宋体"/>
          <w:b/>
          <w:bCs/>
          <w:color w:val="auto"/>
          <w:sz w:val="24"/>
        </w:rPr>
        <w:t>.</w:t>
      </w:r>
      <w:r>
        <w:rPr>
          <w:rFonts w:hint="eastAsia" w:ascii="黑体" w:hAnsi="黑体" w:eastAsia="黑体" w:cs="宋体"/>
          <w:b/>
          <w:bCs/>
          <w:color w:val="auto"/>
          <w:sz w:val="24"/>
        </w:rPr>
        <w:t>比较与评价</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6.1评审方法：综合评分法。</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6.2经磋商确定最终采购需求和提交最后报价的供应商后，由磋商小组采用综合评分法对提交最后报价的供应商的响应文件和最后报价进行综合评分。</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6.3评审时，磋商小组各成员应当独立对每个有效响应的文件进行评价、打分，然后汇总每个供应商每项评分因素的得分。</w:t>
      </w:r>
    </w:p>
    <w:p>
      <w:pPr>
        <w:pStyle w:val="15"/>
        <w:spacing w:line="360" w:lineRule="auto"/>
        <w:ind w:firstLine="420" w:firstLineChars="200"/>
        <w:rPr>
          <w:rFonts w:hint="eastAsia" w:ascii="宋体" w:hAnsi="宋体" w:cs="宋体"/>
          <w:color w:val="auto"/>
        </w:rPr>
      </w:pPr>
      <w:r>
        <w:rPr>
          <w:rFonts w:hint="eastAsia" w:ascii="宋体" w:hAnsi="宋体" w:cs="宋体"/>
          <w:color w:val="auto"/>
        </w:rPr>
        <w:t>（1）磋商小组成员要根据政府采购法律法规和采购文件所载明的评审方法、标准进行评审。对供应商的价格分等客观评分项的评分应当一致，对其他需要借助专业知识评判的主观评分项，应当严格按照评分细则公正评分。</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（2）磋商小组按照磋商文件中规定的评审标准计算各供应商的报价得分。项目评审过程中，不得去掉最后报价中的最高报价和最低报价。</w:t>
      </w:r>
    </w:p>
    <w:p>
      <w:pPr>
        <w:spacing w:line="360" w:lineRule="auto"/>
        <w:ind w:firstLine="420" w:firstLineChars="200"/>
        <w:rPr>
          <w:rFonts w:hint="eastAsia" w:ascii="宋体" w:hAnsi="宋体" w:cs="宋体"/>
          <w:color w:val="auto"/>
        </w:rPr>
      </w:pPr>
      <w:r>
        <w:rPr>
          <w:rFonts w:hint="eastAsia" w:ascii="宋体" w:hAnsi="宋体" w:cs="宋体"/>
          <w:color w:val="auto"/>
          <w:szCs w:val="21"/>
        </w:rPr>
        <w:t>（3）各供应商的得分为磋商小组所有成员的有效评分的算术平均数。</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6.4评审</w:t>
      </w:r>
      <w:r>
        <w:rPr>
          <w:rFonts w:hint="eastAsia" w:ascii="宋体" w:hAnsi="宋体" w:cs="宋体"/>
          <w:color w:val="auto"/>
        </w:rPr>
        <w:t>报价</w:t>
      </w:r>
      <w:r>
        <w:rPr>
          <w:rFonts w:hint="eastAsia" w:ascii="宋体" w:hAnsi="宋体" w:cs="宋体"/>
          <w:color w:val="auto"/>
          <w:szCs w:val="21"/>
        </w:rPr>
        <w:t>为供应商的最后报价进行政策性扣除后的价格，评审</w:t>
      </w:r>
      <w:r>
        <w:rPr>
          <w:rFonts w:hint="eastAsia" w:ascii="宋体" w:hAnsi="宋体" w:cs="宋体"/>
          <w:color w:val="auto"/>
        </w:rPr>
        <w:t>报价</w:t>
      </w:r>
      <w:r>
        <w:rPr>
          <w:rFonts w:hint="eastAsia" w:ascii="宋体" w:hAnsi="宋体" w:cs="宋体"/>
          <w:color w:val="auto"/>
          <w:szCs w:val="21"/>
        </w:rPr>
        <w:t>只是作为评审时使用。最终成交供应商的成交金额等于最后报价（如有修正，以确认修正后的最后报价为准）。</w:t>
      </w:r>
    </w:p>
    <w:p>
      <w:pPr>
        <w:spacing w:line="360" w:lineRule="auto"/>
        <w:ind w:firstLine="420" w:firstLineChars="200"/>
        <w:rPr>
          <w:rFonts w:hint="eastAsia" w:ascii="宋体" w:hAnsi="宋体" w:cs="宋体"/>
          <w:color w:val="auto"/>
          <w:kern w:val="0"/>
          <w:szCs w:val="21"/>
        </w:rPr>
      </w:pPr>
      <w:r>
        <w:rPr>
          <w:rFonts w:hint="eastAsia" w:ascii="宋体" w:hAnsi="宋体" w:cs="宋体"/>
          <w:color w:val="auto"/>
          <w:szCs w:val="21"/>
        </w:rPr>
        <w:t>6.5由磋商小组根据综合评分情况，按照评审得分由高到低顺序推荐3名以上成交候选供应商，并编写评</w:t>
      </w:r>
      <w:r>
        <w:rPr>
          <w:rFonts w:hint="eastAsia" w:ascii="宋体" w:hAnsi="宋体" w:cs="宋体"/>
          <w:color w:val="auto"/>
          <w:kern w:val="0"/>
          <w:szCs w:val="21"/>
        </w:rPr>
        <w:t>审报告。符合本章第5.3条情形的，可以推荐2家成交候选供应商。评审得分相同的，</w:t>
      </w:r>
      <w:r>
        <w:rPr>
          <w:rFonts w:hint="eastAsia" w:ascii="宋体" w:hAnsi="宋体" w:cs="宋体"/>
          <w:bCs/>
          <w:color w:val="auto"/>
          <w:szCs w:val="21"/>
        </w:rPr>
        <w:t>按照最后报价（不计算价格折扣）由低到高的顺序推荐。评审得分且最后报价（不计算价格折扣）相同的，按照技术</w:t>
      </w:r>
      <w:r>
        <w:rPr>
          <w:rFonts w:hint="eastAsia"/>
        </w:rPr>
        <w:t>、商务</w:t>
      </w:r>
      <w:r>
        <w:rPr>
          <w:rFonts w:hint="eastAsia" w:ascii="宋体" w:hAnsi="宋体" w:cs="宋体"/>
          <w:bCs/>
          <w:color w:val="auto"/>
          <w:szCs w:val="21"/>
        </w:rPr>
        <w:t>指标优劣顺序推荐（按技术分得分由高到低排序，技术分得分相同的按照商务分得分由高到低排序）。评审得分、最后报价（不计算价格折扣）、技术分得分、商务分得分均相同的，由磋商小组随机抽取推荐。</w:t>
      </w:r>
    </w:p>
    <w:p>
      <w:pPr>
        <w:spacing w:line="360" w:lineRule="auto"/>
        <w:ind w:firstLine="420" w:firstLineChars="200"/>
        <w:rPr>
          <w:rFonts w:hint="eastAsia" w:ascii="宋体" w:hAnsi="宋体" w:cs="宋体"/>
          <w:color w:val="auto"/>
          <w:szCs w:val="21"/>
        </w:rPr>
      </w:pPr>
      <w:r>
        <w:rPr>
          <w:rFonts w:hint="eastAsia" w:ascii="宋体" w:hAnsi="宋体" w:cs="宋体"/>
          <w:color w:val="auto"/>
          <w:kern w:val="0"/>
          <w:szCs w:val="21"/>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pPr>
        <w:ind w:firstLine="200"/>
        <w:rPr>
          <w:rFonts w:hint="eastAsia" w:ascii="黑体" w:hAnsi="黑体" w:eastAsia="黑体" w:cs="宋体"/>
          <w:b/>
          <w:bCs/>
          <w:color w:val="auto"/>
          <w:sz w:val="24"/>
        </w:rPr>
      </w:pPr>
      <w:r>
        <w:rPr>
          <w:rFonts w:hint="eastAsia" w:ascii="黑体" w:hAnsi="黑体" w:eastAsia="黑体" w:cs="宋体"/>
          <w:b/>
          <w:bCs/>
          <w:color w:val="auto"/>
          <w:sz w:val="24"/>
        </w:rPr>
        <w:t>7</w:t>
      </w:r>
      <w:r>
        <w:rPr>
          <w:rFonts w:ascii="黑体" w:hAnsi="黑体" w:eastAsia="黑体" w:cs="宋体"/>
          <w:b/>
          <w:bCs/>
          <w:color w:val="auto"/>
          <w:sz w:val="24"/>
        </w:rPr>
        <w:t>.</w:t>
      </w:r>
      <w:r>
        <w:rPr>
          <w:rFonts w:hint="eastAsia" w:ascii="黑体" w:hAnsi="黑体" w:eastAsia="黑体" w:cs="宋体"/>
          <w:b/>
          <w:bCs/>
          <w:color w:val="auto"/>
          <w:sz w:val="24"/>
        </w:rPr>
        <w:t>评审标准</w:t>
      </w:r>
    </w:p>
    <w:p>
      <w:pPr>
        <w:spacing w:line="360" w:lineRule="auto"/>
        <w:ind w:firstLine="420" w:firstLineChars="200"/>
        <w:rPr>
          <w:rFonts w:hint="eastAsia" w:ascii="宋体" w:hAnsi="宋体" w:eastAsia="宋体" w:cs="宋体"/>
          <w:color w:val="auto"/>
          <w:kern w:val="0"/>
          <w:szCs w:val="21"/>
        </w:rPr>
      </w:pPr>
      <w:r>
        <w:rPr>
          <w:rFonts w:hint="eastAsia" w:ascii="宋体" w:hAnsi="宋体" w:eastAsia="宋体" w:cs="宋体"/>
          <w:color w:val="auto"/>
          <w:kern w:val="0"/>
          <w:szCs w:val="21"/>
        </w:rPr>
        <w:t>7.1评审依据：磋商小组将以响应文件为评审依据，对供应商的报价、技术、商务等方面内容按百分制打分</w:t>
      </w:r>
      <w:r>
        <w:rPr>
          <w:rFonts w:hint="eastAsia" w:ascii="宋体" w:hAnsi="宋体" w:cs="宋体"/>
          <w:color w:val="auto"/>
          <w:kern w:val="0"/>
          <w:szCs w:val="21"/>
          <w:lang w:eastAsia="zh-CN"/>
        </w:rPr>
        <w:t>，</w:t>
      </w:r>
      <w:r>
        <w:rPr>
          <w:rFonts w:hint="eastAsia" w:ascii="宋体" w:hAnsi="宋体" w:eastAsia="宋体" w:cs="宋体"/>
          <w:color w:val="auto"/>
          <w:kern w:val="0"/>
          <w:szCs w:val="21"/>
        </w:rPr>
        <w:t>计分方法按四舍五入取至百分位。</w:t>
      </w:r>
    </w:p>
    <w:p>
      <w:pPr>
        <w:pStyle w:val="23"/>
        <w:rPr>
          <w:rFonts w:hint="eastAsia" w:ascii="宋体" w:hAnsi="宋体" w:cs="宋体"/>
          <w:color w:val="auto"/>
          <w:sz w:val="21"/>
          <w:szCs w:val="21"/>
        </w:rPr>
      </w:pPr>
      <w:bookmarkStart w:id="157" w:name="_Toc80205935"/>
    </w:p>
    <w:p>
      <w:pPr>
        <w:keepNext w:val="0"/>
        <w:keepLines w:val="0"/>
        <w:pageBreakBefore w:val="0"/>
        <w:widowControl w:val="0"/>
        <w:kinsoku/>
        <w:wordWrap/>
        <w:overflowPunct/>
        <w:topLinePunct w:val="0"/>
        <w:autoSpaceDE/>
        <w:autoSpaceDN/>
        <w:bidi w:val="0"/>
        <w:snapToGrid w:val="0"/>
        <w:spacing w:line="360" w:lineRule="auto"/>
        <w:jc w:val="left"/>
        <w:rPr>
          <w:rFonts w:hint="default" w:ascii="宋体" w:hAnsi="宋体" w:eastAsia="宋体" w:cs="宋体"/>
          <w:b/>
          <w:bCs/>
          <w:color w:val="auto"/>
          <w:kern w:val="0"/>
          <w:sz w:val="24"/>
          <w:szCs w:val="24"/>
          <w:lang w:val="en-US" w:eastAsia="zh-CN" w:bidi="ar-SA"/>
        </w:rPr>
      </w:pPr>
      <w:r>
        <w:rPr>
          <w:rFonts w:hint="eastAsia" w:ascii="宋体" w:hAnsi="宋体" w:eastAsia="宋体" w:cs="宋体"/>
          <w:b/>
          <w:bCs/>
          <w:color w:val="auto"/>
          <w:kern w:val="0"/>
          <w:sz w:val="24"/>
          <w:szCs w:val="24"/>
          <w:lang w:val="en-US" w:eastAsia="zh-CN" w:bidi="ar-SA"/>
        </w:rPr>
        <w:t>分标1：</w:t>
      </w:r>
    </w:p>
    <w:p>
      <w:pPr>
        <w:keepNext w:val="0"/>
        <w:keepLines w:val="0"/>
        <w:pageBreakBefore w:val="0"/>
        <w:widowControl w:val="0"/>
        <w:shd w:val="clear" w:color="auto" w:fill="auto"/>
        <w:kinsoku/>
        <w:wordWrap/>
        <w:overflowPunct/>
        <w:topLinePunct w:val="0"/>
        <w:autoSpaceDE/>
        <w:autoSpaceDN/>
        <w:bidi w:val="0"/>
        <w:spacing w:line="36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1、价格分……………………………………………………………………………………………………</w:t>
      </w:r>
      <w:r>
        <w:rPr>
          <w:rFonts w:hint="eastAsia" w:ascii="宋体" w:hAnsi="宋体" w:eastAsia="宋体" w:cs="宋体"/>
          <w:b/>
          <w:color w:val="auto"/>
          <w:szCs w:val="21"/>
          <w:highlight w:val="none"/>
          <w:lang w:val="en-US" w:eastAsia="zh-CN"/>
        </w:rPr>
        <w:t>20</w:t>
      </w:r>
      <w:r>
        <w:rPr>
          <w:rFonts w:hint="eastAsia" w:ascii="宋体" w:hAnsi="宋体" w:eastAsia="宋体" w:cs="宋体"/>
          <w:b/>
          <w:color w:val="auto"/>
          <w:szCs w:val="21"/>
          <w:highlight w:val="none"/>
        </w:rPr>
        <w:t>分</w:t>
      </w:r>
    </w:p>
    <w:p>
      <w:pPr>
        <w:pStyle w:val="28"/>
        <w:keepNext w:val="0"/>
        <w:keepLines w:val="0"/>
        <w:pageBreakBefore w:val="0"/>
        <w:widowControl w:val="0"/>
        <w:shd w:val="clear" w:color="auto" w:fill="auto"/>
        <w:kinsoku/>
        <w:wordWrap/>
        <w:overflowPunct/>
        <w:topLinePunct w:val="0"/>
        <w:autoSpaceDE/>
        <w:autoSpaceDN/>
        <w:bidi w:val="0"/>
        <w:adjustRightInd w:val="0"/>
        <w:snapToGrid/>
        <w:spacing w:line="360" w:lineRule="auto"/>
        <w:ind w:left="0" w:firstLine="420" w:firstLineChars="200"/>
        <w:textAlignment w:val="baseline"/>
        <w:rPr>
          <w:rFonts w:hint="eastAsia" w:ascii="宋体" w:hAnsi="宋体" w:cs="宋体"/>
          <w:bCs/>
          <w:color w:val="auto"/>
          <w:szCs w:val="21"/>
          <w:highlight w:val="none"/>
          <w:lang w:eastAsia="zh-CN"/>
        </w:rPr>
      </w:pPr>
      <w:r>
        <w:rPr>
          <w:rFonts w:hint="eastAsia" w:ascii="宋体" w:hAnsi="宋体" w:cs="宋体"/>
          <w:bCs/>
          <w:color w:val="auto"/>
          <w:szCs w:val="21"/>
          <w:highlight w:val="none"/>
          <w:lang w:eastAsia="zh-CN"/>
        </w:rPr>
        <w:t>（1）本分标为专门面向</w:t>
      </w:r>
      <w:r>
        <w:rPr>
          <w:rFonts w:hint="eastAsia" w:ascii="宋体" w:hAnsi="宋体" w:cs="宋体"/>
          <w:bCs/>
          <w:color w:val="auto"/>
          <w:szCs w:val="21"/>
          <w:highlight w:val="none"/>
          <w:lang w:val="en-US" w:eastAsia="zh-CN"/>
        </w:rPr>
        <w:t>小微</w:t>
      </w:r>
      <w:r>
        <w:rPr>
          <w:rFonts w:hint="eastAsia" w:ascii="宋体" w:hAnsi="宋体" w:cs="宋体"/>
          <w:bCs/>
          <w:color w:val="auto"/>
          <w:szCs w:val="21"/>
          <w:highlight w:val="none"/>
          <w:lang w:eastAsia="zh-CN"/>
        </w:rPr>
        <w:t>企业采购的项目，按照《政府采购促进中小企业发展管理办法》（财库〔2020〕46号）的规定，对供应商最后报价不再执行价格评审优惠的扶持政策。</w:t>
      </w:r>
    </w:p>
    <w:p>
      <w:pPr>
        <w:pStyle w:val="28"/>
        <w:keepNext w:val="0"/>
        <w:keepLines w:val="0"/>
        <w:pageBreakBefore w:val="0"/>
        <w:widowControl w:val="0"/>
        <w:shd w:val="clear" w:color="auto" w:fill="auto"/>
        <w:kinsoku/>
        <w:wordWrap/>
        <w:overflowPunct/>
        <w:topLinePunct w:val="0"/>
        <w:autoSpaceDE/>
        <w:autoSpaceDN/>
        <w:bidi w:val="0"/>
        <w:adjustRightInd w:val="0"/>
        <w:snapToGrid/>
        <w:spacing w:line="360" w:lineRule="auto"/>
        <w:ind w:left="0" w:firstLine="420" w:firstLineChars="200"/>
        <w:textAlignment w:val="baseline"/>
        <w:rPr>
          <w:rFonts w:hint="eastAsia" w:ascii="宋体" w:hAnsi="宋体" w:cs="宋体"/>
          <w:bCs/>
          <w:color w:val="auto"/>
          <w:szCs w:val="21"/>
          <w:highlight w:val="none"/>
          <w:lang w:eastAsia="zh-CN"/>
        </w:rPr>
      </w:pPr>
      <w:r>
        <w:rPr>
          <w:rFonts w:hint="eastAsia" w:ascii="宋体" w:hAnsi="宋体" w:cs="宋体"/>
          <w:bCs/>
          <w:color w:val="auto"/>
          <w:szCs w:val="21"/>
          <w:highlight w:val="none"/>
          <w:lang w:eastAsia="zh-CN"/>
        </w:rPr>
        <w:t>（2）评审报价为供应商的最后报价，评审报价只是作为评审时使用。最终成交供应商的成交金额等于最后报价（如有修正，以确认修正后的最后报价为准）。</w:t>
      </w:r>
    </w:p>
    <w:p>
      <w:pPr>
        <w:pStyle w:val="28"/>
        <w:keepNext w:val="0"/>
        <w:keepLines w:val="0"/>
        <w:pageBreakBefore w:val="0"/>
        <w:widowControl w:val="0"/>
        <w:shd w:val="clear" w:color="auto" w:fill="auto"/>
        <w:kinsoku/>
        <w:wordWrap/>
        <w:overflowPunct/>
        <w:topLinePunct w:val="0"/>
        <w:autoSpaceDE/>
        <w:autoSpaceDN/>
        <w:bidi w:val="0"/>
        <w:adjustRightInd w:val="0"/>
        <w:snapToGrid/>
        <w:spacing w:line="360" w:lineRule="auto"/>
        <w:ind w:left="0" w:firstLine="420" w:firstLineChars="200"/>
        <w:textAlignment w:val="baseline"/>
        <w:rPr>
          <w:rFonts w:hint="eastAsia" w:ascii="宋体" w:hAnsi="宋体" w:cs="宋体"/>
          <w:bCs/>
          <w:color w:val="auto"/>
          <w:szCs w:val="21"/>
          <w:highlight w:val="none"/>
          <w:lang w:eastAsia="zh-CN"/>
        </w:rPr>
      </w:pPr>
      <w:r>
        <w:rPr>
          <w:rFonts w:hint="eastAsia" w:ascii="宋体" w:hAnsi="宋体" w:cs="宋体"/>
          <w:bCs/>
          <w:color w:val="auto"/>
          <w:szCs w:val="21"/>
          <w:highlight w:val="none"/>
          <w:lang w:eastAsia="zh-CN"/>
        </w:rPr>
        <w:t>（3）以进入比较与评价环节的最低的评审报价为基准价，基准价得分为</w:t>
      </w:r>
      <w:r>
        <w:rPr>
          <w:rFonts w:hint="eastAsia" w:ascii="宋体" w:hAnsi="宋体" w:cs="宋体"/>
          <w:bCs/>
          <w:color w:val="auto"/>
          <w:szCs w:val="21"/>
          <w:highlight w:val="none"/>
          <w:lang w:val="en-US" w:eastAsia="zh-CN"/>
        </w:rPr>
        <w:t>20</w:t>
      </w:r>
      <w:r>
        <w:rPr>
          <w:rFonts w:hint="eastAsia" w:ascii="宋体" w:hAnsi="宋体" w:cs="宋体"/>
          <w:bCs/>
          <w:color w:val="auto"/>
          <w:szCs w:val="21"/>
          <w:highlight w:val="none"/>
          <w:lang w:eastAsia="zh-CN"/>
        </w:rPr>
        <w:t>分。</w:t>
      </w:r>
    </w:p>
    <w:p>
      <w:pPr>
        <w:pStyle w:val="28"/>
        <w:keepNext w:val="0"/>
        <w:keepLines w:val="0"/>
        <w:pageBreakBefore w:val="0"/>
        <w:widowControl w:val="0"/>
        <w:shd w:val="clear" w:color="auto" w:fill="auto"/>
        <w:kinsoku/>
        <w:wordWrap/>
        <w:overflowPunct/>
        <w:topLinePunct w:val="0"/>
        <w:autoSpaceDE/>
        <w:autoSpaceDN/>
        <w:bidi w:val="0"/>
        <w:adjustRightInd w:val="0"/>
        <w:snapToGrid/>
        <w:spacing w:line="360" w:lineRule="auto"/>
        <w:ind w:left="0" w:firstLine="420" w:firstLineChars="200"/>
        <w:textAlignment w:val="baseline"/>
        <w:rPr>
          <w:rFonts w:hint="eastAsia" w:ascii="宋体" w:hAnsi="宋体" w:eastAsia="宋体" w:cs="宋体"/>
          <w:bCs/>
          <w:color w:val="auto"/>
          <w:szCs w:val="21"/>
          <w:highlight w:val="none"/>
        </w:rPr>
      </w:pPr>
      <w:r>
        <w:rPr>
          <w:rFonts w:hint="eastAsia" w:ascii="宋体" w:hAnsi="宋体" w:cs="宋体"/>
          <w:bCs/>
          <w:color w:val="auto"/>
          <w:szCs w:val="21"/>
          <w:highlight w:val="none"/>
          <w:lang w:eastAsia="zh-CN"/>
        </w:rPr>
        <w:t>（4）价格分计算公式：报价得分=（基准价/评审报价）×</w:t>
      </w:r>
      <w:r>
        <w:rPr>
          <w:rFonts w:hint="eastAsia" w:ascii="宋体" w:hAnsi="宋体" w:cs="宋体"/>
          <w:bCs/>
          <w:color w:val="auto"/>
          <w:szCs w:val="21"/>
          <w:highlight w:val="none"/>
          <w:lang w:val="en-US" w:eastAsia="zh-CN"/>
        </w:rPr>
        <w:t>20</w:t>
      </w:r>
      <w:r>
        <w:rPr>
          <w:rFonts w:hint="eastAsia" w:ascii="宋体" w:hAnsi="宋体" w:cs="宋体"/>
          <w:bCs/>
          <w:color w:val="auto"/>
          <w:szCs w:val="21"/>
          <w:highlight w:val="none"/>
          <w:lang w:eastAsia="zh-CN"/>
        </w:rPr>
        <w:t>分。</w:t>
      </w:r>
    </w:p>
    <w:p>
      <w:pPr>
        <w:keepNext w:val="0"/>
        <w:keepLines w:val="0"/>
        <w:pageBreakBefore w:val="0"/>
        <w:widowControl w:val="0"/>
        <w:shd w:val="clear" w:color="auto" w:fill="auto"/>
        <w:kinsoku/>
        <w:wordWrap/>
        <w:overflowPunct/>
        <w:topLinePunct w:val="0"/>
        <w:autoSpaceDE/>
        <w:autoSpaceDN/>
        <w:bidi w:val="0"/>
        <w:snapToGrid w:val="0"/>
        <w:spacing w:line="360" w:lineRule="auto"/>
        <w:jc w:val="both"/>
        <w:outlineLvl w:val="1"/>
        <w:rPr>
          <w:rFonts w:hint="eastAsia" w:ascii="宋体" w:hAnsi="宋体" w:eastAsia="宋体" w:cs="仿宋"/>
          <w:b/>
          <w:color w:val="auto"/>
          <w:kern w:val="2"/>
          <w:sz w:val="21"/>
          <w:szCs w:val="20"/>
          <w:highlight w:val="none"/>
          <w:lang w:val="en-US" w:eastAsia="zh-CN" w:bidi="ar-SA"/>
        </w:rPr>
      </w:pPr>
      <w:r>
        <w:rPr>
          <w:rFonts w:hint="eastAsia" w:ascii="宋体" w:hAnsi="宋体" w:eastAsia="宋体" w:cs="仿宋"/>
          <w:b/>
          <w:color w:val="auto"/>
          <w:kern w:val="2"/>
          <w:sz w:val="21"/>
          <w:szCs w:val="20"/>
          <w:highlight w:val="none"/>
          <w:lang w:val="en-US" w:eastAsia="zh-CN" w:bidi="ar-SA"/>
        </w:rPr>
        <w:t>2、技术分……………………………………………………………………………………………………</w:t>
      </w:r>
      <w:r>
        <w:rPr>
          <w:rFonts w:hint="eastAsia" w:ascii="宋体" w:hAnsi="宋体" w:cs="仿宋"/>
          <w:b/>
          <w:color w:val="auto"/>
          <w:kern w:val="2"/>
          <w:sz w:val="21"/>
          <w:szCs w:val="20"/>
          <w:highlight w:val="none"/>
          <w:lang w:val="en-US" w:eastAsia="zh-CN" w:bidi="ar-SA"/>
        </w:rPr>
        <w:t>75</w:t>
      </w:r>
      <w:r>
        <w:rPr>
          <w:rFonts w:hint="eastAsia" w:ascii="宋体" w:hAnsi="宋体" w:eastAsia="宋体" w:cs="仿宋"/>
          <w:b/>
          <w:color w:val="auto"/>
          <w:kern w:val="2"/>
          <w:sz w:val="21"/>
          <w:szCs w:val="20"/>
          <w:highlight w:val="none"/>
          <w:lang w:val="en-US" w:eastAsia="zh-CN" w:bidi="ar-SA"/>
        </w:rPr>
        <w:t>分</w:t>
      </w:r>
    </w:p>
    <w:p>
      <w:pPr>
        <w:pStyle w:val="28"/>
        <w:keepNext w:val="0"/>
        <w:keepLines w:val="0"/>
        <w:pageBreakBefore w:val="0"/>
        <w:widowControl w:val="0"/>
        <w:shd w:val="clear" w:color="auto" w:fill="auto"/>
        <w:kinsoku/>
        <w:wordWrap/>
        <w:overflowPunct/>
        <w:topLinePunct w:val="0"/>
        <w:autoSpaceDE/>
        <w:autoSpaceDN/>
        <w:bidi w:val="0"/>
        <w:adjustRightInd w:val="0"/>
        <w:snapToGrid/>
        <w:spacing w:line="360" w:lineRule="auto"/>
        <w:ind w:left="0" w:firstLine="422" w:firstLineChars="200"/>
        <w:textAlignment w:val="baseline"/>
        <w:rPr>
          <w:rFonts w:hint="eastAsia" w:ascii="宋体" w:hAnsi="宋体" w:eastAsia="宋体" w:cs="宋体"/>
          <w:b/>
          <w:bCs w:val="0"/>
          <w:color w:val="auto"/>
          <w:szCs w:val="21"/>
          <w:highlight w:val="none"/>
          <w:lang w:val="en-US" w:eastAsia="zh-CN"/>
        </w:rPr>
      </w:pPr>
      <w:r>
        <w:rPr>
          <w:rFonts w:hint="eastAsia" w:ascii="宋体" w:hAnsi="宋体" w:eastAsia="宋体" w:cs="宋体"/>
          <w:b/>
          <w:bCs w:val="0"/>
          <w:color w:val="auto"/>
          <w:szCs w:val="21"/>
          <w:highlight w:val="none"/>
          <w:lang w:val="en-US" w:eastAsia="zh-CN"/>
        </w:rPr>
        <w:t>（1）</w:t>
      </w:r>
      <w:bookmarkStart w:id="158" w:name="OLE_LINK64"/>
      <w:r>
        <w:rPr>
          <w:rFonts w:hint="eastAsia" w:ascii="宋体" w:hAnsi="宋体" w:eastAsia="宋体" w:cs="宋体"/>
          <w:b/>
          <w:bCs w:val="0"/>
          <w:color w:val="auto"/>
          <w:szCs w:val="21"/>
          <w:highlight w:val="none"/>
          <w:lang w:val="en-US" w:eastAsia="zh-CN"/>
        </w:rPr>
        <w:t>运维服务方案</w:t>
      </w:r>
      <w:bookmarkEnd w:id="158"/>
      <w:r>
        <w:rPr>
          <w:rFonts w:hint="eastAsia" w:ascii="宋体" w:hAnsi="宋体" w:eastAsia="宋体" w:cs="宋体"/>
          <w:b/>
          <w:bCs w:val="0"/>
          <w:color w:val="auto"/>
          <w:szCs w:val="21"/>
          <w:highlight w:val="none"/>
          <w:lang w:val="en-US" w:eastAsia="zh-CN"/>
        </w:rPr>
        <w:t>分（满分2</w:t>
      </w:r>
      <w:r>
        <w:rPr>
          <w:rFonts w:hint="eastAsia" w:ascii="宋体" w:hAnsi="宋体" w:cs="宋体"/>
          <w:b/>
          <w:bCs w:val="0"/>
          <w:color w:val="auto"/>
          <w:szCs w:val="21"/>
          <w:highlight w:val="none"/>
          <w:lang w:val="en-US" w:eastAsia="zh-CN"/>
        </w:rPr>
        <w:t>5</w:t>
      </w:r>
      <w:r>
        <w:rPr>
          <w:rFonts w:hint="eastAsia" w:ascii="宋体" w:hAnsi="宋体" w:eastAsia="宋体" w:cs="宋体"/>
          <w:b/>
          <w:bCs w:val="0"/>
          <w:color w:val="auto"/>
          <w:szCs w:val="21"/>
          <w:highlight w:val="none"/>
          <w:lang w:val="en-US" w:eastAsia="zh-CN"/>
        </w:rPr>
        <w:t>分）</w:t>
      </w:r>
    </w:p>
    <w:p>
      <w:pPr>
        <w:pStyle w:val="28"/>
        <w:keepNext w:val="0"/>
        <w:keepLines w:val="0"/>
        <w:pageBreakBefore w:val="0"/>
        <w:widowControl w:val="0"/>
        <w:shd w:val="clear" w:color="auto" w:fill="auto"/>
        <w:kinsoku/>
        <w:wordWrap/>
        <w:overflowPunct/>
        <w:topLinePunct w:val="0"/>
        <w:autoSpaceDE/>
        <w:autoSpaceDN/>
        <w:bidi w:val="0"/>
        <w:adjustRightInd w:val="0"/>
        <w:snapToGrid/>
        <w:spacing w:line="360" w:lineRule="auto"/>
        <w:ind w:left="0" w:firstLine="420" w:firstLineChars="200"/>
        <w:textAlignment w:val="baseline"/>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一档（</w:t>
      </w:r>
      <w:r>
        <w:rPr>
          <w:rFonts w:hint="eastAsia" w:ascii="宋体" w:hAnsi="宋体" w:cs="宋体"/>
          <w:bCs/>
          <w:color w:val="auto"/>
          <w:szCs w:val="21"/>
          <w:highlight w:val="none"/>
          <w:lang w:val="en-US" w:eastAsia="zh-CN"/>
        </w:rPr>
        <w:t>15</w:t>
      </w:r>
      <w:r>
        <w:rPr>
          <w:rFonts w:hint="eastAsia" w:ascii="宋体" w:hAnsi="宋体" w:eastAsia="宋体" w:cs="宋体"/>
          <w:bCs/>
          <w:color w:val="auto"/>
          <w:szCs w:val="21"/>
          <w:highlight w:val="none"/>
          <w:lang w:val="en-US" w:eastAsia="zh-CN"/>
        </w:rPr>
        <w:t>分）：初步理解本项目运维要求，提供运维服务方案，例行检查检测方案、故障处理预案、驻场人员安排等方案内容简单；运维服务管理方案简单可行。</w:t>
      </w:r>
    </w:p>
    <w:p>
      <w:pPr>
        <w:pStyle w:val="28"/>
        <w:keepNext w:val="0"/>
        <w:keepLines w:val="0"/>
        <w:pageBreakBefore w:val="0"/>
        <w:widowControl w:val="0"/>
        <w:shd w:val="clear" w:color="auto" w:fill="auto"/>
        <w:kinsoku/>
        <w:wordWrap/>
        <w:overflowPunct/>
        <w:topLinePunct w:val="0"/>
        <w:autoSpaceDE/>
        <w:autoSpaceDN/>
        <w:bidi w:val="0"/>
        <w:adjustRightInd w:val="0"/>
        <w:snapToGrid/>
        <w:spacing w:line="360" w:lineRule="auto"/>
        <w:ind w:left="0" w:firstLine="420" w:firstLineChars="200"/>
        <w:textAlignment w:val="baseline"/>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二档（</w:t>
      </w:r>
      <w:r>
        <w:rPr>
          <w:rFonts w:hint="eastAsia" w:ascii="宋体" w:hAnsi="宋体" w:cs="宋体"/>
          <w:bCs/>
          <w:color w:val="auto"/>
          <w:szCs w:val="21"/>
          <w:highlight w:val="none"/>
          <w:lang w:val="en-US" w:eastAsia="zh-CN"/>
        </w:rPr>
        <w:t>20</w:t>
      </w:r>
      <w:r>
        <w:rPr>
          <w:rFonts w:hint="eastAsia" w:ascii="宋体" w:hAnsi="宋体" w:eastAsia="宋体" w:cs="宋体"/>
          <w:bCs/>
          <w:color w:val="auto"/>
          <w:szCs w:val="21"/>
          <w:highlight w:val="none"/>
          <w:lang w:val="en-US" w:eastAsia="zh-CN"/>
        </w:rPr>
        <w:t>分）：在满足一档的基础上，清晰理解本项目运维要求，例行检查检测方案详细，利于日常运维实施；运维服务管理方案、故障处理预案等详细可行，有运维服务工作记录表单（包含客户服务报告、服务质量考核、满意度调查和回访记录单等），符合实际情况，</w:t>
      </w:r>
      <w:r>
        <w:rPr>
          <w:rFonts w:hint="eastAsia" w:ascii="宋体" w:hAnsi="宋体" w:cs="宋体"/>
          <w:bCs/>
          <w:color w:val="auto"/>
          <w:szCs w:val="21"/>
          <w:highlight w:val="none"/>
          <w:lang w:val="en-US" w:eastAsia="zh-CN"/>
        </w:rPr>
        <w:t>有</w:t>
      </w:r>
      <w:r>
        <w:rPr>
          <w:rFonts w:hint="eastAsia" w:ascii="宋体" w:hAnsi="宋体" w:eastAsia="宋体" w:cs="宋体"/>
          <w:bCs/>
          <w:color w:val="auto"/>
          <w:szCs w:val="21"/>
          <w:highlight w:val="none"/>
          <w:lang w:val="en-US" w:eastAsia="zh-CN"/>
        </w:rPr>
        <w:t>可操作性、能对具体设备及采购人实际情况进行分析，针对本项目投入运维后台支持团队，</w:t>
      </w:r>
      <w:r>
        <w:rPr>
          <w:rFonts w:hint="eastAsia" w:ascii="宋体" w:hAnsi="宋体" w:cs="宋体"/>
          <w:bCs/>
          <w:color w:val="auto"/>
          <w:szCs w:val="21"/>
          <w:highlight w:val="none"/>
          <w:lang w:val="en-US" w:eastAsia="zh-CN"/>
        </w:rPr>
        <w:t>有</w:t>
      </w:r>
      <w:r>
        <w:rPr>
          <w:rFonts w:hint="eastAsia" w:ascii="宋体" w:hAnsi="宋体" w:eastAsia="宋体" w:cs="宋体"/>
          <w:bCs/>
          <w:color w:val="auto"/>
          <w:szCs w:val="21"/>
          <w:highlight w:val="none"/>
          <w:lang w:val="en-US" w:eastAsia="zh-CN"/>
        </w:rPr>
        <w:t>人员配备</w:t>
      </w:r>
      <w:r>
        <w:rPr>
          <w:rFonts w:hint="eastAsia" w:ascii="宋体" w:hAnsi="宋体" w:cs="宋体"/>
          <w:bCs/>
          <w:color w:val="auto"/>
          <w:szCs w:val="21"/>
          <w:highlight w:val="none"/>
          <w:lang w:val="en-US" w:eastAsia="zh-CN"/>
        </w:rPr>
        <w:t>介绍</w:t>
      </w:r>
      <w:r>
        <w:rPr>
          <w:rFonts w:hint="eastAsia" w:ascii="宋体" w:hAnsi="宋体" w:eastAsia="宋体" w:cs="宋体"/>
          <w:bCs/>
          <w:color w:val="auto"/>
          <w:szCs w:val="21"/>
          <w:highlight w:val="none"/>
          <w:lang w:val="en-US" w:eastAsia="zh-CN"/>
        </w:rPr>
        <w:t>，了解采购人现有机房硬件、办公网络、桌面终端等系统；供应商具有本地化服务能力。</w:t>
      </w:r>
    </w:p>
    <w:p>
      <w:pPr>
        <w:pStyle w:val="28"/>
        <w:keepNext w:val="0"/>
        <w:keepLines w:val="0"/>
        <w:pageBreakBefore w:val="0"/>
        <w:widowControl w:val="0"/>
        <w:shd w:val="clear" w:color="auto" w:fill="auto"/>
        <w:kinsoku/>
        <w:wordWrap/>
        <w:overflowPunct/>
        <w:topLinePunct w:val="0"/>
        <w:autoSpaceDE/>
        <w:autoSpaceDN/>
        <w:bidi w:val="0"/>
        <w:adjustRightInd w:val="0"/>
        <w:snapToGrid/>
        <w:spacing w:line="360" w:lineRule="auto"/>
        <w:ind w:left="0" w:firstLine="420" w:firstLineChars="200"/>
        <w:textAlignment w:val="baseline"/>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三档（</w:t>
      </w:r>
      <w:r>
        <w:rPr>
          <w:rFonts w:hint="eastAsia" w:ascii="宋体" w:hAnsi="宋体" w:cs="宋体"/>
          <w:bCs/>
          <w:color w:val="auto"/>
          <w:szCs w:val="21"/>
          <w:highlight w:val="none"/>
          <w:lang w:val="en-US" w:eastAsia="zh-CN"/>
        </w:rPr>
        <w:t>25</w:t>
      </w:r>
      <w:r>
        <w:rPr>
          <w:rFonts w:hint="eastAsia" w:ascii="宋体" w:hAnsi="宋体" w:eastAsia="宋体" w:cs="宋体"/>
          <w:bCs/>
          <w:color w:val="auto"/>
          <w:szCs w:val="21"/>
          <w:highlight w:val="none"/>
          <w:lang w:val="en-US" w:eastAsia="zh-CN"/>
        </w:rPr>
        <w:t>分）：</w:t>
      </w:r>
      <w:r>
        <w:rPr>
          <w:rFonts w:hint="eastAsia" w:ascii="宋体" w:hAnsi="宋体" w:cs="宋体"/>
          <w:bCs/>
          <w:color w:val="auto"/>
          <w:szCs w:val="21"/>
          <w:highlight w:val="none"/>
          <w:lang w:val="en-US" w:eastAsia="zh-CN"/>
        </w:rPr>
        <w:t>有</w:t>
      </w:r>
      <w:r>
        <w:rPr>
          <w:rFonts w:hint="eastAsia" w:ascii="宋体" w:hAnsi="宋体" w:eastAsia="宋体" w:cs="宋体"/>
          <w:bCs/>
          <w:color w:val="auto"/>
          <w:szCs w:val="21"/>
          <w:highlight w:val="none"/>
          <w:lang w:val="en-US" w:eastAsia="zh-CN"/>
        </w:rPr>
        <w:t>对项目运维服务需求了解</w:t>
      </w:r>
      <w:r>
        <w:rPr>
          <w:rFonts w:hint="eastAsia" w:ascii="宋体" w:hAnsi="宋体" w:cs="宋体"/>
          <w:bCs/>
          <w:color w:val="auto"/>
          <w:szCs w:val="21"/>
          <w:highlight w:val="none"/>
          <w:lang w:val="en-US" w:eastAsia="zh-CN"/>
        </w:rPr>
        <w:t>情况的详细描述</w:t>
      </w:r>
      <w:r>
        <w:rPr>
          <w:rFonts w:hint="eastAsia" w:ascii="宋体" w:hAnsi="宋体" w:eastAsia="宋体" w:cs="宋体"/>
          <w:bCs/>
          <w:color w:val="auto"/>
          <w:szCs w:val="21"/>
          <w:highlight w:val="none"/>
          <w:lang w:val="en-US" w:eastAsia="zh-CN"/>
        </w:rPr>
        <w:t>，整体运维服务详细，在满足二档的基础上，例行检查检测方案具体且明确，并能细化步骤；故障处理预案详细可行、</w:t>
      </w:r>
      <w:r>
        <w:rPr>
          <w:rFonts w:hint="eastAsia" w:ascii="宋体" w:hAnsi="宋体" w:cs="宋体"/>
          <w:bCs/>
          <w:color w:val="auto"/>
          <w:szCs w:val="21"/>
          <w:highlight w:val="none"/>
          <w:lang w:val="en-US" w:eastAsia="zh-CN"/>
        </w:rPr>
        <w:t>有</w:t>
      </w:r>
      <w:r>
        <w:rPr>
          <w:rFonts w:hint="eastAsia" w:ascii="宋体" w:hAnsi="宋体" w:eastAsia="宋体" w:cs="宋体"/>
          <w:bCs/>
          <w:color w:val="auto"/>
          <w:szCs w:val="21"/>
          <w:highlight w:val="none"/>
          <w:lang w:val="en-US" w:eastAsia="zh-CN"/>
        </w:rPr>
        <w:t>针对性及可操作性，针对本项目投入运维后台支持团队，对主要系统的人员配备</w:t>
      </w:r>
      <w:r>
        <w:rPr>
          <w:rFonts w:hint="eastAsia" w:ascii="宋体" w:hAnsi="宋体" w:cs="宋体"/>
          <w:bCs/>
          <w:color w:val="auto"/>
          <w:szCs w:val="21"/>
          <w:highlight w:val="none"/>
          <w:lang w:val="en-US" w:eastAsia="zh-CN"/>
        </w:rPr>
        <w:t>介绍详细分工明确</w:t>
      </w:r>
      <w:r>
        <w:rPr>
          <w:rFonts w:hint="eastAsia" w:ascii="宋体" w:hAnsi="宋体" w:eastAsia="宋体" w:cs="宋体"/>
          <w:bCs/>
          <w:color w:val="auto"/>
          <w:szCs w:val="21"/>
          <w:highlight w:val="none"/>
          <w:lang w:val="en-US" w:eastAsia="zh-CN"/>
        </w:rPr>
        <w:t>，对采购人现有机房硬件、办公网络、桌面终端等系统</w:t>
      </w:r>
      <w:r>
        <w:rPr>
          <w:rFonts w:hint="eastAsia" w:ascii="宋体" w:hAnsi="宋体" w:cs="宋体"/>
          <w:bCs/>
          <w:color w:val="auto"/>
          <w:szCs w:val="21"/>
          <w:highlight w:val="none"/>
          <w:lang w:val="en-US" w:eastAsia="zh-CN"/>
        </w:rPr>
        <w:t>的</w:t>
      </w:r>
      <w:r>
        <w:rPr>
          <w:rFonts w:hint="eastAsia" w:ascii="宋体" w:hAnsi="宋体" w:eastAsia="宋体" w:cs="宋体"/>
          <w:bCs/>
          <w:color w:val="auto"/>
          <w:szCs w:val="21"/>
          <w:highlight w:val="none"/>
          <w:lang w:val="en-US" w:eastAsia="zh-CN"/>
        </w:rPr>
        <w:t>了解</w:t>
      </w:r>
      <w:r>
        <w:rPr>
          <w:rFonts w:hint="eastAsia" w:ascii="宋体" w:hAnsi="宋体" w:cs="宋体"/>
          <w:bCs/>
          <w:color w:val="auto"/>
          <w:szCs w:val="21"/>
          <w:highlight w:val="none"/>
          <w:lang w:val="en-US" w:eastAsia="zh-CN"/>
        </w:rPr>
        <w:t>描述详细</w:t>
      </w:r>
      <w:r>
        <w:rPr>
          <w:rFonts w:hint="eastAsia" w:ascii="宋体" w:hAnsi="宋体" w:eastAsia="宋体" w:cs="宋体"/>
          <w:bCs/>
          <w:color w:val="auto"/>
          <w:szCs w:val="21"/>
          <w:highlight w:val="none"/>
          <w:lang w:val="en-US" w:eastAsia="zh-CN"/>
        </w:rPr>
        <w:t>；对本项目配置的项目经理具有IT服务项目经理证书（提供</w:t>
      </w:r>
      <w:r>
        <w:rPr>
          <w:rFonts w:hint="eastAsia" w:ascii="宋体" w:hAnsi="宋体" w:cs="宋体"/>
          <w:bCs/>
          <w:color w:val="auto"/>
          <w:szCs w:val="21"/>
          <w:highlight w:val="none"/>
          <w:lang w:val="en-US" w:eastAsia="zh-CN"/>
        </w:rPr>
        <w:t>人员</w:t>
      </w:r>
      <w:r>
        <w:rPr>
          <w:rFonts w:hint="eastAsia" w:ascii="宋体" w:hAnsi="宋体" w:eastAsia="宋体" w:cs="宋体"/>
          <w:bCs/>
          <w:color w:val="auto"/>
          <w:szCs w:val="21"/>
          <w:highlight w:val="none"/>
          <w:lang w:val="en-US" w:eastAsia="zh-CN"/>
        </w:rPr>
        <w:t>相关证明材料</w:t>
      </w:r>
      <w:r>
        <w:rPr>
          <w:rFonts w:hint="eastAsia" w:ascii="宋体" w:hAnsi="宋体" w:cs="宋体"/>
          <w:bCs/>
          <w:color w:val="auto"/>
          <w:szCs w:val="21"/>
          <w:highlight w:val="none"/>
          <w:lang w:val="en-US" w:eastAsia="zh-CN"/>
        </w:rPr>
        <w:t>扫描件</w:t>
      </w:r>
      <w:r>
        <w:rPr>
          <w:rFonts w:hint="eastAsia" w:ascii="宋体" w:hAnsi="宋体" w:eastAsia="宋体" w:cs="宋体"/>
          <w:bCs/>
          <w:color w:val="auto"/>
          <w:szCs w:val="21"/>
          <w:highlight w:val="none"/>
          <w:lang w:val="en-US" w:eastAsia="zh-CN"/>
        </w:rPr>
        <w:t>）。</w:t>
      </w:r>
    </w:p>
    <w:p>
      <w:pPr>
        <w:pStyle w:val="28"/>
        <w:keepNext w:val="0"/>
        <w:keepLines w:val="0"/>
        <w:pageBreakBefore w:val="0"/>
        <w:widowControl w:val="0"/>
        <w:shd w:val="clear" w:color="auto" w:fill="auto"/>
        <w:kinsoku/>
        <w:wordWrap/>
        <w:overflowPunct/>
        <w:topLinePunct w:val="0"/>
        <w:autoSpaceDE/>
        <w:autoSpaceDN/>
        <w:bidi w:val="0"/>
        <w:adjustRightInd w:val="0"/>
        <w:snapToGrid/>
        <w:spacing w:line="360" w:lineRule="auto"/>
        <w:ind w:left="0" w:firstLine="422" w:firstLineChars="200"/>
        <w:textAlignment w:val="baseline"/>
        <w:rPr>
          <w:rFonts w:hint="eastAsia" w:ascii="宋体" w:hAnsi="宋体" w:eastAsia="宋体" w:cs="宋体"/>
          <w:b/>
          <w:bCs w:val="0"/>
          <w:color w:val="auto"/>
          <w:szCs w:val="21"/>
          <w:highlight w:val="none"/>
          <w:lang w:val="en-US" w:eastAsia="zh-CN"/>
        </w:rPr>
      </w:pPr>
      <w:r>
        <w:rPr>
          <w:rFonts w:hint="eastAsia" w:ascii="宋体" w:hAnsi="宋体" w:eastAsia="宋体" w:cs="宋体"/>
          <w:b/>
          <w:bCs w:val="0"/>
          <w:color w:val="auto"/>
          <w:szCs w:val="21"/>
          <w:highlight w:val="none"/>
          <w:lang w:val="en-US" w:eastAsia="zh-CN"/>
        </w:rPr>
        <w:t>（2）应急保障预案分（满分</w:t>
      </w:r>
      <w:r>
        <w:rPr>
          <w:rFonts w:hint="eastAsia" w:ascii="宋体" w:hAnsi="宋体" w:cs="宋体"/>
          <w:b/>
          <w:bCs w:val="0"/>
          <w:color w:val="auto"/>
          <w:szCs w:val="21"/>
          <w:highlight w:val="none"/>
          <w:lang w:val="en-US" w:eastAsia="zh-CN"/>
        </w:rPr>
        <w:t>25</w:t>
      </w:r>
      <w:r>
        <w:rPr>
          <w:rFonts w:hint="eastAsia" w:ascii="宋体" w:hAnsi="宋体" w:eastAsia="宋体" w:cs="宋体"/>
          <w:b/>
          <w:bCs w:val="0"/>
          <w:color w:val="auto"/>
          <w:szCs w:val="21"/>
          <w:highlight w:val="none"/>
          <w:lang w:val="en-US" w:eastAsia="zh-CN"/>
        </w:rPr>
        <w:t>分）</w:t>
      </w:r>
    </w:p>
    <w:p>
      <w:pPr>
        <w:pStyle w:val="28"/>
        <w:keepNext w:val="0"/>
        <w:keepLines w:val="0"/>
        <w:pageBreakBefore w:val="0"/>
        <w:widowControl w:val="0"/>
        <w:shd w:val="clear" w:color="auto" w:fill="auto"/>
        <w:kinsoku/>
        <w:wordWrap/>
        <w:overflowPunct/>
        <w:topLinePunct w:val="0"/>
        <w:autoSpaceDE/>
        <w:autoSpaceDN/>
        <w:bidi w:val="0"/>
        <w:adjustRightInd w:val="0"/>
        <w:snapToGrid/>
        <w:spacing w:line="360" w:lineRule="auto"/>
        <w:ind w:left="0" w:firstLine="420" w:firstLineChars="200"/>
        <w:textAlignment w:val="baseline"/>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一档（</w:t>
      </w:r>
      <w:r>
        <w:rPr>
          <w:rFonts w:hint="eastAsia" w:ascii="宋体" w:hAnsi="宋体" w:cs="宋体"/>
          <w:bCs/>
          <w:color w:val="auto"/>
          <w:szCs w:val="21"/>
          <w:highlight w:val="none"/>
          <w:lang w:val="en-US" w:eastAsia="zh-CN"/>
        </w:rPr>
        <w:t>15</w:t>
      </w:r>
      <w:r>
        <w:rPr>
          <w:rFonts w:hint="eastAsia" w:ascii="宋体" w:hAnsi="宋体" w:eastAsia="宋体" w:cs="宋体"/>
          <w:bCs/>
          <w:color w:val="auto"/>
          <w:szCs w:val="21"/>
          <w:highlight w:val="none"/>
          <w:lang w:val="en-US" w:eastAsia="zh-CN"/>
        </w:rPr>
        <w:t>分）：软硬件故障及时排除的应对策略简单，对运维服务保障应急预案及实施过程可能遇到的问题及其应对措施的阐述不明确，重大节假日、国家级及省级组织的信息系统网络安全检查、网络等级保护测评、国家级、省级视频会议遇到应急情况，提供至少2人具备中国信息安全测评中心颁发的注册信息安全专业人员证书的技术人员持证上岗进行现场保障。</w:t>
      </w:r>
    </w:p>
    <w:p>
      <w:pPr>
        <w:pStyle w:val="28"/>
        <w:keepNext w:val="0"/>
        <w:keepLines w:val="0"/>
        <w:pageBreakBefore w:val="0"/>
        <w:widowControl w:val="0"/>
        <w:shd w:val="clear" w:color="auto" w:fill="auto"/>
        <w:kinsoku/>
        <w:wordWrap/>
        <w:overflowPunct/>
        <w:topLinePunct w:val="0"/>
        <w:autoSpaceDE/>
        <w:autoSpaceDN/>
        <w:bidi w:val="0"/>
        <w:adjustRightInd w:val="0"/>
        <w:snapToGrid/>
        <w:spacing w:line="360" w:lineRule="auto"/>
        <w:ind w:left="0" w:firstLine="420" w:firstLineChars="200"/>
        <w:textAlignment w:val="baseline"/>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二档（</w:t>
      </w:r>
      <w:r>
        <w:rPr>
          <w:rFonts w:hint="eastAsia" w:ascii="宋体" w:hAnsi="宋体" w:cs="宋体"/>
          <w:bCs/>
          <w:color w:val="auto"/>
          <w:szCs w:val="21"/>
          <w:highlight w:val="none"/>
          <w:lang w:val="en-US" w:eastAsia="zh-CN"/>
        </w:rPr>
        <w:t>20</w:t>
      </w:r>
      <w:r>
        <w:rPr>
          <w:rFonts w:hint="eastAsia" w:ascii="宋体" w:hAnsi="宋体" w:eastAsia="宋体" w:cs="宋体"/>
          <w:bCs/>
          <w:color w:val="auto"/>
          <w:szCs w:val="21"/>
          <w:highlight w:val="none"/>
          <w:lang w:val="en-US" w:eastAsia="zh-CN"/>
        </w:rPr>
        <w:t>分）：软硬件故障及时排除的应对策略详细，能提供有针对性的运行服务保障应急预案，并且</w:t>
      </w:r>
      <w:r>
        <w:rPr>
          <w:rFonts w:hint="eastAsia" w:ascii="宋体" w:hAnsi="宋体" w:cs="宋体"/>
          <w:bCs/>
          <w:color w:val="auto"/>
          <w:szCs w:val="21"/>
          <w:highlight w:val="none"/>
          <w:lang w:val="en-US" w:eastAsia="zh-CN"/>
        </w:rPr>
        <w:t>列出了</w:t>
      </w:r>
      <w:r>
        <w:rPr>
          <w:rFonts w:hint="eastAsia" w:ascii="宋体" w:hAnsi="宋体" w:eastAsia="宋体" w:cs="宋体"/>
          <w:bCs/>
          <w:color w:val="auto"/>
          <w:szCs w:val="21"/>
          <w:highlight w:val="none"/>
          <w:lang w:val="en-US" w:eastAsia="zh-CN"/>
        </w:rPr>
        <w:t>实施过程可能遇到的问题及其应对措施，国家级及省级组织的信息系统网络安全检查、网络</w:t>
      </w:r>
      <w:r>
        <w:rPr>
          <w:rFonts w:hint="eastAsia" w:ascii="Times New Roman" w:hAnsi="Times New Roman" w:cs="Times New Roman"/>
          <w:bCs/>
          <w:color w:val="auto"/>
          <w:szCs w:val="21"/>
          <w:highlight w:val="none"/>
          <w:lang w:val="en-US" w:eastAsia="zh-CN"/>
        </w:rPr>
        <w:t>等级</w:t>
      </w:r>
      <w:r>
        <w:rPr>
          <w:rFonts w:hint="eastAsia" w:ascii="宋体" w:hAnsi="宋体" w:eastAsia="宋体" w:cs="宋体"/>
          <w:bCs/>
          <w:color w:val="auto"/>
          <w:szCs w:val="21"/>
          <w:highlight w:val="none"/>
          <w:lang w:val="en-US" w:eastAsia="zh-CN"/>
        </w:rPr>
        <w:t>保护测评、国家级、省级视频会议遇到应急情况，提供至少4人具备中国信息安全测评中心颁发的注册信息安全专业人员证书的技术人员持证上岗进行现场保障，并提供1名网络安全项目经理, 网络安全项目经理具备中国信息安全测评中心颁发注册渗透测试专家证书。</w:t>
      </w:r>
    </w:p>
    <w:p>
      <w:pPr>
        <w:pStyle w:val="28"/>
        <w:keepNext w:val="0"/>
        <w:keepLines w:val="0"/>
        <w:pageBreakBefore w:val="0"/>
        <w:widowControl w:val="0"/>
        <w:shd w:val="clear" w:color="auto" w:fill="auto"/>
        <w:kinsoku/>
        <w:wordWrap/>
        <w:overflowPunct/>
        <w:topLinePunct w:val="0"/>
        <w:autoSpaceDE/>
        <w:autoSpaceDN/>
        <w:bidi w:val="0"/>
        <w:adjustRightInd w:val="0"/>
        <w:snapToGrid/>
        <w:spacing w:line="360" w:lineRule="auto"/>
        <w:ind w:left="0" w:firstLine="420" w:firstLineChars="200"/>
        <w:textAlignment w:val="baseline"/>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三档（</w:t>
      </w:r>
      <w:r>
        <w:rPr>
          <w:rFonts w:hint="eastAsia" w:ascii="宋体" w:hAnsi="宋体" w:cs="宋体"/>
          <w:bCs/>
          <w:color w:val="auto"/>
          <w:szCs w:val="21"/>
          <w:highlight w:val="none"/>
          <w:lang w:val="en-US" w:eastAsia="zh-CN"/>
        </w:rPr>
        <w:t>25</w:t>
      </w:r>
      <w:r>
        <w:rPr>
          <w:rFonts w:hint="eastAsia" w:ascii="宋体" w:hAnsi="宋体" w:eastAsia="宋体" w:cs="宋体"/>
          <w:bCs/>
          <w:color w:val="auto"/>
          <w:szCs w:val="21"/>
          <w:highlight w:val="none"/>
          <w:lang w:val="en-US" w:eastAsia="zh-CN"/>
        </w:rPr>
        <w:t>分）：在满足二档的基础上，供应商提供可行的系统应急保障措施，能保障系统出现问题时能及时修复，且提供系统应急的预估方案及解决方案；提供至少8人具备中国信息安全测评中心颁发的</w:t>
      </w:r>
      <w:r>
        <w:rPr>
          <w:rFonts w:hint="eastAsia" w:ascii="Times New Roman" w:hAnsi="Times New Roman" w:cs="Times New Roman"/>
          <w:bCs/>
          <w:color w:val="auto"/>
          <w:szCs w:val="21"/>
          <w:highlight w:val="none"/>
          <w:lang w:val="en-US" w:eastAsia="zh-CN"/>
        </w:rPr>
        <w:t>注册</w:t>
      </w:r>
      <w:r>
        <w:rPr>
          <w:rFonts w:hint="eastAsia" w:ascii="宋体" w:hAnsi="宋体" w:eastAsia="宋体" w:cs="宋体"/>
          <w:bCs/>
          <w:color w:val="auto"/>
          <w:szCs w:val="21"/>
          <w:highlight w:val="none"/>
          <w:lang w:val="en-US" w:eastAsia="zh-CN"/>
        </w:rPr>
        <w:t>信息安全专业人员证书的技术人员持证上岗进行现场保障，并提供1名网络安全项目经理, 网络安全项目经理具备中国信息安全测评中心颁发注册渗透测试专家证书。</w:t>
      </w:r>
    </w:p>
    <w:p>
      <w:pPr>
        <w:pStyle w:val="23"/>
        <w:rPr>
          <w:rFonts w:hint="eastAsia"/>
          <w:sz w:val="21"/>
          <w:szCs w:val="21"/>
          <w:lang w:val="en-US" w:eastAsia="zh-CN"/>
        </w:rPr>
      </w:pPr>
      <w:r>
        <w:rPr>
          <w:rFonts w:hint="eastAsia" w:ascii="宋体" w:hAnsi="宋体" w:eastAsia="宋体" w:cs="仿宋"/>
          <w:b/>
          <w:color w:val="000000"/>
          <w:sz w:val="21"/>
          <w:szCs w:val="24"/>
          <w:highlight w:val="none"/>
        </w:rPr>
        <w:t>注：以上拟投入人员需提供身份证</w:t>
      </w:r>
      <w:r>
        <w:rPr>
          <w:rFonts w:hint="eastAsia" w:ascii="宋体" w:hAnsi="宋体" w:cs="仿宋"/>
          <w:b/>
          <w:color w:val="000000"/>
          <w:sz w:val="21"/>
          <w:szCs w:val="24"/>
          <w:highlight w:val="none"/>
          <w:lang w:val="en-US" w:eastAsia="zh-CN"/>
        </w:rPr>
        <w:t>扫描</w:t>
      </w:r>
      <w:r>
        <w:rPr>
          <w:rFonts w:hint="eastAsia" w:ascii="宋体" w:hAnsi="宋体" w:eastAsia="宋体" w:cs="仿宋"/>
          <w:b/>
          <w:color w:val="000000"/>
          <w:sz w:val="21"/>
          <w:szCs w:val="24"/>
          <w:highlight w:val="none"/>
        </w:rPr>
        <w:t>件、证书</w:t>
      </w:r>
      <w:r>
        <w:rPr>
          <w:rFonts w:hint="eastAsia" w:ascii="宋体" w:hAnsi="宋体" w:cs="仿宋"/>
          <w:b/>
          <w:color w:val="000000"/>
          <w:sz w:val="21"/>
          <w:szCs w:val="24"/>
          <w:highlight w:val="none"/>
          <w:lang w:val="en-US" w:eastAsia="zh-CN"/>
        </w:rPr>
        <w:t>扫描</w:t>
      </w:r>
      <w:r>
        <w:rPr>
          <w:rFonts w:hint="eastAsia" w:ascii="宋体" w:hAnsi="宋体" w:eastAsia="宋体" w:cs="仿宋"/>
          <w:b/>
          <w:color w:val="000000"/>
          <w:sz w:val="21"/>
          <w:szCs w:val="24"/>
          <w:highlight w:val="none"/>
        </w:rPr>
        <w:t>件并加盖</w:t>
      </w:r>
      <w:r>
        <w:rPr>
          <w:rFonts w:hint="eastAsia" w:ascii="宋体" w:hAnsi="宋体" w:cs="仿宋"/>
          <w:b/>
          <w:color w:val="000000"/>
          <w:sz w:val="21"/>
          <w:szCs w:val="24"/>
          <w:highlight w:val="none"/>
          <w:lang w:val="en-US" w:eastAsia="zh-CN"/>
        </w:rPr>
        <w:t>供应商</w:t>
      </w:r>
      <w:r>
        <w:rPr>
          <w:rFonts w:hint="eastAsia" w:ascii="宋体" w:hAnsi="宋体" w:eastAsia="宋体" w:cs="仿宋"/>
          <w:b/>
          <w:color w:val="000000"/>
          <w:sz w:val="21"/>
          <w:szCs w:val="24"/>
          <w:highlight w:val="none"/>
        </w:rPr>
        <w:t>公章</w:t>
      </w:r>
      <w:r>
        <w:rPr>
          <w:rFonts w:hint="eastAsia" w:ascii="宋体" w:hAnsi="宋体" w:cs="仿宋"/>
          <w:b/>
          <w:color w:val="000000"/>
          <w:sz w:val="21"/>
          <w:szCs w:val="24"/>
          <w:highlight w:val="none"/>
          <w:lang w:eastAsia="zh-CN"/>
        </w:rPr>
        <w:t>，</w:t>
      </w:r>
      <w:r>
        <w:rPr>
          <w:rFonts w:hint="eastAsia" w:ascii="宋体" w:hAnsi="宋体" w:cs="仿宋"/>
          <w:b/>
          <w:color w:val="000000"/>
          <w:sz w:val="21"/>
          <w:szCs w:val="24"/>
          <w:highlight w:val="none"/>
          <w:lang w:val="en-US" w:eastAsia="zh-CN"/>
        </w:rPr>
        <w:t>否则不予评分</w:t>
      </w:r>
      <w:r>
        <w:rPr>
          <w:rFonts w:hint="eastAsia" w:ascii="宋体" w:hAnsi="宋体" w:eastAsia="宋体" w:cs="仿宋"/>
          <w:b/>
          <w:color w:val="000000"/>
          <w:sz w:val="21"/>
          <w:szCs w:val="24"/>
          <w:highlight w:val="none"/>
        </w:rPr>
        <w:t>。</w:t>
      </w:r>
    </w:p>
    <w:p>
      <w:pPr>
        <w:rPr>
          <w:rFonts w:hint="eastAsia"/>
          <w:lang w:val="en-US" w:eastAsia="zh-CN"/>
        </w:rPr>
      </w:pPr>
    </w:p>
    <w:p>
      <w:pPr>
        <w:pStyle w:val="28"/>
        <w:keepNext w:val="0"/>
        <w:keepLines w:val="0"/>
        <w:pageBreakBefore w:val="0"/>
        <w:widowControl w:val="0"/>
        <w:shd w:val="clear" w:color="auto" w:fill="auto"/>
        <w:kinsoku/>
        <w:wordWrap/>
        <w:overflowPunct/>
        <w:topLinePunct w:val="0"/>
        <w:autoSpaceDE/>
        <w:autoSpaceDN/>
        <w:bidi w:val="0"/>
        <w:adjustRightInd w:val="0"/>
        <w:snapToGrid/>
        <w:spacing w:line="360" w:lineRule="auto"/>
        <w:ind w:left="0" w:firstLine="422" w:firstLineChars="200"/>
        <w:textAlignment w:val="baseline"/>
        <w:rPr>
          <w:rFonts w:hint="eastAsia" w:ascii="宋体" w:hAnsi="宋体" w:eastAsia="宋体" w:cs="宋体"/>
          <w:b/>
          <w:bCs w:val="0"/>
          <w:color w:val="auto"/>
          <w:szCs w:val="21"/>
          <w:highlight w:val="none"/>
          <w:lang w:val="en-US" w:eastAsia="zh-CN"/>
        </w:rPr>
      </w:pPr>
      <w:r>
        <w:rPr>
          <w:rFonts w:hint="eastAsia" w:ascii="宋体" w:hAnsi="宋体" w:eastAsia="宋体" w:cs="宋体"/>
          <w:b/>
          <w:bCs w:val="0"/>
          <w:color w:val="auto"/>
          <w:szCs w:val="21"/>
          <w:highlight w:val="none"/>
          <w:lang w:val="en-US" w:eastAsia="zh-CN"/>
        </w:rPr>
        <w:t>（3）服务能力保障分（满分</w:t>
      </w:r>
      <w:r>
        <w:rPr>
          <w:rFonts w:hint="eastAsia" w:ascii="宋体" w:hAnsi="宋体" w:cs="宋体"/>
          <w:b/>
          <w:bCs w:val="0"/>
          <w:color w:val="auto"/>
          <w:szCs w:val="21"/>
          <w:highlight w:val="none"/>
          <w:lang w:val="en-US" w:eastAsia="zh-CN"/>
        </w:rPr>
        <w:t>25</w:t>
      </w:r>
      <w:r>
        <w:rPr>
          <w:rFonts w:hint="eastAsia" w:ascii="宋体" w:hAnsi="宋体" w:eastAsia="宋体" w:cs="宋体"/>
          <w:b/>
          <w:bCs w:val="0"/>
          <w:color w:val="auto"/>
          <w:szCs w:val="21"/>
          <w:highlight w:val="none"/>
          <w:lang w:val="en-US" w:eastAsia="zh-CN"/>
        </w:rPr>
        <w:t>分）</w:t>
      </w:r>
    </w:p>
    <w:p>
      <w:pPr>
        <w:pStyle w:val="28"/>
        <w:keepNext w:val="0"/>
        <w:keepLines w:val="0"/>
        <w:pageBreakBefore w:val="0"/>
        <w:widowControl w:val="0"/>
        <w:shd w:val="clear" w:color="auto" w:fill="auto"/>
        <w:kinsoku/>
        <w:wordWrap/>
        <w:overflowPunct/>
        <w:topLinePunct w:val="0"/>
        <w:autoSpaceDE/>
        <w:autoSpaceDN/>
        <w:bidi w:val="0"/>
        <w:adjustRightInd w:val="0"/>
        <w:snapToGrid/>
        <w:spacing w:line="360" w:lineRule="auto"/>
        <w:ind w:left="0" w:firstLine="420" w:firstLineChars="200"/>
        <w:textAlignment w:val="baseline"/>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一档（</w:t>
      </w:r>
      <w:r>
        <w:rPr>
          <w:rFonts w:hint="eastAsia" w:ascii="宋体" w:hAnsi="宋体" w:cs="宋体"/>
          <w:bCs/>
          <w:color w:val="auto"/>
          <w:szCs w:val="21"/>
          <w:highlight w:val="none"/>
          <w:lang w:val="en-US" w:eastAsia="zh-CN"/>
        </w:rPr>
        <w:t>15</w:t>
      </w:r>
      <w:r>
        <w:rPr>
          <w:rFonts w:hint="eastAsia" w:ascii="宋体" w:hAnsi="宋体" w:eastAsia="宋体" w:cs="宋体"/>
          <w:bCs/>
          <w:color w:val="auto"/>
          <w:szCs w:val="21"/>
          <w:highlight w:val="none"/>
          <w:lang w:val="en-US" w:eastAsia="zh-CN"/>
        </w:rPr>
        <w:t>分）：具有服务保障方案，方案内容简单，能满足采购文件要求；针对本项目投入</w:t>
      </w:r>
      <w:r>
        <w:rPr>
          <w:rFonts w:hint="eastAsia" w:ascii="宋体" w:hAnsi="宋体" w:cs="宋体"/>
          <w:bCs/>
          <w:color w:val="auto"/>
          <w:szCs w:val="21"/>
          <w:highlight w:val="none"/>
          <w:lang w:val="en-US" w:eastAsia="zh-CN"/>
        </w:rPr>
        <w:t>常驻项目所在地的</w:t>
      </w:r>
      <w:r>
        <w:rPr>
          <w:rFonts w:hint="eastAsia" w:ascii="宋体" w:hAnsi="宋体" w:eastAsia="宋体" w:cs="宋体"/>
          <w:bCs/>
          <w:color w:val="auto"/>
          <w:szCs w:val="21"/>
          <w:highlight w:val="none"/>
          <w:lang w:val="en-US" w:eastAsia="zh-CN"/>
        </w:rPr>
        <w:t>运维保障支持团队人员数量5人（含），团队中具有至少1名IT服务工程师。</w:t>
      </w:r>
    </w:p>
    <w:p>
      <w:pPr>
        <w:pStyle w:val="28"/>
        <w:keepNext w:val="0"/>
        <w:keepLines w:val="0"/>
        <w:pageBreakBefore w:val="0"/>
        <w:widowControl w:val="0"/>
        <w:shd w:val="clear" w:color="auto" w:fill="auto"/>
        <w:kinsoku/>
        <w:wordWrap/>
        <w:overflowPunct/>
        <w:topLinePunct w:val="0"/>
        <w:autoSpaceDE/>
        <w:autoSpaceDN/>
        <w:bidi w:val="0"/>
        <w:adjustRightInd w:val="0"/>
        <w:snapToGrid/>
        <w:spacing w:line="360" w:lineRule="auto"/>
        <w:ind w:left="0" w:firstLine="420" w:firstLineChars="200"/>
        <w:textAlignment w:val="baseline"/>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二档（</w:t>
      </w:r>
      <w:r>
        <w:rPr>
          <w:rFonts w:hint="eastAsia" w:ascii="宋体" w:hAnsi="宋体" w:cs="宋体"/>
          <w:bCs/>
          <w:color w:val="auto"/>
          <w:szCs w:val="21"/>
          <w:highlight w:val="none"/>
          <w:lang w:val="en-US" w:eastAsia="zh-CN"/>
        </w:rPr>
        <w:t>20</w:t>
      </w:r>
      <w:r>
        <w:rPr>
          <w:rFonts w:hint="eastAsia" w:ascii="宋体" w:hAnsi="宋体" w:eastAsia="宋体" w:cs="宋体"/>
          <w:bCs/>
          <w:color w:val="auto"/>
          <w:szCs w:val="21"/>
          <w:highlight w:val="none"/>
          <w:lang w:val="en-US" w:eastAsia="zh-CN"/>
        </w:rPr>
        <w:t>分）：服务保障方案详细，</w:t>
      </w:r>
      <w:r>
        <w:rPr>
          <w:rFonts w:hint="eastAsia" w:ascii="宋体" w:hAnsi="宋体" w:cs="宋体"/>
          <w:bCs/>
          <w:color w:val="auto"/>
          <w:szCs w:val="21"/>
          <w:highlight w:val="none"/>
          <w:lang w:val="en-US" w:eastAsia="zh-CN"/>
        </w:rPr>
        <w:t>建立有</w:t>
      </w:r>
      <w:r>
        <w:rPr>
          <w:rFonts w:hint="eastAsia" w:ascii="宋体" w:hAnsi="宋体" w:eastAsia="宋体" w:cs="宋体"/>
          <w:bCs/>
          <w:color w:val="auto"/>
          <w:szCs w:val="21"/>
          <w:highlight w:val="none"/>
          <w:lang w:val="en-US" w:eastAsia="zh-CN"/>
        </w:rPr>
        <w:t>服务保障体系；服务保障承诺满足采购文件要求；针对本项目投入</w:t>
      </w:r>
      <w:r>
        <w:rPr>
          <w:rFonts w:hint="eastAsia" w:ascii="宋体" w:hAnsi="宋体" w:cs="宋体"/>
          <w:bCs/>
          <w:color w:val="auto"/>
          <w:szCs w:val="21"/>
          <w:highlight w:val="none"/>
          <w:lang w:val="en-US" w:eastAsia="zh-CN"/>
        </w:rPr>
        <w:t>常驻项目所在地的</w:t>
      </w:r>
      <w:r>
        <w:rPr>
          <w:rFonts w:hint="eastAsia" w:ascii="宋体" w:hAnsi="宋体" w:eastAsia="宋体" w:cs="宋体"/>
          <w:bCs/>
          <w:color w:val="auto"/>
          <w:szCs w:val="21"/>
          <w:highlight w:val="none"/>
          <w:lang w:val="en-US" w:eastAsia="zh-CN"/>
        </w:rPr>
        <w:t>运维保障支持团队人员数量7人（含），团队中具有至少1名IT服务项目经理，2名IT服务工程师。</w:t>
      </w:r>
    </w:p>
    <w:p>
      <w:pPr>
        <w:pStyle w:val="28"/>
        <w:keepNext w:val="0"/>
        <w:keepLines w:val="0"/>
        <w:pageBreakBefore w:val="0"/>
        <w:widowControl w:val="0"/>
        <w:shd w:val="clear" w:color="auto" w:fill="auto"/>
        <w:kinsoku/>
        <w:wordWrap/>
        <w:overflowPunct/>
        <w:topLinePunct w:val="0"/>
        <w:autoSpaceDE/>
        <w:autoSpaceDN/>
        <w:bidi w:val="0"/>
        <w:adjustRightInd w:val="0"/>
        <w:snapToGrid/>
        <w:spacing w:line="360" w:lineRule="auto"/>
        <w:ind w:left="0" w:firstLine="420" w:firstLineChars="200"/>
        <w:textAlignment w:val="baseline"/>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三档（</w:t>
      </w:r>
      <w:r>
        <w:rPr>
          <w:rFonts w:hint="eastAsia" w:ascii="宋体" w:hAnsi="宋体" w:cs="宋体"/>
          <w:bCs/>
          <w:color w:val="auto"/>
          <w:szCs w:val="21"/>
          <w:highlight w:val="none"/>
          <w:lang w:val="en-US" w:eastAsia="zh-CN"/>
        </w:rPr>
        <w:t>25</w:t>
      </w:r>
      <w:r>
        <w:rPr>
          <w:rFonts w:hint="eastAsia" w:ascii="宋体" w:hAnsi="宋体" w:eastAsia="宋体" w:cs="宋体"/>
          <w:bCs/>
          <w:color w:val="auto"/>
          <w:szCs w:val="21"/>
          <w:highlight w:val="none"/>
          <w:lang w:val="en-US" w:eastAsia="zh-CN"/>
        </w:rPr>
        <w:t>分）：服务保障方案详实，</w:t>
      </w:r>
      <w:r>
        <w:rPr>
          <w:rFonts w:hint="eastAsia" w:ascii="宋体" w:hAnsi="宋体" w:cs="宋体"/>
          <w:bCs/>
          <w:color w:val="auto"/>
          <w:szCs w:val="21"/>
          <w:highlight w:val="none"/>
          <w:lang w:val="en-US" w:eastAsia="zh-CN"/>
        </w:rPr>
        <w:t>对</w:t>
      </w:r>
      <w:r>
        <w:rPr>
          <w:rFonts w:hint="eastAsia" w:ascii="宋体" w:hAnsi="宋体" w:eastAsia="宋体" w:cs="宋体"/>
          <w:bCs/>
          <w:color w:val="auto"/>
          <w:szCs w:val="21"/>
          <w:highlight w:val="none"/>
          <w:lang w:val="en-US" w:eastAsia="zh-CN"/>
        </w:rPr>
        <w:t>服务保障体系</w:t>
      </w:r>
      <w:r>
        <w:rPr>
          <w:rFonts w:hint="eastAsia" w:ascii="宋体" w:hAnsi="宋体" w:cs="宋体"/>
          <w:bCs/>
          <w:color w:val="auto"/>
          <w:szCs w:val="21"/>
          <w:highlight w:val="none"/>
          <w:lang w:val="en-US" w:eastAsia="zh-CN"/>
        </w:rPr>
        <w:t>描述详细且可行</w:t>
      </w:r>
      <w:r>
        <w:rPr>
          <w:rFonts w:hint="eastAsia" w:ascii="宋体" w:hAnsi="宋体" w:eastAsia="宋体" w:cs="宋体"/>
          <w:bCs/>
          <w:color w:val="auto"/>
          <w:szCs w:val="21"/>
          <w:highlight w:val="none"/>
          <w:lang w:val="en-US" w:eastAsia="zh-CN"/>
        </w:rPr>
        <w:t>，对</w:t>
      </w:r>
      <w:r>
        <w:rPr>
          <w:rFonts w:hint="eastAsia" w:ascii="宋体" w:hAnsi="宋体" w:cs="宋体"/>
          <w:bCs/>
          <w:color w:val="auto"/>
          <w:szCs w:val="21"/>
          <w:highlight w:val="none"/>
          <w:lang w:val="en-US" w:eastAsia="zh-CN"/>
        </w:rPr>
        <w:t>采购项目服务保障的</w:t>
      </w:r>
      <w:r>
        <w:rPr>
          <w:rFonts w:hint="eastAsia" w:ascii="宋体" w:hAnsi="宋体" w:eastAsia="宋体" w:cs="宋体"/>
          <w:bCs/>
          <w:color w:val="auto"/>
          <w:szCs w:val="21"/>
          <w:highlight w:val="none"/>
          <w:lang w:val="en-US" w:eastAsia="zh-CN"/>
        </w:rPr>
        <w:t>需求的理解到位，方案详细具体，整体方案</w:t>
      </w:r>
      <w:r>
        <w:rPr>
          <w:rFonts w:hint="eastAsia" w:ascii="宋体" w:hAnsi="宋体" w:cs="宋体"/>
          <w:bCs/>
          <w:color w:val="auto"/>
          <w:szCs w:val="21"/>
          <w:highlight w:val="none"/>
          <w:lang w:val="en-US" w:eastAsia="zh-CN"/>
        </w:rPr>
        <w:t>具有</w:t>
      </w:r>
      <w:r>
        <w:rPr>
          <w:rFonts w:hint="eastAsia" w:ascii="宋体" w:hAnsi="宋体" w:eastAsia="宋体" w:cs="宋体"/>
          <w:bCs/>
          <w:color w:val="auto"/>
          <w:szCs w:val="21"/>
          <w:highlight w:val="none"/>
          <w:lang w:val="en-US" w:eastAsia="zh-CN"/>
        </w:rPr>
        <w:t>可行性、</w:t>
      </w:r>
      <w:r>
        <w:rPr>
          <w:rFonts w:hint="eastAsia" w:ascii="宋体" w:hAnsi="宋体" w:cs="宋体"/>
          <w:bCs/>
          <w:color w:val="auto"/>
          <w:szCs w:val="21"/>
          <w:highlight w:val="none"/>
          <w:lang w:val="en-US" w:eastAsia="zh-CN"/>
        </w:rPr>
        <w:t>有详细的</w:t>
      </w:r>
      <w:r>
        <w:rPr>
          <w:rFonts w:hint="eastAsia" w:ascii="宋体" w:hAnsi="宋体" w:eastAsia="宋体" w:cs="宋体"/>
          <w:bCs/>
          <w:color w:val="auto"/>
          <w:szCs w:val="21"/>
          <w:highlight w:val="none"/>
          <w:lang w:val="en-US" w:eastAsia="zh-CN"/>
        </w:rPr>
        <w:t>保障措施，后续维护</w:t>
      </w:r>
      <w:r>
        <w:rPr>
          <w:rFonts w:hint="eastAsia" w:ascii="宋体" w:hAnsi="宋体" w:cs="宋体"/>
          <w:bCs/>
          <w:color w:val="auto"/>
          <w:szCs w:val="21"/>
          <w:highlight w:val="none"/>
          <w:lang w:val="en-US" w:eastAsia="zh-CN"/>
        </w:rPr>
        <w:t>具有</w:t>
      </w:r>
      <w:r>
        <w:rPr>
          <w:rFonts w:hint="eastAsia" w:ascii="宋体" w:hAnsi="宋体" w:eastAsia="宋体" w:cs="宋体"/>
          <w:bCs/>
          <w:color w:val="auto"/>
          <w:szCs w:val="21"/>
          <w:highlight w:val="none"/>
          <w:lang w:val="en-US" w:eastAsia="zh-CN"/>
        </w:rPr>
        <w:t>针对性，有保障和支持体系，项目实施风险控制方法可行；针对本项目投入</w:t>
      </w:r>
      <w:r>
        <w:rPr>
          <w:rFonts w:hint="eastAsia" w:ascii="宋体" w:hAnsi="宋体" w:cs="宋体"/>
          <w:bCs/>
          <w:color w:val="auto"/>
          <w:szCs w:val="21"/>
          <w:highlight w:val="none"/>
          <w:lang w:val="en-US" w:eastAsia="zh-CN"/>
        </w:rPr>
        <w:t>常驻项目所在地的</w:t>
      </w:r>
      <w:r>
        <w:rPr>
          <w:rFonts w:hint="eastAsia" w:ascii="宋体" w:hAnsi="宋体" w:eastAsia="宋体" w:cs="宋体"/>
          <w:bCs/>
          <w:color w:val="auto"/>
          <w:szCs w:val="21"/>
          <w:highlight w:val="none"/>
          <w:lang w:val="en-US" w:eastAsia="zh-CN"/>
        </w:rPr>
        <w:t>运维保障支持团队人员数量大于10人（含），团队中具有至少2名IT服务项目经理，</w:t>
      </w:r>
      <w:r>
        <w:rPr>
          <w:rFonts w:hint="eastAsia" w:ascii="宋体" w:hAnsi="宋体" w:cs="宋体"/>
          <w:bCs/>
          <w:color w:val="auto"/>
          <w:szCs w:val="21"/>
          <w:highlight w:val="none"/>
          <w:lang w:val="en-US" w:eastAsia="zh-CN"/>
        </w:rPr>
        <w:t>2</w:t>
      </w:r>
      <w:r>
        <w:rPr>
          <w:rFonts w:hint="eastAsia" w:ascii="宋体" w:hAnsi="宋体" w:eastAsia="宋体" w:cs="宋体"/>
          <w:bCs/>
          <w:color w:val="auto"/>
          <w:szCs w:val="21"/>
          <w:highlight w:val="none"/>
          <w:lang w:val="en-US" w:eastAsia="zh-CN"/>
        </w:rPr>
        <w:t>名IT服务工程师。</w:t>
      </w:r>
    </w:p>
    <w:p>
      <w:pPr>
        <w:pStyle w:val="23"/>
        <w:rPr>
          <w:rFonts w:hint="eastAsia"/>
          <w:sz w:val="21"/>
          <w:szCs w:val="21"/>
          <w:lang w:val="en-US" w:eastAsia="zh-CN"/>
        </w:rPr>
      </w:pPr>
      <w:r>
        <w:rPr>
          <w:rFonts w:hint="eastAsia" w:ascii="宋体" w:hAnsi="宋体" w:eastAsia="宋体" w:cs="仿宋"/>
          <w:b/>
          <w:color w:val="000000"/>
          <w:sz w:val="21"/>
          <w:szCs w:val="24"/>
          <w:highlight w:val="none"/>
        </w:rPr>
        <w:t>注：以上拟投入人员需提供身份证复印件、证书</w:t>
      </w:r>
      <w:r>
        <w:rPr>
          <w:rFonts w:hint="eastAsia" w:ascii="宋体" w:hAnsi="宋体" w:cs="仿宋"/>
          <w:b/>
          <w:color w:val="000000"/>
          <w:sz w:val="21"/>
          <w:szCs w:val="24"/>
          <w:highlight w:val="none"/>
          <w:lang w:val="en-US" w:eastAsia="zh-CN"/>
        </w:rPr>
        <w:t>扫描</w:t>
      </w:r>
      <w:r>
        <w:rPr>
          <w:rFonts w:hint="eastAsia" w:ascii="宋体" w:hAnsi="宋体" w:eastAsia="宋体" w:cs="仿宋"/>
          <w:b/>
          <w:color w:val="000000"/>
          <w:sz w:val="21"/>
          <w:szCs w:val="24"/>
          <w:highlight w:val="none"/>
        </w:rPr>
        <w:t>件并加盖</w:t>
      </w:r>
      <w:r>
        <w:rPr>
          <w:rFonts w:hint="eastAsia" w:ascii="宋体" w:hAnsi="宋体" w:cs="仿宋"/>
          <w:b/>
          <w:color w:val="000000"/>
          <w:sz w:val="21"/>
          <w:szCs w:val="24"/>
          <w:highlight w:val="none"/>
          <w:lang w:val="en-US" w:eastAsia="zh-CN"/>
        </w:rPr>
        <w:t>供应商</w:t>
      </w:r>
      <w:r>
        <w:rPr>
          <w:rFonts w:hint="eastAsia" w:ascii="宋体" w:hAnsi="宋体" w:eastAsia="宋体" w:cs="仿宋"/>
          <w:b/>
          <w:color w:val="000000"/>
          <w:sz w:val="21"/>
          <w:szCs w:val="24"/>
          <w:highlight w:val="none"/>
        </w:rPr>
        <w:t>公章</w:t>
      </w:r>
      <w:r>
        <w:rPr>
          <w:rFonts w:hint="eastAsia" w:ascii="宋体" w:hAnsi="宋体" w:cs="仿宋"/>
          <w:b/>
          <w:color w:val="000000"/>
          <w:sz w:val="21"/>
          <w:szCs w:val="24"/>
          <w:highlight w:val="none"/>
          <w:lang w:eastAsia="zh-CN"/>
        </w:rPr>
        <w:t>，</w:t>
      </w:r>
      <w:r>
        <w:rPr>
          <w:rFonts w:hint="eastAsia" w:ascii="宋体" w:hAnsi="宋体" w:cs="仿宋"/>
          <w:b/>
          <w:color w:val="000000"/>
          <w:sz w:val="21"/>
          <w:szCs w:val="24"/>
          <w:highlight w:val="none"/>
          <w:lang w:val="en-US" w:eastAsia="zh-CN"/>
        </w:rPr>
        <w:t>否则不予评分</w:t>
      </w:r>
      <w:r>
        <w:rPr>
          <w:rFonts w:hint="eastAsia" w:ascii="宋体" w:hAnsi="宋体" w:eastAsia="宋体" w:cs="仿宋"/>
          <w:b/>
          <w:color w:val="000000"/>
          <w:sz w:val="21"/>
          <w:szCs w:val="24"/>
          <w:highlight w:val="none"/>
        </w:rPr>
        <w:t>。</w:t>
      </w:r>
    </w:p>
    <w:p>
      <w:pPr>
        <w:rPr>
          <w:rFonts w:hint="eastAsia"/>
          <w:lang w:val="en-US" w:eastAsia="zh-CN"/>
        </w:rPr>
      </w:pPr>
    </w:p>
    <w:p>
      <w:pPr>
        <w:keepNext w:val="0"/>
        <w:keepLines w:val="0"/>
        <w:pageBreakBefore w:val="0"/>
        <w:widowControl w:val="0"/>
        <w:shd w:val="clear" w:color="auto" w:fill="auto"/>
        <w:kinsoku/>
        <w:wordWrap/>
        <w:overflowPunct/>
        <w:topLinePunct w:val="0"/>
        <w:autoSpaceDE/>
        <w:autoSpaceDN/>
        <w:bidi w:val="0"/>
        <w:snapToGrid w:val="0"/>
        <w:spacing w:line="360" w:lineRule="auto"/>
        <w:jc w:val="both"/>
        <w:outlineLvl w:val="1"/>
        <w:rPr>
          <w:rFonts w:hint="eastAsia" w:ascii="宋体" w:hAnsi="宋体" w:eastAsia="宋体" w:cs="仿宋"/>
          <w:b/>
          <w:color w:val="auto"/>
          <w:kern w:val="2"/>
          <w:sz w:val="21"/>
          <w:szCs w:val="20"/>
          <w:highlight w:val="none"/>
          <w:lang w:val="en-US" w:eastAsia="zh-CN" w:bidi="ar-SA"/>
        </w:rPr>
      </w:pPr>
      <w:r>
        <w:rPr>
          <w:rFonts w:hint="eastAsia" w:ascii="宋体" w:hAnsi="宋体" w:eastAsia="宋体" w:cs="仿宋"/>
          <w:b/>
          <w:color w:val="auto"/>
          <w:kern w:val="2"/>
          <w:sz w:val="21"/>
          <w:szCs w:val="20"/>
          <w:highlight w:val="none"/>
          <w:lang w:val="en-US" w:eastAsia="zh-CN" w:bidi="ar-SA"/>
        </w:rPr>
        <w:t>3、信誉及业绩分……………………………………………………………………………………………</w:t>
      </w:r>
      <w:r>
        <w:rPr>
          <w:rFonts w:hint="eastAsia" w:ascii="宋体" w:hAnsi="宋体" w:cs="仿宋"/>
          <w:b/>
          <w:color w:val="auto"/>
          <w:kern w:val="2"/>
          <w:sz w:val="21"/>
          <w:szCs w:val="20"/>
          <w:highlight w:val="none"/>
          <w:lang w:val="en-US" w:eastAsia="zh-CN" w:bidi="ar-SA"/>
        </w:rPr>
        <w:t>5</w:t>
      </w:r>
      <w:r>
        <w:rPr>
          <w:rFonts w:hint="eastAsia" w:ascii="宋体" w:hAnsi="宋体" w:eastAsia="宋体" w:cs="仿宋"/>
          <w:b/>
          <w:color w:val="auto"/>
          <w:kern w:val="2"/>
          <w:sz w:val="21"/>
          <w:szCs w:val="20"/>
          <w:highlight w:val="none"/>
          <w:lang w:val="en-US" w:eastAsia="zh-CN" w:bidi="ar-SA"/>
        </w:rPr>
        <w:t>分</w:t>
      </w:r>
    </w:p>
    <w:p>
      <w:pPr>
        <w:pStyle w:val="28"/>
        <w:keepNext w:val="0"/>
        <w:keepLines w:val="0"/>
        <w:pageBreakBefore w:val="0"/>
        <w:widowControl w:val="0"/>
        <w:shd w:val="clear" w:color="auto" w:fill="auto"/>
        <w:kinsoku/>
        <w:wordWrap/>
        <w:overflowPunct/>
        <w:topLinePunct w:val="0"/>
        <w:autoSpaceDE/>
        <w:autoSpaceDN/>
        <w:bidi w:val="0"/>
        <w:adjustRightInd w:val="0"/>
        <w:snapToGrid/>
        <w:spacing w:line="360" w:lineRule="auto"/>
        <w:ind w:left="0" w:firstLine="420" w:firstLineChars="200"/>
        <w:textAlignment w:val="baseline"/>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（1）ISO27001信息安全管理体系标准认证、ISO20000信息技术服务管理体系认证的，每提供一个得1分，满分</w:t>
      </w:r>
      <w:r>
        <w:rPr>
          <w:rFonts w:hint="eastAsia" w:ascii="宋体" w:hAnsi="宋体" w:cs="宋体"/>
          <w:bCs/>
          <w:color w:val="auto"/>
          <w:szCs w:val="21"/>
          <w:highlight w:val="none"/>
          <w:lang w:val="en-US" w:eastAsia="zh-CN"/>
        </w:rPr>
        <w:t>2</w:t>
      </w:r>
      <w:r>
        <w:rPr>
          <w:rFonts w:hint="eastAsia" w:ascii="宋体" w:hAnsi="宋体" w:eastAsia="宋体" w:cs="宋体"/>
          <w:bCs/>
          <w:color w:val="auto"/>
          <w:szCs w:val="21"/>
          <w:highlight w:val="none"/>
          <w:lang w:val="en-US" w:eastAsia="zh-CN"/>
        </w:rPr>
        <w:t>分。（在</w:t>
      </w:r>
      <w:r>
        <w:rPr>
          <w:rFonts w:hint="eastAsia" w:ascii="宋体" w:hAnsi="宋体" w:cs="宋体"/>
          <w:bCs/>
          <w:color w:val="auto"/>
          <w:szCs w:val="21"/>
          <w:highlight w:val="none"/>
          <w:lang w:val="en-US" w:eastAsia="zh-CN"/>
        </w:rPr>
        <w:t>响应文件</w:t>
      </w:r>
      <w:r>
        <w:rPr>
          <w:rFonts w:hint="eastAsia" w:ascii="宋体" w:hAnsi="宋体" w:eastAsia="宋体" w:cs="宋体"/>
          <w:bCs/>
          <w:color w:val="auto"/>
          <w:szCs w:val="21"/>
          <w:highlight w:val="none"/>
          <w:lang w:val="en-US" w:eastAsia="zh-CN"/>
        </w:rPr>
        <w:t>中提供有效的证书</w:t>
      </w:r>
      <w:r>
        <w:rPr>
          <w:rFonts w:hint="eastAsia" w:ascii="宋体" w:hAnsi="宋体" w:cs="宋体"/>
          <w:bCs/>
          <w:color w:val="auto"/>
          <w:szCs w:val="21"/>
          <w:highlight w:val="none"/>
          <w:lang w:val="en-US" w:eastAsia="zh-CN"/>
        </w:rPr>
        <w:t>扫描件</w:t>
      </w:r>
      <w:r>
        <w:rPr>
          <w:rFonts w:hint="eastAsia" w:ascii="宋体" w:hAnsi="宋体" w:eastAsia="宋体" w:cs="宋体"/>
          <w:bCs/>
          <w:color w:val="auto"/>
          <w:szCs w:val="21"/>
          <w:highlight w:val="none"/>
          <w:lang w:val="en-US" w:eastAsia="zh-CN"/>
        </w:rPr>
        <w:t>加盖公章）。</w:t>
      </w:r>
    </w:p>
    <w:p>
      <w:pPr>
        <w:pStyle w:val="28"/>
        <w:keepNext w:val="0"/>
        <w:keepLines w:val="0"/>
        <w:pageBreakBefore w:val="0"/>
        <w:widowControl w:val="0"/>
        <w:shd w:val="clear" w:color="auto" w:fill="auto"/>
        <w:kinsoku/>
        <w:wordWrap/>
        <w:overflowPunct/>
        <w:topLinePunct w:val="0"/>
        <w:autoSpaceDE/>
        <w:autoSpaceDN/>
        <w:bidi w:val="0"/>
        <w:adjustRightInd w:val="0"/>
        <w:snapToGrid/>
        <w:spacing w:line="360" w:lineRule="auto"/>
        <w:ind w:left="0" w:firstLine="420" w:firstLineChars="200"/>
        <w:textAlignment w:val="baseline"/>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w:t>
      </w:r>
      <w:r>
        <w:rPr>
          <w:rFonts w:hint="eastAsia" w:ascii="宋体" w:hAnsi="宋体" w:cs="宋体"/>
          <w:bCs/>
          <w:color w:val="auto"/>
          <w:szCs w:val="21"/>
          <w:highlight w:val="none"/>
          <w:lang w:val="en-US" w:eastAsia="zh-CN"/>
        </w:rPr>
        <w:t>2</w:t>
      </w:r>
      <w:r>
        <w:rPr>
          <w:rFonts w:hint="eastAsia" w:ascii="宋体" w:hAnsi="宋体" w:eastAsia="宋体" w:cs="宋体"/>
          <w:bCs/>
          <w:color w:val="auto"/>
          <w:szCs w:val="21"/>
          <w:highlight w:val="none"/>
          <w:lang w:val="en-US" w:eastAsia="zh-CN"/>
        </w:rPr>
        <w:t>）自</w:t>
      </w:r>
      <w:r>
        <w:rPr>
          <w:rFonts w:hint="eastAsia" w:ascii="宋体" w:hAnsi="宋体" w:cs="宋体"/>
          <w:bCs/>
          <w:color w:val="auto"/>
          <w:kern w:val="0"/>
          <w:szCs w:val="21"/>
        </w:rPr>
        <w:t>202</w:t>
      </w:r>
      <w:r>
        <w:rPr>
          <w:rFonts w:hint="eastAsia" w:ascii="宋体" w:hAnsi="宋体" w:cs="宋体"/>
          <w:bCs/>
          <w:color w:val="auto"/>
          <w:kern w:val="0"/>
          <w:szCs w:val="21"/>
          <w:lang w:val="en-US" w:eastAsia="zh-CN"/>
        </w:rPr>
        <w:t>2</w:t>
      </w:r>
      <w:r>
        <w:rPr>
          <w:rFonts w:hint="eastAsia" w:ascii="宋体" w:hAnsi="宋体" w:cs="宋体"/>
          <w:bCs/>
          <w:color w:val="auto"/>
          <w:kern w:val="0"/>
          <w:szCs w:val="21"/>
        </w:rPr>
        <w:t>年1月1日</w:t>
      </w:r>
      <w:r>
        <w:rPr>
          <w:rFonts w:hint="eastAsia" w:ascii="宋体" w:hAnsi="宋体" w:eastAsia="宋体" w:cs="宋体"/>
          <w:bCs/>
          <w:color w:val="auto"/>
          <w:szCs w:val="21"/>
          <w:highlight w:val="none"/>
          <w:lang w:val="en-US" w:eastAsia="zh-CN"/>
        </w:rPr>
        <w:t>以来，</w:t>
      </w:r>
      <w:r>
        <w:rPr>
          <w:rFonts w:hint="eastAsia" w:ascii="宋体" w:hAnsi="宋体" w:cs="宋体"/>
          <w:bCs/>
          <w:color w:val="auto"/>
          <w:szCs w:val="21"/>
          <w:highlight w:val="none"/>
          <w:lang w:val="en-US" w:eastAsia="zh-CN"/>
        </w:rPr>
        <w:t>供应商</w:t>
      </w:r>
      <w:r>
        <w:rPr>
          <w:rFonts w:hint="eastAsia" w:ascii="宋体" w:hAnsi="宋体" w:eastAsia="宋体" w:cs="宋体"/>
          <w:bCs/>
          <w:color w:val="auto"/>
          <w:szCs w:val="21"/>
          <w:highlight w:val="none"/>
          <w:lang w:val="en-US" w:eastAsia="zh-CN"/>
        </w:rPr>
        <w:t>具有类似服务项目业绩（提供有效合同</w:t>
      </w:r>
      <w:r>
        <w:rPr>
          <w:rFonts w:hint="eastAsia" w:ascii="宋体" w:hAnsi="宋体" w:cs="宋体"/>
          <w:bCs/>
          <w:color w:val="auto"/>
          <w:szCs w:val="21"/>
          <w:highlight w:val="none"/>
          <w:lang w:val="en-US" w:eastAsia="zh-CN"/>
        </w:rPr>
        <w:t>扫描件</w:t>
      </w:r>
      <w:r>
        <w:rPr>
          <w:rFonts w:hint="eastAsia" w:ascii="宋体" w:hAnsi="宋体" w:eastAsia="宋体" w:cs="宋体"/>
          <w:bCs/>
          <w:color w:val="auto"/>
          <w:szCs w:val="21"/>
          <w:highlight w:val="none"/>
          <w:lang w:val="en-US" w:eastAsia="zh-CN"/>
        </w:rPr>
        <w:t>或中标/成交通知书</w:t>
      </w:r>
      <w:r>
        <w:rPr>
          <w:rFonts w:hint="eastAsia" w:ascii="宋体" w:hAnsi="宋体" w:cs="宋体"/>
          <w:bCs/>
          <w:color w:val="auto"/>
          <w:szCs w:val="21"/>
          <w:highlight w:val="none"/>
          <w:lang w:val="en-US" w:eastAsia="zh-CN"/>
        </w:rPr>
        <w:t>扫描件</w:t>
      </w:r>
      <w:r>
        <w:rPr>
          <w:rFonts w:hint="eastAsia" w:ascii="宋体" w:hAnsi="宋体" w:eastAsia="宋体" w:cs="宋体"/>
          <w:bCs/>
          <w:color w:val="auto"/>
          <w:szCs w:val="21"/>
          <w:highlight w:val="none"/>
          <w:lang w:val="en-US" w:eastAsia="zh-CN"/>
        </w:rPr>
        <w:t>并加盖供应商公章）每个得</w:t>
      </w:r>
      <w:r>
        <w:rPr>
          <w:rFonts w:hint="eastAsia" w:ascii="宋体" w:hAnsi="宋体" w:cs="宋体"/>
          <w:bCs/>
          <w:color w:val="auto"/>
          <w:szCs w:val="21"/>
          <w:highlight w:val="none"/>
          <w:lang w:val="en-US" w:eastAsia="zh-CN"/>
        </w:rPr>
        <w:t>1</w:t>
      </w:r>
      <w:r>
        <w:rPr>
          <w:rFonts w:hint="eastAsia" w:ascii="宋体" w:hAnsi="宋体" w:eastAsia="宋体" w:cs="宋体"/>
          <w:bCs/>
          <w:color w:val="auto"/>
          <w:szCs w:val="21"/>
          <w:highlight w:val="none"/>
          <w:lang w:val="en-US" w:eastAsia="zh-CN"/>
        </w:rPr>
        <w:t>分。（满分</w:t>
      </w:r>
      <w:r>
        <w:rPr>
          <w:rFonts w:hint="eastAsia" w:ascii="宋体" w:hAnsi="宋体" w:cs="宋体"/>
          <w:bCs/>
          <w:color w:val="auto"/>
          <w:szCs w:val="21"/>
          <w:highlight w:val="none"/>
          <w:lang w:val="en-US" w:eastAsia="zh-CN"/>
        </w:rPr>
        <w:t>3</w:t>
      </w:r>
      <w:r>
        <w:rPr>
          <w:rFonts w:hint="eastAsia" w:ascii="宋体" w:hAnsi="宋体" w:eastAsia="宋体" w:cs="宋体"/>
          <w:bCs/>
          <w:color w:val="auto"/>
          <w:szCs w:val="21"/>
          <w:highlight w:val="none"/>
          <w:lang w:val="en-US" w:eastAsia="zh-CN"/>
        </w:rPr>
        <w:t xml:space="preserve">分） </w:t>
      </w:r>
    </w:p>
    <w:p>
      <w:pPr>
        <w:pStyle w:val="28"/>
        <w:keepNext w:val="0"/>
        <w:keepLines w:val="0"/>
        <w:pageBreakBefore w:val="0"/>
        <w:widowControl w:val="0"/>
        <w:shd w:val="clear" w:color="auto" w:fill="auto"/>
        <w:kinsoku/>
        <w:wordWrap/>
        <w:overflowPunct/>
        <w:topLinePunct w:val="0"/>
        <w:autoSpaceDE/>
        <w:autoSpaceDN/>
        <w:bidi w:val="0"/>
        <w:adjustRightInd w:val="0"/>
        <w:snapToGrid/>
        <w:spacing w:line="360" w:lineRule="auto"/>
        <w:ind w:left="0" w:firstLine="422" w:firstLineChars="200"/>
        <w:textAlignment w:val="baseline"/>
        <w:rPr>
          <w:rFonts w:hint="eastAsia" w:ascii="宋体" w:hAnsi="宋体" w:cs="Times New Roman"/>
          <w:b/>
          <w:color w:val="auto"/>
          <w:szCs w:val="21"/>
          <w:highlight w:val="none"/>
        </w:rPr>
      </w:pPr>
      <w:r>
        <w:rPr>
          <w:rFonts w:hint="eastAsia" w:ascii="宋体" w:hAnsi="宋体" w:cs="Times New Roman"/>
          <w:b/>
          <w:color w:val="auto"/>
          <w:szCs w:val="21"/>
          <w:highlight w:val="none"/>
        </w:rPr>
        <w:t>总得分</w:t>
      </w:r>
      <w:r>
        <w:rPr>
          <w:rFonts w:ascii="宋体" w:hAnsi="宋体" w:cs="Times New Roman"/>
          <w:b/>
          <w:color w:val="auto"/>
          <w:szCs w:val="21"/>
          <w:highlight w:val="none"/>
        </w:rPr>
        <w:t xml:space="preserve">=1 + 2 + 3 </w:t>
      </w:r>
      <w:r>
        <w:rPr>
          <w:rFonts w:hint="eastAsia" w:ascii="宋体" w:hAnsi="宋体" w:cs="Times New Roman"/>
          <w:b/>
          <w:color w:val="auto"/>
          <w:szCs w:val="21"/>
          <w:highlight w:val="none"/>
        </w:rPr>
        <w:t>。</w:t>
      </w:r>
    </w:p>
    <w:p>
      <w:pPr>
        <w:keepNext w:val="0"/>
        <w:keepLines w:val="0"/>
        <w:pageBreakBefore w:val="0"/>
        <w:widowControl w:val="0"/>
        <w:kinsoku/>
        <w:wordWrap/>
        <w:overflowPunct/>
        <w:topLinePunct w:val="0"/>
        <w:autoSpaceDE/>
        <w:autoSpaceDN/>
        <w:bidi w:val="0"/>
        <w:snapToGrid w:val="0"/>
        <w:spacing w:line="360" w:lineRule="auto"/>
        <w:jc w:val="left"/>
        <w:rPr>
          <w:rFonts w:hint="eastAsia" w:ascii="宋体" w:hAnsi="宋体" w:eastAsia="宋体" w:cs="宋体"/>
          <w:color w:val="auto"/>
          <w:kern w:val="0"/>
          <w:sz w:val="21"/>
          <w:szCs w:val="21"/>
          <w:lang w:val="en-US" w:eastAsia="zh-CN" w:bidi="ar-SA"/>
        </w:rPr>
      </w:pPr>
    </w:p>
    <w:p>
      <w:pPr>
        <w:keepNext w:val="0"/>
        <w:keepLines w:val="0"/>
        <w:pageBreakBefore w:val="0"/>
        <w:widowControl w:val="0"/>
        <w:kinsoku/>
        <w:wordWrap/>
        <w:overflowPunct/>
        <w:topLinePunct w:val="0"/>
        <w:autoSpaceDE/>
        <w:autoSpaceDN/>
        <w:bidi w:val="0"/>
        <w:snapToGrid w:val="0"/>
        <w:spacing w:line="360" w:lineRule="auto"/>
        <w:jc w:val="left"/>
        <w:rPr>
          <w:rFonts w:hint="eastAsia" w:ascii="宋体" w:hAnsi="宋体" w:eastAsia="宋体" w:cs="宋体"/>
          <w:color w:val="auto"/>
          <w:kern w:val="0"/>
          <w:sz w:val="21"/>
          <w:szCs w:val="21"/>
          <w:lang w:val="en-US" w:eastAsia="zh-CN" w:bidi="ar-SA"/>
        </w:rPr>
      </w:pPr>
    </w:p>
    <w:p>
      <w:pPr>
        <w:keepNext w:val="0"/>
        <w:keepLines w:val="0"/>
        <w:pageBreakBefore w:val="0"/>
        <w:widowControl w:val="0"/>
        <w:kinsoku/>
        <w:wordWrap/>
        <w:overflowPunct/>
        <w:topLinePunct w:val="0"/>
        <w:autoSpaceDE/>
        <w:autoSpaceDN/>
        <w:bidi w:val="0"/>
        <w:snapToGrid w:val="0"/>
        <w:spacing w:line="360" w:lineRule="auto"/>
        <w:jc w:val="left"/>
        <w:rPr>
          <w:rFonts w:hint="default" w:ascii="宋体" w:hAnsi="宋体" w:eastAsia="宋体" w:cs="宋体"/>
          <w:b/>
          <w:bCs/>
          <w:color w:val="auto"/>
          <w:kern w:val="0"/>
          <w:sz w:val="24"/>
          <w:szCs w:val="24"/>
          <w:lang w:val="en-US" w:eastAsia="zh-CN" w:bidi="ar-SA"/>
        </w:rPr>
      </w:pPr>
      <w:r>
        <w:rPr>
          <w:rFonts w:hint="eastAsia" w:ascii="宋体" w:hAnsi="宋体" w:eastAsia="宋体" w:cs="宋体"/>
          <w:b/>
          <w:bCs/>
          <w:color w:val="auto"/>
          <w:kern w:val="0"/>
          <w:sz w:val="24"/>
          <w:szCs w:val="24"/>
          <w:lang w:val="en-US" w:eastAsia="zh-CN" w:bidi="ar-SA"/>
        </w:rPr>
        <w:t>分标2：</w:t>
      </w:r>
    </w:p>
    <w:p>
      <w:pPr>
        <w:keepNext w:val="0"/>
        <w:keepLines w:val="0"/>
        <w:pageBreakBefore w:val="0"/>
        <w:widowControl w:val="0"/>
        <w:shd w:val="clear" w:color="auto" w:fill="auto"/>
        <w:kinsoku/>
        <w:wordWrap/>
        <w:overflowPunct/>
        <w:topLinePunct w:val="0"/>
        <w:autoSpaceDE/>
        <w:autoSpaceDN/>
        <w:bidi w:val="0"/>
        <w:spacing w:line="36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1、价格分……………………………………………………………………………………………………</w:t>
      </w:r>
      <w:r>
        <w:rPr>
          <w:rFonts w:hint="eastAsia" w:ascii="宋体" w:hAnsi="宋体" w:eastAsia="宋体" w:cs="宋体"/>
          <w:b/>
          <w:color w:val="auto"/>
          <w:szCs w:val="21"/>
          <w:highlight w:val="none"/>
          <w:lang w:val="en-US" w:eastAsia="zh-CN"/>
        </w:rPr>
        <w:t>20</w:t>
      </w:r>
      <w:r>
        <w:rPr>
          <w:rFonts w:hint="eastAsia" w:ascii="宋体" w:hAnsi="宋体" w:eastAsia="宋体" w:cs="宋体"/>
          <w:b/>
          <w:color w:val="auto"/>
          <w:szCs w:val="21"/>
          <w:highlight w:val="none"/>
        </w:rPr>
        <w:t>分</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left="0" w:firstLine="420" w:firstLineChars="200"/>
        <w:jc w:val="both"/>
        <w:textAlignment w:val="baseline"/>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（1）</w:t>
      </w:r>
      <w:r>
        <w:rPr>
          <w:rFonts w:hint="eastAsia" w:ascii="宋体" w:hAnsi="宋体" w:cs="宋体"/>
          <w:bCs/>
          <w:color w:val="auto"/>
          <w:kern w:val="0"/>
          <w:sz w:val="21"/>
          <w:szCs w:val="21"/>
          <w:highlight w:val="none"/>
          <w:lang w:val="en-US" w:eastAsia="zh-CN" w:bidi="ar-SA"/>
        </w:rPr>
        <w:t>本分标为专门面向</w:t>
      </w:r>
      <w:r>
        <w:rPr>
          <w:rFonts w:hint="eastAsia" w:ascii="宋体" w:hAnsi="宋体" w:eastAsia="宋体" w:cs="宋体"/>
          <w:bCs/>
          <w:color w:val="auto"/>
          <w:kern w:val="0"/>
          <w:sz w:val="21"/>
          <w:szCs w:val="21"/>
          <w:highlight w:val="none"/>
          <w:lang w:val="en-US" w:eastAsia="zh-CN" w:bidi="ar-SA"/>
        </w:rPr>
        <w:t>小微企业采购的项目，按照《政府采购促进中小企业发展管理办法》（财库〔2020〕46号）的规定，对供应商最后报价不再执行价格评审优惠的扶持政策。</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left="0" w:firstLine="420" w:firstLineChars="200"/>
        <w:jc w:val="both"/>
        <w:textAlignment w:val="baseline"/>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（2）评审报价为供应商的最后报价，评审报价只是作为评审时使用。最终成交供应商的成交金额等于最后报价（如有修正，以确认修正后的最后报价为准）。</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left="0" w:firstLine="420" w:firstLineChars="200"/>
        <w:jc w:val="both"/>
        <w:textAlignment w:val="baseline"/>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（3）以进入比较与评价环节的最低的评审报价为基准价，基准价得分为20分。</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left="0" w:firstLine="420" w:firstLineChars="200"/>
        <w:jc w:val="both"/>
        <w:textAlignment w:val="baseline"/>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（4）价格分计算公式：报价得分=（基准价/评审报价）×20分。</w:t>
      </w:r>
    </w:p>
    <w:p>
      <w:pPr>
        <w:keepNext w:val="0"/>
        <w:keepLines w:val="0"/>
        <w:pageBreakBefore w:val="0"/>
        <w:widowControl w:val="0"/>
        <w:shd w:val="clear" w:color="auto" w:fill="auto"/>
        <w:kinsoku/>
        <w:wordWrap/>
        <w:overflowPunct/>
        <w:topLinePunct w:val="0"/>
        <w:autoSpaceDE/>
        <w:autoSpaceDN/>
        <w:bidi w:val="0"/>
        <w:spacing w:line="360" w:lineRule="auto"/>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b/>
          <w:color w:val="auto"/>
          <w:kern w:val="2"/>
          <w:sz w:val="21"/>
          <w:szCs w:val="21"/>
          <w:highlight w:val="none"/>
          <w:lang w:val="en-US" w:eastAsia="zh-CN" w:bidi="ar-SA"/>
        </w:rPr>
        <w:t>2、</w:t>
      </w:r>
      <w:r>
        <w:rPr>
          <w:rFonts w:hint="eastAsia" w:ascii="宋体" w:hAnsi="宋体" w:eastAsia="宋体" w:cs="宋体"/>
          <w:b/>
          <w:color w:val="auto"/>
          <w:kern w:val="2"/>
          <w:sz w:val="21"/>
          <w:szCs w:val="20"/>
          <w:highlight w:val="none"/>
          <w:lang w:val="en-US" w:eastAsia="zh-CN" w:bidi="ar-SA"/>
        </w:rPr>
        <w:t>技术</w:t>
      </w:r>
      <w:r>
        <w:rPr>
          <w:rFonts w:hint="eastAsia" w:ascii="宋体" w:hAnsi="宋体" w:eastAsia="宋体" w:cs="宋体"/>
          <w:b/>
          <w:color w:val="auto"/>
          <w:kern w:val="2"/>
          <w:sz w:val="21"/>
          <w:szCs w:val="21"/>
          <w:highlight w:val="none"/>
          <w:lang w:val="en-US" w:eastAsia="zh-CN" w:bidi="ar-SA"/>
        </w:rPr>
        <w:t>分…………………………</w:t>
      </w:r>
      <w:r>
        <w:rPr>
          <w:rFonts w:hint="eastAsia" w:ascii="宋体" w:hAnsi="宋体" w:eastAsia="宋体" w:cs="宋体"/>
          <w:b/>
          <w:color w:val="auto"/>
          <w:szCs w:val="21"/>
          <w:highlight w:val="none"/>
        </w:rPr>
        <w:t>………………………</w:t>
      </w:r>
      <w:r>
        <w:rPr>
          <w:rFonts w:hint="eastAsia" w:ascii="宋体" w:hAnsi="宋体" w:eastAsia="宋体" w:cs="宋体"/>
          <w:b/>
          <w:color w:val="auto"/>
          <w:kern w:val="2"/>
          <w:sz w:val="21"/>
          <w:szCs w:val="21"/>
          <w:highlight w:val="none"/>
          <w:lang w:val="en-US" w:eastAsia="zh-CN" w:bidi="ar-SA"/>
        </w:rPr>
        <w:t>…………………………………………………</w:t>
      </w:r>
      <w:r>
        <w:rPr>
          <w:rFonts w:hint="eastAsia" w:ascii="宋体" w:hAnsi="宋体" w:cs="宋体"/>
          <w:b/>
          <w:color w:val="auto"/>
          <w:kern w:val="2"/>
          <w:sz w:val="21"/>
          <w:szCs w:val="21"/>
          <w:highlight w:val="none"/>
          <w:lang w:val="en-US" w:eastAsia="zh-CN" w:bidi="ar-SA"/>
        </w:rPr>
        <w:t>70</w:t>
      </w:r>
      <w:r>
        <w:rPr>
          <w:rFonts w:hint="eastAsia" w:ascii="宋体" w:hAnsi="宋体" w:eastAsia="宋体" w:cs="宋体"/>
          <w:b/>
          <w:color w:val="auto"/>
          <w:kern w:val="2"/>
          <w:sz w:val="21"/>
          <w:szCs w:val="21"/>
          <w:highlight w:val="none"/>
          <w:lang w:val="en-US" w:eastAsia="zh-CN" w:bidi="ar-SA"/>
        </w:rPr>
        <w:t>分</w:t>
      </w:r>
    </w:p>
    <w:p>
      <w:pPr>
        <w:keepNext w:val="0"/>
        <w:keepLines w:val="0"/>
        <w:pageBreakBefore w:val="0"/>
        <w:widowControl w:val="0"/>
        <w:shd w:val="clear" w:color="auto" w:fill="auto"/>
        <w:tabs>
          <w:tab w:val="right" w:leader="dot" w:pos="9185"/>
        </w:tabs>
        <w:kinsoku/>
        <w:wordWrap/>
        <w:overflowPunct/>
        <w:topLinePunct w:val="0"/>
        <w:autoSpaceDE/>
        <w:autoSpaceDN/>
        <w:bidi w:val="0"/>
        <w:adjustRightInd w:val="0"/>
        <w:snapToGrid/>
        <w:spacing w:line="360" w:lineRule="auto"/>
        <w:ind w:left="0" w:firstLine="422" w:firstLineChars="200"/>
        <w:jc w:val="both"/>
        <w:textAlignment w:val="baseline"/>
        <w:rPr>
          <w:rFonts w:hint="eastAsia" w:ascii="宋体" w:hAnsi="宋体" w:eastAsia="宋体" w:cs="宋体"/>
          <w:b/>
          <w:bCs w:val="0"/>
          <w:color w:val="auto"/>
          <w:kern w:val="0"/>
          <w:sz w:val="21"/>
          <w:szCs w:val="21"/>
          <w:highlight w:val="none"/>
          <w:lang w:val="en-US" w:eastAsia="zh-CN" w:bidi="ar-SA"/>
        </w:rPr>
      </w:pPr>
      <w:r>
        <w:rPr>
          <w:rFonts w:hint="eastAsia" w:ascii="宋体" w:hAnsi="宋体" w:eastAsia="宋体" w:cs="宋体"/>
          <w:b/>
          <w:bCs w:val="0"/>
          <w:color w:val="auto"/>
          <w:kern w:val="0"/>
          <w:sz w:val="21"/>
          <w:szCs w:val="21"/>
          <w:highlight w:val="none"/>
          <w:lang w:val="en-US" w:eastAsia="zh-CN" w:bidi="ar-SA"/>
        </w:rPr>
        <w:t>（1）运维服务方案分（满分22分）</w:t>
      </w:r>
    </w:p>
    <w:p>
      <w:pPr>
        <w:keepNext w:val="0"/>
        <w:keepLines w:val="0"/>
        <w:pageBreakBefore w:val="0"/>
        <w:widowControl w:val="0"/>
        <w:shd w:val="clear" w:color="auto" w:fill="auto"/>
        <w:tabs>
          <w:tab w:val="right" w:leader="dot" w:pos="9185"/>
        </w:tabs>
        <w:kinsoku/>
        <w:wordWrap/>
        <w:overflowPunct/>
        <w:topLinePunct w:val="0"/>
        <w:autoSpaceDE/>
        <w:autoSpaceDN/>
        <w:bidi w:val="0"/>
        <w:adjustRightInd w:val="0"/>
        <w:snapToGrid/>
        <w:spacing w:line="360" w:lineRule="auto"/>
        <w:ind w:left="0" w:firstLine="420" w:firstLineChars="200"/>
        <w:jc w:val="both"/>
        <w:textAlignment w:val="baseline"/>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一档（</w:t>
      </w:r>
      <w:r>
        <w:rPr>
          <w:rFonts w:hint="eastAsia" w:ascii="宋体" w:hAnsi="宋体" w:cs="宋体"/>
          <w:bCs/>
          <w:color w:val="auto"/>
          <w:kern w:val="0"/>
          <w:sz w:val="21"/>
          <w:szCs w:val="21"/>
          <w:highlight w:val="none"/>
          <w:lang w:val="en-US" w:eastAsia="zh-CN" w:bidi="ar-SA"/>
        </w:rPr>
        <w:t>7</w:t>
      </w:r>
      <w:r>
        <w:rPr>
          <w:rFonts w:hint="eastAsia" w:ascii="宋体" w:hAnsi="宋体" w:eastAsia="宋体" w:cs="宋体"/>
          <w:bCs/>
          <w:color w:val="auto"/>
          <w:kern w:val="0"/>
          <w:sz w:val="21"/>
          <w:szCs w:val="21"/>
          <w:highlight w:val="none"/>
          <w:lang w:val="en-US" w:eastAsia="zh-CN" w:bidi="ar-SA"/>
        </w:rPr>
        <w:t>分）：方案简略，满足项目需求的；</w:t>
      </w:r>
    </w:p>
    <w:p>
      <w:pPr>
        <w:keepNext w:val="0"/>
        <w:keepLines w:val="0"/>
        <w:pageBreakBefore w:val="0"/>
        <w:widowControl w:val="0"/>
        <w:shd w:val="clear" w:color="auto" w:fill="auto"/>
        <w:tabs>
          <w:tab w:val="right" w:leader="dot" w:pos="9185"/>
        </w:tabs>
        <w:kinsoku/>
        <w:wordWrap/>
        <w:overflowPunct/>
        <w:topLinePunct w:val="0"/>
        <w:autoSpaceDE/>
        <w:autoSpaceDN/>
        <w:bidi w:val="0"/>
        <w:adjustRightInd w:val="0"/>
        <w:snapToGrid/>
        <w:spacing w:line="360" w:lineRule="auto"/>
        <w:ind w:left="0" w:firstLine="420" w:firstLineChars="200"/>
        <w:jc w:val="both"/>
        <w:textAlignment w:val="baseline"/>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二档（</w:t>
      </w:r>
      <w:r>
        <w:rPr>
          <w:rFonts w:hint="eastAsia" w:ascii="宋体" w:hAnsi="宋体" w:cs="宋体"/>
          <w:bCs/>
          <w:color w:val="auto"/>
          <w:kern w:val="0"/>
          <w:sz w:val="21"/>
          <w:szCs w:val="21"/>
          <w:highlight w:val="none"/>
          <w:lang w:val="en-US" w:eastAsia="zh-CN" w:bidi="ar-SA"/>
        </w:rPr>
        <w:t>12</w:t>
      </w:r>
      <w:r>
        <w:rPr>
          <w:rFonts w:hint="eastAsia" w:ascii="宋体" w:hAnsi="宋体" w:eastAsia="宋体" w:cs="宋体"/>
          <w:bCs/>
          <w:color w:val="auto"/>
          <w:kern w:val="0"/>
          <w:sz w:val="21"/>
          <w:szCs w:val="21"/>
          <w:highlight w:val="none"/>
          <w:lang w:val="en-US" w:eastAsia="zh-CN" w:bidi="ar-SA"/>
        </w:rPr>
        <w:t>分）：方案详细，服务工作思路清晰，能够满足项目需求的；</w:t>
      </w:r>
    </w:p>
    <w:p>
      <w:pPr>
        <w:keepNext w:val="0"/>
        <w:keepLines w:val="0"/>
        <w:pageBreakBefore w:val="0"/>
        <w:widowControl w:val="0"/>
        <w:shd w:val="clear" w:color="auto" w:fill="auto"/>
        <w:tabs>
          <w:tab w:val="right" w:leader="dot" w:pos="9185"/>
        </w:tabs>
        <w:kinsoku/>
        <w:wordWrap/>
        <w:overflowPunct/>
        <w:topLinePunct w:val="0"/>
        <w:autoSpaceDE/>
        <w:autoSpaceDN/>
        <w:bidi w:val="0"/>
        <w:adjustRightInd w:val="0"/>
        <w:snapToGrid/>
        <w:spacing w:line="360" w:lineRule="auto"/>
        <w:ind w:left="0" w:firstLine="420" w:firstLineChars="200"/>
        <w:jc w:val="both"/>
        <w:textAlignment w:val="baseline"/>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三档（</w:t>
      </w:r>
      <w:r>
        <w:rPr>
          <w:rFonts w:hint="eastAsia" w:ascii="宋体" w:hAnsi="宋体" w:cs="宋体"/>
          <w:bCs/>
          <w:color w:val="auto"/>
          <w:kern w:val="0"/>
          <w:sz w:val="21"/>
          <w:szCs w:val="21"/>
          <w:highlight w:val="none"/>
          <w:lang w:val="en-US" w:eastAsia="zh-CN" w:bidi="ar-SA"/>
        </w:rPr>
        <w:t>17</w:t>
      </w:r>
      <w:r>
        <w:rPr>
          <w:rFonts w:hint="eastAsia" w:ascii="宋体" w:hAnsi="宋体" w:eastAsia="宋体" w:cs="宋体"/>
          <w:bCs/>
          <w:color w:val="auto"/>
          <w:kern w:val="0"/>
          <w:sz w:val="21"/>
          <w:szCs w:val="21"/>
          <w:highlight w:val="none"/>
          <w:lang w:val="en-US" w:eastAsia="zh-CN" w:bidi="ar-SA"/>
        </w:rPr>
        <w:t>分）：</w:t>
      </w:r>
      <w:r>
        <w:rPr>
          <w:rFonts w:hint="eastAsia" w:ascii="宋体" w:hAnsi="宋体" w:cs="宋体"/>
          <w:bCs/>
          <w:color w:val="auto"/>
          <w:kern w:val="0"/>
          <w:sz w:val="21"/>
          <w:szCs w:val="21"/>
          <w:highlight w:val="none"/>
          <w:lang w:val="en-US" w:eastAsia="zh-CN" w:bidi="ar-SA"/>
        </w:rPr>
        <w:t>有对本项目采购需求中对运维服务要求理解的描述</w:t>
      </w:r>
      <w:r>
        <w:rPr>
          <w:rFonts w:hint="eastAsia" w:ascii="宋体" w:hAnsi="宋体" w:eastAsia="宋体" w:cs="宋体"/>
          <w:bCs/>
          <w:color w:val="auto"/>
          <w:kern w:val="0"/>
          <w:sz w:val="21"/>
          <w:szCs w:val="21"/>
          <w:highlight w:val="none"/>
          <w:lang w:val="en-US" w:eastAsia="zh-CN" w:bidi="ar-SA"/>
        </w:rPr>
        <w:t>，</w:t>
      </w:r>
      <w:r>
        <w:rPr>
          <w:rFonts w:hint="eastAsia" w:ascii="宋体" w:hAnsi="宋体" w:cs="宋体"/>
          <w:bCs/>
          <w:color w:val="auto"/>
          <w:kern w:val="0"/>
          <w:sz w:val="21"/>
          <w:szCs w:val="21"/>
          <w:highlight w:val="none"/>
          <w:lang w:val="en-US" w:eastAsia="zh-CN" w:bidi="ar-SA"/>
        </w:rPr>
        <w:t>提供了</w:t>
      </w:r>
      <w:r>
        <w:rPr>
          <w:rFonts w:hint="eastAsia" w:ascii="宋体" w:hAnsi="宋体" w:eastAsia="宋体" w:cs="宋体"/>
          <w:bCs/>
          <w:color w:val="auto"/>
          <w:kern w:val="0"/>
          <w:sz w:val="21"/>
          <w:szCs w:val="21"/>
          <w:highlight w:val="none"/>
          <w:lang w:val="en-US" w:eastAsia="zh-CN" w:bidi="ar-SA"/>
        </w:rPr>
        <w:t>服务工作思路，方案详细、满足项目需求。</w:t>
      </w:r>
    </w:p>
    <w:p>
      <w:pPr>
        <w:keepNext w:val="0"/>
        <w:keepLines w:val="0"/>
        <w:pageBreakBefore w:val="0"/>
        <w:widowControl w:val="0"/>
        <w:shd w:val="clear" w:color="auto" w:fill="auto"/>
        <w:tabs>
          <w:tab w:val="right" w:leader="dot" w:pos="9185"/>
        </w:tabs>
        <w:kinsoku/>
        <w:wordWrap/>
        <w:overflowPunct/>
        <w:topLinePunct w:val="0"/>
        <w:autoSpaceDE/>
        <w:autoSpaceDN/>
        <w:bidi w:val="0"/>
        <w:adjustRightInd w:val="0"/>
        <w:snapToGrid/>
        <w:spacing w:line="360" w:lineRule="auto"/>
        <w:ind w:left="0" w:firstLine="420" w:firstLineChars="200"/>
        <w:jc w:val="both"/>
        <w:textAlignment w:val="baseline"/>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四档（22分）：有对本项目采购需求中对运维服务要求理解的</w:t>
      </w:r>
      <w:r>
        <w:rPr>
          <w:rFonts w:hint="eastAsia" w:ascii="宋体" w:hAnsi="宋体" w:cs="宋体"/>
          <w:bCs/>
          <w:color w:val="auto"/>
          <w:kern w:val="0"/>
          <w:sz w:val="21"/>
          <w:szCs w:val="21"/>
          <w:highlight w:val="none"/>
          <w:lang w:val="en-US" w:eastAsia="zh-CN" w:bidi="ar-SA"/>
        </w:rPr>
        <w:t>详细</w:t>
      </w:r>
      <w:r>
        <w:rPr>
          <w:rFonts w:hint="eastAsia" w:ascii="宋体" w:hAnsi="宋体" w:eastAsia="宋体" w:cs="宋体"/>
          <w:bCs/>
          <w:color w:val="auto"/>
          <w:kern w:val="0"/>
          <w:sz w:val="21"/>
          <w:szCs w:val="21"/>
          <w:highlight w:val="none"/>
          <w:lang w:val="en-US" w:eastAsia="zh-CN" w:bidi="ar-SA"/>
        </w:rPr>
        <w:t>描述，提供的服务方案可行，内容详细、具有预见性及可操作性，服务工作思路</w:t>
      </w:r>
      <w:r>
        <w:rPr>
          <w:rFonts w:hint="eastAsia" w:ascii="宋体" w:hAnsi="宋体" w:cs="宋体"/>
          <w:bCs/>
          <w:color w:val="auto"/>
          <w:kern w:val="0"/>
          <w:sz w:val="21"/>
          <w:szCs w:val="21"/>
          <w:highlight w:val="none"/>
          <w:lang w:val="en-US" w:eastAsia="zh-CN" w:bidi="ar-SA"/>
        </w:rPr>
        <w:t>详细</w:t>
      </w:r>
      <w:r>
        <w:rPr>
          <w:rFonts w:hint="eastAsia" w:ascii="宋体" w:hAnsi="宋体" w:eastAsia="宋体" w:cs="宋体"/>
          <w:bCs/>
          <w:color w:val="auto"/>
          <w:kern w:val="0"/>
          <w:sz w:val="21"/>
          <w:szCs w:val="21"/>
          <w:highlight w:val="none"/>
          <w:lang w:val="en-US" w:eastAsia="zh-CN" w:bidi="ar-SA"/>
        </w:rPr>
        <w:t>，提供的运维服务方案能够满足项目的需要且考虑到项目实际情况的。</w:t>
      </w:r>
    </w:p>
    <w:p>
      <w:pPr>
        <w:keepNext w:val="0"/>
        <w:keepLines w:val="0"/>
        <w:pageBreakBefore w:val="0"/>
        <w:widowControl w:val="0"/>
        <w:shd w:val="clear" w:color="auto" w:fill="auto"/>
        <w:tabs>
          <w:tab w:val="right" w:leader="dot" w:pos="9185"/>
        </w:tabs>
        <w:kinsoku/>
        <w:wordWrap/>
        <w:overflowPunct/>
        <w:topLinePunct w:val="0"/>
        <w:autoSpaceDE/>
        <w:autoSpaceDN/>
        <w:bidi w:val="0"/>
        <w:adjustRightInd w:val="0"/>
        <w:snapToGrid/>
        <w:spacing w:line="360" w:lineRule="auto"/>
        <w:ind w:left="0" w:firstLine="422" w:firstLineChars="200"/>
        <w:jc w:val="both"/>
        <w:textAlignment w:val="baseline"/>
        <w:rPr>
          <w:rFonts w:hint="eastAsia" w:ascii="宋体" w:hAnsi="宋体" w:eastAsia="宋体" w:cs="宋体"/>
          <w:b/>
          <w:bCs w:val="0"/>
          <w:color w:val="auto"/>
          <w:kern w:val="0"/>
          <w:sz w:val="21"/>
          <w:szCs w:val="21"/>
          <w:highlight w:val="none"/>
          <w:lang w:val="en-US" w:eastAsia="zh-CN" w:bidi="ar-SA"/>
        </w:rPr>
      </w:pPr>
      <w:r>
        <w:rPr>
          <w:rFonts w:hint="eastAsia" w:ascii="宋体" w:hAnsi="宋体" w:eastAsia="宋体" w:cs="宋体"/>
          <w:b/>
          <w:bCs w:val="0"/>
          <w:color w:val="auto"/>
          <w:kern w:val="0"/>
          <w:sz w:val="21"/>
          <w:szCs w:val="21"/>
          <w:highlight w:val="none"/>
          <w:lang w:val="en-US" w:eastAsia="zh-CN" w:bidi="ar-SA"/>
        </w:rPr>
        <w:t>（2）</w:t>
      </w:r>
      <w:bookmarkStart w:id="159" w:name="OLE_LINK90"/>
      <w:r>
        <w:rPr>
          <w:rFonts w:hint="eastAsia" w:ascii="宋体" w:hAnsi="宋体" w:eastAsia="宋体" w:cs="宋体"/>
          <w:b/>
          <w:bCs w:val="0"/>
          <w:color w:val="auto"/>
          <w:kern w:val="0"/>
          <w:sz w:val="21"/>
          <w:szCs w:val="21"/>
          <w:highlight w:val="none"/>
          <w:lang w:val="en-US" w:eastAsia="zh-CN" w:bidi="ar-SA"/>
        </w:rPr>
        <w:t>服务能力保障分</w:t>
      </w:r>
      <w:bookmarkEnd w:id="159"/>
      <w:r>
        <w:rPr>
          <w:rFonts w:hint="eastAsia" w:ascii="宋体" w:hAnsi="宋体" w:eastAsia="宋体" w:cs="宋体"/>
          <w:b/>
          <w:bCs w:val="0"/>
          <w:color w:val="auto"/>
          <w:kern w:val="0"/>
          <w:sz w:val="21"/>
          <w:szCs w:val="21"/>
          <w:highlight w:val="none"/>
          <w:lang w:val="en-US" w:eastAsia="zh-CN" w:bidi="ar-SA"/>
        </w:rPr>
        <w:t>（满分24分）</w:t>
      </w:r>
    </w:p>
    <w:p>
      <w:pPr>
        <w:keepNext w:val="0"/>
        <w:keepLines w:val="0"/>
        <w:pageBreakBefore w:val="0"/>
        <w:widowControl w:val="0"/>
        <w:shd w:val="clear" w:color="auto" w:fill="auto"/>
        <w:tabs>
          <w:tab w:val="right" w:leader="dot" w:pos="9185"/>
        </w:tabs>
        <w:kinsoku/>
        <w:wordWrap/>
        <w:overflowPunct/>
        <w:topLinePunct w:val="0"/>
        <w:autoSpaceDE/>
        <w:autoSpaceDN/>
        <w:bidi w:val="0"/>
        <w:adjustRightInd w:val="0"/>
        <w:snapToGrid/>
        <w:spacing w:line="360" w:lineRule="auto"/>
        <w:ind w:left="0" w:firstLine="420" w:firstLineChars="200"/>
        <w:jc w:val="both"/>
        <w:textAlignment w:val="baseline"/>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一档（</w:t>
      </w:r>
      <w:r>
        <w:rPr>
          <w:rFonts w:hint="eastAsia" w:ascii="宋体" w:hAnsi="宋体" w:cs="宋体"/>
          <w:bCs/>
          <w:color w:val="auto"/>
          <w:kern w:val="0"/>
          <w:sz w:val="21"/>
          <w:szCs w:val="21"/>
          <w:highlight w:val="none"/>
          <w:lang w:val="en-US" w:eastAsia="zh-CN" w:bidi="ar-SA"/>
        </w:rPr>
        <w:t>14</w:t>
      </w:r>
      <w:r>
        <w:rPr>
          <w:rFonts w:hint="eastAsia" w:ascii="宋体" w:hAnsi="宋体" w:eastAsia="宋体" w:cs="宋体"/>
          <w:bCs/>
          <w:color w:val="auto"/>
          <w:kern w:val="0"/>
          <w:sz w:val="21"/>
          <w:szCs w:val="21"/>
          <w:highlight w:val="none"/>
          <w:lang w:val="en-US" w:eastAsia="zh-CN" w:bidi="ar-SA"/>
        </w:rPr>
        <w:t>分）：供应商拟派的服务小组成员数量不低于2人（含2人），至少配备1名安全认证工程师，1名</w:t>
      </w:r>
      <w:r>
        <w:rPr>
          <w:rFonts w:hint="eastAsia" w:ascii="宋体" w:hAnsi="宋体" w:cs="宋体"/>
          <w:bCs/>
          <w:color w:val="auto"/>
          <w:kern w:val="0"/>
          <w:sz w:val="21"/>
          <w:szCs w:val="21"/>
          <w:highlight w:val="none"/>
          <w:lang w:val="en-US" w:eastAsia="zh-CN" w:bidi="ar-SA"/>
        </w:rPr>
        <w:t>具有</w:t>
      </w:r>
      <w:r>
        <w:rPr>
          <w:rFonts w:hint="eastAsia" w:ascii="宋体" w:hAnsi="宋体" w:eastAsia="宋体" w:cs="宋体"/>
          <w:bCs/>
          <w:color w:val="auto"/>
          <w:kern w:val="0"/>
          <w:sz w:val="21"/>
          <w:szCs w:val="21"/>
          <w:highlight w:val="none"/>
          <w:lang w:val="en-US" w:eastAsia="zh-CN" w:bidi="ar-SA"/>
        </w:rPr>
        <w:t>高级网络专家认证</w:t>
      </w:r>
      <w:r>
        <w:rPr>
          <w:rFonts w:hint="eastAsia" w:ascii="宋体" w:hAnsi="宋体" w:cs="宋体"/>
          <w:bCs/>
          <w:color w:val="auto"/>
          <w:kern w:val="0"/>
          <w:sz w:val="21"/>
          <w:szCs w:val="21"/>
          <w:highlight w:val="none"/>
          <w:lang w:val="en-US" w:eastAsia="zh-CN" w:bidi="ar-SA"/>
        </w:rPr>
        <w:t>的技术人员</w:t>
      </w:r>
      <w:r>
        <w:rPr>
          <w:rFonts w:hint="eastAsia" w:ascii="宋体" w:hAnsi="宋体" w:eastAsia="宋体" w:cs="宋体"/>
          <w:bCs/>
          <w:color w:val="auto"/>
          <w:kern w:val="0"/>
          <w:sz w:val="21"/>
          <w:szCs w:val="21"/>
          <w:highlight w:val="none"/>
          <w:lang w:val="en-US" w:eastAsia="zh-CN" w:bidi="ar-SA"/>
        </w:rPr>
        <w:t>。</w:t>
      </w:r>
    </w:p>
    <w:p>
      <w:pPr>
        <w:keepNext w:val="0"/>
        <w:keepLines w:val="0"/>
        <w:pageBreakBefore w:val="0"/>
        <w:widowControl w:val="0"/>
        <w:shd w:val="clear" w:color="auto" w:fill="auto"/>
        <w:tabs>
          <w:tab w:val="right" w:leader="dot" w:pos="9185"/>
        </w:tabs>
        <w:kinsoku/>
        <w:wordWrap/>
        <w:overflowPunct/>
        <w:topLinePunct w:val="0"/>
        <w:autoSpaceDE/>
        <w:autoSpaceDN/>
        <w:bidi w:val="0"/>
        <w:adjustRightInd w:val="0"/>
        <w:snapToGrid/>
        <w:spacing w:line="360" w:lineRule="auto"/>
        <w:ind w:left="0" w:firstLine="420" w:firstLineChars="200"/>
        <w:jc w:val="both"/>
        <w:textAlignment w:val="baseline"/>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二档（1</w:t>
      </w:r>
      <w:r>
        <w:rPr>
          <w:rFonts w:hint="eastAsia" w:ascii="宋体" w:hAnsi="宋体" w:cs="宋体"/>
          <w:bCs/>
          <w:color w:val="auto"/>
          <w:kern w:val="0"/>
          <w:sz w:val="21"/>
          <w:szCs w:val="21"/>
          <w:highlight w:val="none"/>
          <w:lang w:val="en-US" w:eastAsia="zh-CN" w:bidi="ar-SA"/>
        </w:rPr>
        <w:t>9</w:t>
      </w:r>
      <w:r>
        <w:rPr>
          <w:rFonts w:hint="eastAsia" w:ascii="宋体" w:hAnsi="宋体" w:eastAsia="宋体" w:cs="宋体"/>
          <w:bCs/>
          <w:color w:val="auto"/>
          <w:kern w:val="0"/>
          <w:sz w:val="21"/>
          <w:szCs w:val="21"/>
          <w:highlight w:val="none"/>
          <w:lang w:val="en-US" w:eastAsia="zh-CN" w:bidi="ar-SA"/>
        </w:rPr>
        <w:t>分）：供应商拟派的服务小组成员数量不低于3人（含3人），至少配备1名安全认证工程师，1名</w:t>
      </w:r>
      <w:r>
        <w:rPr>
          <w:rFonts w:hint="eastAsia" w:ascii="宋体" w:hAnsi="宋体" w:cs="宋体"/>
          <w:bCs/>
          <w:color w:val="auto"/>
          <w:kern w:val="0"/>
          <w:sz w:val="21"/>
          <w:szCs w:val="21"/>
          <w:highlight w:val="none"/>
          <w:lang w:val="en-US" w:eastAsia="zh-CN" w:bidi="ar-SA"/>
        </w:rPr>
        <w:t>具有</w:t>
      </w:r>
      <w:r>
        <w:rPr>
          <w:rFonts w:hint="eastAsia" w:ascii="宋体" w:hAnsi="宋体" w:eastAsia="宋体" w:cs="宋体"/>
          <w:bCs/>
          <w:color w:val="auto"/>
          <w:kern w:val="0"/>
          <w:sz w:val="21"/>
          <w:szCs w:val="21"/>
          <w:highlight w:val="none"/>
          <w:lang w:val="en-US" w:eastAsia="zh-CN" w:bidi="ar-SA"/>
        </w:rPr>
        <w:t>高级网络专家认证</w:t>
      </w:r>
      <w:r>
        <w:rPr>
          <w:rFonts w:hint="eastAsia" w:ascii="宋体" w:hAnsi="宋体" w:cs="宋体"/>
          <w:bCs/>
          <w:color w:val="auto"/>
          <w:kern w:val="0"/>
          <w:sz w:val="21"/>
          <w:szCs w:val="21"/>
          <w:highlight w:val="none"/>
          <w:lang w:val="en-US" w:eastAsia="zh-CN" w:bidi="ar-SA"/>
        </w:rPr>
        <w:t>的技术人员</w:t>
      </w:r>
      <w:r>
        <w:rPr>
          <w:rFonts w:hint="eastAsia" w:ascii="宋体" w:hAnsi="宋体" w:eastAsia="宋体" w:cs="宋体"/>
          <w:bCs/>
          <w:color w:val="auto"/>
          <w:kern w:val="0"/>
          <w:sz w:val="21"/>
          <w:szCs w:val="21"/>
          <w:highlight w:val="none"/>
          <w:lang w:val="en-US" w:eastAsia="zh-CN" w:bidi="ar-SA"/>
        </w:rPr>
        <w:t>，1名深信服厂家认证工程师。</w:t>
      </w:r>
    </w:p>
    <w:p>
      <w:pPr>
        <w:keepNext w:val="0"/>
        <w:keepLines w:val="0"/>
        <w:pageBreakBefore w:val="0"/>
        <w:widowControl w:val="0"/>
        <w:shd w:val="clear" w:color="auto" w:fill="auto"/>
        <w:tabs>
          <w:tab w:val="right" w:leader="dot" w:pos="9185"/>
        </w:tabs>
        <w:kinsoku/>
        <w:wordWrap/>
        <w:overflowPunct/>
        <w:topLinePunct w:val="0"/>
        <w:autoSpaceDE/>
        <w:autoSpaceDN/>
        <w:bidi w:val="0"/>
        <w:adjustRightInd w:val="0"/>
        <w:snapToGrid/>
        <w:spacing w:line="360" w:lineRule="auto"/>
        <w:ind w:left="0" w:firstLine="420" w:firstLineChars="200"/>
        <w:jc w:val="both"/>
        <w:textAlignment w:val="baseline"/>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三档（24分）：供应商拟派的服务小组成员数量不低于4人（含4人），至少配备2名安全认证工程师，1名</w:t>
      </w:r>
      <w:r>
        <w:rPr>
          <w:rFonts w:hint="eastAsia" w:ascii="宋体" w:hAnsi="宋体" w:cs="宋体"/>
          <w:bCs/>
          <w:color w:val="auto"/>
          <w:kern w:val="0"/>
          <w:sz w:val="21"/>
          <w:szCs w:val="21"/>
          <w:highlight w:val="none"/>
          <w:lang w:val="en-US" w:eastAsia="zh-CN" w:bidi="ar-SA"/>
        </w:rPr>
        <w:t>具有</w:t>
      </w:r>
      <w:r>
        <w:rPr>
          <w:rFonts w:hint="eastAsia" w:ascii="宋体" w:hAnsi="宋体" w:eastAsia="宋体" w:cs="宋体"/>
          <w:bCs/>
          <w:color w:val="auto"/>
          <w:kern w:val="0"/>
          <w:sz w:val="21"/>
          <w:szCs w:val="21"/>
          <w:highlight w:val="none"/>
          <w:lang w:val="en-US" w:eastAsia="zh-CN" w:bidi="ar-SA"/>
        </w:rPr>
        <w:t>高级网络专家认证</w:t>
      </w:r>
      <w:r>
        <w:rPr>
          <w:rFonts w:hint="eastAsia" w:ascii="宋体" w:hAnsi="宋体" w:cs="宋体"/>
          <w:bCs/>
          <w:color w:val="auto"/>
          <w:kern w:val="0"/>
          <w:sz w:val="21"/>
          <w:szCs w:val="21"/>
          <w:highlight w:val="none"/>
          <w:lang w:val="en-US" w:eastAsia="zh-CN" w:bidi="ar-SA"/>
        </w:rPr>
        <w:t>的技术人员</w:t>
      </w:r>
      <w:r>
        <w:rPr>
          <w:rFonts w:hint="eastAsia" w:ascii="宋体" w:hAnsi="宋体" w:eastAsia="宋体" w:cs="宋体"/>
          <w:bCs/>
          <w:color w:val="auto"/>
          <w:kern w:val="0"/>
          <w:sz w:val="21"/>
          <w:szCs w:val="21"/>
          <w:highlight w:val="none"/>
          <w:lang w:val="en-US" w:eastAsia="zh-CN" w:bidi="ar-SA"/>
        </w:rPr>
        <w:t>，1名深信服厂家认证工程师。</w:t>
      </w:r>
    </w:p>
    <w:p>
      <w:pPr>
        <w:keepNext w:val="0"/>
        <w:keepLines w:val="0"/>
        <w:pageBreakBefore w:val="0"/>
        <w:widowControl w:val="0"/>
        <w:shd w:val="clear" w:color="auto" w:fill="auto"/>
        <w:tabs>
          <w:tab w:val="right" w:leader="dot" w:pos="9185"/>
        </w:tabs>
        <w:kinsoku/>
        <w:wordWrap/>
        <w:overflowPunct/>
        <w:topLinePunct w:val="0"/>
        <w:autoSpaceDE/>
        <w:autoSpaceDN/>
        <w:bidi w:val="0"/>
        <w:adjustRightInd w:val="0"/>
        <w:snapToGrid/>
        <w:spacing w:line="360" w:lineRule="auto"/>
        <w:ind w:left="0" w:firstLine="420" w:firstLineChars="200"/>
        <w:jc w:val="both"/>
        <w:textAlignment w:val="baseline"/>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注：上述评分中，供应商须提供拟投入人员清单及投入人员的相关认证证书，以及人员与</w:t>
      </w:r>
      <w:r>
        <w:rPr>
          <w:rFonts w:hint="eastAsia" w:ascii="宋体" w:hAnsi="宋体" w:cs="宋体"/>
          <w:bCs/>
          <w:color w:val="auto"/>
          <w:kern w:val="0"/>
          <w:sz w:val="21"/>
          <w:szCs w:val="21"/>
          <w:highlight w:val="none"/>
          <w:lang w:val="en-US" w:eastAsia="zh-CN" w:bidi="ar-SA"/>
        </w:rPr>
        <w:t>供应商</w:t>
      </w:r>
      <w:r>
        <w:rPr>
          <w:rFonts w:hint="eastAsia" w:ascii="宋体" w:hAnsi="宋体" w:eastAsia="宋体" w:cs="宋体"/>
          <w:bCs/>
          <w:color w:val="auto"/>
          <w:kern w:val="0"/>
          <w:sz w:val="21"/>
          <w:szCs w:val="21"/>
          <w:highlight w:val="none"/>
          <w:lang w:val="en-US" w:eastAsia="zh-CN" w:bidi="ar-SA"/>
        </w:rPr>
        <w:t>签署的劳动合同（截止本项目开标当天合同仍在有效期内）</w:t>
      </w:r>
      <w:r>
        <w:rPr>
          <w:rFonts w:hint="eastAsia" w:ascii="宋体" w:hAnsi="宋体" w:cs="宋体"/>
          <w:bCs/>
          <w:color w:val="auto"/>
          <w:kern w:val="0"/>
          <w:sz w:val="21"/>
          <w:szCs w:val="21"/>
          <w:highlight w:val="none"/>
          <w:lang w:val="en-US" w:eastAsia="zh-CN" w:bidi="ar-SA"/>
        </w:rPr>
        <w:t>扫描件</w:t>
      </w:r>
      <w:r>
        <w:rPr>
          <w:rFonts w:hint="eastAsia" w:ascii="宋体" w:hAnsi="宋体" w:eastAsia="宋体" w:cs="宋体"/>
          <w:bCs/>
          <w:color w:val="auto"/>
          <w:kern w:val="0"/>
          <w:sz w:val="21"/>
          <w:szCs w:val="21"/>
          <w:highlight w:val="none"/>
          <w:lang w:val="en-US" w:eastAsia="zh-CN" w:bidi="ar-SA"/>
        </w:rPr>
        <w:t>。</w:t>
      </w:r>
    </w:p>
    <w:p>
      <w:pPr>
        <w:keepNext w:val="0"/>
        <w:keepLines w:val="0"/>
        <w:pageBreakBefore w:val="0"/>
        <w:widowControl w:val="0"/>
        <w:shd w:val="clear" w:color="auto" w:fill="auto"/>
        <w:tabs>
          <w:tab w:val="right" w:leader="dot" w:pos="9185"/>
        </w:tabs>
        <w:kinsoku/>
        <w:wordWrap/>
        <w:overflowPunct/>
        <w:topLinePunct w:val="0"/>
        <w:autoSpaceDE/>
        <w:autoSpaceDN/>
        <w:bidi w:val="0"/>
        <w:adjustRightInd w:val="0"/>
        <w:snapToGrid/>
        <w:spacing w:line="360" w:lineRule="auto"/>
        <w:ind w:left="0" w:firstLine="422" w:firstLineChars="200"/>
        <w:jc w:val="both"/>
        <w:textAlignment w:val="baseline"/>
        <w:rPr>
          <w:rFonts w:hint="eastAsia" w:ascii="宋体" w:hAnsi="宋体" w:eastAsia="宋体" w:cs="宋体"/>
          <w:b/>
          <w:bCs w:val="0"/>
          <w:color w:val="auto"/>
          <w:kern w:val="0"/>
          <w:sz w:val="21"/>
          <w:szCs w:val="21"/>
          <w:highlight w:val="none"/>
          <w:lang w:val="en-US" w:eastAsia="zh-CN" w:bidi="ar-SA"/>
        </w:rPr>
      </w:pPr>
      <w:r>
        <w:rPr>
          <w:rFonts w:hint="eastAsia" w:ascii="宋体" w:hAnsi="宋体" w:eastAsia="宋体" w:cs="宋体"/>
          <w:b/>
          <w:bCs w:val="0"/>
          <w:color w:val="auto"/>
          <w:kern w:val="0"/>
          <w:sz w:val="21"/>
          <w:szCs w:val="21"/>
          <w:highlight w:val="none"/>
          <w:lang w:val="en-US" w:eastAsia="zh-CN" w:bidi="ar-SA"/>
        </w:rPr>
        <w:t>（3）售后服务方案分（满分</w:t>
      </w:r>
      <w:r>
        <w:rPr>
          <w:rFonts w:hint="eastAsia" w:ascii="宋体" w:hAnsi="宋体" w:cs="宋体"/>
          <w:b/>
          <w:bCs w:val="0"/>
          <w:color w:val="auto"/>
          <w:kern w:val="0"/>
          <w:sz w:val="21"/>
          <w:szCs w:val="21"/>
          <w:highlight w:val="none"/>
          <w:lang w:val="en-US" w:eastAsia="zh-CN" w:bidi="ar-SA"/>
        </w:rPr>
        <w:t>24</w:t>
      </w:r>
      <w:r>
        <w:rPr>
          <w:rFonts w:hint="eastAsia" w:ascii="宋体" w:hAnsi="宋体" w:eastAsia="宋体" w:cs="宋体"/>
          <w:b/>
          <w:bCs w:val="0"/>
          <w:color w:val="auto"/>
          <w:kern w:val="0"/>
          <w:sz w:val="21"/>
          <w:szCs w:val="21"/>
          <w:highlight w:val="none"/>
          <w:lang w:val="en-US" w:eastAsia="zh-CN" w:bidi="ar-SA"/>
        </w:rPr>
        <w:t>分）</w:t>
      </w:r>
    </w:p>
    <w:p>
      <w:pPr>
        <w:keepNext w:val="0"/>
        <w:keepLines w:val="0"/>
        <w:pageBreakBefore w:val="0"/>
        <w:widowControl w:val="0"/>
        <w:shd w:val="clear" w:color="auto" w:fill="auto"/>
        <w:tabs>
          <w:tab w:val="right" w:leader="dot" w:pos="9185"/>
        </w:tabs>
        <w:kinsoku/>
        <w:wordWrap/>
        <w:overflowPunct/>
        <w:topLinePunct w:val="0"/>
        <w:autoSpaceDE/>
        <w:autoSpaceDN/>
        <w:bidi w:val="0"/>
        <w:adjustRightInd w:val="0"/>
        <w:snapToGrid/>
        <w:spacing w:line="360" w:lineRule="auto"/>
        <w:ind w:left="0" w:firstLine="420" w:firstLineChars="200"/>
        <w:jc w:val="both"/>
        <w:textAlignment w:val="baseline"/>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一档（</w:t>
      </w:r>
      <w:r>
        <w:rPr>
          <w:rFonts w:hint="eastAsia" w:ascii="宋体" w:hAnsi="宋体" w:cs="宋体"/>
          <w:bCs/>
          <w:color w:val="auto"/>
          <w:kern w:val="0"/>
          <w:sz w:val="21"/>
          <w:szCs w:val="21"/>
          <w:highlight w:val="none"/>
          <w:lang w:val="en-US" w:eastAsia="zh-CN" w:bidi="ar-SA"/>
        </w:rPr>
        <w:t>14</w:t>
      </w:r>
      <w:r>
        <w:rPr>
          <w:rFonts w:hint="eastAsia" w:ascii="宋体" w:hAnsi="宋体" w:eastAsia="宋体" w:cs="宋体"/>
          <w:bCs/>
          <w:color w:val="auto"/>
          <w:kern w:val="0"/>
          <w:sz w:val="21"/>
          <w:szCs w:val="21"/>
          <w:highlight w:val="none"/>
          <w:lang w:val="en-US" w:eastAsia="zh-CN" w:bidi="ar-SA"/>
        </w:rPr>
        <w:t>分）：售后服务方案满足</w:t>
      </w:r>
      <w:r>
        <w:rPr>
          <w:rFonts w:hint="eastAsia" w:ascii="宋体" w:hAnsi="宋体" w:cs="宋体"/>
          <w:bCs/>
          <w:color w:val="auto"/>
          <w:kern w:val="0"/>
          <w:sz w:val="21"/>
          <w:szCs w:val="21"/>
          <w:highlight w:val="none"/>
          <w:lang w:val="en-US" w:eastAsia="zh-CN" w:bidi="ar-SA"/>
        </w:rPr>
        <w:t>采购</w:t>
      </w:r>
      <w:r>
        <w:rPr>
          <w:rFonts w:hint="eastAsia" w:ascii="宋体" w:hAnsi="宋体" w:eastAsia="宋体" w:cs="宋体"/>
          <w:bCs/>
          <w:color w:val="auto"/>
          <w:kern w:val="0"/>
          <w:sz w:val="21"/>
          <w:szCs w:val="21"/>
          <w:highlight w:val="none"/>
          <w:lang w:val="en-US" w:eastAsia="zh-CN" w:bidi="ar-SA"/>
        </w:rPr>
        <w:t>文件要求。</w:t>
      </w:r>
    </w:p>
    <w:p>
      <w:pPr>
        <w:keepNext w:val="0"/>
        <w:keepLines w:val="0"/>
        <w:pageBreakBefore w:val="0"/>
        <w:widowControl w:val="0"/>
        <w:shd w:val="clear" w:color="auto" w:fill="auto"/>
        <w:tabs>
          <w:tab w:val="right" w:leader="dot" w:pos="9185"/>
        </w:tabs>
        <w:kinsoku/>
        <w:wordWrap/>
        <w:overflowPunct/>
        <w:topLinePunct w:val="0"/>
        <w:autoSpaceDE/>
        <w:autoSpaceDN/>
        <w:bidi w:val="0"/>
        <w:adjustRightInd w:val="0"/>
        <w:snapToGrid/>
        <w:spacing w:line="360" w:lineRule="auto"/>
        <w:ind w:left="0" w:firstLine="420" w:firstLineChars="200"/>
        <w:jc w:val="both"/>
        <w:textAlignment w:val="baseline"/>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二档（</w:t>
      </w:r>
      <w:r>
        <w:rPr>
          <w:rFonts w:hint="eastAsia" w:ascii="宋体" w:hAnsi="宋体" w:cs="宋体"/>
          <w:bCs/>
          <w:color w:val="auto"/>
          <w:kern w:val="0"/>
          <w:sz w:val="21"/>
          <w:szCs w:val="21"/>
          <w:highlight w:val="none"/>
          <w:lang w:val="en-US" w:eastAsia="zh-CN" w:bidi="ar-SA"/>
        </w:rPr>
        <w:t>19</w:t>
      </w:r>
      <w:r>
        <w:rPr>
          <w:rFonts w:hint="eastAsia" w:ascii="宋体" w:hAnsi="宋体" w:eastAsia="宋体" w:cs="宋体"/>
          <w:bCs/>
          <w:color w:val="auto"/>
          <w:kern w:val="0"/>
          <w:sz w:val="21"/>
          <w:szCs w:val="21"/>
          <w:highlight w:val="none"/>
          <w:lang w:val="en-US" w:eastAsia="zh-CN" w:bidi="ar-SA"/>
        </w:rPr>
        <w:t>分）：</w:t>
      </w:r>
      <w:r>
        <w:rPr>
          <w:rFonts w:hint="eastAsia" w:ascii="Times New Roman" w:hAnsi="Times New Roman" w:eastAsia="宋体" w:cs="Times New Roman"/>
          <w:bCs/>
          <w:color w:val="auto"/>
          <w:kern w:val="0"/>
          <w:sz w:val="21"/>
          <w:szCs w:val="21"/>
          <w:highlight w:val="none"/>
          <w:lang w:val="en-US" w:eastAsia="zh-CN" w:bidi="ar-SA"/>
        </w:rPr>
        <w:t>售后服务</w:t>
      </w:r>
      <w:r>
        <w:rPr>
          <w:rFonts w:hint="eastAsia" w:ascii="宋体" w:hAnsi="宋体" w:eastAsia="宋体" w:cs="宋体"/>
          <w:bCs/>
          <w:color w:val="auto"/>
          <w:kern w:val="0"/>
          <w:sz w:val="21"/>
          <w:szCs w:val="21"/>
          <w:highlight w:val="none"/>
          <w:lang w:val="en-US" w:eastAsia="zh-CN" w:bidi="ar-SA"/>
        </w:rPr>
        <w:t>方案满足</w:t>
      </w:r>
      <w:r>
        <w:rPr>
          <w:rFonts w:hint="eastAsia" w:ascii="宋体" w:hAnsi="宋体" w:cs="宋体"/>
          <w:bCs/>
          <w:color w:val="auto"/>
          <w:kern w:val="0"/>
          <w:sz w:val="21"/>
          <w:szCs w:val="21"/>
          <w:highlight w:val="none"/>
          <w:lang w:val="en-US" w:eastAsia="zh-CN" w:bidi="ar-SA"/>
        </w:rPr>
        <w:t>采购</w:t>
      </w:r>
      <w:r>
        <w:rPr>
          <w:rFonts w:hint="eastAsia" w:ascii="宋体" w:hAnsi="宋体" w:eastAsia="宋体" w:cs="宋体"/>
          <w:bCs/>
          <w:color w:val="auto"/>
          <w:kern w:val="0"/>
          <w:sz w:val="21"/>
          <w:szCs w:val="21"/>
          <w:highlight w:val="none"/>
          <w:lang w:val="en-US" w:eastAsia="zh-CN" w:bidi="ar-SA"/>
        </w:rPr>
        <w:t>要求，且有针对性续保服务、应急演练服务解决方案；针对本项目信息化设备、</w:t>
      </w:r>
      <w:r>
        <w:rPr>
          <w:rFonts w:hint="eastAsia" w:ascii="Times New Roman" w:hAnsi="Times New Roman" w:eastAsia="宋体" w:cs="Times New Roman"/>
          <w:bCs/>
          <w:color w:val="auto"/>
          <w:kern w:val="0"/>
          <w:sz w:val="21"/>
          <w:szCs w:val="21"/>
          <w:highlight w:val="none"/>
          <w:lang w:val="en-US" w:eastAsia="zh-CN" w:bidi="ar-SA"/>
        </w:rPr>
        <w:t>系统</w:t>
      </w:r>
      <w:r>
        <w:rPr>
          <w:rFonts w:hint="eastAsia" w:ascii="宋体" w:hAnsi="宋体" w:eastAsia="宋体" w:cs="宋体"/>
          <w:bCs/>
          <w:color w:val="auto"/>
          <w:kern w:val="0"/>
          <w:sz w:val="21"/>
          <w:szCs w:val="21"/>
          <w:highlight w:val="none"/>
          <w:lang w:val="en-US" w:eastAsia="zh-CN" w:bidi="ar-SA"/>
        </w:rPr>
        <w:t>运行维护服务有深信服、迪普、科来等主要设备原厂升级服务承诺函。</w:t>
      </w:r>
    </w:p>
    <w:p>
      <w:pPr>
        <w:keepNext w:val="0"/>
        <w:keepLines w:val="0"/>
        <w:pageBreakBefore w:val="0"/>
        <w:widowControl w:val="0"/>
        <w:shd w:val="clear" w:color="auto" w:fill="auto"/>
        <w:tabs>
          <w:tab w:val="right" w:leader="dot" w:pos="9185"/>
        </w:tabs>
        <w:kinsoku/>
        <w:wordWrap/>
        <w:overflowPunct/>
        <w:topLinePunct w:val="0"/>
        <w:autoSpaceDE/>
        <w:autoSpaceDN/>
        <w:bidi w:val="0"/>
        <w:adjustRightInd w:val="0"/>
        <w:snapToGrid/>
        <w:spacing w:line="360" w:lineRule="auto"/>
        <w:ind w:left="0" w:firstLine="420" w:firstLineChars="200"/>
        <w:jc w:val="both"/>
        <w:textAlignment w:val="baseline"/>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三档（2</w:t>
      </w:r>
      <w:r>
        <w:rPr>
          <w:rFonts w:hint="eastAsia" w:ascii="宋体" w:hAnsi="宋体" w:cs="宋体"/>
          <w:bCs/>
          <w:color w:val="auto"/>
          <w:kern w:val="0"/>
          <w:sz w:val="21"/>
          <w:szCs w:val="21"/>
          <w:highlight w:val="none"/>
          <w:lang w:val="en-US" w:eastAsia="zh-CN" w:bidi="ar-SA"/>
        </w:rPr>
        <w:t>4</w:t>
      </w:r>
      <w:r>
        <w:rPr>
          <w:rFonts w:hint="eastAsia" w:ascii="宋体" w:hAnsi="宋体" w:eastAsia="宋体" w:cs="宋体"/>
          <w:bCs/>
          <w:color w:val="auto"/>
          <w:kern w:val="0"/>
          <w:sz w:val="21"/>
          <w:szCs w:val="21"/>
          <w:highlight w:val="none"/>
          <w:lang w:val="en-US" w:eastAsia="zh-CN" w:bidi="ar-SA"/>
        </w:rPr>
        <w:t xml:space="preserve"> 分）：在满足二档要求基础上，续保服务、应急演练服务解决方案详细</w:t>
      </w:r>
      <w:r>
        <w:rPr>
          <w:rFonts w:hint="eastAsia" w:ascii="宋体" w:hAnsi="宋体" w:cs="宋体"/>
          <w:bCs/>
          <w:color w:val="auto"/>
          <w:kern w:val="0"/>
          <w:sz w:val="21"/>
          <w:szCs w:val="21"/>
          <w:highlight w:val="none"/>
          <w:lang w:val="en-US" w:eastAsia="zh-CN" w:bidi="ar-SA"/>
        </w:rPr>
        <w:t>可行</w:t>
      </w:r>
      <w:r>
        <w:rPr>
          <w:rFonts w:hint="eastAsia" w:ascii="宋体" w:hAnsi="宋体" w:eastAsia="宋体" w:cs="宋体"/>
          <w:bCs/>
          <w:color w:val="auto"/>
          <w:kern w:val="0"/>
          <w:sz w:val="21"/>
          <w:szCs w:val="21"/>
          <w:highlight w:val="none"/>
          <w:lang w:val="en-US" w:eastAsia="zh-CN" w:bidi="ar-SA"/>
        </w:rPr>
        <w:t>，涉及服务响应时间、故障出现</w:t>
      </w:r>
      <w:r>
        <w:rPr>
          <w:rFonts w:hint="eastAsia" w:ascii="Times New Roman" w:hAnsi="Times New Roman" w:eastAsia="宋体" w:cs="Times New Roman"/>
          <w:bCs/>
          <w:color w:val="auto"/>
          <w:kern w:val="0"/>
          <w:sz w:val="21"/>
          <w:szCs w:val="21"/>
          <w:highlight w:val="none"/>
          <w:lang w:val="en-US" w:eastAsia="zh-CN" w:bidi="ar-SA"/>
        </w:rPr>
        <w:t>解决</w:t>
      </w:r>
      <w:r>
        <w:rPr>
          <w:rFonts w:hint="eastAsia" w:ascii="宋体" w:hAnsi="宋体" w:eastAsia="宋体" w:cs="宋体"/>
          <w:bCs/>
          <w:color w:val="auto"/>
          <w:kern w:val="0"/>
          <w:sz w:val="21"/>
          <w:szCs w:val="21"/>
          <w:highlight w:val="none"/>
          <w:lang w:val="en-US" w:eastAsia="zh-CN" w:bidi="ar-SA"/>
        </w:rPr>
        <w:t>方案、定期维护、本地化售后服务措施方面。</w:t>
      </w:r>
    </w:p>
    <w:p>
      <w:pPr>
        <w:keepNext w:val="0"/>
        <w:keepLines w:val="0"/>
        <w:pageBreakBefore w:val="0"/>
        <w:widowControl w:val="0"/>
        <w:shd w:val="clear" w:color="auto" w:fill="auto"/>
        <w:kinsoku/>
        <w:wordWrap/>
        <w:overflowPunct/>
        <w:topLinePunct w:val="0"/>
        <w:autoSpaceDE/>
        <w:autoSpaceDN/>
        <w:bidi w:val="0"/>
        <w:spacing w:line="360" w:lineRule="auto"/>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3、信誉分及业绩分…………………</w:t>
      </w:r>
      <w:r>
        <w:rPr>
          <w:rFonts w:hint="eastAsia" w:ascii="宋体" w:hAnsi="宋体" w:eastAsia="宋体" w:cs="宋体"/>
          <w:b/>
          <w:color w:val="auto"/>
          <w:szCs w:val="21"/>
          <w:highlight w:val="none"/>
        </w:rPr>
        <w:t>……………………</w:t>
      </w:r>
      <w:r>
        <w:rPr>
          <w:rFonts w:hint="eastAsia" w:ascii="宋体" w:hAnsi="宋体" w:eastAsia="宋体" w:cs="宋体"/>
          <w:b/>
          <w:color w:val="auto"/>
          <w:szCs w:val="21"/>
          <w:highlight w:val="none"/>
          <w:lang w:val="en-US" w:eastAsia="zh-CN"/>
        </w:rPr>
        <w:t>…………………………………………………</w:t>
      </w:r>
      <w:r>
        <w:rPr>
          <w:rFonts w:hint="eastAsia" w:ascii="宋体" w:hAnsi="宋体" w:cs="宋体"/>
          <w:b/>
          <w:color w:val="auto"/>
          <w:szCs w:val="21"/>
          <w:highlight w:val="none"/>
          <w:lang w:val="en-US" w:eastAsia="zh-CN"/>
        </w:rPr>
        <w:t>10</w:t>
      </w:r>
      <w:r>
        <w:rPr>
          <w:rFonts w:hint="eastAsia" w:ascii="宋体" w:hAnsi="宋体" w:eastAsia="宋体" w:cs="宋体"/>
          <w:b/>
          <w:color w:val="auto"/>
          <w:szCs w:val="21"/>
          <w:highlight w:val="none"/>
          <w:lang w:val="en-US" w:eastAsia="zh-CN"/>
        </w:rPr>
        <w:t>分</w:t>
      </w:r>
    </w:p>
    <w:p>
      <w:pPr>
        <w:keepNext w:val="0"/>
        <w:keepLines w:val="0"/>
        <w:pageBreakBefore w:val="0"/>
        <w:widowControl w:val="0"/>
        <w:shd w:val="clear" w:color="auto" w:fill="auto"/>
        <w:tabs>
          <w:tab w:val="right" w:leader="dot" w:pos="9185"/>
        </w:tabs>
        <w:kinsoku/>
        <w:wordWrap/>
        <w:overflowPunct/>
        <w:topLinePunct w:val="0"/>
        <w:autoSpaceDE/>
        <w:autoSpaceDN/>
        <w:bidi w:val="0"/>
        <w:adjustRightInd w:val="0"/>
        <w:snapToGrid/>
        <w:spacing w:line="360" w:lineRule="auto"/>
        <w:ind w:left="0" w:firstLine="420" w:firstLineChars="200"/>
        <w:jc w:val="both"/>
        <w:textAlignment w:val="baseline"/>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w:t>
      </w:r>
      <w:r>
        <w:rPr>
          <w:rFonts w:hint="eastAsia" w:ascii="宋体" w:hAnsi="宋体" w:cs="宋体"/>
          <w:bCs/>
          <w:color w:val="auto"/>
          <w:kern w:val="0"/>
          <w:sz w:val="21"/>
          <w:szCs w:val="21"/>
          <w:highlight w:val="none"/>
          <w:lang w:val="en-US" w:eastAsia="zh-CN" w:bidi="ar-SA"/>
        </w:rPr>
        <w:t>1</w:t>
      </w:r>
      <w:r>
        <w:rPr>
          <w:rFonts w:hint="eastAsia" w:ascii="宋体" w:hAnsi="宋体" w:eastAsia="宋体" w:cs="宋体"/>
          <w:bCs/>
          <w:color w:val="auto"/>
          <w:kern w:val="0"/>
          <w:sz w:val="21"/>
          <w:szCs w:val="21"/>
          <w:highlight w:val="none"/>
          <w:lang w:val="en-US" w:eastAsia="zh-CN" w:bidi="ar-SA"/>
        </w:rPr>
        <w:t>）</w:t>
      </w:r>
      <w:r>
        <w:rPr>
          <w:rFonts w:hint="eastAsia" w:ascii="Times New Roman" w:hAnsi="Times New Roman" w:eastAsia="宋体" w:cs="Times New Roman"/>
          <w:bCs/>
          <w:color w:val="auto"/>
          <w:kern w:val="0"/>
          <w:sz w:val="21"/>
          <w:szCs w:val="21"/>
          <w:highlight w:val="none"/>
          <w:lang w:val="en-US" w:eastAsia="zh-CN" w:bidi="ar-SA"/>
        </w:rPr>
        <w:t>供应商具备</w:t>
      </w:r>
      <w:r>
        <w:rPr>
          <w:rFonts w:hint="eastAsia" w:ascii="宋体" w:hAnsi="宋体" w:eastAsia="宋体" w:cs="宋体"/>
          <w:bCs/>
          <w:color w:val="auto"/>
          <w:kern w:val="0"/>
          <w:sz w:val="21"/>
          <w:szCs w:val="21"/>
          <w:highlight w:val="none"/>
          <w:lang w:val="en-US" w:eastAsia="zh-CN" w:bidi="ar-SA"/>
        </w:rPr>
        <w:t>的ISO9001体系认证的</w:t>
      </w:r>
      <w:r>
        <w:rPr>
          <w:rFonts w:hint="eastAsia" w:ascii="宋体" w:hAnsi="宋体" w:cs="宋体"/>
          <w:bCs/>
          <w:color w:val="auto"/>
          <w:kern w:val="0"/>
          <w:sz w:val="21"/>
          <w:szCs w:val="21"/>
          <w:highlight w:val="none"/>
          <w:lang w:val="en-US" w:eastAsia="zh-CN" w:bidi="ar-SA"/>
        </w:rPr>
        <w:t>，</w:t>
      </w:r>
      <w:r>
        <w:rPr>
          <w:rFonts w:hint="eastAsia" w:ascii="宋体" w:hAnsi="宋体" w:eastAsia="宋体" w:cs="宋体"/>
          <w:bCs/>
          <w:color w:val="auto"/>
          <w:kern w:val="0"/>
          <w:sz w:val="21"/>
          <w:szCs w:val="21"/>
          <w:highlight w:val="none"/>
          <w:lang w:val="en-US" w:eastAsia="zh-CN" w:bidi="ar-SA"/>
        </w:rPr>
        <w:t>得2分。（提供有效证书</w:t>
      </w:r>
      <w:r>
        <w:rPr>
          <w:rFonts w:hint="eastAsia" w:ascii="宋体" w:hAnsi="宋体" w:cs="宋体"/>
          <w:bCs/>
          <w:color w:val="auto"/>
          <w:kern w:val="0"/>
          <w:sz w:val="21"/>
          <w:szCs w:val="21"/>
          <w:highlight w:val="none"/>
          <w:lang w:val="en-US" w:eastAsia="zh-CN" w:bidi="ar-SA"/>
        </w:rPr>
        <w:t>扫描件</w:t>
      </w:r>
      <w:r>
        <w:rPr>
          <w:rFonts w:hint="eastAsia" w:ascii="宋体" w:hAnsi="宋体" w:eastAsia="宋体" w:cs="宋体"/>
          <w:bCs/>
          <w:color w:val="auto"/>
          <w:kern w:val="0"/>
          <w:sz w:val="21"/>
          <w:szCs w:val="21"/>
          <w:highlight w:val="none"/>
          <w:lang w:val="en-US" w:eastAsia="zh-CN" w:bidi="ar-SA"/>
        </w:rPr>
        <w:t>）</w:t>
      </w:r>
    </w:p>
    <w:p>
      <w:pPr>
        <w:keepNext w:val="0"/>
        <w:keepLines w:val="0"/>
        <w:pageBreakBefore w:val="0"/>
        <w:widowControl w:val="0"/>
        <w:shd w:val="clear" w:color="auto" w:fill="auto"/>
        <w:tabs>
          <w:tab w:val="right" w:leader="dot" w:pos="9185"/>
        </w:tabs>
        <w:kinsoku/>
        <w:wordWrap/>
        <w:overflowPunct/>
        <w:topLinePunct w:val="0"/>
        <w:autoSpaceDE/>
        <w:autoSpaceDN/>
        <w:bidi w:val="0"/>
        <w:adjustRightInd w:val="0"/>
        <w:snapToGrid/>
        <w:spacing w:line="360" w:lineRule="auto"/>
        <w:ind w:left="0" w:firstLine="420" w:firstLineChars="200"/>
        <w:jc w:val="both"/>
        <w:textAlignment w:val="baseline"/>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w:t>
      </w:r>
      <w:r>
        <w:rPr>
          <w:rFonts w:hint="eastAsia" w:ascii="宋体" w:hAnsi="宋体" w:cs="宋体"/>
          <w:bCs/>
          <w:color w:val="auto"/>
          <w:kern w:val="0"/>
          <w:sz w:val="21"/>
          <w:szCs w:val="21"/>
          <w:highlight w:val="none"/>
          <w:lang w:val="en-US" w:eastAsia="zh-CN" w:bidi="ar-SA"/>
        </w:rPr>
        <w:t>2</w:t>
      </w:r>
      <w:r>
        <w:rPr>
          <w:rFonts w:hint="eastAsia" w:ascii="宋体" w:hAnsi="宋体" w:eastAsia="宋体" w:cs="宋体"/>
          <w:bCs/>
          <w:color w:val="auto"/>
          <w:kern w:val="0"/>
          <w:sz w:val="21"/>
          <w:szCs w:val="21"/>
          <w:highlight w:val="none"/>
          <w:lang w:val="en-US" w:eastAsia="zh-CN" w:bidi="ar-SA"/>
        </w:rPr>
        <w:t>）供应商自</w:t>
      </w:r>
      <w:r>
        <w:rPr>
          <w:rFonts w:hint="eastAsia" w:ascii="宋体" w:hAnsi="宋体" w:cs="宋体"/>
          <w:bCs/>
          <w:color w:val="auto"/>
          <w:kern w:val="0"/>
          <w:szCs w:val="21"/>
        </w:rPr>
        <w:t>202</w:t>
      </w:r>
      <w:r>
        <w:rPr>
          <w:rFonts w:hint="eastAsia" w:ascii="宋体" w:hAnsi="宋体" w:cs="宋体"/>
          <w:bCs/>
          <w:color w:val="auto"/>
          <w:kern w:val="0"/>
          <w:szCs w:val="21"/>
          <w:lang w:val="en-US" w:eastAsia="zh-CN"/>
        </w:rPr>
        <w:t>2</w:t>
      </w:r>
      <w:r>
        <w:rPr>
          <w:rFonts w:hint="eastAsia" w:ascii="宋体" w:hAnsi="宋体" w:cs="宋体"/>
          <w:bCs/>
          <w:color w:val="auto"/>
          <w:kern w:val="0"/>
          <w:szCs w:val="21"/>
        </w:rPr>
        <w:t>年1月1日以来</w:t>
      </w:r>
      <w:r>
        <w:rPr>
          <w:rFonts w:hint="eastAsia" w:ascii="宋体" w:hAnsi="宋体" w:eastAsia="宋体" w:cs="宋体"/>
          <w:bCs/>
          <w:color w:val="auto"/>
          <w:kern w:val="0"/>
          <w:sz w:val="21"/>
          <w:szCs w:val="21"/>
          <w:highlight w:val="none"/>
          <w:lang w:val="en-US" w:eastAsia="zh-CN" w:bidi="ar-SA"/>
        </w:rPr>
        <w:t>具有类似IT系统维护案例（以合同或中标/成交通知书</w:t>
      </w:r>
      <w:r>
        <w:rPr>
          <w:rFonts w:hint="eastAsia" w:ascii="宋体" w:hAnsi="宋体" w:cs="宋体"/>
          <w:bCs/>
          <w:color w:val="auto"/>
          <w:kern w:val="0"/>
          <w:sz w:val="21"/>
          <w:szCs w:val="21"/>
          <w:highlight w:val="none"/>
          <w:lang w:val="en-US" w:eastAsia="zh-CN" w:bidi="ar-SA"/>
        </w:rPr>
        <w:t>扫描件</w:t>
      </w:r>
      <w:r>
        <w:rPr>
          <w:rFonts w:hint="eastAsia" w:ascii="宋体" w:hAnsi="宋体" w:eastAsia="宋体" w:cs="宋体"/>
          <w:bCs/>
          <w:color w:val="auto"/>
          <w:kern w:val="0"/>
          <w:sz w:val="21"/>
          <w:szCs w:val="21"/>
          <w:highlight w:val="none"/>
          <w:lang w:val="en-US" w:eastAsia="zh-CN" w:bidi="ar-SA"/>
        </w:rPr>
        <w:t>为准），每个得2分，满分8分。</w:t>
      </w:r>
    </w:p>
    <w:p>
      <w:pPr>
        <w:keepNext w:val="0"/>
        <w:keepLines w:val="0"/>
        <w:pageBreakBefore w:val="0"/>
        <w:widowControl w:val="0"/>
        <w:shd w:val="clear" w:color="auto" w:fill="auto"/>
        <w:tabs>
          <w:tab w:val="right" w:leader="dot" w:pos="9185"/>
        </w:tabs>
        <w:kinsoku/>
        <w:wordWrap/>
        <w:overflowPunct/>
        <w:topLinePunct w:val="0"/>
        <w:autoSpaceDE/>
        <w:autoSpaceDN/>
        <w:bidi w:val="0"/>
        <w:adjustRightInd w:val="0"/>
        <w:snapToGrid/>
        <w:spacing w:line="360" w:lineRule="auto"/>
        <w:ind w:left="0" w:firstLine="422" w:firstLineChars="200"/>
        <w:jc w:val="both"/>
        <w:textAlignment w:val="baseline"/>
        <w:rPr>
          <w:rFonts w:hint="eastAsia" w:ascii="宋体" w:hAnsi="宋体" w:eastAsia="宋体" w:cs="Times New Roman"/>
          <w:b/>
          <w:color w:val="auto"/>
          <w:kern w:val="0"/>
          <w:sz w:val="21"/>
          <w:szCs w:val="21"/>
          <w:highlight w:val="none"/>
          <w:lang w:val="en-US" w:eastAsia="zh-CN" w:bidi="ar-SA"/>
        </w:rPr>
      </w:pPr>
      <w:r>
        <w:rPr>
          <w:rFonts w:hint="eastAsia" w:ascii="宋体" w:hAnsi="宋体" w:eastAsia="宋体" w:cs="宋体"/>
          <w:b/>
          <w:color w:val="auto"/>
          <w:kern w:val="0"/>
          <w:sz w:val="21"/>
          <w:szCs w:val="21"/>
          <w:highlight w:val="none"/>
          <w:lang w:val="en-US" w:eastAsia="zh-CN" w:bidi="ar-SA"/>
        </w:rPr>
        <w:t>总得分=1 + 2 + 3 。</w:t>
      </w:r>
    </w:p>
    <w:p>
      <w:pPr>
        <w:keepNext w:val="0"/>
        <w:keepLines w:val="0"/>
        <w:pageBreakBefore w:val="0"/>
        <w:widowControl w:val="0"/>
        <w:kinsoku/>
        <w:wordWrap/>
        <w:overflowPunct/>
        <w:topLinePunct w:val="0"/>
        <w:autoSpaceDE/>
        <w:autoSpaceDN/>
        <w:bidi w:val="0"/>
        <w:snapToGrid w:val="0"/>
        <w:spacing w:line="360" w:lineRule="auto"/>
        <w:jc w:val="left"/>
        <w:rPr>
          <w:rFonts w:hint="eastAsia" w:ascii="宋体" w:hAnsi="宋体" w:eastAsia="宋体" w:cs="宋体"/>
          <w:color w:val="auto"/>
          <w:kern w:val="0"/>
          <w:sz w:val="21"/>
          <w:szCs w:val="21"/>
          <w:lang w:val="en-US" w:eastAsia="zh-CN" w:bidi="ar-SA"/>
        </w:rPr>
      </w:pPr>
    </w:p>
    <w:p>
      <w:pPr>
        <w:keepNext w:val="0"/>
        <w:keepLines w:val="0"/>
        <w:pageBreakBefore w:val="0"/>
        <w:widowControl w:val="0"/>
        <w:kinsoku/>
        <w:wordWrap/>
        <w:overflowPunct/>
        <w:topLinePunct w:val="0"/>
        <w:autoSpaceDE/>
        <w:autoSpaceDN/>
        <w:bidi w:val="0"/>
        <w:snapToGrid w:val="0"/>
        <w:spacing w:line="360" w:lineRule="auto"/>
        <w:jc w:val="left"/>
        <w:rPr>
          <w:rFonts w:hint="eastAsia" w:ascii="宋体" w:hAnsi="宋体" w:eastAsia="宋体" w:cs="宋体"/>
          <w:color w:val="auto"/>
          <w:kern w:val="0"/>
          <w:sz w:val="21"/>
          <w:szCs w:val="21"/>
          <w:lang w:val="en-US" w:eastAsia="zh-CN" w:bidi="ar-SA"/>
        </w:rPr>
      </w:pPr>
    </w:p>
    <w:p>
      <w:pPr>
        <w:keepNext w:val="0"/>
        <w:keepLines w:val="0"/>
        <w:pageBreakBefore w:val="0"/>
        <w:widowControl w:val="0"/>
        <w:kinsoku/>
        <w:wordWrap/>
        <w:overflowPunct/>
        <w:topLinePunct w:val="0"/>
        <w:autoSpaceDE/>
        <w:autoSpaceDN/>
        <w:bidi w:val="0"/>
        <w:snapToGrid w:val="0"/>
        <w:spacing w:line="360" w:lineRule="auto"/>
        <w:jc w:val="left"/>
        <w:rPr>
          <w:rFonts w:hint="default" w:ascii="宋体" w:hAnsi="宋体" w:eastAsia="宋体" w:cs="宋体"/>
          <w:b/>
          <w:bCs/>
          <w:color w:val="auto"/>
          <w:kern w:val="0"/>
          <w:sz w:val="24"/>
          <w:szCs w:val="24"/>
          <w:lang w:val="en-US" w:eastAsia="zh-CN" w:bidi="ar-SA"/>
        </w:rPr>
      </w:pPr>
      <w:r>
        <w:rPr>
          <w:rFonts w:hint="eastAsia" w:ascii="宋体" w:hAnsi="宋体" w:eastAsia="宋体" w:cs="宋体"/>
          <w:b/>
          <w:bCs/>
          <w:color w:val="auto"/>
          <w:kern w:val="0"/>
          <w:sz w:val="24"/>
          <w:szCs w:val="24"/>
          <w:lang w:val="en-US" w:eastAsia="zh-CN" w:bidi="ar-SA"/>
        </w:rPr>
        <w:t>分标3：</w:t>
      </w:r>
    </w:p>
    <w:p>
      <w:pPr>
        <w:keepNext w:val="0"/>
        <w:keepLines w:val="0"/>
        <w:pageBreakBefore w:val="0"/>
        <w:widowControl w:val="0"/>
        <w:kinsoku/>
        <w:wordWrap/>
        <w:overflowPunct/>
        <w:topLinePunct w:val="0"/>
        <w:autoSpaceDE/>
        <w:autoSpaceDN/>
        <w:bidi w:val="0"/>
        <w:spacing w:line="360" w:lineRule="auto"/>
        <w:rPr>
          <w:rFonts w:hint="default" w:ascii="Calibri" w:hAnsi="Calibri" w:eastAsia="宋体" w:cs="Times New Roman"/>
          <w:b/>
          <w:bCs/>
          <w:color w:val="auto"/>
          <w:highlight w:val="none"/>
          <w:lang w:val="en-US" w:eastAsia="zh-CN"/>
        </w:rPr>
      </w:pPr>
      <w:r>
        <w:rPr>
          <w:rFonts w:hint="eastAsia" w:ascii="Calibri" w:hAnsi="Calibri" w:eastAsia="宋体" w:cs="Times New Roman"/>
          <w:b/>
          <w:bCs/>
          <w:color w:val="auto"/>
          <w:highlight w:val="none"/>
          <w:lang w:val="en-US" w:eastAsia="zh-CN"/>
        </w:rPr>
        <w:t>1、价格分……………………………………………………………………………………（20分）</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left="0" w:firstLine="420" w:firstLineChars="200"/>
        <w:jc w:val="both"/>
        <w:textAlignment w:val="baseline"/>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（1）</w:t>
      </w:r>
      <w:r>
        <w:rPr>
          <w:rFonts w:hint="eastAsia" w:ascii="宋体" w:hAnsi="宋体" w:cs="宋体"/>
          <w:bCs/>
          <w:color w:val="auto"/>
          <w:kern w:val="0"/>
          <w:sz w:val="21"/>
          <w:szCs w:val="21"/>
          <w:highlight w:val="none"/>
          <w:lang w:val="en-US" w:eastAsia="zh-CN" w:bidi="ar-SA"/>
        </w:rPr>
        <w:t>本分标为专门面向</w:t>
      </w:r>
      <w:r>
        <w:rPr>
          <w:rFonts w:hint="eastAsia" w:ascii="宋体" w:hAnsi="宋体" w:eastAsia="宋体" w:cs="宋体"/>
          <w:bCs/>
          <w:color w:val="auto"/>
          <w:kern w:val="0"/>
          <w:sz w:val="21"/>
          <w:szCs w:val="21"/>
          <w:highlight w:val="none"/>
          <w:lang w:val="en-US" w:eastAsia="zh-CN" w:bidi="ar-SA"/>
        </w:rPr>
        <w:t>小微企业采购的项目，按照《政府采购促进中小企业发展管理办法》（财库〔2020〕46号）的规定，对供应商最后报价不再执行价格评审优惠的扶持政策。</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left="0" w:firstLine="420" w:firstLineChars="200"/>
        <w:jc w:val="both"/>
        <w:textAlignment w:val="baseline"/>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（2）评审报价为供应商的最后报价，评审报价只是作为评审时使用。最终成交供应商的成交金额等于最后报价（如有修正，以确认修正后的最后报价为准）。</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left="0" w:firstLine="420" w:firstLineChars="200"/>
        <w:jc w:val="both"/>
        <w:textAlignment w:val="baseline"/>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（3）以进入比较与评价环节的最低的评审报价为基准价，基准价得分为20分。</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left="0" w:firstLine="420" w:firstLineChars="200"/>
        <w:jc w:val="both"/>
        <w:textAlignment w:val="baseline"/>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（4）价格分计算公式：报价得分=（基准价/评审报价）×20分。</w:t>
      </w:r>
    </w:p>
    <w:p>
      <w:pPr>
        <w:keepNext w:val="0"/>
        <w:keepLines w:val="0"/>
        <w:pageBreakBefore w:val="0"/>
        <w:widowControl w:val="0"/>
        <w:kinsoku/>
        <w:wordWrap/>
        <w:overflowPunct/>
        <w:topLinePunct w:val="0"/>
        <w:autoSpaceDE/>
        <w:autoSpaceDN/>
        <w:bidi w:val="0"/>
        <w:spacing w:line="360" w:lineRule="auto"/>
        <w:rPr>
          <w:rFonts w:hint="eastAsia" w:ascii="Calibri" w:hAnsi="Calibri" w:eastAsia="宋体" w:cs="Times New Roman"/>
          <w:b/>
          <w:bCs/>
          <w:color w:val="auto"/>
          <w:highlight w:val="none"/>
        </w:rPr>
      </w:pPr>
      <w:r>
        <w:rPr>
          <w:rFonts w:hint="eastAsia" w:ascii="Calibri" w:hAnsi="Calibri" w:cs="Times New Roman"/>
          <w:b/>
          <w:bCs/>
          <w:color w:val="auto"/>
          <w:highlight w:val="none"/>
          <w:lang w:val="en-US" w:eastAsia="zh-CN"/>
        </w:rPr>
        <w:t>2</w:t>
      </w:r>
      <w:r>
        <w:rPr>
          <w:rFonts w:hint="eastAsia" w:ascii="Calibri" w:hAnsi="Calibri" w:eastAsia="宋体" w:cs="Times New Roman"/>
          <w:b/>
          <w:bCs/>
          <w:color w:val="auto"/>
          <w:highlight w:val="none"/>
        </w:rPr>
        <w:t>、全流量回溯分析服务分……………………………………………………………………</w:t>
      </w:r>
      <w:r>
        <w:rPr>
          <w:rFonts w:hint="eastAsia" w:ascii="Calibri" w:hAnsi="Calibri" w:cs="Times New Roman"/>
          <w:b/>
          <w:bCs/>
          <w:color w:val="auto"/>
          <w:highlight w:val="none"/>
          <w:lang w:eastAsia="zh-CN"/>
        </w:rPr>
        <w:t>（</w:t>
      </w:r>
      <w:r>
        <w:rPr>
          <w:rFonts w:hint="eastAsia" w:ascii="Calibri" w:hAnsi="Calibri" w:eastAsia="宋体" w:cs="Times New Roman"/>
          <w:b/>
          <w:bCs/>
          <w:color w:val="auto"/>
          <w:highlight w:val="none"/>
        </w:rPr>
        <w:t>1</w:t>
      </w:r>
      <w:r>
        <w:rPr>
          <w:rFonts w:hint="eastAsia" w:ascii="Calibri" w:hAnsi="Calibri" w:cs="Times New Roman"/>
          <w:b/>
          <w:bCs/>
          <w:color w:val="auto"/>
          <w:highlight w:val="none"/>
          <w:lang w:val="en-US" w:eastAsia="zh-CN"/>
        </w:rPr>
        <w:t>5</w:t>
      </w:r>
      <w:r>
        <w:rPr>
          <w:rFonts w:hint="eastAsia" w:ascii="Calibri" w:hAnsi="Calibri" w:eastAsia="宋体" w:cs="Times New Roman"/>
          <w:b/>
          <w:bCs/>
          <w:color w:val="auto"/>
          <w:highlight w:val="none"/>
        </w:rPr>
        <w:t>分</w:t>
      </w:r>
      <w:r>
        <w:rPr>
          <w:rFonts w:hint="eastAsia" w:ascii="Calibri" w:hAnsi="Calibri" w:cs="Times New Roman"/>
          <w:b/>
          <w:bCs/>
          <w:color w:val="auto"/>
          <w:highlight w:val="none"/>
          <w:lang w:eastAsia="zh-CN"/>
        </w:rPr>
        <w:t>）</w:t>
      </w:r>
    </w:p>
    <w:p>
      <w:pPr>
        <w:keepNext w:val="0"/>
        <w:keepLines w:val="0"/>
        <w:pageBreakBefore w:val="0"/>
        <w:widowControl w:val="0"/>
        <w:kinsoku/>
        <w:wordWrap/>
        <w:overflowPunct/>
        <w:topLinePunct w:val="0"/>
        <w:autoSpaceDE/>
        <w:autoSpaceDN/>
        <w:bidi w:val="0"/>
        <w:spacing w:line="360" w:lineRule="auto"/>
        <w:ind w:firstLine="420" w:firstLineChars="200"/>
        <w:rPr>
          <w:rFonts w:hint="eastAsia" w:ascii="Calibri" w:hAnsi="Calibri" w:eastAsia="宋体" w:cs="Times New Roman"/>
          <w:color w:val="auto"/>
          <w:highlight w:val="none"/>
        </w:rPr>
      </w:pPr>
      <w:r>
        <w:rPr>
          <w:rFonts w:hint="eastAsia" w:ascii="Calibri" w:hAnsi="Calibri" w:eastAsia="宋体" w:cs="Times New Roman"/>
          <w:color w:val="auto"/>
          <w:highlight w:val="none"/>
        </w:rPr>
        <w:t>根据本项目“</w:t>
      </w:r>
      <w:bookmarkStart w:id="160" w:name="OLE_LINK2"/>
      <w:r>
        <w:rPr>
          <w:rFonts w:hint="eastAsia" w:ascii="Calibri" w:hAnsi="Calibri" w:eastAsia="宋体" w:cs="Times New Roman"/>
          <w:color w:val="auto"/>
          <w:highlight w:val="none"/>
        </w:rPr>
        <w:t>全流量回溯分析服务</w:t>
      </w:r>
      <w:bookmarkEnd w:id="160"/>
      <w:r>
        <w:rPr>
          <w:rFonts w:hint="eastAsia" w:ascii="Calibri" w:hAnsi="Calibri" w:eastAsia="宋体" w:cs="Times New Roman"/>
          <w:color w:val="auto"/>
          <w:highlight w:val="none"/>
        </w:rPr>
        <w:t>”要求，提供</w:t>
      </w:r>
      <w:r>
        <w:rPr>
          <w:rFonts w:hint="eastAsia" w:ascii="Calibri" w:hAnsi="Calibri" w:eastAsia="宋体" w:cs="Times New Roman"/>
          <w:color w:val="auto"/>
          <w:highlight w:val="none"/>
          <w:lang w:val="en-US" w:eastAsia="zh-CN"/>
        </w:rPr>
        <w:t>网络</w:t>
      </w:r>
      <w:r>
        <w:rPr>
          <w:rFonts w:hint="eastAsia" w:ascii="Calibri" w:hAnsi="Calibri" w:eastAsia="宋体" w:cs="Times New Roman"/>
          <w:color w:val="auto"/>
          <w:highlight w:val="none"/>
        </w:rPr>
        <w:t>异常流量分析方案，从①</w:t>
      </w:r>
      <w:r>
        <w:rPr>
          <w:rFonts w:hint="eastAsia" w:ascii="Calibri" w:hAnsi="Calibri" w:eastAsia="宋体" w:cs="Times New Roman"/>
          <w:color w:val="auto"/>
          <w:highlight w:val="none"/>
          <w:lang w:val="en-US" w:eastAsia="zh-CN"/>
        </w:rPr>
        <w:t>基于业务场景</w:t>
      </w:r>
      <w:r>
        <w:rPr>
          <w:rFonts w:hint="eastAsia" w:ascii="Calibri" w:hAnsi="Calibri" w:eastAsia="宋体" w:cs="Times New Roman"/>
          <w:color w:val="auto"/>
          <w:highlight w:val="none"/>
        </w:rPr>
        <w:t>对服务内容</w:t>
      </w:r>
      <w:r>
        <w:rPr>
          <w:rFonts w:hint="eastAsia" w:ascii="Calibri" w:hAnsi="Calibri" w:eastAsia="宋体" w:cs="Times New Roman"/>
          <w:color w:val="auto"/>
          <w:highlight w:val="none"/>
          <w:lang w:val="en-US" w:eastAsia="zh-CN"/>
        </w:rPr>
        <w:t>及</w:t>
      </w:r>
      <w:r>
        <w:rPr>
          <w:rFonts w:hint="eastAsia" w:ascii="Calibri" w:hAnsi="Calibri" w:eastAsia="宋体" w:cs="Times New Roman"/>
          <w:color w:val="auto"/>
          <w:highlight w:val="none"/>
        </w:rPr>
        <w:t>细节的</w:t>
      </w:r>
      <w:r>
        <w:rPr>
          <w:rFonts w:hint="eastAsia" w:ascii="Calibri" w:hAnsi="Calibri" w:eastAsia="宋体" w:cs="Times New Roman"/>
          <w:color w:val="auto"/>
          <w:highlight w:val="none"/>
          <w:lang w:val="en-US" w:eastAsia="zh-CN"/>
        </w:rPr>
        <w:t>理解</w:t>
      </w:r>
      <w:r>
        <w:rPr>
          <w:rFonts w:hint="eastAsia" w:ascii="Calibri" w:hAnsi="Calibri" w:cs="Times New Roman"/>
          <w:color w:val="auto"/>
          <w:highlight w:val="none"/>
          <w:lang w:val="en-US" w:eastAsia="zh-CN"/>
        </w:rPr>
        <w:t>；</w:t>
      </w:r>
      <w:r>
        <w:rPr>
          <w:rFonts w:hint="eastAsia" w:ascii="Calibri" w:hAnsi="Calibri" w:eastAsia="宋体" w:cs="Times New Roman"/>
          <w:color w:val="auto"/>
          <w:highlight w:val="none"/>
        </w:rPr>
        <w:t>②服务内容</w:t>
      </w:r>
      <w:r>
        <w:rPr>
          <w:rFonts w:ascii="Calibri" w:hAnsi="Calibri" w:eastAsia="宋体" w:cs="Times New Roman"/>
          <w:color w:val="auto"/>
          <w:highlight w:val="none"/>
        </w:rPr>
        <w:t>基于</w:t>
      </w:r>
      <w:r>
        <w:rPr>
          <w:rFonts w:hint="eastAsia" w:ascii="Calibri" w:hAnsi="Calibri" w:eastAsia="宋体" w:cs="Times New Roman"/>
          <w:color w:val="auto"/>
          <w:highlight w:val="none"/>
        </w:rPr>
        <w:t>网络协议分析技术</w:t>
      </w:r>
      <w:r>
        <w:rPr>
          <w:rFonts w:hint="eastAsia" w:ascii="Calibri" w:hAnsi="Calibri" w:eastAsia="宋体" w:cs="Times New Roman"/>
          <w:color w:val="auto"/>
          <w:highlight w:val="none"/>
          <w:lang w:val="en-US" w:eastAsia="zh-CN"/>
        </w:rPr>
        <w:t>对</w:t>
      </w:r>
      <w:r>
        <w:rPr>
          <w:rFonts w:ascii="Calibri" w:hAnsi="Calibri" w:eastAsia="宋体" w:cs="Times New Roman"/>
          <w:color w:val="auto"/>
          <w:highlight w:val="none"/>
        </w:rPr>
        <w:t>木马，蠕虫，网络攻击等安全</w:t>
      </w:r>
      <w:r>
        <w:rPr>
          <w:rFonts w:hint="eastAsia" w:ascii="Calibri" w:hAnsi="Calibri" w:eastAsia="宋体" w:cs="Times New Roman"/>
          <w:color w:val="auto"/>
          <w:highlight w:val="none"/>
        </w:rPr>
        <w:t>评估</w:t>
      </w:r>
      <w:r>
        <w:rPr>
          <w:rFonts w:hint="eastAsia" w:ascii="Calibri" w:hAnsi="Calibri" w:eastAsia="宋体" w:cs="Times New Roman"/>
          <w:color w:val="auto"/>
          <w:highlight w:val="none"/>
          <w:lang w:val="en-US" w:eastAsia="zh-CN"/>
        </w:rPr>
        <w:t>描述</w:t>
      </w:r>
      <w:r>
        <w:rPr>
          <w:rFonts w:hint="eastAsia" w:ascii="Calibri" w:hAnsi="Calibri" w:cs="Times New Roman"/>
          <w:color w:val="auto"/>
          <w:highlight w:val="none"/>
          <w:lang w:val="en-US" w:eastAsia="zh-CN"/>
        </w:rPr>
        <w:t>；</w:t>
      </w:r>
      <w:r>
        <w:rPr>
          <w:rFonts w:hint="eastAsia" w:ascii="Calibri" w:hAnsi="Calibri" w:eastAsia="宋体" w:cs="Times New Roman"/>
          <w:color w:val="auto"/>
          <w:highlight w:val="none"/>
        </w:rPr>
        <w:t>③对异常流量分析服务的质量把关方面综合评审，符合本项目实际情况和采购需求的得1</w:t>
      </w:r>
      <w:r>
        <w:rPr>
          <w:rFonts w:hint="eastAsia" w:ascii="Calibri" w:hAnsi="Calibri" w:cs="Times New Roman"/>
          <w:color w:val="auto"/>
          <w:highlight w:val="none"/>
          <w:lang w:val="en-US" w:eastAsia="zh-CN"/>
        </w:rPr>
        <w:t>5</w:t>
      </w:r>
      <w:r>
        <w:rPr>
          <w:rFonts w:hint="eastAsia" w:ascii="Calibri" w:hAnsi="Calibri" w:eastAsia="宋体" w:cs="Times New Roman"/>
          <w:color w:val="auto"/>
          <w:highlight w:val="none"/>
        </w:rPr>
        <w:t>分，</w:t>
      </w:r>
      <w:r>
        <w:rPr>
          <w:rFonts w:hint="eastAsia" w:ascii="Calibri" w:hAnsi="Calibri" w:cs="Times New Roman"/>
          <w:color w:val="auto"/>
          <w:highlight w:val="none"/>
          <w:lang w:val="en-US" w:eastAsia="zh-CN"/>
        </w:rPr>
        <w:t>以上内容每有一项内容</w:t>
      </w:r>
      <w:r>
        <w:rPr>
          <w:rFonts w:hint="eastAsia" w:ascii="Calibri" w:hAnsi="Calibri" w:eastAsia="宋体" w:cs="Times New Roman"/>
          <w:color w:val="auto"/>
          <w:highlight w:val="none"/>
        </w:rPr>
        <w:t>缺失或</w:t>
      </w:r>
      <w:bookmarkStart w:id="161" w:name="OLE_LINK4"/>
      <w:r>
        <w:rPr>
          <w:rFonts w:hint="eastAsia" w:ascii="Calibri" w:hAnsi="Calibri" w:eastAsia="宋体" w:cs="Times New Roman"/>
          <w:color w:val="auto"/>
          <w:highlight w:val="none"/>
        </w:rPr>
        <w:t>不</w:t>
      </w:r>
      <w:r>
        <w:rPr>
          <w:rFonts w:hint="eastAsia" w:ascii="Calibri" w:hAnsi="Calibri" w:cs="Times New Roman"/>
          <w:color w:val="auto"/>
          <w:highlight w:val="none"/>
          <w:lang w:val="en-US" w:eastAsia="zh-CN"/>
        </w:rPr>
        <w:t>符合项目实际情况</w:t>
      </w:r>
      <w:bookmarkEnd w:id="161"/>
      <w:r>
        <w:rPr>
          <w:rFonts w:hint="eastAsia" w:ascii="Calibri" w:hAnsi="Calibri" w:eastAsia="宋体" w:cs="Times New Roman"/>
          <w:color w:val="auto"/>
          <w:highlight w:val="none"/>
        </w:rPr>
        <w:t>的扣</w:t>
      </w:r>
      <w:r>
        <w:rPr>
          <w:rFonts w:hint="eastAsia" w:ascii="Calibri" w:hAnsi="Calibri" w:cs="Times New Roman"/>
          <w:color w:val="auto"/>
          <w:highlight w:val="none"/>
          <w:lang w:val="en-US" w:eastAsia="zh-CN"/>
        </w:rPr>
        <w:t>5</w:t>
      </w:r>
      <w:r>
        <w:rPr>
          <w:rFonts w:hint="eastAsia" w:ascii="Calibri" w:hAnsi="Calibri" w:eastAsia="宋体" w:cs="Times New Roman"/>
          <w:color w:val="auto"/>
          <w:highlight w:val="none"/>
        </w:rPr>
        <w:t>分，扣完为止。</w:t>
      </w:r>
    </w:p>
    <w:p>
      <w:pPr>
        <w:keepNext w:val="0"/>
        <w:keepLines w:val="0"/>
        <w:pageBreakBefore w:val="0"/>
        <w:widowControl w:val="0"/>
        <w:kinsoku/>
        <w:wordWrap/>
        <w:overflowPunct/>
        <w:topLinePunct w:val="0"/>
        <w:autoSpaceDE/>
        <w:autoSpaceDN/>
        <w:bidi w:val="0"/>
        <w:spacing w:line="360" w:lineRule="auto"/>
        <w:rPr>
          <w:rFonts w:hint="eastAsia" w:ascii="Calibri" w:hAnsi="Calibri" w:eastAsia="宋体" w:cs="Times New Roman"/>
          <w:b/>
          <w:bCs/>
          <w:color w:val="auto"/>
          <w:highlight w:val="none"/>
        </w:rPr>
      </w:pPr>
      <w:r>
        <w:rPr>
          <w:rFonts w:hint="eastAsia" w:ascii="Calibri" w:hAnsi="Calibri" w:cs="Times New Roman"/>
          <w:b/>
          <w:bCs/>
          <w:color w:val="auto"/>
          <w:highlight w:val="none"/>
          <w:lang w:val="en-US" w:eastAsia="zh-CN"/>
        </w:rPr>
        <w:t>3</w:t>
      </w:r>
      <w:r>
        <w:rPr>
          <w:rFonts w:hint="eastAsia" w:ascii="Calibri" w:hAnsi="Calibri" w:eastAsia="宋体" w:cs="Times New Roman"/>
          <w:b/>
          <w:bCs/>
          <w:color w:val="auto"/>
          <w:highlight w:val="none"/>
        </w:rPr>
        <w:t>、安全融合服务方案分………………………………………………………………………</w:t>
      </w:r>
      <w:r>
        <w:rPr>
          <w:rFonts w:hint="eastAsia" w:ascii="Calibri" w:hAnsi="Calibri" w:cs="Times New Roman"/>
          <w:b/>
          <w:bCs/>
          <w:color w:val="auto"/>
          <w:highlight w:val="none"/>
          <w:lang w:eastAsia="zh-CN"/>
        </w:rPr>
        <w:t>（</w:t>
      </w:r>
      <w:r>
        <w:rPr>
          <w:rFonts w:hint="eastAsia" w:ascii="Calibri" w:hAnsi="Calibri" w:cs="Times New Roman"/>
          <w:b/>
          <w:bCs/>
          <w:color w:val="auto"/>
          <w:highlight w:val="none"/>
          <w:lang w:val="en-US" w:eastAsia="zh-CN"/>
        </w:rPr>
        <w:t>16</w:t>
      </w:r>
      <w:r>
        <w:rPr>
          <w:rFonts w:hint="eastAsia" w:ascii="Calibri" w:hAnsi="Calibri" w:eastAsia="宋体" w:cs="Times New Roman"/>
          <w:b/>
          <w:bCs/>
          <w:color w:val="auto"/>
          <w:highlight w:val="none"/>
        </w:rPr>
        <w:t>分</w:t>
      </w:r>
      <w:r>
        <w:rPr>
          <w:rFonts w:hint="eastAsia" w:ascii="Calibri" w:hAnsi="Calibri" w:cs="Times New Roman"/>
          <w:b/>
          <w:bCs/>
          <w:color w:val="auto"/>
          <w:highlight w:val="none"/>
          <w:lang w:eastAsia="zh-CN"/>
        </w:rPr>
        <w:t>）</w:t>
      </w:r>
    </w:p>
    <w:p>
      <w:pPr>
        <w:keepNext w:val="0"/>
        <w:keepLines w:val="0"/>
        <w:pageBreakBefore w:val="0"/>
        <w:widowControl w:val="0"/>
        <w:kinsoku/>
        <w:wordWrap/>
        <w:overflowPunct/>
        <w:topLinePunct w:val="0"/>
        <w:autoSpaceDE/>
        <w:autoSpaceDN/>
        <w:bidi w:val="0"/>
        <w:spacing w:line="360" w:lineRule="auto"/>
        <w:ind w:firstLine="420" w:firstLineChars="200"/>
        <w:rPr>
          <w:rFonts w:hint="eastAsia" w:ascii="Calibri" w:hAnsi="Calibri" w:eastAsia="宋体" w:cs="Times New Roman"/>
          <w:color w:val="auto"/>
          <w:highlight w:val="none"/>
        </w:rPr>
      </w:pPr>
      <w:r>
        <w:rPr>
          <w:rFonts w:hint="eastAsia" w:ascii="Calibri" w:hAnsi="Calibri" w:eastAsia="宋体" w:cs="Times New Roman"/>
          <w:color w:val="auto"/>
          <w:highlight w:val="none"/>
        </w:rPr>
        <w:t>根据安全政策要求，提供①联动协同的防御</w:t>
      </w:r>
      <w:r>
        <w:rPr>
          <w:rFonts w:hint="eastAsia" w:ascii="Calibri" w:hAnsi="Calibri" w:eastAsia="宋体" w:cs="Times New Roman"/>
          <w:color w:val="auto"/>
          <w:highlight w:val="none"/>
          <w:lang w:eastAsia="zh-CN"/>
        </w:rPr>
        <w:t>、</w:t>
      </w:r>
      <w:r>
        <w:rPr>
          <w:rFonts w:hint="eastAsia" w:ascii="Calibri" w:hAnsi="Calibri" w:eastAsia="宋体" w:cs="Times New Roman"/>
          <w:color w:val="auto"/>
          <w:highlight w:val="none"/>
        </w:rPr>
        <w:t>精准高效的检测、快速及时的响应、预测这四个层面安全运营举措的制定与实施②各安全设备应对上级单位安全考核服务</w:t>
      </w:r>
      <w:r>
        <w:rPr>
          <w:rFonts w:hint="eastAsia" w:ascii="Calibri" w:hAnsi="Calibri" w:cs="Times New Roman"/>
          <w:color w:val="auto"/>
          <w:highlight w:val="none"/>
          <w:lang w:val="en-US" w:eastAsia="zh-CN"/>
        </w:rPr>
        <w:t>措施详细</w:t>
      </w:r>
      <w:r>
        <w:rPr>
          <w:rFonts w:hint="eastAsia" w:ascii="Calibri" w:hAnsi="Calibri" w:eastAsia="宋体" w:cs="Times New Roman"/>
          <w:color w:val="auto"/>
          <w:highlight w:val="none"/>
        </w:rPr>
        <w:t>③对安全现状进行细致分析，服务需求理解精准透彻④服务质量控制措施方面综合评审，符合本项目实际情况和采购需求的得</w:t>
      </w:r>
      <w:r>
        <w:rPr>
          <w:rFonts w:hint="eastAsia" w:ascii="Calibri" w:hAnsi="Calibri" w:cs="Times New Roman"/>
          <w:color w:val="auto"/>
          <w:highlight w:val="none"/>
          <w:lang w:val="en-US" w:eastAsia="zh-CN"/>
        </w:rPr>
        <w:t>16</w:t>
      </w:r>
      <w:r>
        <w:rPr>
          <w:rFonts w:hint="eastAsia" w:ascii="Calibri" w:hAnsi="Calibri" w:eastAsia="宋体" w:cs="Times New Roman"/>
          <w:color w:val="auto"/>
          <w:highlight w:val="none"/>
        </w:rPr>
        <w:t>分，以上内容每有一项内容缺失或不符合项目实际情况的扣</w:t>
      </w:r>
      <w:r>
        <w:rPr>
          <w:rFonts w:hint="eastAsia" w:ascii="Calibri" w:hAnsi="Calibri" w:cs="Times New Roman"/>
          <w:color w:val="auto"/>
          <w:highlight w:val="none"/>
          <w:lang w:val="en-US" w:eastAsia="zh-CN"/>
        </w:rPr>
        <w:t>4</w:t>
      </w:r>
      <w:r>
        <w:rPr>
          <w:rFonts w:hint="eastAsia" w:ascii="Calibri" w:hAnsi="Calibri" w:eastAsia="宋体" w:cs="Times New Roman"/>
          <w:color w:val="auto"/>
          <w:highlight w:val="none"/>
        </w:rPr>
        <w:t>分，扣完为止。</w:t>
      </w:r>
    </w:p>
    <w:p>
      <w:pPr>
        <w:keepNext w:val="0"/>
        <w:keepLines w:val="0"/>
        <w:pageBreakBefore w:val="0"/>
        <w:widowControl w:val="0"/>
        <w:kinsoku/>
        <w:wordWrap/>
        <w:overflowPunct/>
        <w:topLinePunct w:val="0"/>
        <w:autoSpaceDE/>
        <w:autoSpaceDN/>
        <w:bidi w:val="0"/>
        <w:spacing w:line="360" w:lineRule="auto"/>
        <w:rPr>
          <w:rFonts w:hint="eastAsia" w:ascii="Calibri" w:hAnsi="Calibri" w:eastAsia="宋体" w:cs="Times New Roman"/>
          <w:b/>
          <w:bCs/>
          <w:color w:val="auto"/>
          <w:highlight w:val="none"/>
        </w:rPr>
      </w:pPr>
      <w:r>
        <w:rPr>
          <w:rFonts w:hint="eastAsia" w:ascii="Calibri" w:hAnsi="Calibri" w:cs="Times New Roman"/>
          <w:b/>
          <w:bCs/>
          <w:color w:val="auto"/>
          <w:highlight w:val="none"/>
          <w:lang w:val="en-US" w:eastAsia="zh-CN"/>
        </w:rPr>
        <w:t>4</w:t>
      </w:r>
      <w:r>
        <w:rPr>
          <w:rFonts w:hint="eastAsia" w:ascii="Calibri" w:hAnsi="Calibri" w:eastAsia="宋体" w:cs="Times New Roman"/>
          <w:b/>
          <w:bCs/>
          <w:color w:val="auto"/>
          <w:highlight w:val="none"/>
        </w:rPr>
        <w:t>、重保服务方案分……………………………………………………………………………</w:t>
      </w:r>
      <w:r>
        <w:rPr>
          <w:rFonts w:hint="eastAsia" w:ascii="Calibri" w:hAnsi="Calibri" w:cs="Times New Roman"/>
          <w:b/>
          <w:bCs/>
          <w:color w:val="auto"/>
          <w:highlight w:val="none"/>
          <w:lang w:eastAsia="zh-CN"/>
        </w:rPr>
        <w:t>（</w:t>
      </w:r>
      <w:r>
        <w:rPr>
          <w:rFonts w:hint="eastAsia" w:ascii="Calibri" w:hAnsi="Calibri" w:cs="Times New Roman"/>
          <w:b/>
          <w:bCs/>
          <w:color w:val="auto"/>
          <w:highlight w:val="none"/>
          <w:lang w:val="en-US" w:eastAsia="zh-CN"/>
        </w:rPr>
        <w:t>8</w:t>
      </w:r>
      <w:r>
        <w:rPr>
          <w:rFonts w:hint="eastAsia" w:ascii="Calibri" w:hAnsi="Calibri" w:eastAsia="宋体" w:cs="Times New Roman"/>
          <w:b/>
          <w:bCs/>
          <w:color w:val="auto"/>
          <w:highlight w:val="none"/>
        </w:rPr>
        <w:t>分</w:t>
      </w:r>
      <w:r>
        <w:rPr>
          <w:rFonts w:hint="eastAsia" w:ascii="Calibri" w:hAnsi="Calibri" w:cs="Times New Roman"/>
          <w:b/>
          <w:bCs/>
          <w:color w:val="auto"/>
          <w:highlight w:val="none"/>
          <w:lang w:eastAsia="zh-CN"/>
        </w:rPr>
        <w:t>）</w:t>
      </w:r>
    </w:p>
    <w:p>
      <w:pPr>
        <w:keepNext w:val="0"/>
        <w:keepLines w:val="0"/>
        <w:pageBreakBefore w:val="0"/>
        <w:widowControl w:val="0"/>
        <w:kinsoku/>
        <w:wordWrap/>
        <w:overflowPunct/>
        <w:topLinePunct w:val="0"/>
        <w:autoSpaceDE/>
        <w:autoSpaceDN/>
        <w:bidi w:val="0"/>
        <w:spacing w:line="360" w:lineRule="auto"/>
        <w:ind w:firstLine="420" w:firstLineChars="200"/>
        <w:rPr>
          <w:rFonts w:hint="eastAsia" w:ascii="Calibri" w:hAnsi="Calibri" w:eastAsia="宋体" w:cs="Times New Roman"/>
          <w:color w:val="auto"/>
          <w:highlight w:val="none"/>
        </w:rPr>
      </w:pPr>
      <w:r>
        <w:rPr>
          <w:rFonts w:hint="eastAsia" w:ascii="Calibri" w:hAnsi="Calibri" w:eastAsia="宋体" w:cs="Times New Roman"/>
          <w:color w:val="auto"/>
          <w:highlight w:val="none"/>
        </w:rPr>
        <w:t>根据重保服务内容要求，提供重保服务方案，从①整体方案设计②实际网络安全现状考虑③设计攻击诱捕工具伪装部署④从重保前、中、后不同时段开展资产梳理、立体攻防、溯源分析方面综合评审，符合本项目实际情况和采购需求的得</w:t>
      </w:r>
      <w:r>
        <w:rPr>
          <w:rFonts w:hint="eastAsia" w:ascii="Calibri" w:hAnsi="Calibri" w:cs="Times New Roman"/>
          <w:color w:val="auto"/>
          <w:highlight w:val="none"/>
          <w:lang w:val="en-US" w:eastAsia="zh-CN"/>
        </w:rPr>
        <w:t>8</w:t>
      </w:r>
      <w:r>
        <w:rPr>
          <w:rFonts w:hint="eastAsia" w:ascii="Calibri" w:hAnsi="Calibri" w:eastAsia="宋体" w:cs="Times New Roman"/>
          <w:color w:val="auto"/>
          <w:highlight w:val="none"/>
        </w:rPr>
        <w:t>分，以上内容每有一项内容缺失或不符合项目实际情况的扣</w:t>
      </w:r>
      <w:r>
        <w:rPr>
          <w:rFonts w:hint="eastAsia" w:ascii="Calibri" w:hAnsi="Calibri" w:cs="Times New Roman"/>
          <w:color w:val="auto"/>
          <w:highlight w:val="none"/>
          <w:lang w:val="en-US" w:eastAsia="zh-CN"/>
        </w:rPr>
        <w:t>2</w:t>
      </w:r>
      <w:r>
        <w:rPr>
          <w:rFonts w:hint="eastAsia" w:ascii="Calibri" w:hAnsi="Calibri" w:eastAsia="宋体" w:cs="Times New Roman"/>
          <w:color w:val="auto"/>
          <w:highlight w:val="none"/>
        </w:rPr>
        <w:t>分，扣完为止。</w:t>
      </w:r>
    </w:p>
    <w:p>
      <w:pPr>
        <w:keepNext w:val="0"/>
        <w:keepLines w:val="0"/>
        <w:pageBreakBefore w:val="0"/>
        <w:widowControl w:val="0"/>
        <w:kinsoku/>
        <w:wordWrap/>
        <w:overflowPunct/>
        <w:topLinePunct w:val="0"/>
        <w:autoSpaceDE/>
        <w:autoSpaceDN/>
        <w:bidi w:val="0"/>
        <w:spacing w:line="360" w:lineRule="auto"/>
        <w:rPr>
          <w:rFonts w:hint="eastAsia" w:ascii="Calibri" w:hAnsi="Calibri" w:eastAsia="宋体" w:cs="Times New Roman"/>
          <w:b/>
          <w:bCs/>
          <w:color w:val="auto"/>
          <w:highlight w:val="none"/>
        </w:rPr>
      </w:pPr>
      <w:r>
        <w:rPr>
          <w:rFonts w:hint="eastAsia" w:ascii="Calibri" w:hAnsi="Calibri" w:cs="Times New Roman"/>
          <w:b/>
          <w:bCs/>
          <w:color w:val="auto"/>
          <w:highlight w:val="none"/>
          <w:lang w:val="en-US" w:eastAsia="zh-CN"/>
        </w:rPr>
        <w:t>5</w:t>
      </w:r>
      <w:r>
        <w:rPr>
          <w:rFonts w:hint="eastAsia" w:ascii="Calibri" w:hAnsi="Calibri" w:eastAsia="宋体" w:cs="Times New Roman"/>
          <w:b/>
          <w:bCs/>
          <w:color w:val="auto"/>
          <w:highlight w:val="none"/>
        </w:rPr>
        <w:t>、安全关联分析方案分………………………………………………………………………</w:t>
      </w:r>
      <w:r>
        <w:rPr>
          <w:rFonts w:hint="eastAsia" w:ascii="Calibri" w:hAnsi="Calibri" w:cs="Times New Roman"/>
          <w:b/>
          <w:bCs/>
          <w:color w:val="auto"/>
          <w:highlight w:val="none"/>
          <w:lang w:eastAsia="zh-CN"/>
        </w:rPr>
        <w:t>（</w:t>
      </w:r>
      <w:r>
        <w:rPr>
          <w:rFonts w:hint="eastAsia" w:ascii="Calibri" w:hAnsi="Calibri" w:cs="Times New Roman"/>
          <w:b/>
          <w:bCs/>
          <w:color w:val="auto"/>
          <w:highlight w:val="none"/>
          <w:lang w:val="en-US" w:eastAsia="zh-CN"/>
        </w:rPr>
        <w:t>20</w:t>
      </w:r>
      <w:r>
        <w:rPr>
          <w:rFonts w:hint="eastAsia" w:ascii="Calibri" w:hAnsi="Calibri" w:eastAsia="宋体" w:cs="Times New Roman"/>
          <w:b/>
          <w:bCs/>
          <w:color w:val="auto"/>
          <w:highlight w:val="none"/>
        </w:rPr>
        <w:t>分</w:t>
      </w:r>
      <w:r>
        <w:rPr>
          <w:rFonts w:hint="eastAsia" w:ascii="Calibri" w:hAnsi="Calibri" w:cs="Times New Roman"/>
          <w:b/>
          <w:bCs/>
          <w:color w:val="auto"/>
          <w:highlight w:val="none"/>
          <w:lang w:eastAsia="zh-CN"/>
        </w:rPr>
        <w:t>）</w:t>
      </w:r>
    </w:p>
    <w:p>
      <w:pPr>
        <w:keepNext w:val="0"/>
        <w:keepLines w:val="0"/>
        <w:pageBreakBefore w:val="0"/>
        <w:widowControl w:val="0"/>
        <w:kinsoku/>
        <w:wordWrap/>
        <w:overflowPunct/>
        <w:topLinePunct w:val="0"/>
        <w:autoSpaceDE/>
        <w:autoSpaceDN/>
        <w:bidi w:val="0"/>
        <w:spacing w:line="360" w:lineRule="auto"/>
        <w:ind w:firstLine="420" w:firstLineChars="200"/>
        <w:rPr>
          <w:rFonts w:hint="eastAsia" w:ascii="Calibri" w:hAnsi="Calibri" w:eastAsia="宋体" w:cs="Times New Roman"/>
          <w:color w:val="auto"/>
          <w:highlight w:val="none"/>
        </w:rPr>
      </w:pPr>
      <w:r>
        <w:rPr>
          <w:rFonts w:hint="eastAsia" w:ascii="Calibri" w:hAnsi="Calibri" w:cs="Times New Roman"/>
          <w:color w:val="auto"/>
          <w:highlight w:val="none"/>
          <w:lang w:val="en-US" w:eastAsia="zh-CN"/>
        </w:rPr>
        <w:t>一</w:t>
      </w:r>
      <w:r>
        <w:rPr>
          <w:rFonts w:hint="eastAsia" w:ascii="Calibri" w:hAnsi="Calibri" w:eastAsia="宋体" w:cs="Times New Roman"/>
          <w:color w:val="auto"/>
          <w:highlight w:val="none"/>
        </w:rPr>
        <w:t>档（</w:t>
      </w:r>
      <w:r>
        <w:rPr>
          <w:rFonts w:hint="eastAsia" w:ascii="Calibri" w:hAnsi="Calibri" w:cs="Times New Roman"/>
          <w:color w:val="auto"/>
          <w:highlight w:val="none"/>
          <w:lang w:val="en-US" w:eastAsia="zh-CN"/>
        </w:rPr>
        <w:t>10</w:t>
      </w:r>
      <w:r>
        <w:rPr>
          <w:rFonts w:hint="eastAsia" w:ascii="Calibri" w:hAnsi="Calibri" w:eastAsia="宋体" w:cs="Times New Roman"/>
          <w:color w:val="auto"/>
          <w:highlight w:val="none"/>
        </w:rPr>
        <w:t>分）：提供的安全分析方案内容</w:t>
      </w:r>
      <w:r>
        <w:rPr>
          <w:rFonts w:hint="eastAsia" w:ascii="Calibri" w:hAnsi="Calibri" w:cs="Times New Roman"/>
          <w:color w:val="auto"/>
          <w:highlight w:val="none"/>
          <w:lang w:val="en-US" w:eastAsia="zh-CN"/>
        </w:rPr>
        <w:t>详细</w:t>
      </w:r>
      <w:r>
        <w:rPr>
          <w:rFonts w:hint="eastAsia" w:ascii="Calibri" w:hAnsi="Calibri" w:eastAsia="宋体" w:cs="Times New Roman"/>
          <w:color w:val="auto"/>
          <w:highlight w:val="none"/>
        </w:rPr>
        <w:t>，</w:t>
      </w:r>
      <w:r>
        <w:rPr>
          <w:rFonts w:hint="eastAsia" w:ascii="Calibri" w:hAnsi="Calibri" w:cs="Times New Roman"/>
          <w:color w:val="auto"/>
          <w:highlight w:val="none"/>
          <w:lang w:val="en-US" w:eastAsia="zh-CN"/>
        </w:rPr>
        <w:t>提出了</w:t>
      </w:r>
      <w:r>
        <w:rPr>
          <w:rFonts w:hint="eastAsia" w:ascii="Calibri" w:hAnsi="Calibri" w:eastAsia="宋体" w:cs="Times New Roman"/>
          <w:color w:val="auto"/>
          <w:highlight w:val="none"/>
        </w:rPr>
        <w:t>方案设计。有可操作性。</w:t>
      </w:r>
    </w:p>
    <w:p>
      <w:pPr>
        <w:keepNext w:val="0"/>
        <w:keepLines w:val="0"/>
        <w:pageBreakBefore w:val="0"/>
        <w:widowControl w:val="0"/>
        <w:kinsoku/>
        <w:wordWrap/>
        <w:overflowPunct/>
        <w:topLinePunct w:val="0"/>
        <w:autoSpaceDE/>
        <w:autoSpaceDN/>
        <w:bidi w:val="0"/>
        <w:spacing w:line="360" w:lineRule="auto"/>
        <w:ind w:firstLine="420" w:firstLineChars="200"/>
        <w:rPr>
          <w:rFonts w:hint="eastAsia" w:ascii="Calibri" w:hAnsi="Calibri" w:eastAsia="宋体" w:cs="Times New Roman"/>
          <w:color w:val="auto"/>
          <w:highlight w:val="none"/>
        </w:rPr>
      </w:pPr>
      <w:r>
        <w:rPr>
          <w:rFonts w:hint="eastAsia" w:ascii="Calibri" w:hAnsi="Calibri" w:cs="Times New Roman"/>
          <w:color w:val="auto"/>
          <w:highlight w:val="none"/>
          <w:lang w:val="en-US" w:eastAsia="zh-CN"/>
        </w:rPr>
        <w:t>二</w:t>
      </w:r>
      <w:r>
        <w:rPr>
          <w:rFonts w:hint="eastAsia" w:ascii="Calibri" w:hAnsi="Calibri" w:eastAsia="宋体" w:cs="Times New Roman"/>
          <w:color w:val="auto"/>
          <w:highlight w:val="none"/>
        </w:rPr>
        <w:t>档（</w:t>
      </w:r>
      <w:r>
        <w:rPr>
          <w:rFonts w:hint="eastAsia" w:ascii="Calibri" w:hAnsi="Calibri" w:cs="Times New Roman"/>
          <w:color w:val="auto"/>
          <w:highlight w:val="none"/>
          <w:lang w:val="en-US" w:eastAsia="zh-CN"/>
        </w:rPr>
        <w:t>15</w:t>
      </w:r>
      <w:r>
        <w:rPr>
          <w:rFonts w:hint="eastAsia" w:ascii="Calibri" w:hAnsi="Calibri" w:eastAsia="宋体" w:cs="Times New Roman"/>
          <w:color w:val="auto"/>
          <w:highlight w:val="none"/>
        </w:rPr>
        <w:t>分）：根据采购人网络情况、安全设备告警信息，重点根据安全感知系统、</w:t>
      </w:r>
      <w:r>
        <w:rPr>
          <w:rFonts w:hint="eastAsia" w:ascii="Calibri" w:hAnsi="Calibri" w:eastAsia="宋体" w:cs="Times New Roman"/>
          <w:color w:val="auto"/>
          <w:highlight w:val="none"/>
          <w:lang w:val="en-US" w:eastAsia="zh-CN"/>
        </w:rPr>
        <w:t>防火墙、EDR、</w:t>
      </w:r>
      <w:r>
        <w:rPr>
          <w:rFonts w:hint="eastAsia" w:ascii="Calibri" w:hAnsi="Calibri" w:eastAsia="宋体" w:cs="Times New Roman"/>
          <w:color w:val="auto"/>
          <w:highlight w:val="none"/>
        </w:rPr>
        <w:t>蜜罐与网络回溯分析系统监控流量设备告警形成联动分析服务、具备网络安全事件监测分析、研判处置等方面经验，以提高网络安全事件综合应对能力，服务方案贴合采购人实际网络情况，</w:t>
      </w:r>
      <w:r>
        <w:rPr>
          <w:rFonts w:hint="eastAsia" w:ascii="Calibri" w:hAnsi="Calibri" w:cs="Times New Roman"/>
          <w:color w:val="auto"/>
          <w:highlight w:val="none"/>
          <w:lang w:val="en-US" w:eastAsia="zh-CN"/>
        </w:rPr>
        <w:t>能从人员组合配备，经验分析方面进行分析</w:t>
      </w:r>
      <w:r>
        <w:rPr>
          <w:rFonts w:hint="eastAsia" w:ascii="Calibri" w:hAnsi="Calibri" w:eastAsia="宋体" w:cs="Times New Roman"/>
          <w:color w:val="auto"/>
          <w:highlight w:val="none"/>
        </w:rPr>
        <w:t>。</w:t>
      </w:r>
    </w:p>
    <w:p>
      <w:pPr>
        <w:keepNext w:val="0"/>
        <w:keepLines w:val="0"/>
        <w:pageBreakBefore w:val="0"/>
        <w:widowControl w:val="0"/>
        <w:kinsoku/>
        <w:wordWrap/>
        <w:overflowPunct/>
        <w:topLinePunct w:val="0"/>
        <w:autoSpaceDE/>
        <w:autoSpaceDN/>
        <w:bidi w:val="0"/>
        <w:spacing w:line="360" w:lineRule="auto"/>
        <w:ind w:firstLine="420" w:firstLineChars="200"/>
        <w:rPr>
          <w:rFonts w:hint="eastAsia" w:ascii="Calibri" w:hAnsi="Calibri" w:eastAsia="宋体" w:cs="Times New Roman"/>
          <w:color w:val="auto"/>
          <w:highlight w:val="none"/>
          <w:lang w:val="en-US" w:eastAsia="zh-CN"/>
        </w:rPr>
      </w:pPr>
      <w:r>
        <w:rPr>
          <w:rFonts w:hint="eastAsia" w:ascii="Calibri" w:hAnsi="Calibri" w:cs="Times New Roman"/>
          <w:color w:val="auto"/>
          <w:highlight w:val="none"/>
          <w:lang w:val="en-US" w:eastAsia="zh-CN"/>
        </w:rPr>
        <w:t>三</w:t>
      </w:r>
      <w:r>
        <w:rPr>
          <w:rFonts w:hint="eastAsia" w:ascii="Calibri" w:hAnsi="Calibri" w:eastAsia="宋体" w:cs="Times New Roman"/>
          <w:color w:val="auto"/>
          <w:highlight w:val="none"/>
        </w:rPr>
        <w:t>档（</w:t>
      </w:r>
      <w:r>
        <w:rPr>
          <w:rFonts w:hint="eastAsia" w:ascii="Calibri" w:hAnsi="Calibri" w:cs="Times New Roman"/>
          <w:color w:val="auto"/>
          <w:highlight w:val="none"/>
          <w:lang w:val="en-US" w:eastAsia="zh-CN"/>
        </w:rPr>
        <w:t>20</w:t>
      </w:r>
      <w:r>
        <w:rPr>
          <w:rFonts w:hint="eastAsia" w:ascii="Calibri" w:hAnsi="Calibri" w:eastAsia="宋体" w:cs="Times New Roman"/>
          <w:color w:val="auto"/>
          <w:highlight w:val="none"/>
        </w:rPr>
        <w:t>分）：根据采购人网络情况、安全设备告警信息，重点根据安全感知系统、</w:t>
      </w:r>
      <w:r>
        <w:rPr>
          <w:rFonts w:hint="eastAsia" w:ascii="Calibri" w:hAnsi="Calibri" w:eastAsia="宋体" w:cs="Times New Roman"/>
          <w:color w:val="auto"/>
          <w:highlight w:val="none"/>
          <w:lang w:val="en-US" w:eastAsia="zh-CN"/>
        </w:rPr>
        <w:t>防火墙、EDR、</w:t>
      </w:r>
      <w:r>
        <w:rPr>
          <w:rFonts w:hint="eastAsia" w:ascii="Calibri" w:hAnsi="Calibri" w:eastAsia="宋体" w:cs="Times New Roman"/>
          <w:color w:val="auto"/>
          <w:highlight w:val="none"/>
        </w:rPr>
        <w:t>蜜罐与网络回溯分析系统监控流量设备告警形成联动分析服务、具备网络安全事件监测分析、研判处置等方面经验，以提高网络安全事件综合应对能力，服务方案贴合采购人实际网络情况，能从人员组合配备，经验分析，服务内容、方式、及时性，联动告警分析，安全事件联动处置方面进行分析。</w:t>
      </w:r>
    </w:p>
    <w:p>
      <w:pPr>
        <w:keepNext w:val="0"/>
        <w:keepLines w:val="0"/>
        <w:pageBreakBefore w:val="0"/>
        <w:widowControl w:val="0"/>
        <w:kinsoku/>
        <w:wordWrap/>
        <w:overflowPunct/>
        <w:topLinePunct w:val="0"/>
        <w:autoSpaceDE/>
        <w:autoSpaceDN/>
        <w:bidi w:val="0"/>
        <w:spacing w:line="360" w:lineRule="auto"/>
        <w:rPr>
          <w:rFonts w:hint="eastAsia" w:ascii="Calibri" w:hAnsi="Calibri" w:eastAsia="宋体" w:cs="Times New Roman"/>
          <w:b/>
          <w:bCs/>
          <w:color w:val="auto"/>
          <w:highlight w:val="none"/>
        </w:rPr>
      </w:pPr>
      <w:r>
        <w:rPr>
          <w:rFonts w:hint="eastAsia" w:ascii="Calibri" w:hAnsi="Calibri" w:cs="Times New Roman"/>
          <w:b/>
          <w:bCs/>
          <w:color w:val="auto"/>
          <w:highlight w:val="none"/>
          <w:lang w:val="en-US" w:eastAsia="zh-CN"/>
        </w:rPr>
        <w:t>6</w:t>
      </w:r>
      <w:r>
        <w:rPr>
          <w:rFonts w:hint="eastAsia" w:ascii="Calibri" w:hAnsi="Calibri" w:eastAsia="宋体" w:cs="Times New Roman"/>
          <w:b/>
          <w:bCs/>
          <w:color w:val="auto"/>
          <w:highlight w:val="none"/>
        </w:rPr>
        <w:t>、项目成员能力分……………………………………………………………………………</w:t>
      </w:r>
      <w:r>
        <w:rPr>
          <w:rFonts w:hint="eastAsia" w:ascii="Calibri" w:hAnsi="Calibri" w:cs="Times New Roman"/>
          <w:b/>
          <w:bCs/>
          <w:color w:val="auto"/>
          <w:highlight w:val="none"/>
          <w:lang w:eastAsia="zh-CN"/>
        </w:rPr>
        <w:t>（</w:t>
      </w:r>
      <w:r>
        <w:rPr>
          <w:rFonts w:hint="eastAsia" w:ascii="Calibri" w:hAnsi="Calibri" w:cs="Times New Roman"/>
          <w:b/>
          <w:bCs/>
          <w:color w:val="auto"/>
          <w:highlight w:val="none"/>
          <w:lang w:val="en-US" w:eastAsia="zh-CN"/>
        </w:rPr>
        <w:t>18</w:t>
      </w:r>
      <w:r>
        <w:rPr>
          <w:rFonts w:hint="eastAsia" w:ascii="Calibri" w:hAnsi="Calibri" w:eastAsia="宋体" w:cs="Times New Roman"/>
          <w:b/>
          <w:bCs/>
          <w:color w:val="auto"/>
          <w:highlight w:val="none"/>
        </w:rPr>
        <w:t>分</w:t>
      </w:r>
      <w:r>
        <w:rPr>
          <w:rFonts w:hint="eastAsia" w:ascii="Calibri" w:hAnsi="Calibri" w:cs="Times New Roman"/>
          <w:b/>
          <w:bCs/>
          <w:color w:val="auto"/>
          <w:highlight w:val="none"/>
          <w:lang w:eastAsia="zh-CN"/>
        </w:rPr>
        <w:t>）</w:t>
      </w:r>
    </w:p>
    <w:p>
      <w:pPr>
        <w:keepNext w:val="0"/>
        <w:keepLines w:val="0"/>
        <w:pageBreakBefore w:val="0"/>
        <w:widowControl w:val="0"/>
        <w:kinsoku/>
        <w:wordWrap/>
        <w:overflowPunct/>
        <w:topLinePunct w:val="0"/>
        <w:autoSpaceDE/>
        <w:autoSpaceDN/>
        <w:bidi w:val="0"/>
        <w:spacing w:line="360" w:lineRule="auto"/>
        <w:ind w:firstLine="420" w:firstLineChars="200"/>
        <w:rPr>
          <w:rFonts w:hint="eastAsia" w:ascii="Calibri" w:hAnsi="Calibri" w:eastAsia="宋体" w:cs="Times New Roman"/>
          <w:color w:val="auto"/>
          <w:highlight w:val="none"/>
        </w:rPr>
      </w:pPr>
      <w:r>
        <w:rPr>
          <w:rFonts w:hint="eastAsia" w:ascii="Calibri" w:hAnsi="Calibri" w:eastAsia="宋体" w:cs="Times New Roman"/>
          <w:color w:val="auto"/>
          <w:highlight w:val="none"/>
          <w:lang w:val="en-US" w:eastAsia="zh-CN"/>
        </w:rPr>
        <w:t>针对本项目提供一名项目经理，负责组织、协调项目各项工作，并持有《注册信息安全专业人员（CISP）》、科来网络技术股份有限公司颁发的《科来授权服务工程师》认证证书、CCRC颁发的《数据安全评估师证书》，需提供有效的证书</w:t>
      </w:r>
      <w:r>
        <w:rPr>
          <w:rFonts w:hint="eastAsia" w:ascii="Calibri" w:hAnsi="Calibri" w:cs="Times New Roman"/>
          <w:color w:val="auto"/>
          <w:highlight w:val="none"/>
          <w:lang w:val="en-US" w:eastAsia="zh-CN"/>
        </w:rPr>
        <w:t>扫描件</w:t>
      </w:r>
      <w:r>
        <w:rPr>
          <w:rFonts w:hint="eastAsia" w:ascii="Calibri" w:hAnsi="Calibri" w:eastAsia="宋体" w:cs="Times New Roman"/>
          <w:color w:val="auto"/>
          <w:highlight w:val="none"/>
          <w:lang w:val="en-US" w:eastAsia="zh-CN"/>
        </w:rPr>
        <w:t>及在供应商本单位的</w:t>
      </w:r>
      <w:r>
        <w:rPr>
          <w:rFonts w:hint="eastAsia" w:ascii="Calibri" w:hAnsi="Calibri" w:cs="Times New Roman"/>
          <w:color w:val="auto"/>
          <w:highlight w:val="none"/>
          <w:lang w:val="en-US" w:eastAsia="zh-CN"/>
        </w:rPr>
        <w:t>劳动合同或工资发放银行流水或本年度任意一个</w:t>
      </w:r>
      <w:r>
        <w:rPr>
          <w:rFonts w:hint="eastAsia" w:ascii="Calibri" w:hAnsi="Calibri" w:eastAsia="宋体" w:cs="Times New Roman"/>
          <w:color w:val="auto"/>
          <w:highlight w:val="none"/>
          <w:lang w:val="en-US" w:eastAsia="zh-CN"/>
        </w:rPr>
        <w:t>月社保材料并加盖公章，每提供一个证书得</w:t>
      </w:r>
      <w:r>
        <w:rPr>
          <w:rFonts w:hint="eastAsia" w:ascii="Calibri" w:hAnsi="Calibri" w:cs="Times New Roman"/>
          <w:color w:val="auto"/>
          <w:highlight w:val="none"/>
          <w:lang w:val="en-US" w:eastAsia="zh-CN"/>
        </w:rPr>
        <w:t>6</w:t>
      </w:r>
      <w:r>
        <w:rPr>
          <w:rFonts w:hint="eastAsia" w:ascii="Calibri" w:hAnsi="Calibri" w:eastAsia="宋体" w:cs="Times New Roman"/>
          <w:color w:val="auto"/>
          <w:highlight w:val="none"/>
          <w:lang w:val="en-US" w:eastAsia="zh-CN"/>
        </w:rPr>
        <w:t>分。</w:t>
      </w:r>
    </w:p>
    <w:p>
      <w:pPr>
        <w:keepNext w:val="0"/>
        <w:keepLines w:val="0"/>
        <w:pageBreakBefore w:val="0"/>
        <w:widowControl w:val="0"/>
        <w:kinsoku/>
        <w:wordWrap/>
        <w:overflowPunct/>
        <w:topLinePunct w:val="0"/>
        <w:autoSpaceDE/>
        <w:autoSpaceDN/>
        <w:bidi w:val="0"/>
        <w:spacing w:line="360" w:lineRule="auto"/>
        <w:rPr>
          <w:rFonts w:hint="eastAsia" w:ascii="Calibri" w:hAnsi="Calibri" w:eastAsia="宋体" w:cs="Times New Roman"/>
          <w:b/>
          <w:bCs/>
          <w:color w:val="auto"/>
          <w:highlight w:val="none"/>
        </w:rPr>
      </w:pPr>
      <w:r>
        <w:rPr>
          <w:rFonts w:hint="eastAsia" w:ascii="Calibri" w:hAnsi="Calibri" w:cs="Times New Roman"/>
          <w:b/>
          <w:bCs/>
          <w:color w:val="auto"/>
          <w:highlight w:val="none"/>
          <w:lang w:val="en-US" w:eastAsia="zh-CN"/>
        </w:rPr>
        <w:t>7</w:t>
      </w:r>
      <w:r>
        <w:rPr>
          <w:rFonts w:hint="eastAsia" w:ascii="Calibri" w:hAnsi="Calibri" w:eastAsia="宋体" w:cs="Times New Roman"/>
          <w:b/>
          <w:bCs/>
          <w:color w:val="auto"/>
          <w:highlight w:val="none"/>
        </w:rPr>
        <w:t>、业绩能力分…………………………………………………………………………………</w:t>
      </w:r>
      <w:r>
        <w:rPr>
          <w:rFonts w:hint="eastAsia" w:ascii="Calibri" w:hAnsi="Calibri" w:cs="Times New Roman"/>
          <w:b/>
          <w:bCs/>
          <w:color w:val="auto"/>
          <w:highlight w:val="none"/>
          <w:lang w:eastAsia="zh-CN"/>
        </w:rPr>
        <w:t>（</w:t>
      </w:r>
      <w:r>
        <w:rPr>
          <w:rFonts w:hint="eastAsia" w:ascii="Calibri" w:hAnsi="Calibri" w:eastAsia="宋体" w:cs="Times New Roman"/>
          <w:b/>
          <w:bCs/>
          <w:color w:val="auto"/>
          <w:highlight w:val="none"/>
        </w:rPr>
        <w:t>3分</w:t>
      </w:r>
      <w:r>
        <w:rPr>
          <w:rFonts w:hint="eastAsia" w:ascii="Calibri" w:hAnsi="Calibri" w:cs="Times New Roman"/>
          <w:b/>
          <w:bCs/>
          <w:color w:val="auto"/>
          <w:highlight w:val="none"/>
          <w:lang w:eastAsia="zh-CN"/>
        </w:rPr>
        <w:t>）</w:t>
      </w:r>
    </w:p>
    <w:p>
      <w:pPr>
        <w:keepNext w:val="0"/>
        <w:keepLines w:val="0"/>
        <w:pageBreakBefore w:val="0"/>
        <w:widowControl w:val="0"/>
        <w:kinsoku/>
        <w:wordWrap/>
        <w:overflowPunct/>
        <w:topLinePunct w:val="0"/>
        <w:autoSpaceDE/>
        <w:autoSpaceDN/>
        <w:bidi w:val="0"/>
        <w:spacing w:line="360" w:lineRule="auto"/>
        <w:ind w:firstLine="420" w:firstLineChars="200"/>
        <w:rPr>
          <w:rFonts w:hint="eastAsia" w:ascii="Calibri" w:hAnsi="Calibri" w:eastAsia="宋体" w:cs="Times New Roman"/>
          <w:color w:val="auto"/>
          <w:highlight w:val="none"/>
        </w:rPr>
      </w:pPr>
      <w:r>
        <w:rPr>
          <w:rFonts w:hint="eastAsia" w:ascii="Calibri" w:hAnsi="Calibri" w:eastAsia="宋体" w:cs="Times New Roman"/>
          <w:color w:val="auto"/>
          <w:highlight w:val="none"/>
        </w:rPr>
        <w:t>202</w:t>
      </w:r>
      <w:r>
        <w:rPr>
          <w:rFonts w:hint="eastAsia" w:ascii="Calibri" w:hAnsi="Calibri" w:eastAsia="宋体" w:cs="Times New Roman"/>
          <w:color w:val="auto"/>
          <w:highlight w:val="none"/>
          <w:lang w:val="en-US" w:eastAsia="zh-CN"/>
        </w:rPr>
        <w:t>2</w:t>
      </w:r>
      <w:r>
        <w:rPr>
          <w:rFonts w:hint="eastAsia" w:ascii="Calibri" w:hAnsi="Calibri" w:eastAsia="宋体" w:cs="Times New Roman"/>
          <w:color w:val="auto"/>
          <w:highlight w:val="none"/>
        </w:rPr>
        <w:t>年1月1日起至今，</w:t>
      </w:r>
      <w:r>
        <w:rPr>
          <w:rFonts w:hint="eastAsia" w:ascii="Calibri" w:hAnsi="Calibri" w:eastAsia="宋体" w:cs="Times New Roman"/>
          <w:color w:val="auto"/>
          <w:highlight w:val="none"/>
          <w:lang w:eastAsia="zh-CN"/>
        </w:rPr>
        <w:t>供应商</w:t>
      </w:r>
      <w:r>
        <w:rPr>
          <w:rFonts w:hint="eastAsia" w:ascii="Calibri" w:hAnsi="Calibri" w:eastAsia="宋体" w:cs="Times New Roman"/>
          <w:color w:val="auto"/>
          <w:highlight w:val="none"/>
        </w:rPr>
        <w:t>具有运维服务</w:t>
      </w:r>
      <w:r>
        <w:rPr>
          <w:rFonts w:hint="eastAsia" w:ascii="Calibri" w:hAnsi="Calibri" w:eastAsia="宋体" w:cs="Times New Roman"/>
          <w:color w:val="auto"/>
          <w:highlight w:val="none"/>
          <w:lang w:val="en-US" w:eastAsia="zh-CN"/>
        </w:rPr>
        <w:t>或安全信息化</w:t>
      </w:r>
      <w:r>
        <w:rPr>
          <w:rFonts w:hint="eastAsia" w:ascii="Calibri" w:hAnsi="Calibri" w:eastAsia="宋体" w:cs="Times New Roman"/>
          <w:color w:val="auto"/>
          <w:highlight w:val="none"/>
        </w:rPr>
        <w:t>项目业绩，每个得1分，满分3分。提供合同</w:t>
      </w:r>
      <w:r>
        <w:rPr>
          <w:rFonts w:hint="eastAsia" w:ascii="Calibri" w:hAnsi="Calibri" w:cs="Times New Roman"/>
          <w:color w:val="auto"/>
          <w:highlight w:val="none"/>
          <w:lang w:eastAsia="zh-CN"/>
        </w:rPr>
        <w:t>扫描件</w:t>
      </w:r>
      <w:r>
        <w:rPr>
          <w:rFonts w:hint="eastAsia" w:ascii="Calibri" w:hAnsi="Calibri" w:eastAsia="宋体" w:cs="Times New Roman"/>
          <w:color w:val="auto"/>
          <w:highlight w:val="none"/>
        </w:rPr>
        <w:t>，并加盖</w:t>
      </w:r>
      <w:r>
        <w:rPr>
          <w:rFonts w:hint="eastAsia" w:ascii="Calibri" w:hAnsi="Calibri" w:eastAsia="宋体" w:cs="Times New Roman"/>
          <w:color w:val="auto"/>
          <w:highlight w:val="none"/>
          <w:lang w:eastAsia="zh-CN"/>
        </w:rPr>
        <w:t>供应商</w:t>
      </w:r>
      <w:r>
        <w:rPr>
          <w:rFonts w:hint="eastAsia" w:ascii="Calibri" w:hAnsi="Calibri" w:eastAsia="宋体" w:cs="Times New Roman"/>
          <w:color w:val="auto"/>
          <w:highlight w:val="none"/>
        </w:rPr>
        <w:t>公章。</w:t>
      </w:r>
    </w:p>
    <w:p>
      <w:pPr>
        <w:keepNext w:val="0"/>
        <w:keepLines w:val="0"/>
        <w:pageBreakBefore w:val="0"/>
        <w:widowControl w:val="0"/>
        <w:kinsoku/>
        <w:wordWrap/>
        <w:overflowPunct/>
        <w:topLinePunct w:val="0"/>
        <w:autoSpaceDE/>
        <w:autoSpaceDN/>
        <w:bidi w:val="0"/>
        <w:spacing w:line="360" w:lineRule="auto"/>
        <w:ind w:firstLine="420" w:firstLineChars="200"/>
        <w:rPr>
          <w:rFonts w:ascii="Calibri" w:hAnsi="Calibri" w:eastAsia="宋体" w:cs="Times New Roman"/>
          <w:color w:val="auto"/>
          <w:highlight w:val="none"/>
        </w:rPr>
      </w:pPr>
      <w:r>
        <w:rPr>
          <w:rFonts w:hint="eastAsia" w:ascii="Calibri" w:hAnsi="Calibri" w:eastAsia="宋体" w:cs="Times New Roman"/>
          <w:color w:val="auto"/>
          <w:highlight w:val="none"/>
        </w:rPr>
        <w:t>总得分=1 + 2 + 3 + 4 + 5 + 6 + 7  。</w:t>
      </w:r>
    </w:p>
    <w:p>
      <w:pPr>
        <w:keepNext w:val="0"/>
        <w:keepLines w:val="0"/>
        <w:pageBreakBefore w:val="0"/>
        <w:widowControl w:val="0"/>
        <w:kinsoku/>
        <w:wordWrap/>
        <w:overflowPunct/>
        <w:topLinePunct w:val="0"/>
        <w:autoSpaceDE/>
        <w:autoSpaceDN/>
        <w:bidi w:val="0"/>
        <w:snapToGrid w:val="0"/>
        <w:spacing w:line="360" w:lineRule="auto"/>
        <w:jc w:val="left"/>
        <w:rPr>
          <w:rFonts w:hint="eastAsia" w:ascii="宋体" w:hAnsi="宋体" w:eastAsia="宋体" w:cs="宋体"/>
          <w:color w:val="auto"/>
          <w:kern w:val="0"/>
          <w:sz w:val="21"/>
          <w:szCs w:val="21"/>
          <w:lang w:val="en-US" w:eastAsia="zh-CN" w:bidi="ar-SA"/>
        </w:rPr>
      </w:pPr>
    </w:p>
    <w:p>
      <w:pPr>
        <w:keepNext w:val="0"/>
        <w:keepLines w:val="0"/>
        <w:pageBreakBefore w:val="0"/>
        <w:widowControl w:val="0"/>
        <w:kinsoku/>
        <w:wordWrap/>
        <w:overflowPunct/>
        <w:topLinePunct w:val="0"/>
        <w:autoSpaceDE/>
        <w:autoSpaceDN/>
        <w:bidi w:val="0"/>
        <w:snapToGrid w:val="0"/>
        <w:spacing w:line="360" w:lineRule="auto"/>
        <w:jc w:val="left"/>
        <w:rPr>
          <w:rFonts w:hint="eastAsia" w:ascii="宋体" w:hAnsi="宋体" w:eastAsia="宋体" w:cs="宋体"/>
          <w:color w:val="auto"/>
          <w:kern w:val="0"/>
          <w:sz w:val="21"/>
          <w:szCs w:val="21"/>
          <w:lang w:val="en-US" w:eastAsia="zh-CN" w:bidi="ar-SA"/>
        </w:rPr>
      </w:pPr>
    </w:p>
    <w:p>
      <w:pPr>
        <w:keepNext w:val="0"/>
        <w:keepLines w:val="0"/>
        <w:pageBreakBefore w:val="0"/>
        <w:widowControl w:val="0"/>
        <w:kinsoku/>
        <w:wordWrap/>
        <w:overflowPunct/>
        <w:topLinePunct w:val="0"/>
        <w:autoSpaceDE/>
        <w:autoSpaceDN/>
        <w:bidi w:val="0"/>
        <w:snapToGrid w:val="0"/>
        <w:spacing w:line="360" w:lineRule="auto"/>
        <w:jc w:val="left"/>
        <w:rPr>
          <w:rFonts w:hint="default" w:ascii="宋体" w:hAnsi="宋体" w:eastAsia="宋体" w:cs="宋体"/>
          <w:b/>
          <w:bCs/>
          <w:color w:val="auto"/>
          <w:kern w:val="0"/>
          <w:sz w:val="24"/>
          <w:szCs w:val="24"/>
          <w:lang w:val="en-US" w:eastAsia="zh-CN" w:bidi="ar-SA"/>
        </w:rPr>
      </w:pPr>
      <w:r>
        <w:rPr>
          <w:rFonts w:hint="eastAsia" w:ascii="宋体" w:hAnsi="宋体" w:eastAsia="宋体" w:cs="宋体"/>
          <w:b/>
          <w:bCs/>
          <w:color w:val="auto"/>
          <w:kern w:val="0"/>
          <w:sz w:val="24"/>
          <w:szCs w:val="24"/>
          <w:lang w:val="en-US" w:eastAsia="zh-CN" w:bidi="ar-SA"/>
        </w:rPr>
        <w:t>分标4：</w:t>
      </w:r>
    </w:p>
    <w:p>
      <w:pPr>
        <w:keepNext w:val="0"/>
        <w:keepLines w:val="0"/>
        <w:pageBreakBefore w:val="0"/>
        <w:widowControl w:val="0"/>
        <w:kinsoku/>
        <w:wordWrap/>
        <w:overflowPunct/>
        <w:topLinePunct w:val="0"/>
        <w:autoSpaceDE/>
        <w:autoSpaceDN/>
        <w:bidi w:val="0"/>
        <w:spacing w:line="360" w:lineRule="auto"/>
        <w:rPr>
          <w:rFonts w:ascii="Calibri" w:hAnsi="Calibri" w:cs="Times New Roman"/>
          <w:b/>
          <w:bCs/>
          <w:color w:val="auto"/>
          <w:szCs w:val="24"/>
        </w:rPr>
      </w:pPr>
      <w:r>
        <w:rPr>
          <w:rFonts w:hint="default" w:ascii="Calibri" w:hAnsi="Calibri" w:cs="Times New Roman"/>
          <w:b/>
          <w:bCs/>
          <w:color w:val="auto"/>
          <w:szCs w:val="24"/>
        </w:rPr>
        <w:t>1、价格分……………………………………………………………………………………………………20分</w:t>
      </w:r>
    </w:p>
    <w:p>
      <w:pPr>
        <w:keepNext w:val="0"/>
        <w:keepLines w:val="0"/>
        <w:pageBreakBefore w:val="0"/>
        <w:widowControl w:val="0"/>
        <w:kinsoku/>
        <w:wordWrap/>
        <w:overflowPunct/>
        <w:topLinePunct w:val="0"/>
        <w:autoSpaceDE/>
        <w:autoSpaceDN/>
        <w:bidi w:val="0"/>
        <w:adjustRightInd w:val="0"/>
        <w:spacing w:line="360" w:lineRule="auto"/>
        <w:ind w:firstLine="420" w:firstLineChars="200"/>
        <w:textAlignment w:val="baseline"/>
        <w:rPr>
          <w:rFonts w:hint="eastAsia" w:ascii="宋体" w:hAnsi="宋体" w:cs="宋体"/>
          <w:bCs/>
          <w:color w:val="auto"/>
          <w:kern w:val="0"/>
          <w:szCs w:val="21"/>
        </w:rPr>
      </w:pPr>
      <w:r>
        <w:rPr>
          <w:rFonts w:hint="eastAsia" w:ascii="宋体" w:hAnsi="宋体" w:cs="宋体"/>
          <w:bCs/>
          <w:color w:val="auto"/>
          <w:kern w:val="0"/>
          <w:szCs w:val="21"/>
        </w:rPr>
        <w:t>1</w:t>
      </w:r>
      <w:r>
        <w:rPr>
          <w:rFonts w:hint="eastAsia" w:ascii="宋体" w:hAnsi="宋体" w:cs="宋体"/>
          <w:bCs/>
          <w:color w:val="auto"/>
          <w:kern w:val="0"/>
          <w:szCs w:val="21"/>
          <w:lang w:eastAsia="zh-CN"/>
        </w:rPr>
        <w:t>）</w:t>
      </w:r>
      <w:r>
        <w:rPr>
          <w:rFonts w:hint="eastAsia" w:ascii="宋体" w:hAnsi="宋体" w:cs="宋体"/>
          <w:bCs/>
          <w:color w:val="auto"/>
          <w:kern w:val="0"/>
          <w:szCs w:val="21"/>
        </w:rPr>
        <w:t>.评审报价为供应商的最后报价进行政策性扣除后的价格，评审报价只是作为评审时使用。最终成交供应商的成交金额等于最后报价（如有修正，以确认修正后的最后报价为准）。</w:t>
      </w:r>
    </w:p>
    <w:p>
      <w:pPr>
        <w:keepNext w:val="0"/>
        <w:keepLines w:val="0"/>
        <w:pageBreakBefore w:val="0"/>
        <w:widowControl w:val="0"/>
        <w:kinsoku/>
        <w:wordWrap/>
        <w:overflowPunct/>
        <w:topLinePunct w:val="0"/>
        <w:autoSpaceDE/>
        <w:autoSpaceDN/>
        <w:bidi w:val="0"/>
        <w:adjustRightInd w:val="0"/>
        <w:spacing w:line="360" w:lineRule="auto"/>
        <w:ind w:firstLine="420" w:firstLineChars="200"/>
        <w:textAlignment w:val="baseline"/>
        <w:rPr>
          <w:rFonts w:hint="eastAsia" w:ascii="宋体" w:hAnsi="宋体" w:cs="宋体"/>
          <w:bCs/>
          <w:color w:val="auto"/>
          <w:kern w:val="0"/>
          <w:szCs w:val="21"/>
        </w:rPr>
      </w:pPr>
      <w:r>
        <w:rPr>
          <w:rFonts w:hint="eastAsia" w:ascii="宋体" w:hAnsi="宋体" w:cs="宋体"/>
          <w:bCs/>
          <w:color w:val="auto"/>
          <w:kern w:val="0"/>
          <w:szCs w:val="21"/>
        </w:rPr>
        <w:t>2</w:t>
      </w:r>
      <w:r>
        <w:rPr>
          <w:rFonts w:hint="eastAsia" w:ascii="宋体" w:hAnsi="宋体" w:cs="宋体"/>
          <w:bCs/>
          <w:color w:val="auto"/>
          <w:kern w:val="0"/>
          <w:szCs w:val="21"/>
          <w:lang w:eastAsia="zh-CN"/>
        </w:rPr>
        <w:t>）</w:t>
      </w:r>
      <w:r>
        <w:rPr>
          <w:rFonts w:hint="eastAsia" w:ascii="宋体" w:hAnsi="宋体" w:cs="宋体"/>
          <w:bCs/>
          <w:color w:val="auto"/>
          <w:kern w:val="0"/>
          <w:szCs w:val="21"/>
        </w:rPr>
        <w:t>.政府采购政策性扣除计算方法</w:t>
      </w:r>
    </w:p>
    <w:p>
      <w:pPr>
        <w:keepNext w:val="0"/>
        <w:keepLines w:val="0"/>
        <w:pageBreakBefore w:val="0"/>
        <w:widowControl w:val="0"/>
        <w:kinsoku/>
        <w:wordWrap/>
        <w:overflowPunct/>
        <w:topLinePunct w:val="0"/>
        <w:autoSpaceDE/>
        <w:autoSpaceDN/>
        <w:bidi w:val="0"/>
        <w:adjustRightInd w:val="0"/>
        <w:spacing w:line="360" w:lineRule="auto"/>
        <w:ind w:firstLine="420" w:firstLineChars="200"/>
        <w:textAlignment w:val="baseline"/>
        <w:rPr>
          <w:rFonts w:hint="eastAsia" w:ascii="宋体" w:hAnsi="宋体" w:cs="宋体"/>
          <w:bCs/>
          <w:color w:val="auto"/>
          <w:kern w:val="0"/>
          <w:szCs w:val="21"/>
        </w:rPr>
      </w:pPr>
      <w:r>
        <w:rPr>
          <w:rFonts w:hint="eastAsia" w:ascii="宋体" w:hAnsi="宋体" w:cs="宋体"/>
          <w:bCs/>
          <w:color w:val="auto"/>
          <w:kern w:val="0"/>
          <w:szCs w:val="21"/>
        </w:rPr>
        <w:t>（1）按照《政府采购促进中小企业发展管理办法》（财库〔2020〕46号）及《广西壮族自治区财政厅关于贯彻落实政府采购支持中小企业发展政策的通知》（桂财采〔2022〕31号）的规定，供应商在其响应文件中提供《中小企业声明函》，且服务全部由符合政策要求的小型、微型企业承接的，对其最后报价给予</w:t>
      </w:r>
      <w:r>
        <w:rPr>
          <w:rFonts w:hint="eastAsia" w:ascii="宋体" w:hAnsi="宋体" w:cs="宋体"/>
          <w:bCs/>
          <w:color w:val="auto"/>
          <w:kern w:val="0"/>
          <w:szCs w:val="21"/>
          <w:lang w:val="en-US" w:eastAsia="zh-CN"/>
        </w:rPr>
        <w:t>1</w:t>
      </w:r>
      <w:r>
        <w:rPr>
          <w:rFonts w:hint="eastAsia" w:ascii="宋体" w:hAnsi="宋体" w:cs="宋体"/>
          <w:bCs/>
          <w:color w:val="auto"/>
          <w:kern w:val="0"/>
          <w:szCs w:val="21"/>
        </w:rPr>
        <w:t>0%的扣除。</w:t>
      </w:r>
    </w:p>
    <w:p>
      <w:pPr>
        <w:keepNext w:val="0"/>
        <w:keepLines w:val="0"/>
        <w:pageBreakBefore w:val="0"/>
        <w:widowControl w:val="0"/>
        <w:kinsoku/>
        <w:wordWrap/>
        <w:overflowPunct/>
        <w:topLinePunct w:val="0"/>
        <w:autoSpaceDE/>
        <w:autoSpaceDN/>
        <w:bidi w:val="0"/>
        <w:adjustRightInd w:val="0"/>
        <w:spacing w:line="360" w:lineRule="auto"/>
        <w:ind w:firstLine="420" w:firstLineChars="200"/>
        <w:textAlignment w:val="baseline"/>
        <w:rPr>
          <w:rFonts w:hint="eastAsia" w:ascii="宋体" w:hAnsi="宋体" w:cs="宋体"/>
          <w:bCs/>
          <w:color w:val="auto"/>
          <w:kern w:val="0"/>
          <w:szCs w:val="21"/>
        </w:rPr>
      </w:pPr>
      <w:r>
        <w:rPr>
          <w:rFonts w:hint="eastAsia" w:ascii="宋体" w:hAnsi="宋体" w:cs="宋体"/>
          <w:bCs/>
          <w:color w:val="auto"/>
          <w:kern w:val="0"/>
          <w:szCs w:val="21"/>
        </w:rPr>
        <w:t>（2）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pPr>
        <w:keepNext w:val="0"/>
        <w:keepLines w:val="0"/>
        <w:pageBreakBefore w:val="0"/>
        <w:widowControl w:val="0"/>
        <w:kinsoku/>
        <w:wordWrap/>
        <w:overflowPunct/>
        <w:topLinePunct w:val="0"/>
        <w:autoSpaceDE/>
        <w:autoSpaceDN/>
        <w:bidi w:val="0"/>
        <w:adjustRightInd w:val="0"/>
        <w:spacing w:line="360" w:lineRule="auto"/>
        <w:ind w:firstLine="420" w:firstLineChars="200"/>
        <w:textAlignment w:val="baseline"/>
        <w:rPr>
          <w:rFonts w:hint="eastAsia" w:ascii="宋体" w:hAnsi="宋体" w:cs="宋体"/>
          <w:bCs/>
          <w:color w:val="auto"/>
          <w:kern w:val="0"/>
          <w:szCs w:val="21"/>
        </w:rPr>
      </w:pPr>
      <w:r>
        <w:rPr>
          <w:rFonts w:hint="eastAsia" w:ascii="宋体" w:hAnsi="宋体" w:cs="宋体"/>
          <w:bCs/>
          <w:color w:val="auto"/>
          <w:kern w:val="0"/>
          <w:szCs w:val="21"/>
        </w:rPr>
        <w:t>（3）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pPr>
        <w:keepNext w:val="0"/>
        <w:keepLines w:val="0"/>
        <w:pageBreakBefore w:val="0"/>
        <w:widowControl w:val="0"/>
        <w:kinsoku/>
        <w:wordWrap/>
        <w:overflowPunct/>
        <w:topLinePunct w:val="0"/>
        <w:autoSpaceDE/>
        <w:autoSpaceDN/>
        <w:bidi w:val="0"/>
        <w:adjustRightInd w:val="0"/>
        <w:spacing w:line="360" w:lineRule="auto"/>
        <w:ind w:firstLine="420" w:firstLineChars="200"/>
        <w:textAlignment w:val="baseline"/>
        <w:rPr>
          <w:rFonts w:hint="eastAsia" w:ascii="宋体" w:hAnsi="宋体" w:cs="宋体"/>
          <w:bCs/>
          <w:color w:val="auto"/>
          <w:kern w:val="0"/>
          <w:szCs w:val="21"/>
        </w:rPr>
      </w:pPr>
      <w:r>
        <w:rPr>
          <w:rFonts w:hint="eastAsia" w:ascii="宋体" w:hAnsi="宋体" w:cs="宋体"/>
          <w:bCs/>
          <w:color w:val="auto"/>
          <w:kern w:val="0"/>
          <w:szCs w:val="21"/>
        </w:rPr>
        <w:t>（4）政策性扣除计算方法。</w:t>
      </w:r>
    </w:p>
    <w:p>
      <w:pPr>
        <w:keepNext w:val="0"/>
        <w:keepLines w:val="0"/>
        <w:pageBreakBefore w:val="0"/>
        <w:widowControl w:val="0"/>
        <w:kinsoku/>
        <w:wordWrap/>
        <w:overflowPunct/>
        <w:topLinePunct w:val="0"/>
        <w:autoSpaceDE/>
        <w:autoSpaceDN/>
        <w:bidi w:val="0"/>
        <w:adjustRightInd w:val="0"/>
        <w:spacing w:line="360" w:lineRule="auto"/>
        <w:ind w:firstLine="420" w:firstLineChars="200"/>
        <w:textAlignment w:val="baseline"/>
        <w:rPr>
          <w:rFonts w:hint="eastAsia" w:ascii="宋体" w:hAnsi="宋体" w:cs="宋体"/>
          <w:bCs/>
          <w:color w:val="auto"/>
          <w:kern w:val="0"/>
          <w:szCs w:val="21"/>
        </w:rPr>
      </w:pPr>
      <w:r>
        <w:rPr>
          <w:rFonts w:hint="eastAsia" w:ascii="宋体" w:hAnsi="宋体" w:cs="宋体"/>
          <w:bCs/>
          <w:color w:val="auto"/>
          <w:kern w:val="0"/>
          <w:szCs w:val="21"/>
        </w:rPr>
        <w:t>供应商被评定为监狱企业或者残疾人福利性单位或者其服务全部由符合政策要求的小型、微型企业承接的，该供应商的最后报价给予</w:t>
      </w:r>
      <w:r>
        <w:rPr>
          <w:rFonts w:hint="eastAsia" w:ascii="宋体" w:hAnsi="宋体" w:cs="宋体"/>
          <w:bCs/>
          <w:color w:val="auto"/>
          <w:kern w:val="0"/>
          <w:szCs w:val="21"/>
          <w:lang w:val="en-US" w:eastAsia="zh-CN"/>
        </w:rPr>
        <w:t>10</w:t>
      </w:r>
      <w:r>
        <w:rPr>
          <w:rFonts w:hint="eastAsia" w:ascii="宋体" w:hAnsi="宋体" w:cs="宋体"/>
          <w:bCs/>
          <w:color w:val="auto"/>
          <w:kern w:val="0"/>
          <w:szCs w:val="21"/>
        </w:rPr>
        <w:t>%的扣除，扣除后的价格为评审报价，即评审报价=最后报价×（1-</w:t>
      </w:r>
      <w:r>
        <w:rPr>
          <w:rFonts w:hint="eastAsia" w:ascii="宋体" w:hAnsi="宋体" w:cs="宋体"/>
          <w:bCs/>
          <w:color w:val="auto"/>
          <w:kern w:val="0"/>
          <w:szCs w:val="21"/>
          <w:lang w:val="en-US" w:eastAsia="zh-CN"/>
        </w:rPr>
        <w:t>1</w:t>
      </w:r>
      <w:r>
        <w:rPr>
          <w:rFonts w:hint="eastAsia" w:ascii="宋体" w:hAnsi="宋体" w:cs="宋体"/>
          <w:bCs/>
          <w:color w:val="auto"/>
          <w:kern w:val="0"/>
          <w:szCs w:val="21"/>
        </w:rPr>
        <w:t>0%）；接受大中型企业与小微企业组成联合体或者允许大中型企业向一家或者多家小微企业分包的采购项目，对于联合协议或者分包意向协议约定小微企业的合同份额占到合同总金额 30%以上的，对联合体或者大中型企业的报价给予6%的扣除，用扣除后的价格参加评审，扣除后的价格为评审报价，即评审报价=最后报价×（1-6%）。</w:t>
      </w:r>
    </w:p>
    <w:p>
      <w:pPr>
        <w:keepNext w:val="0"/>
        <w:keepLines w:val="0"/>
        <w:pageBreakBefore w:val="0"/>
        <w:widowControl w:val="0"/>
        <w:kinsoku/>
        <w:wordWrap/>
        <w:overflowPunct/>
        <w:topLinePunct w:val="0"/>
        <w:autoSpaceDE/>
        <w:autoSpaceDN/>
        <w:bidi w:val="0"/>
        <w:adjustRightInd w:val="0"/>
        <w:spacing w:line="360" w:lineRule="auto"/>
        <w:ind w:firstLine="420" w:firstLineChars="200"/>
        <w:textAlignment w:val="baseline"/>
        <w:rPr>
          <w:rFonts w:hint="eastAsia" w:ascii="宋体" w:hAnsi="宋体" w:cs="宋体"/>
          <w:bCs/>
          <w:color w:val="auto"/>
          <w:kern w:val="0"/>
          <w:szCs w:val="21"/>
        </w:rPr>
      </w:pPr>
      <w:r>
        <w:rPr>
          <w:rFonts w:hint="eastAsia" w:ascii="宋体" w:hAnsi="宋体" w:cs="宋体"/>
          <w:bCs/>
          <w:color w:val="auto"/>
          <w:kern w:val="0"/>
          <w:szCs w:val="21"/>
        </w:rPr>
        <w:t>（5）除上述情况外，评审报价＝最后报价。</w:t>
      </w:r>
    </w:p>
    <w:p>
      <w:pPr>
        <w:keepNext w:val="0"/>
        <w:keepLines w:val="0"/>
        <w:pageBreakBefore w:val="0"/>
        <w:widowControl w:val="0"/>
        <w:kinsoku/>
        <w:wordWrap/>
        <w:overflowPunct/>
        <w:topLinePunct w:val="0"/>
        <w:autoSpaceDE/>
        <w:autoSpaceDN/>
        <w:bidi w:val="0"/>
        <w:adjustRightInd w:val="0"/>
        <w:spacing w:line="360" w:lineRule="auto"/>
        <w:ind w:firstLine="420" w:firstLineChars="200"/>
        <w:textAlignment w:val="baseline"/>
        <w:rPr>
          <w:rFonts w:hint="eastAsia" w:ascii="宋体" w:hAnsi="宋体" w:cs="宋体"/>
          <w:bCs/>
          <w:color w:val="auto"/>
          <w:kern w:val="0"/>
          <w:szCs w:val="21"/>
        </w:rPr>
      </w:pPr>
      <w:r>
        <w:rPr>
          <w:rFonts w:hint="eastAsia" w:ascii="宋体" w:hAnsi="宋体" w:cs="宋体"/>
          <w:bCs/>
          <w:color w:val="auto"/>
          <w:kern w:val="0"/>
          <w:szCs w:val="21"/>
        </w:rPr>
        <w:t>（6）以进入比较与评价环节的最低的评审报价为基准价，基准价得分为</w:t>
      </w:r>
      <w:r>
        <w:rPr>
          <w:rFonts w:hint="eastAsia" w:ascii="宋体" w:hAnsi="宋体" w:cs="宋体"/>
          <w:bCs/>
          <w:color w:val="auto"/>
          <w:kern w:val="0"/>
          <w:szCs w:val="21"/>
          <w:lang w:val="en-US" w:eastAsia="zh-CN"/>
        </w:rPr>
        <w:t>20</w:t>
      </w:r>
      <w:r>
        <w:rPr>
          <w:rFonts w:hint="eastAsia" w:ascii="宋体" w:hAnsi="宋体" w:cs="宋体"/>
          <w:bCs/>
          <w:color w:val="auto"/>
          <w:kern w:val="0"/>
          <w:szCs w:val="21"/>
        </w:rPr>
        <w:t>分。</w:t>
      </w:r>
    </w:p>
    <w:p>
      <w:pPr>
        <w:keepNext w:val="0"/>
        <w:keepLines w:val="0"/>
        <w:pageBreakBefore w:val="0"/>
        <w:widowControl w:val="0"/>
        <w:kinsoku/>
        <w:wordWrap/>
        <w:overflowPunct/>
        <w:topLinePunct w:val="0"/>
        <w:autoSpaceDE/>
        <w:autoSpaceDN/>
        <w:bidi w:val="0"/>
        <w:adjustRightInd w:val="0"/>
        <w:spacing w:line="360" w:lineRule="auto"/>
        <w:ind w:firstLine="420" w:firstLineChars="200"/>
        <w:textAlignment w:val="baseline"/>
        <w:rPr>
          <w:rFonts w:ascii="宋体" w:hAnsi="宋体" w:cs="宋体"/>
          <w:bCs/>
          <w:color w:val="auto"/>
          <w:kern w:val="0"/>
          <w:szCs w:val="21"/>
        </w:rPr>
      </w:pPr>
      <w:r>
        <w:rPr>
          <w:rFonts w:hint="eastAsia" w:ascii="宋体" w:hAnsi="宋体" w:cs="宋体"/>
          <w:bCs/>
          <w:color w:val="auto"/>
          <w:kern w:val="0"/>
          <w:szCs w:val="21"/>
        </w:rPr>
        <w:t>（7）价格分计算公式：报价得分=（基准价/评审报价）×</w:t>
      </w:r>
      <w:r>
        <w:rPr>
          <w:rFonts w:hint="eastAsia" w:ascii="宋体" w:hAnsi="宋体" w:cs="宋体"/>
          <w:bCs/>
          <w:color w:val="auto"/>
          <w:kern w:val="0"/>
          <w:szCs w:val="21"/>
          <w:lang w:val="en-US" w:eastAsia="zh-CN"/>
        </w:rPr>
        <w:t>20</w:t>
      </w:r>
      <w:r>
        <w:rPr>
          <w:rFonts w:hint="eastAsia" w:ascii="宋体" w:hAnsi="宋体" w:cs="宋体"/>
          <w:bCs/>
          <w:color w:val="auto"/>
          <w:kern w:val="0"/>
          <w:szCs w:val="21"/>
        </w:rPr>
        <w:t>分</w:t>
      </w:r>
    </w:p>
    <w:p>
      <w:pPr>
        <w:keepNext w:val="0"/>
        <w:keepLines w:val="0"/>
        <w:pageBreakBefore w:val="0"/>
        <w:widowControl w:val="0"/>
        <w:kinsoku/>
        <w:wordWrap/>
        <w:overflowPunct/>
        <w:topLinePunct w:val="0"/>
        <w:autoSpaceDE/>
        <w:autoSpaceDN/>
        <w:bidi w:val="0"/>
        <w:snapToGrid/>
        <w:spacing w:line="360" w:lineRule="auto"/>
        <w:outlineLvl w:val="9"/>
        <w:rPr>
          <w:rFonts w:ascii="Calibri" w:hAnsi="Calibri" w:cs="Times New Roman"/>
          <w:b/>
          <w:bCs/>
          <w:color w:val="auto"/>
          <w:szCs w:val="24"/>
        </w:rPr>
      </w:pPr>
      <w:r>
        <w:rPr>
          <w:rFonts w:hint="default" w:ascii="Calibri" w:hAnsi="Calibri" w:cs="Times New Roman"/>
          <w:b/>
          <w:bCs/>
          <w:color w:val="auto"/>
          <w:szCs w:val="24"/>
        </w:rPr>
        <w:t>2、技术分……………………………………………………………………………………………………</w:t>
      </w:r>
      <w:r>
        <w:rPr>
          <w:rFonts w:hint="eastAsia" w:ascii="Calibri" w:hAnsi="Calibri" w:cs="Times New Roman"/>
          <w:b/>
          <w:bCs/>
          <w:color w:val="auto"/>
          <w:szCs w:val="24"/>
          <w:lang w:val="en-US" w:eastAsia="zh-CN"/>
        </w:rPr>
        <w:t>70</w:t>
      </w:r>
      <w:r>
        <w:rPr>
          <w:rFonts w:hint="default" w:ascii="Calibri" w:hAnsi="Calibri" w:cs="Times New Roman"/>
          <w:b/>
          <w:bCs/>
          <w:color w:val="auto"/>
          <w:szCs w:val="24"/>
        </w:rPr>
        <w:t>分</w:t>
      </w:r>
    </w:p>
    <w:p>
      <w:pPr>
        <w:keepNext w:val="0"/>
        <w:keepLines w:val="0"/>
        <w:pageBreakBefore w:val="0"/>
        <w:widowControl w:val="0"/>
        <w:kinsoku/>
        <w:wordWrap/>
        <w:overflowPunct/>
        <w:topLinePunct w:val="0"/>
        <w:autoSpaceDE/>
        <w:autoSpaceDN/>
        <w:bidi w:val="0"/>
        <w:adjustRightInd w:val="0"/>
        <w:spacing w:line="360" w:lineRule="auto"/>
        <w:ind w:firstLine="422" w:firstLineChars="200"/>
        <w:textAlignment w:val="baseline"/>
        <w:rPr>
          <w:rFonts w:ascii="宋体" w:hAnsi="宋体" w:cs="宋体"/>
          <w:b/>
          <w:color w:val="auto"/>
          <w:kern w:val="0"/>
          <w:szCs w:val="21"/>
        </w:rPr>
      </w:pPr>
      <w:r>
        <w:rPr>
          <w:rFonts w:hint="eastAsia" w:ascii="宋体" w:hAnsi="宋体" w:cs="宋体"/>
          <w:b/>
          <w:color w:val="auto"/>
          <w:kern w:val="0"/>
          <w:szCs w:val="21"/>
        </w:rPr>
        <w:t>（</w:t>
      </w:r>
      <w:r>
        <w:rPr>
          <w:rFonts w:ascii="宋体" w:hAnsi="宋体" w:cs="宋体"/>
          <w:b/>
          <w:color w:val="auto"/>
          <w:kern w:val="0"/>
          <w:szCs w:val="21"/>
        </w:rPr>
        <w:t>1</w:t>
      </w:r>
      <w:r>
        <w:rPr>
          <w:rFonts w:hint="eastAsia" w:ascii="宋体" w:hAnsi="宋体" w:cs="宋体"/>
          <w:b/>
          <w:color w:val="auto"/>
          <w:kern w:val="0"/>
          <w:szCs w:val="21"/>
        </w:rPr>
        <w:t>）运维服务方案（满分</w:t>
      </w:r>
      <w:r>
        <w:rPr>
          <w:rFonts w:ascii="宋体" w:hAnsi="宋体" w:cs="宋体"/>
          <w:b/>
          <w:color w:val="auto"/>
          <w:kern w:val="0"/>
          <w:szCs w:val="21"/>
        </w:rPr>
        <w:t>40</w:t>
      </w:r>
      <w:r>
        <w:rPr>
          <w:rFonts w:hint="eastAsia" w:ascii="宋体" w:hAnsi="宋体" w:cs="宋体"/>
          <w:b/>
          <w:color w:val="auto"/>
          <w:kern w:val="0"/>
          <w:szCs w:val="21"/>
        </w:rPr>
        <w:t>分）</w:t>
      </w:r>
    </w:p>
    <w:p>
      <w:pPr>
        <w:keepNext w:val="0"/>
        <w:keepLines w:val="0"/>
        <w:pageBreakBefore w:val="0"/>
        <w:widowControl w:val="0"/>
        <w:kinsoku/>
        <w:wordWrap/>
        <w:overflowPunct/>
        <w:topLinePunct w:val="0"/>
        <w:autoSpaceDE/>
        <w:autoSpaceDN/>
        <w:bidi w:val="0"/>
        <w:adjustRightInd w:val="0"/>
        <w:spacing w:line="360" w:lineRule="auto"/>
        <w:ind w:firstLine="420" w:firstLineChars="200"/>
        <w:textAlignment w:val="baseline"/>
        <w:rPr>
          <w:rFonts w:ascii="宋体" w:hAnsi="宋体" w:cs="宋体"/>
          <w:bCs/>
          <w:color w:val="auto"/>
          <w:kern w:val="0"/>
          <w:szCs w:val="21"/>
        </w:rPr>
      </w:pPr>
      <w:r>
        <w:rPr>
          <w:rFonts w:hint="eastAsia" w:ascii="宋体" w:hAnsi="宋体" w:cs="宋体"/>
          <w:bCs/>
          <w:color w:val="auto"/>
          <w:kern w:val="0"/>
          <w:szCs w:val="21"/>
        </w:rPr>
        <w:t>一档（15分）：方案对运维服务描述需求一一对应无缺漏，且</w:t>
      </w:r>
      <w:r>
        <w:rPr>
          <w:rFonts w:hint="eastAsia" w:ascii="宋体" w:hAnsi="宋体" w:cs="宋体"/>
          <w:bCs/>
          <w:color w:val="auto"/>
          <w:kern w:val="0"/>
          <w:szCs w:val="21"/>
          <w:lang w:val="en-US" w:eastAsia="zh-CN"/>
        </w:rPr>
        <w:t>能扩展描述</w:t>
      </w:r>
      <w:r>
        <w:rPr>
          <w:rFonts w:hint="eastAsia" w:ascii="宋体" w:hAnsi="宋体" w:cs="宋体"/>
          <w:bCs/>
          <w:color w:val="auto"/>
          <w:kern w:val="0"/>
          <w:szCs w:val="21"/>
        </w:rPr>
        <w:t xml:space="preserve">。 </w:t>
      </w:r>
    </w:p>
    <w:p>
      <w:pPr>
        <w:keepNext w:val="0"/>
        <w:keepLines w:val="0"/>
        <w:pageBreakBefore w:val="0"/>
        <w:widowControl w:val="0"/>
        <w:kinsoku/>
        <w:wordWrap/>
        <w:overflowPunct/>
        <w:topLinePunct w:val="0"/>
        <w:autoSpaceDE/>
        <w:autoSpaceDN/>
        <w:bidi w:val="0"/>
        <w:adjustRightInd w:val="0"/>
        <w:spacing w:line="360" w:lineRule="auto"/>
        <w:ind w:firstLine="420" w:firstLineChars="200"/>
        <w:textAlignment w:val="baseline"/>
        <w:rPr>
          <w:rFonts w:ascii="宋体" w:hAnsi="宋体" w:cs="宋体"/>
          <w:bCs/>
          <w:color w:val="auto"/>
          <w:kern w:val="0"/>
          <w:szCs w:val="21"/>
        </w:rPr>
      </w:pPr>
      <w:r>
        <w:rPr>
          <w:rFonts w:hint="eastAsia" w:ascii="宋体" w:hAnsi="宋体" w:cs="宋体"/>
          <w:bCs/>
          <w:color w:val="auto"/>
          <w:kern w:val="0"/>
          <w:szCs w:val="21"/>
        </w:rPr>
        <w:t>二档（20分）：在一档的基础上，有运维服务管理流程，</w:t>
      </w:r>
      <w:r>
        <w:rPr>
          <w:rFonts w:hint="eastAsia" w:ascii="宋体" w:hAnsi="宋体" w:cs="宋体"/>
          <w:bCs/>
          <w:color w:val="auto"/>
          <w:kern w:val="0"/>
          <w:szCs w:val="21"/>
          <w:lang w:val="en-US" w:eastAsia="zh-CN"/>
        </w:rPr>
        <w:t>有</w:t>
      </w:r>
      <w:r>
        <w:rPr>
          <w:rFonts w:hint="eastAsia" w:ascii="宋体" w:hAnsi="宋体" w:cs="宋体"/>
          <w:bCs/>
          <w:color w:val="auto"/>
          <w:kern w:val="0"/>
          <w:szCs w:val="21"/>
        </w:rPr>
        <w:t>人员配备</w:t>
      </w:r>
      <w:r>
        <w:rPr>
          <w:rFonts w:hint="eastAsia" w:ascii="宋体" w:hAnsi="宋体" w:cs="宋体"/>
          <w:bCs/>
          <w:color w:val="auto"/>
          <w:kern w:val="0"/>
          <w:szCs w:val="21"/>
          <w:lang w:val="en-US" w:eastAsia="zh-CN"/>
        </w:rPr>
        <w:t>情况说明</w:t>
      </w:r>
      <w:r>
        <w:rPr>
          <w:rFonts w:hint="eastAsia" w:ascii="宋体" w:hAnsi="宋体" w:cs="宋体"/>
          <w:bCs/>
          <w:color w:val="auto"/>
          <w:kern w:val="0"/>
          <w:szCs w:val="21"/>
        </w:rPr>
        <w:t>，有</w:t>
      </w:r>
      <w:r>
        <w:rPr>
          <w:rFonts w:hint="eastAsia" w:ascii="宋体" w:hAnsi="宋体" w:cs="宋体"/>
          <w:bCs/>
          <w:color w:val="auto"/>
          <w:kern w:val="0"/>
          <w:szCs w:val="21"/>
          <w:lang w:val="en-US" w:eastAsia="zh-CN"/>
        </w:rPr>
        <w:t>拟</w:t>
      </w:r>
      <w:r>
        <w:rPr>
          <w:rFonts w:hint="eastAsia" w:ascii="宋体" w:hAnsi="宋体" w:cs="宋体"/>
          <w:bCs/>
          <w:color w:val="auto"/>
          <w:kern w:val="0"/>
          <w:szCs w:val="21"/>
        </w:rPr>
        <w:t>驻场</w:t>
      </w:r>
      <w:r>
        <w:rPr>
          <w:rFonts w:hint="eastAsia" w:ascii="宋体" w:hAnsi="宋体" w:cs="宋体"/>
          <w:bCs/>
          <w:color w:val="auto"/>
          <w:kern w:val="0"/>
          <w:szCs w:val="21"/>
          <w:lang w:val="en-US" w:eastAsia="zh-CN"/>
        </w:rPr>
        <w:t>情况</w:t>
      </w:r>
      <w:r>
        <w:rPr>
          <w:rFonts w:hint="eastAsia" w:ascii="宋体" w:hAnsi="宋体" w:cs="宋体"/>
          <w:bCs/>
          <w:color w:val="auto"/>
          <w:kern w:val="0"/>
          <w:szCs w:val="21"/>
        </w:rPr>
        <w:t>说明，响应时效达到采购需求。</w:t>
      </w:r>
    </w:p>
    <w:p>
      <w:pPr>
        <w:keepNext w:val="0"/>
        <w:keepLines w:val="0"/>
        <w:pageBreakBefore w:val="0"/>
        <w:widowControl w:val="0"/>
        <w:kinsoku/>
        <w:wordWrap/>
        <w:overflowPunct/>
        <w:topLinePunct w:val="0"/>
        <w:autoSpaceDE/>
        <w:autoSpaceDN/>
        <w:bidi w:val="0"/>
        <w:adjustRightInd w:val="0"/>
        <w:spacing w:line="360" w:lineRule="auto"/>
        <w:ind w:firstLine="420" w:firstLineChars="200"/>
        <w:textAlignment w:val="baseline"/>
        <w:rPr>
          <w:rFonts w:ascii="宋体" w:hAnsi="宋体" w:cs="宋体"/>
          <w:bCs/>
          <w:color w:val="auto"/>
          <w:kern w:val="0"/>
          <w:szCs w:val="21"/>
        </w:rPr>
      </w:pPr>
      <w:r>
        <w:rPr>
          <w:rFonts w:hint="eastAsia" w:ascii="宋体" w:hAnsi="宋体" w:cs="宋体"/>
          <w:bCs/>
          <w:color w:val="auto"/>
          <w:kern w:val="0"/>
          <w:szCs w:val="21"/>
        </w:rPr>
        <w:t>三档（25分）：在二档的基础上，对业务流程维护、权限变动维护、接口维护三项服务提供规范、可行的流程图说明。</w:t>
      </w:r>
    </w:p>
    <w:p>
      <w:pPr>
        <w:keepNext w:val="0"/>
        <w:keepLines w:val="0"/>
        <w:pageBreakBefore w:val="0"/>
        <w:widowControl w:val="0"/>
        <w:kinsoku/>
        <w:wordWrap/>
        <w:overflowPunct/>
        <w:topLinePunct w:val="0"/>
        <w:autoSpaceDE/>
        <w:autoSpaceDN/>
        <w:bidi w:val="0"/>
        <w:adjustRightInd w:val="0"/>
        <w:spacing w:line="360" w:lineRule="auto"/>
        <w:ind w:firstLine="420" w:firstLineChars="200"/>
        <w:textAlignment w:val="baseline"/>
        <w:rPr>
          <w:rFonts w:ascii="宋体" w:hAnsi="宋体" w:cs="宋体"/>
          <w:bCs/>
          <w:color w:val="auto"/>
          <w:kern w:val="0"/>
          <w:szCs w:val="21"/>
        </w:rPr>
      </w:pPr>
      <w:r>
        <w:rPr>
          <w:rFonts w:hint="eastAsia" w:ascii="宋体" w:hAnsi="宋体" w:cs="宋体"/>
          <w:bCs/>
          <w:color w:val="auto"/>
          <w:kern w:val="0"/>
          <w:szCs w:val="21"/>
        </w:rPr>
        <w:t>四档（30分）：在三档的基础上，运维人员配备组成</w:t>
      </w:r>
      <w:r>
        <w:rPr>
          <w:rFonts w:hint="eastAsia" w:ascii="宋体" w:hAnsi="宋体" w:cs="宋体"/>
          <w:bCs/>
          <w:color w:val="auto"/>
          <w:kern w:val="0"/>
          <w:szCs w:val="21"/>
          <w:lang w:val="en-US" w:eastAsia="zh-CN"/>
        </w:rPr>
        <w:t>介绍详细</w:t>
      </w:r>
      <w:r>
        <w:rPr>
          <w:rFonts w:hint="eastAsia" w:ascii="宋体" w:hAnsi="宋体" w:cs="宋体"/>
          <w:bCs/>
          <w:color w:val="auto"/>
          <w:kern w:val="0"/>
          <w:szCs w:val="21"/>
        </w:rPr>
        <w:t>，有组织机构和管理办法，</w:t>
      </w:r>
      <w:r>
        <w:rPr>
          <w:rFonts w:hint="eastAsia" w:ascii="宋体" w:hAnsi="宋体" w:cs="宋体"/>
          <w:bCs/>
          <w:color w:val="auto"/>
          <w:kern w:val="0"/>
          <w:szCs w:val="21"/>
          <w:lang w:val="en-US" w:eastAsia="zh-CN"/>
        </w:rPr>
        <w:t>提供了有效</w:t>
      </w:r>
      <w:r>
        <w:rPr>
          <w:rFonts w:hint="eastAsia" w:ascii="宋体" w:hAnsi="宋体" w:cs="宋体"/>
          <w:bCs/>
          <w:color w:val="auto"/>
          <w:kern w:val="0"/>
          <w:szCs w:val="21"/>
        </w:rPr>
        <w:t>的投诉处理、服务质量监督及保障机制。</w:t>
      </w:r>
    </w:p>
    <w:p>
      <w:pPr>
        <w:keepNext w:val="0"/>
        <w:keepLines w:val="0"/>
        <w:pageBreakBefore w:val="0"/>
        <w:widowControl w:val="0"/>
        <w:kinsoku/>
        <w:wordWrap/>
        <w:overflowPunct/>
        <w:topLinePunct w:val="0"/>
        <w:autoSpaceDE/>
        <w:autoSpaceDN/>
        <w:bidi w:val="0"/>
        <w:adjustRightInd w:val="0"/>
        <w:spacing w:line="360" w:lineRule="auto"/>
        <w:ind w:firstLine="420" w:firstLineChars="200"/>
        <w:textAlignment w:val="baseline"/>
        <w:rPr>
          <w:rFonts w:ascii="宋体" w:hAnsi="宋体" w:cs="宋体"/>
          <w:bCs/>
          <w:color w:val="auto"/>
          <w:kern w:val="0"/>
          <w:szCs w:val="21"/>
        </w:rPr>
      </w:pPr>
      <w:r>
        <w:rPr>
          <w:rFonts w:hint="eastAsia" w:ascii="宋体" w:hAnsi="宋体" w:cs="宋体"/>
          <w:bCs/>
          <w:color w:val="auto"/>
          <w:kern w:val="0"/>
          <w:szCs w:val="21"/>
        </w:rPr>
        <w:t>五档（35分）：在四档的基础上，有驻场人员管理办法和工作守则, 运维服务响应时间优于</w:t>
      </w:r>
      <w:r>
        <w:rPr>
          <w:rFonts w:hint="eastAsia" w:ascii="宋体" w:hAnsi="宋体" w:cs="宋体"/>
          <w:bCs/>
          <w:color w:val="auto"/>
          <w:kern w:val="0"/>
          <w:szCs w:val="21"/>
          <w:lang w:val="en-US" w:eastAsia="zh-CN"/>
        </w:rPr>
        <w:t>采购</w:t>
      </w:r>
      <w:r>
        <w:rPr>
          <w:rFonts w:hint="eastAsia" w:ascii="宋体" w:hAnsi="宋体" w:cs="宋体"/>
          <w:bCs/>
          <w:color w:val="auto"/>
          <w:kern w:val="0"/>
          <w:szCs w:val="21"/>
        </w:rPr>
        <w:t>需求。</w:t>
      </w:r>
    </w:p>
    <w:p>
      <w:pPr>
        <w:keepNext w:val="0"/>
        <w:keepLines w:val="0"/>
        <w:pageBreakBefore w:val="0"/>
        <w:widowControl w:val="0"/>
        <w:kinsoku/>
        <w:wordWrap/>
        <w:overflowPunct/>
        <w:topLinePunct w:val="0"/>
        <w:autoSpaceDE/>
        <w:autoSpaceDN/>
        <w:bidi w:val="0"/>
        <w:adjustRightInd w:val="0"/>
        <w:spacing w:line="360" w:lineRule="auto"/>
        <w:ind w:firstLine="420" w:firstLineChars="200"/>
        <w:textAlignment w:val="baseline"/>
        <w:rPr>
          <w:rFonts w:ascii="宋体" w:hAnsi="宋体" w:cs="宋体"/>
          <w:bCs/>
          <w:color w:val="auto"/>
          <w:kern w:val="0"/>
          <w:szCs w:val="21"/>
        </w:rPr>
      </w:pPr>
      <w:r>
        <w:rPr>
          <w:rFonts w:hint="eastAsia" w:ascii="宋体" w:hAnsi="宋体" w:cs="宋体"/>
          <w:bCs/>
          <w:color w:val="auto"/>
          <w:kern w:val="0"/>
          <w:szCs w:val="21"/>
        </w:rPr>
        <w:t>六档（40分）：在五档的基础上，能针对系统优化需求提出可行的方案。</w:t>
      </w:r>
    </w:p>
    <w:p>
      <w:pPr>
        <w:keepNext w:val="0"/>
        <w:keepLines w:val="0"/>
        <w:pageBreakBefore w:val="0"/>
        <w:widowControl w:val="0"/>
        <w:kinsoku/>
        <w:wordWrap/>
        <w:overflowPunct/>
        <w:topLinePunct w:val="0"/>
        <w:autoSpaceDE/>
        <w:autoSpaceDN/>
        <w:bidi w:val="0"/>
        <w:adjustRightInd w:val="0"/>
        <w:spacing w:line="360" w:lineRule="auto"/>
        <w:ind w:firstLine="422" w:firstLineChars="200"/>
        <w:textAlignment w:val="baseline"/>
        <w:rPr>
          <w:rFonts w:ascii="宋体" w:hAnsi="宋体" w:cs="宋体"/>
          <w:b/>
          <w:color w:val="auto"/>
          <w:kern w:val="0"/>
          <w:szCs w:val="21"/>
        </w:rPr>
      </w:pPr>
      <w:r>
        <w:rPr>
          <w:rFonts w:hint="eastAsia" w:ascii="宋体" w:hAnsi="宋体" w:cs="宋体"/>
          <w:b/>
          <w:color w:val="auto"/>
          <w:kern w:val="0"/>
          <w:szCs w:val="21"/>
        </w:rPr>
        <w:t>（</w:t>
      </w:r>
      <w:r>
        <w:rPr>
          <w:rFonts w:ascii="宋体" w:hAnsi="宋体" w:cs="宋体"/>
          <w:b/>
          <w:color w:val="auto"/>
          <w:kern w:val="0"/>
          <w:szCs w:val="21"/>
        </w:rPr>
        <w:t>2</w:t>
      </w:r>
      <w:r>
        <w:rPr>
          <w:rFonts w:hint="eastAsia" w:ascii="宋体" w:hAnsi="宋体" w:cs="宋体"/>
          <w:b/>
          <w:color w:val="auto"/>
          <w:kern w:val="0"/>
          <w:szCs w:val="21"/>
        </w:rPr>
        <w:t>）应急预案分（满分</w:t>
      </w:r>
      <w:r>
        <w:rPr>
          <w:rFonts w:hint="eastAsia" w:ascii="宋体" w:hAnsi="宋体" w:cs="宋体"/>
          <w:b/>
          <w:color w:val="auto"/>
          <w:kern w:val="0"/>
          <w:szCs w:val="21"/>
          <w:lang w:val="en-US" w:eastAsia="zh-CN"/>
        </w:rPr>
        <w:t>3</w:t>
      </w:r>
      <w:r>
        <w:rPr>
          <w:rFonts w:ascii="宋体" w:hAnsi="宋体" w:cs="宋体"/>
          <w:b/>
          <w:color w:val="auto"/>
          <w:kern w:val="0"/>
          <w:szCs w:val="21"/>
        </w:rPr>
        <w:t>0</w:t>
      </w:r>
      <w:r>
        <w:rPr>
          <w:rFonts w:hint="eastAsia" w:ascii="宋体" w:hAnsi="宋体" w:cs="宋体"/>
          <w:b/>
          <w:color w:val="auto"/>
          <w:kern w:val="0"/>
          <w:szCs w:val="21"/>
        </w:rPr>
        <w:t>分）</w:t>
      </w:r>
    </w:p>
    <w:p>
      <w:pPr>
        <w:keepNext w:val="0"/>
        <w:keepLines w:val="0"/>
        <w:pageBreakBefore w:val="0"/>
        <w:widowControl w:val="0"/>
        <w:kinsoku/>
        <w:wordWrap/>
        <w:overflowPunct/>
        <w:topLinePunct w:val="0"/>
        <w:autoSpaceDE/>
        <w:autoSpaceDN/>
        <w:bidi w:val="0"/>
        <w:adjustRightInd w:val="0"/>
        <w:spacing w:line="360" w:lineRule="auto"/>
        <w:ind w:firstLine="420" w:firstLineChars="200"/>
        <w:textAlignment w:val="baseline"/>
        <w:rPr>
          <w:rFonts w:ascii="宋体" w:hAnsi="宋体" w:cs="宋体"/>
          <w:bCs/>
          <w:color w:val="auto"/>
          <w:kern w:val="0"/>
          <w:szCs w:val="21"/>
        </w:rPr>
      </w:pPr>
      <w:r>
        <w:rPr>
          <w:rFonts w:hint="eastAsia" w:ascii="宋体" w:hAnsi="宋体" w:cs="宋体"/>
          <w:bCs/>
          <w:color w:val="auto"/>
          <w:kern w:val="0"/>
          <w:szCs w:val="21"/>
        </w:rPr>
        <w:t>一档（</w:t>
      </w:r>
      <w:r>
        <w:rPr>
          <w:rFonts w:hint="eastAsia" w:ascii="宋体" w:hAnsi="宋体" w:cs="宋体"/>
          <w:bCs/>
          <w:color w:val="auto"/>
          <w:kern w:val="0"/>
          <w:szCs w:val="21"/>
          <w:lang w:val="en-US" w:eastAsia="zh-CN"/>
        </w:rPr>
        <w:t>25</w:t>
      </w:r>
      <w:r>
        <w:rPr>
          <w:rFonts w:hint="eastAsia" w:ascii="宋体" w:hAnsi="宋体" w:cs="宋体"/>
          <w:bCs/>
          <w:color w:val="auto"/>
          <w:kern w:val="0"/>
          <w:szCs w:val="21"/>
        </w:rPr>
        <w:t xml:space="preserve">分）：预案内容有流程描述，有数据备份、存储、恢复工作机制，符合本项目实际情况且并非直接复制需求内容。 </w:t>
      </w:r>
    </w:p>
    <w:p>
      <w:pPr>
        <w:keepNext w:val="0"/>
        <w:keepLines w:val="0"/>
        <w:pageBreakBefore w:val="0"/>
        <w:widowControl w:val="0"/>
        <w:kinsoku/>
        <w:wordWrap/>
        <w:overflowPunct/>
        <w:topLinePunct w:val="0"/>
        <w:autoSpaceDE/>
        <w:autoSpaceDN/>
        <w:bidi w:val="0"/>
        <w:adjustRightInd w:val="0"/>
        <w:spacing w:line="360" w:lineRule="auto"/>
        <w:ind w:firstLine="420" w:firstLineChars="200"/>
        <w:textAlignment w:val="baseline"/>
        <w:rPr>
          <w:rFonts w:ascii="宋体" w:hAnsi="宋体" w:cs="宋体"/>
          <w:bCs/>
          <w:color w:val="auto"/>
          <w:kern w:val="0"/>
          <w:szCs w:val="21"/>
        </w:rPr>
      </w:pPr>
      <w:r>
        <w:rPr>
          <w:rFonts w:hint="eastAsia" w:ascii="宋体" w:hAnsi="宋体" w:cs="宋体"/>
          <w:bCs/>
          <w:color w:val="auto"/>
          <w:kern w:val="0"/>
          <w:szCs w:val="21"/>
        </w:rPr>
        <w:t>二档（</w:t>
      </w:r>
      <w:r>
        <w:rPr>
          <w:rFonts w:hint="eastAsia" w:ascii="宋体" w:hAnsi="宋体" w:cs="宋体"/>
          <w:bCs/>
          <w:color w:val="auto"/>
          <w:kern w:val="0"/>
          <w:szCs w:val="21"/>
          <w:lang w:val="en-US" w:eastAsia="zh-CN"/>
        </w:rPr>
        <w:t>3</w:t>
      </w:r>
      <w:r>
        <w:rPr>
          <w:rFonts w:hint="eastAsia" w:ascii="宋体" w:hAnsi="宋体" w:cs="宋体"/>
          <w:bCs/>
          <w:color w:val="auto"/>
          <w:kern w:val="0"/>
          <w:szCs w:val="21"/>
        </w:rPr>
        <w:t>0分）：在一档的基础上，</w:t>
      </w:r>
      <w:r>
        <w:rPr>
          <w:rFonts w:hint="eastAsia" w:ascii="宋体" w:hAnsi="宋体" w:cs="宋体"/>
          <w:bCs/>
          <w:color w:val="auto"/>
          <w:kern w:val="0"/>
          <w:szCs w:val="21"/>
          <w:lang w:val="en-US" w:eastAsia="zh-CN"/>
        </w:rPr>
        <w:t>提供了</w:t>
      </w:r>
      <w:r>
        <w:rPr>
          <w:rFonts w:hint="eastAsia" w:ascii="宋体" w:hAnsi="宋体" w:cs="宋体"/>
          <w:bCs/>
          <w:color w:val="auto"/>
          <w:kern w:val="0"/>
          <w:szCs w:val="21"/>
        </w:rPr>
        <w:t>应急响应时间，具备汇总分析机制并制定预防方案。</w:t>
      </w:r>
    </w:p>
    <w:p>
      <w:pPr>
        <w:keepNext w:val="0"/>
        <w:keepLines w:val="0"/>
        <w:pageBreakBefore w:val="0"/>
        <w:widowControl w:val="0"/>
        <w:kinsoku/>
        <w:wordWrap/>
        <w:overflowPunct/>
        <w:topLinePunct w:val="0"/>
        <w:autoSpaceDE/>
        <w:autoSpaceDN/>
        <w:bidi w:val="0"/>
        <w:snapToGrid/>
        <w:spacing w:line="360" w:lineRule="auto"/>
        <w:outlineLvl w:val="9"/>
        <w:rPr>
          <w:rFonts w:ascii="Calibri" w:hAnsi="Calibri" w:cs="Times New Roman"/>
          <w:b/>
          <w:bCs/>
          <w:color w:val="auto"/>
          <w:szCs w:val="24"/>
        </w:rPr>
      </w:pPr>
      <w:r>
        <w:rPr>
          <w:rFonts w:hint="default" w:ascii="Calibri" w:hAnsi="Calibri" w:cs="Times New Roman"/>
          <w:b/>
          <w:bCs/>
          <w:color w:val="auto"/>
          <w:szCs w:val="24"/>
        </w:rPr>
        <w:t>3、商务分……………………………………………………………………………………………………</w:t>
      </w:r>
      <w:r>
        <w:rPr>
          <w:rFonts w:hint="eastAsia" w:ascii="Calibri" w:hAnsi="Calibri" w:cs="Times New Roman"/>
          <w:b/>
          <w:bCs/>
          <w:color w:val="auto"/>
          <w:szCs w:val="24"/>
          <w:lang w:val="en-US" w:eastAsia="zh-CN"/>
        </w:rPr>
        <w:t>10</w:t>
      </w:r>
      <w:r>
        <w:rPr>
          <w:rFonts w:hint="default" w:ascii="Calibri" w:hAnsi="Calibri" w:cs="Times New Roman"/>
          <w:b/>
          <w:bCs/>
          <w:color w:val="auto"/>
          <w:szCs w:val="24"/>
        </w:rPr>
        <w:t>分</w:t>
      </w:r>
    </w:p>
    <w:p>
      <w:pPr>
        <w:keepNext w:val="0"/>
        <w:keepLines w:val="0"/>
        <w:pageBreakBefore w:val="0"/>
        <w:widowControl w:val="0"/>
        <w:kinsoku/>
        <w:wordWrap/>
        <w:overflowPunct/>
        <w:topLinePunct w:val="0"/>
        <w:autoSpaceDE/>
        <w:autoSpaceDN/>
        <w:bidi w:val="0"/>
        <w:adjustRightInd w:val="0"/>
        <w:spacing w:line="360" w:lineRule="auto"/>
        <w:ind w:firstLine="420" w:firstLineChars="200"/>
        <w:textAlignment w:val="baseline"/>
        <w:rPr>
          <w:rFonts w:ascii="宋体" w:hAnsi="宋体" w:cs="宋体"/>
          <w:bCs/>
          <w:color w:val="auto"/>
          <w:kern w:val="0"/>
          <w:szCs w:val="21"/>
        </w:rPr>
      </w:pPr>
      <w:r>
        <w:rPr>
          <w:rFonts w:hint="eastAsia" w:ascii="宋体" w:hAnsi="宋体" w:cs="宋体"/>
          <w:bCs/>
          <w:color w:val="auto"/>
          <w:kern w:val="0"/>
          <w:szCs w:val="21"/>
        </w:rPr>
        <w:t>（1）202</w:t>
      </w:r>
      <w:r>
        <w:rPr>
          <w:rFonts w:hint="eastAsia" w:ascii="宋体" w:hAnsi="宋体" w:cs="宋体"/>
          <w:bCs/>
          <w:color w:val="auto"/>
          <w:kern w:val="0"/>
          <w:szCs w:val="21"/>
          <w:lang w:val="en-US" w:eastAsia="zh-CN"/>
        </w:rPr>
        <w:t>2</w:t>
      </w:r>
      <w:r>
        <w:rPr>
          <w:rFonts w:hint="eastAsia" w:ascii="宋体" w:hAnsi="宋体" w:cs="宋体"/>
          <w:bCs/>
          <w:color w:val="auto"/>
          <w:kern w:val="0"/>
          <w:szCs w:val="21"/>
        </w:rPr>
        <w:t>年1月1日以来，供应商具有类似项目的</w:t>
      </w:r>
      <w:bookmarkStart w:id="162" w:name="OLE_LINK79"/>
      <w:r>
        <w:rPr>
          <w:rFonts w:hint="eastAsia" w:ascii="宋体" w:hAnsi="宋体" w:cs="宋体"/>
          <w:bCs/>
          <w:color w:val="auto"/>
          <w:kern w:val="0"/>
          <w:szCs w:val="21"/>
        </w:rPr>
        <w:t>成功案例</w:t>
      </w:r>
      <w:bookmarkEnd w:id="162"/>
      <w:r>
        <w:rPr>
          <w:rFonts w:hint="eastAsia" w:ascii="宋体" w:hAnsi="宋体" w:cs="宋体"/>
          <w:bCs/>
          <w:color w:val="auto"/>
          <w:kern w:val="0"/>
          <w:szCs w:val="21"/>
        </w:rPr>
        <w:t>的（提供合同</w:t>
      </w:r>
      <w:r>
        <w:rPr>
          <w:rFonts w:hint="eastAsia" w:ascii="宋体" w:hAnsi="宋体" w:cs="宋体"/>
          <w:bCs/>
          <w:color w:val="auto"/>
          <w:kern w:val="0"/>
          <w:szCs w:val="21"/>
          <w:lang w:val="en-US" w:eastAsia="zh-CN"/>
        </w:rPr>
        <w:t>扫描</w:t>
      </w:r>
      <w:r>
        <w:rPr>
          <w:rFonts w:hint="eastAsia" w:ascii="宋体" w:hAnsi="宋体" w:cs="宋体"/>
          <w:bCs/>
          <w:color w:val="auto"/>
          <w:kern w:val="0"/>
          <w:szCs w:val="21"/>
        </w:rPr>
        <w:t>件），每个案例得</w:t>
      </w:r>
      <w:r>
        <w:rPr>
          <w:rFonts w:hint="eastAsia" w:ascii="宋体" w:hAnsi="宋体" w:cs="宋体"/>
          <w:bCs/>
          <w:color w:val="auto"/>
          <w:kern w:val="0"/>
          <w:szCs w:val="21"/>
          <w:lang w:val="en-US" w:eastAsia="zh-CN"/>
        </w:rPr>
        <w:t>2</w:t>
      </w:r>
      <w:r>
        <w:rPr>
          <w:rFonts w:hint="eastAsia" w:ascii="宋体" w:hAnsi="宋体" w:cs="宋体"/>
          <w:bCs/>
          <w:color w:val="auto"/>
          <w:kern w:val="0"/>
          <w:szCs w:val="21"/>
        </w:rPr>
        <w:t>分，最多</w:t>
      </w:r>
      <w:r>
        <w:rPr>
          <w:rFonts w:hint="eastAsia" w:ascii="宋体" w:hAnsi="宋体" w:cs="宋体"/>
          <w:bCs/>
          <w:color w:val="auto"/>
          <w:kern w:val="0"/>
          <w:szCs w:val="21"/>
          <w:lang w:val="en-US" w:eastAsia="zh-CN"/>
        </w:rPr>
        <w:t>8</w:t>
      </w:r>
      <w:r>
        <w:rPr>
          <w:rFonts w:hint="eastAsia" w:ascii="宋体" w:hAnsi="宋体" w:cs="宋体"/>
          <w:bCs/>
          <w:color w:val="auto"/>
          <w:kern w:val="0"/>
          <w:szCs w:val="21"/>
        </w:rPr>
        <w:t>分。</w:t>
      </w:r>
    </w:p>
    <w:p>
      <w:pPr>
        <w:keepNext w:val="0"/>
        <w:keepLines w:val="0"/>
        <w:pageBreakBefore w:val="0"/>
        <w:widowControl w:val="0"/>
        <w:kinsoku/>
        <w:wordWrap/>
        <w:overflowPunct/>
        <w:topLinePunct w:val="0"/>
        <w:autoSpaceDE/>
        <w:autoSpaceDN/>
        <w:bidi w:val="0"/>
        <w:adjustRightInd w:val="0"/>
        <w:spacing w:line="360" w:lineRule="auto"/>
        <w:ind w:firstLine="420" w:firstLineChars="200"/>
        <w:textAlignment w:val="baseline"/>
        <w:rPr>
          <w:rFonts w:ascii="Calibri" w:hAnsi="Calibri" w:cs="Times New Roman"/>
          <w:color w:val="auto"/>
        </w:rPr>
      </w:pPr>
      <w:r>
        <w:rPr>
          <w:rFonts w:hint="eastAsia" w:ascii="宋体" w:hAnsi="宋体" w:cs="宋体"/>
          <w:bCs/>
          <w:color w:val="auto"/>
          <w:kern w:val="0"/>
          <w:szCs w:val="21"/>
        </w:rPr>
        <w:t>（2）供应商通过ISO9001质量管理体系认证证书的，</w:t>
      </w:r>
      <w:r>
        <w:rPr>
          <w:rFonts w:hint="eastAsia" w:ascii="宋体" w:hAnsi="宋体" w:cs="宋体"/>
          <w:bCs/>
          <w:color w:val="auto"/>
          <w:kern w:val="0"/>
          <w:szCs w:val="21"/>
          <w:lang w:val="en-US" w:eastAsia="zh-CN"/>
        </w:rPr>
        <w:t>提供有效证书扫描件，</w:t>
      </w:r>
      <w:r>
        <w:rPr>
          <w:rFonts w:hint="eastAsia" w:ascii="宋体" w:hAnsi="宋体" w:cs="宋体"/>
          <w:bCs/>
          <w:color w:val="auto"/>
          <w:kern w:val="0"/>
          <w:szCs w:val="21"/>
        </w:rPr>
        <w:t>得</w:t>
      </w:r>
      <w:r>
        <w:rPr>
          <w:rFonts w:hint="eastAsia" w:ascii="宋体" w:hAnsi="宋体" w:cs="宋体"/>
          <w:bCs/>
          <w:color w:val="auto"/>
          <w:kern w:val="0"/>
          <w:szCs w:val="21"/>
          <w:lang w:val="en-US" w:eastAsia="zh-CN"/>
        </w:rPr>
        <w:t>2</w:t>
      </w:r>
      <w:r>
        <w:rPr>
          <w:rFonts w:hint="eastAsia" w:ascii="宋体" w:hAnsi="宋体" w:cs="宋体"/>
          <w:bCs/>
          <w:color w:val="auto"/>
          <w:kern w:val="0"/>
          <w:szCs w:val="21"/>
        </w:rPr>
        <w:t>分</w:t>
      </w:r>
      <w:r>
        <w:rPr>
          <w:rFonts w:hint="eastAsia" w:ascii="宋体" w:hAnsi="宋体" w:cs="宋体"/>
          <w:bCs/>
          <w:color w:val="auto"/>
          <w:kern w:val="0"/>
          <w:szCs w:val="21"/>
          <w:lang w:eastAsia="zh-CN"/>
        </w:rPr>
        <w:t>，</w:t>
      </w:r>
      <w:r>
        <w:rPr>
          <w:rFonts w:hint="eastAsia" w:ascii="宋体" w:hAnsi="宋体" w:cs="宋体"/>
          <w:bCs/>
          <w:color w:val="auto"/>
          <w:kern w:val="0"/>
          <w:szCs w:val="21"/>
          <w:lang w:val="en-US" w:eastAsia="zh-CN"/>
        </w:rPr>
        <w:t>否则不得分</w:t>
      </w:r>
      <w:r>
        <w:rPr>
          <w:rFonts w:hint="eastAsia" w:ascii="宋体" w:hAnsi="宋体" w:cs="宋体"/>
          <w:bCs/>
          <w:color w:val="auto"/>
          <w:kern w:val="0"/>
          <w:szCs w:val="21"/>
        </w:rPr>
        <w:t>。</w:t>
      </w:r>
    </w:p>
    <w:p>
      <w:pPr>
        <w:keepNext w:val="0"/>
        <w:keepLines w:val="0"/>
        <w:pageBreakBefore w:val="0"/>
        <w:widowControl w:val="0"/>
        <w:kinsoku/>
        <w:wordWrap/>
        <w:overflowPunct/>
        <w:topLinePunct w:val="0"/>
        <w:autoSpaceDE/>
        <w:autoSpaceDN/>
        <w:bidi w:val="0"/>
        <w:snapToGrid w:val="0"/>
        <w:spacing w:line="360" w:lineRule="auto"/>
        <w:ind w:firstLine="422" w:firstLineChars="200"/>
        <w:outlineLvl w:val="1"/>
        <w:rPr>
          <w:rFonts w:ascii="宋体" w:hAnsi="宋体" w:cs="Times New Roman"/>
          <w:b/>
          <w:color w:val="auto"/>
          <w:kern w:val="0"/>
          <w:szCs w:val="21"/>
        </w:rPr>
      </w:pPr>
      <w:r>
        <w:rPr>
          <w:rFonts w:hint="eastAsia" w:ascii="宋体" w:hAnsi="宋体" w:cs="Times New Roman"/>
          <w:b/>
          <w:color w:val="auto"/>
        </w:rPr>
        <w:t>总得分=1 + 2 + 3 。</w:t>
      </w:r>
    </w:p>
    <w:p>
      <w:pPr>
        <w:keepNext w:val="0"/>
        <w:keepLines w:val="0"/>
        <w:pageBreakBefore w:val="0"/>
        <w:widowControl w:val="0"/>
        <w:kinsoku/>
        <w:wordWrap/>
        <w:overflowPunct/>
        <w:topLinePunct w:val="0"/>
        <w:autoSpaceDE/>
        <w:autoSpaceDN/>
        <w:bidi w:val="0"/>
        <w:snapToGrid w:val="0"/>
        <w:spacing w:line="360" w:lineRule="auto"/>
        <w:jc w:val="left"/>
        <w:rPr>
          <w:rFonts w:hint="eastAsia" w:ascii="宋体" w:hAnsi="宋体" w:eastAsia="宋体" w:cs="宋体"/>
          <w:color w:val="auto"/>
          <w:kern w:val="0"/>
          <w:sz w:val="21"/>
          <w:szCs w:val="21"/>
          <w:lang w:val="en-US" w:eastAsia="zh-CN" w:bidi="ar-SA"/>
        </w:rPr>
      </w:pPr>
    </w:p>
    <w:p>
      <w:pPr>
        <w:keepNext w:val="0"/>
        <w:keepLines w:val="0"/>
        <w:pageBreakBefore w:val="0"/>
        <w:widowControl w:val="0"/>
        <w:kinsoku/>
        <w:wordWrap/>
        <w:overflowPunct/>
        <w:topLinePunct w:val="0"/>
        <w:autoSpaceDE/>
        <w:autoSpaceDN/>
        <w:bidi w:val="0"/>
        <w:snapToGrid w:val="0"/>
        <w:spacing w:line="360" w:lineRule="auto"/>
        <w:jc w:val="left"/>
        <w:rPr>
          <w:rFonts w:hint="eastAsia" w:ascii="宋体" w:hAnsi="宋体" w:eastAsia="宋体" w:cs="宋体"/>
          <w:color w:val="auto"/>
          <w:kern w:val="0"/>
          <w:sz w:val="21"/>
          <w:szCs w:val="21"/>
          <w:lang w:val="en-US" w:eastAsia="zh-CN" w:bidi="ar-SA"/>
        </w:rPr>
      </w:pPr>
    </w:p>
    <w:p>
      <w:pPr>
        <w:keepNext w:val="0"/>
        <w:keepLines w:val="0"/>
        <w:pageBreakBefore w:val="0"/>
        <w:widowControl w:val="0"/>
        <w:kinsoku/>
        <w:wordWrap/>
        <w:overflowPunct/>
        <w:topLinePunct w:val="0"/>
        <w:autoSpaceDE/>
        <w:autoSpaceDN/>
        <w:bidi w:val="0"/>
        <w:snapToGrid w:val="0"/>
        <w:spacing w:line="360" w:lineRule="auto"/>
        <w:jc w:val="left"/>
        <w:rPr>
          <w:rFonts w:hint="default" w:ascii="宋体" w:hAnsi="宋体" w:eastAsia="宋体" w:cs="宋体"/>
          <w:b/>
          <w:bCs/>
          <w:color w:val="auto"/>
          <w:kern w:val="0"/>
          <w:sz w:val="24"/>
          <w:szCs w:val="24"/>
          <w:lang w:val="en-US" w:eastAsia="zh-CN" w:bidi="ar-SA"/>
        </w:rPr>
      </w:pPr>
      <w:r>
        <w:rPr>
          <w:rFonts w:hint="eastAsia" w:ascii="宋体" w:hAnsi="宋体" w:eastAsia="宋体" w:cs="宋体"/>
          <w:b/>
          <w:bCs/>
          <w:color w:val="auto"/>
          <w:kern w:val="0"/>
          <w:sz w:val="24"/>
          <w:szCs w:val="24"/>
          <w:lang w:val="en-US" w:eastAsia="zh-CN" w:bidi="ar-SA"/>
        </w:rPr>
        <w:t>分标5：</w:t>
      </w:r>
    </w:p>
    <w:p>
      <w:pPr>
        <w:keepNext w:val="0"/>
        <w:keepLines w:val="0"/>
        <w:pageBreakBefore w:val="0"/>
        <w:widowControl w:val="0"/>
        <w:shd w:val="clear" w:color="auto" w:fill="auto"/>
        <w:kinsoku/>
        <w:wordWrap/>
        <w:overflowPunct/>
        <w:topLinePunct w:val="0"/>
        <w:autoSpaceDE/>
        <w:autoSpaceDN/>
        <w:bidi w:val="0"/>
        <w:spacing w:line="36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1、价格分……………………………………………………………………………………………………20分</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left="0" w:firstLine="420" w:firstLineChars="200"/>
        <w:jc w:val="both"/>
        <w:textAlignment w:val="baseline"/>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（1）</w:t>
      </w:r>
      <w:r>
        <w:rPr>
          <w:rFonts w:hint="eastAsia" w:ascii="宋体" w:hAnsi="宋体" w:cs="宋体"/>
          <w:bCs/>
          <w:color w:val="auto"/>
          <w:kern w:val="0"/>
          <w:sz w:val="21"/>
          <w:szCs w:val="21"/>
          <w:highlight w:val="none"/>
          <w:lang w:val="en-US" w:eastAsia="zh-CN" w:bidi="ar-SA"/>
        </w:rPr>
        <w:t>本分标为专门面向</w:t>
      </w:r>
      <w:r>
        <w:rPr>
          <w:rFonts w:hint="eastAsia" w:ascii="宋体" w:hAnsi="宋体" w:eastAsia="宋体" w:cs="宋体"/>
          <w:bCs/>
          <w:color w:val="auto"/>
          <w:kern w:val="0"/>
          <w:sz w:val="21"/>
          <w:szCs w:val="21"/>
          <w:highlight w:val="none"/>
          <w:lang w:val="en-US" w:eastAsia="zh-CN" w:bidi="ar-SA"/>
        </w:rPr>
        <w:t>中小微企业采购的项目，按照《政府采购促进中小企业发展管理办法》（财库〔2020〕46号）的规定，对供应商最后报价不再执行价格评审优惠的扶持政策。</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left="0" w:firstLine="420" w:firstLineChars="200"/>
        <w:jc w:val="both"/>
        <w:textAlignment w:val="baseline"/>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（2）评审报价为供应商的最后报价，评审报价只是作为评审时使用。最终成交供应商的成交金额等于最后报价（如有修正，以确认修正后的最后报价为准）。</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left="0" w:firstLine="420" w:firstLineChars="200"/>
        <w:jc w:val="both"/>
        <w:textAlignment w:val="baseline"/>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（3）以进入比较与评价环节的最低的评审报价为基准价，基准价得分为20分。</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left="0" w:firstLine="420" w:firstLineChars="200"/>
        <w:jc w:val="both"/>
        <w:textAlignment w:val="baseline"/>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（4）价格分计算公式：报价得分=（基准价/评审报价）×20分。</w:t>
      </w:r>
    </w:p>
    <w:p>
      <w:pPr>
        <w:keepNext w:val="0"/>
        <w:keepLines w:val="0"/>
        <w:pageBreakBefore w:val="0"/>
        <w:widowControl w:val="0"/>
        <w:shd w:val="clear" w:color="auto" w:fill="auto"/>
        <w:kinsoku/>
        <w:wordWrap/>
        <w:overflowPunct/>
        <w:topLinePunct w:val="0"/>
        <w:autoSpaceDE/>
        <w:autoSpaceDN/>
        <w:bidi w:val="0"/>
        <w:snapToGrid w:val="0"/>
        <w:spacing w:line="360" w:lineRule="auto"/>
        <w:outlineLvl w:val="1"/>
        <w:rPr>
          <w:rFonts w:ascii="宋体" w:hAnsi="宋体" w:eastAsia="宋体" w:cs="仿宋"/>
          <w:b/>
          <w:color w:val="000000"/>
          <w:szCs w:val="21"/>
          <w:highlight w:val="none"/>
        </w:rPr>
      </w:pPr>
      <w:r>
        <w:rPr>
          <w:rFonts w:hint="eastAsia" w:ascii="宋体" w:hAnsi="宋体" w:eastAsia="宋体" w:cs="仿宋"/>
          <w:b/>
          <w:color w:val="000000"/>
          <w:szCs w:val="21"/>
          <w:highlight w:val="none"/>
        </w:rPr>
        <w:t>2、技术分……………………………………………………………………………………………………</w:t>
      </w:r>
      <w:r>
        <w:rPr>
          <w:rFonts w:hint="eastAsia" w:ascii="宋体" w:hAnsi="宋体" w:cs="仿宋"/>
          <w:b/>
          <w:color w:val="000000"/>
          <w:szCs w:val="21"/>
          <w:highlight w:val="none"/>
          <w:lang w:val="en-US" w:eastAsia="zh-CN"/>
        </w:rPr>
        <w:t>60</w:t>
      </w:r>
      <w:r>
        <w:rPr>
          <w:rFonts w:hint="eastAsia" w:ascii="宋体" w:hAnsi="宋体" w:eastAsia="宋体" w:cs="仿宋"/>
          <w:b/>
          <w:color w:val="000000"/>
          <w:szCs w:val="21"/>
          <w:highlight w:val="none"/>
        </w:rPr>
        <w:t>分</w:t>
      </w:r>
    </w:p>
    <w:p>
      <w:pPr>
        <w:keepNext w:val="0"/>
        <w:keepLines w:val="0"/>
        <w:pageBreakBefore w:val="0"/>
        <w:widowControl w:val="0"/>
        <w:shd w:val="clear" w:color="auto" w:fill="auto"/>
        <w:kinsoku/>
        <w:wordWrap/>
        <w:overflowPunct/>
        <w:topLinePunct w:val="0"/>
        <w:autoSpaceDE/>
        <w:autoSpaceDN/>
        <w:bidi w:val="0"/>
        <w:snapToGrid w:val="0"/>
        <w:spacing w:line="360" w:lineRule="auto"/>
        <w:ind w:firstLine="422" w:firstLineChars="200"/>
        <w:outlineLvl w:val="1"/>
        <w:rPr>
          <w:rFonts w:ascii="宋体" w:hAnsi="宋体" w:eastAsia="宋体" w:cs="仿宋"/>
          <w:b/>
          <w:color w:val="000000"/>
          <w:szCs w:val="21"/>
          <w:highlight w:val="none"/>
        </w:rPr>
      </w:pPr>
      <w:r>
        <w:rPr>
          <w:rFonts w:hint="eastAsia" w:ascii="宋体" w:hAnsi="宋体" w:eastAsia="宋体" w:cs="仿宋"/>
          <w:b/>
          <w:color w:val="000000"/>
          <w:szCs w:val="21"/>
          <w:highlight w:val="none"/>
        </w:rPr>
        <w:t>（1）</w:t>
      </w:r>
      <w:bookmarkStart w:id="163" w:name="OLE_LINK80"/>
      <w:r>
        <w:rPr>
          <w:rFonts w:hint="eastAsia" w:ascii="宋体" w:hAnsi="宋体" w:eastAsia="宋体" w:cs="仿宋"/>
          <w:b/>
          <w:color w:val="000000"/>
          <w:szCs w:val="21"/>
          <w:highlight w:val="none"/>
        </w:rPr>
        <w:t>测评技术方案</w:t>
      </w:r>
      <w:bookmarkEnd w:id="163"/>
      <w:r>
        <w:rPr>
          <w:rFonts w:hint="eastAsia" w:ascii="宋体" w:hAnsi="宋体" w:eastAsia="宋体" w:cs="仿宋"/>
          <w:b/>
          <w:color w:val="000000"/>
          <w:szCs w:val="21"/>
          <w:highlight w:val="none"/>
        </w:rPr>
        <w:t>分（满分</w:t>
      </w:r>
      <w:r>
        <w:rPr>
          <w:rFonts w:hint="eastAsia" w:ascii="宋体" w:hAnsi="宋体" w:cs="仿宋"/>
          <w:b/>
          <w:color w:val="000000"/>
          <w:szCs w:val="21"/>
          <w:highlight w:val="none"/>
          <w:lang w:val="en-US" w:eastAsia="zh-CN"/>
        </w:rPr>
        <w:t>30</w:t>
      </w:r>
      <w:r>
        <w:rPr>
          <w:rFonts w:hint="eastAsia" w:ascii="宋体" w:hAnsi="宋体" w:eastAsia="宋体" w:cs="仿宋"/>
          <w:b/>
          <w:color w:val="000000"/>
          <w:szCs w:val="21"/>
          <w:highlight w:val="none"/>
        </w:rPr>
        <w:t>分）</w:t>
      </w:r>
    </w:p>
    <w:p>
      <w:pPr>
        <w:keepNext w:val="0"/>
        <w:keepLines w:val="0"/>
        <w:pageBreakBefore w:val="0"/>
        <w:widowControl w:val="0"/>
        <w:shd w:val="clear" w:color="auto" w:fill="auto"/>
        <w:kinsoku/>
        <w:wordWrap/>
        <w:overflowPunct/>
        <w:topLinePunct w:val="0"/>
        <w:autoSpaceDE/>
        <w:autoSpaceDN/>
        <w:bidi w:val="0"/>
        <w:snapToGrid w:val="0"/>
        <w:spacing w:line="360" w:lineRule="auto"/>
        <w:ind w:firstLine="420" w:firstLineChars="200"/>
        <w:outlineLvl w:val="1"/>
        <w:rPr>
          <w:rFonts w:ascii="宋体" w:hAnsi="宋体" w:eastAsia="宋体" w:cs="仿宋"/>
          <w:bCs/>
          <w:color w:val="000000"/>
          <w:szCs w:val="21"/>
          <w:highlight w:val="none"/>
        </w:rPr>
      </w:pPr>
      <w:r>
        <w:rPr>
          <w:rFonts w:hint="eastAsia" w:ascii="宋体" w:hAnsi="宋体" w:eastAsia="宋体" w:cs="仿宋"/>
          <w:bCs/>
          <w:color w:val="000000"/>
          <w:szCs w:val="21"/>
          <w:highlight w:val="none"/>
        </w:rPr>
        <w:t>一档（</w:t>
      </w:r>
      <w:r>
        <w:rPr>
          <w:rFonts w:hint="eastAsia" w:ascii="宋体" w:hAnsi="宋体" w:cs="仿宋"/>
          <w:bCs/>
          <w:color w:val="000000"/>
          <w:szCs w:val="21"/>
          <w:highlight w:val="none"/>
          <w:lang w:val="en-US" w:eastAsia="zh-CN"/>
        </w:rPr>
        <w:t>20</w:t>
      </w:r>
      <w:r>
        <w:rPr>
          <w:rFonts w:hint="eastAsia" w:ascii="宋体" w:hAnsi="宋体" w:eastAsia="宋体" w:cs="仿宋"/>
          <w:bCs/>
          <w:color w:val="000000"/>
          <w:szCs w:val="21"/>
          <w:highlight w:val="none"/>
        </w:rPr>
        <w:t>分）：提供的方案符合采购文件要求，</w:t>
      </w:r>
      <w:bookmarkStart w:id="164" w:name="OLE_LINK84"/>
      <w:r>
        <w:rPr>
          <w:rFonts w:hint="eastAsia" w:ascii="宋体" w:hAnsi="宋体" w:eastAsia="宋体" w:cs="仿宋"/>
          <w:bCs/>
          <w:color w:val="000000"/>
          <w:szCs w:val="21"/>
          <w:highlight w:val="none"/>
        </w:rPr>
        <w:t>测评措施</w:t>
      </w:r>
      <w:bookmarkEnd w:id="164"/>
      <w:r>
        <w:rPr>
          <w:rFonts w:hint="eastAsia" w:ascii="宋体" w:hAnsi="宋体" w:eastAsia="宋体" w:cs="仿宋"/>
          <w:bCs/>
          <w:color w:val="000000"/>
          <w:szCs w:val="21"/>
          <w:highlight w:val="none"/>
        </w:rPr>
        <w:t>能满足项目要求。</w:t>
      </w:r>
    </w:p>
    <w:p>
      <w:pPr>
        <w:keepNext w:val="0"/>
        <w:keepLines w:val="0"/>
        <w:pageBreakBefore w:val="0"/>
        <w:widowControl w:val="0"/>
        <w:shd w:val="clear" w:color="auto" w:fill="auto"/>
        <w:kinsoku/>
        <w:wordWrap/>
        <w:overflowPunct/>
        <w:topLinePunct w:val="0"/>
        <w:autoSpaceDE/>
        <w:autoSpaceDN/>
        <w:bidi w:val="0"/>
        <w:snapToGrid w:val="0"/>
        <w:spacing w:line="360" w:lineRule="auto"/>
        <w:ind w:firstLine="420" w:firstLineChars="200"/>
        <w:outlineLvl w:val="1"/>
        <w:rPr>
          <w:rFonts w:ascii="宋体" w:hAnsi="宋体" w:eastAsia="宋体" w:cs="仿宋"/>
          <w:bCs/>
          <w:color w:val="000000"/>
          <w:szCs w:val="21"/>
          <w:highlight w:val="none"/>
        </w:rPr>
      </w:pPr>
      <w:r>
        <w:rPr>
          <w:rFonts w:hint="eastAsia" w:ascii="宋体" w:hAnsi="宋体" w:eastAsia="宋体" w:cs="仿宋"/>
          <w:bCs/>
          <w:color w:val="000000"/>
          <w:szCs w:val="21"/>
          <w:highlight w:val="none"/>
        </w:rPr>
        <w:t>二档（</w:t>
      </w:r>
      <w:r>
        <w:rPr>
          <w:rFonts w:hint="eastAsia" w:ascii="宋体" w:hAnsi="宋体" w:cs="仿宋"/>
          <w:bCs/>
          <w:color w:val="000000"/>
          <w:szCs w:val="21"/>
          <w:highlight w:val="none"/>
          <w:lang w:val="en-US" w:eastAsia="zh-CN"/>
        </w:rPr>
        <w:t>25</w:t>
      </w:r>
      <w:r>
        <w:rPr>
          <w:rFonts w:hint="eastAsia" w:ascii="宋体" w:hAnsi="宋体" w:eastAsia="宋体" w:cs="仿宋"/>
          <w:bCs/>
          <w:color w:val="000000"/>
          <w:szCs w:val="21"/>
          <w:highlight w:val="none"/>
        </w:rPr>
        <w:t xml:space="preserve">分）：提供的方案符合采购文件要求，详细描述了项目测评实现方式，方案可行。能详细描述拟投入本项目测评的主要内容、采用的测评的标准、测评方法。 </w:t>
      </w:r>
    </w:p>
    <w:p>
      <w:pPr>
        <w:keepNext w:val="0"/>
        <w:keepLines w:val="0"/>
        <w:pageBreakBefore w:val="0"/>
        <w:widowControl w:val="0"/>
        <w:shd w:val="clear" w:color="auto" w:fill="auto"/>
        <w:kinsoku/>
        <w:wordWrap/>
        <w:overflowPunct/>
        <w:topLinePunct w:val="0"/>
        <w:autoSpaceDE/>
        <w:autoSpaceDN/>
        <w:bidi w:val="0"/>
        <w:snapToGrid w:val="0"/>
        <w:spacing w:line="360" w:lineRule="auto"/>
        <w:ind w:firstLine="420" w:firstLineChars="200"/>
        <w:outlineLvl w:val="1"/>
        <w:rPr>
          <w:rFonts w:ascii="宋体" w:hAnsi="宋体" w:eastAsia="宋体" w:cs="仿宋"/>
          <w:bCs/>
          <w:color w:val="000000"/>
          <w:szCs w:val="21"/>
          <w:highlight w:val="none"/>
        </w:rPr>
      </w:pPr>
      <w:r>
        <w:rPr>
          <w:rFonts w:hint="eastAsia" w:ascii="宋体" w:hAnsi="宋体" w:eastAsia="宋体" w:cs="仿宋"/>
          <w:bCs/>
          <w:color w:val="000000"/>
          <w:szCs w:val="21"/>
          <w:highlight w:val="none"/>
        </w:rPr>
        <w:t>三档（</w:t>
      </w:r>
      <w:r>
        <w:rPr>
          <w:rFonts w:hint="eastAsia" w:ascii="宋体" w:hAnsi="宋体" w:cs="仿宋"/>
          <w:bCs/>
          <w:color w:val="000000"/>
          <w:szCs w:val="21"/>
          <w:highlight w:val="none"/>
          <w:lang w:val="en-US" w:eastAsia="zh-CN"/>
        </w:rPr>
        <w:t>30</w:t>
      </w:r>
      <w:r>
        <w:rPr>
          <w:rFonts w:hint="eastAsia" w:ascii="宋体" w:hAnsi="宋体" w:eastAsia="宋体" w:cs="仿宋"/>
          <w:bCs/>
          <w:color w:val="000000"/>
          <w:szCs w:val="21"/>
          <w:highlight w:val="none"/>
        </w:rPr>
        <w:t>分）：提供的方案在满足二档的要求基础上，能详细描述</w:t>
      </w:r>
      <w:r>
        <w:rPr>
          <w:rFonts w:hint="eastAsia"/>
        </w:rPr>
        <w:t>拟</w:t>
      </w:r>
      <w:r>
        <w:rPr>
          <w:rFonts w:hint="eastAsia" w:ascii="宋体" w:hAnsi="宋体" w:eastAsia="宋体" w:cs="仿宋"/>
          <w:bCs/>
          <w:color w:val="000000"/>
          <w:szCs w:val="21"/>
          <w:highlight w:val="none"/>
        </w:rPr>
        <w:t>投入项目测评的主要内容、采用的测评的标准、测评设备的型号、测评方法、保密承诺。</w:t>
      </w:r>
      <w:r>
        <w:rPr>
          <w:rFonts w:hint="eastAsia" w:ascii="宋体" w:hAnsi="宋体" w:cs="仿宋"/>
          <w:bCs/>
          <w:color w:val="000000"/>
          <w:szCs w:val="21"/>
          <w:highlight w:val="none"/>
          <w:lang w:val="en-US" w:eastAsia="zh-CN"/>
        </w:rPr>
        <w:t>有详细的</w:t>
      </w:r>
      <w:r>
        <w:rPr>
          <w:rFonts w:hint="eastAsia" w:ascii="宋体" w:hAnsi="宋体" w:eastAsia="宋体" w:cs="仿宋"/>
          <w:bCs/>
          <w:color w:val="000000"/>
          <w:szCs w:val="21"/>
          <w:highlight w:val="none"/>
        </w:rPr>
        <w:t>人员结构</w:t>
      </w:r>
      <w:r>
        <w:rPr>
          <w:rFonts w:hint="eastAsia" w:ascii="宋体" w:hAnsi="宋体" w:cs="仿宋"/>
          <w:bCs/>
          <w:color w:val="000000"/>
          <w:szCs w:val="21"/>
          <w:highlight w:val="none"/>
          <w:lang w:val="en-US" w:eastAsia="zh-CN"/>
        </w:rPr>
        <w:t>描述</w:t>
      </w:r>
      <w:r>
        <w:rPr>
          <w:rFonts w:hint="eastAsia" w:ascii="宋体" w:hAnsi="宋体" w:eastAsia="宋体" w:cs="仿宋"/>
          <w:bCs/>
          <w:color w:val="000000"/>
          <w:szCs w:val="21"/>
          <w:highlight w:val="none"/>
        </w:rPr>
        <w:t>，</w:t>
      </w:r>
      <w:r>
        <w:rPr>
          <w:rFonts w:hint="eastAsia" w:ascii="宋体" w:hAnsi="宋体" w:cs="仿宋"/>
          <w:bCs/>
          <w:color w:val="000000"/>
          <w:szCs w:val="21"/>
          <w:highlight w:val="none"/>
          <w:lang w:val="en-US" w:eastAsia="zh-CN"/>
        </w:rPr>
        <w:t>有</w:t>
      </w:r>
      <w:r>
        <w:rPr>
          <w:rFonts w:hint="eastAsia" w:ascii="宋体" w:hAnsi="宋体" w:eastAsia="宋体" w:cs="仿宋"/>
          <w:bCs/>
          <w:color w:val="000000"/>
          <w:szCs w:val="21"/>
          <w:highlight w:val="none"/>
        </w:rPr>
        <w:t>任务分配</w:t>
      </w:r>
      <w:r>
        <w:rPr>
          <w:rFonts w:hint="eastAsia" w:ascii="宋体" w:hAnsi="宋体" w:cs="仿宋"/>
          <w:bCs/>
          <w:color w:val="000000"/>
          <w:szCs w:val="21"/>
          <w:highlight w:val="none"/>
          <w:lang w:val="en-US" w:eastAsia="zh-CN"/>
        </w:rPr>
        <w:t>内容</w:t>
      </w:r>
      <w:r>
        <w:rPr>
          <w:rFonts w:hint="eastAsia" w:ascii="宋体" w:hAnsi="宋体" w:eastAsia="宋体" w:cs="仿宋"/>
          <w:bCs/>
          <w:color w:val="000000"/>
          <w:szCs w:val="21"/>
          <w:highlight w:val="none"/>
        </w:rPr>
        <w:t>，</w:t>
      </w:r>
      <w:r>
        <w:rPr>
          <w:rFonts w:hint="eastAsia" w:ascii="宋体" w:hAnsi="宋体" w:cs="仿宋"/>
          <w:bCs/>
          <w:color w:val="000000"/>
          <w:szCs w:val="21"/>
          <w:highlight w:val="none"/>
          <w:lang w:val="en-US" w:eastAsia="zh-CN"/>
        </w:rPr>
        <w:t>有可行的</w:t>
      </w:r>
      <w:r>
        <w:rPr>
          <w:rFonts w:hint="eastAsia" w:ascii="宋体" w:hAnsi="宋体" w:eastAsia="宋体" w:cs="仿宋"/>
          <w:bCs/>
          <w:color w:val="000000"/>
          <w:szCs w:val="21"/>
          <w:highlight w:val="none"/>
        </w:rPr>
        <w:t>进度安排，能提供具体质量保证措施，且措施</w:t>
      </w:r>
      <w:r>
        <w:rPr>
          <w:rFonts w:hint="eastAsia" w:ascii="宋体" w:hAnsi="宋体" w:cs="仿宋"/>
          <w:bCs/>
          <w:color w:val="000000"/>
          <w:szCs w:val="21"/>
          <w:highlight w:val="none"/>
          <w:lang w:val="en-US" w:eastAsia="zh-CN"/>
        </w:rPr>
        <w:t>有</w:t>
      </w:r>
      <w:r>
        <w:rPr>
          <w:rFonts w:hint="eastAsia" w:ascii="宋体" w:hAnsi="宋体" w:eastAsia="宋体" w:cs="仿宋"/>
          <w:bCs/>
          <w:color w:val="000000"/>
          <w:szCs w:val="21"/>
          <w:highlight w:val="none"/>
        </w:rPr>
        <w:t>操作性的。</w:t>
      </w:r>
    </w:p>
    <w:p>
      <w:pPr>
        <w:keepNext w:val="0"/>
        <w:keepLines w:val="0"/>
        <w:pageBreakBefore w:val="0"/>
        <w:widowControl w:val="0"/>
        <w:shd w:val="clear" w:color="auto" w:fill="auto"/>
        <w:kinsoku/>
        <w:wordWrap/>
        <w:overflowPunct/>
        <w:topLinePunct w:val="0"/>
        <w:autoSpaceDE/>
        <w:autoSpaceDN/>
        <w:bidi w:val="0"/>
        <w:snapToGrid w:val="0"/>
        <w:spacing w:line="360" w:lineRule="auto"/>
        <w:ind w:firstLine="422" w:firstLineChars="200"/>
        <w:outlineLvl w:val="1"/>
        <w:rPr>
          <w:rFonts w:ascii="宋体" w:hAnsi="宋体" w:eastAsia="宋体" w:cs="仿宋"/>
          <w:b/>
          <w:color w:val="000000"/>
          <w:szCs w:val="21"/>
          <w:highlight w:val="none"/>
        </w:rPr>
      </w:pPr>
      <w:r>
        <w:rPr>
          <w:rFonts w:hint="eastAsia" w:ascii="宋体" w:hAnsi="宋体" w:eastAsia="宋体" w:cs="仿宋"/>
          <w:b/>
          <w:color w:val="000000"/>
          <w:szCs w:val="21"/>
          <w:highlight w:val="none"/>
        </w:rPr>
        <w:t>（2）</w:t>
      </w:r>
      <w:bookmarkStart w:id="165" w:name="OLE_LINK88"/>
      <w:r>
        <w:rPr>
          <w:rFonts w:hint="eastAsia" w:ascii="宋体" w:hAnsi="宋体" w:eastAsia="宋体" w:cs="仿宋"/>
          <w:b/>
          <w:color w:val="000000"/>
          <w:szCs w:val="21"/>
          <w:highlight w:val="none"/>
        </w:rPr>
        <w:t>服务方案分</w:t>
      </w:r>
      <w:bookmarkEnd w:id="165"/>
      <w:r>
        <w:rPr>
          <w:rFonts w:hint="eastAsia" w:ascii="宋体" w:hAnsi="宋体" w:eastAsia="宋体" w:cs="仿宋"/>
          <w:b/>
          <w:color w:val="000000"/>
          <w:szCs w:val="21"/>
          <w:highlight w:val="none"/>
        </w:rPr>
        <w:t>（满分30分）</w:t>
      </w:r>
    </w:p>
    <w:p>
      <w:pPr>
        <w:keepNext w:val="0"/>
        <w:keepLines w:val="0"/>
        <w:pageBreakBefore w:val="0"/>
        <w:widowControl w:val="0"/>
        <w:shd w:val="clear" w:color="auto" w:fill="auto"/>
        <w:kinsoku/>
        <w:wordWrap/>
        <w:overflowPunct/>
        <w:topLinePunct w:val="0"/>
        <w:autoSpaceDE/>
        <w:autoSpaceDN/>
        <w:bidi w:val="0"/>
        <w:snapToGrid w:val="0"/>
        <w:spacing w:line="360" w:lineRule="auto"/>
        <w:ind w:firstLine="420" w:firstLineChars="200"/>
        <w:outlineLvl w:val="1"/>
        <w:rPr>
          <w:rFonts w:ascii="宋体" w:hAnsi="宋体" w:eastAsia="宋体" w:cs="仿宋"/>
          <w:bCs/>
          <w:color w:val="000000"/>
          <w:szCs w:val="21"/>
          <w:highlight w:val="none"/>
        </w:rPr>
      </w:pPr>
      <w:r>
        <w:rPr>
          <w:rFonts w:hint="eastAsia" w:ascii="宋体" w:hAnsi="宋体" w:eastAsia="宋体" w:cs="仿宋"/>
          <w:bCs/>
          <w:color w:val="000000"/>
          <w:szCs w:val="21"/>
          <w:highlight w:val="none"/>
        </w:rPr>
        <w:t>一档（</w:t>
      </w:r>
      <w:r>
        <w:rPr>
          <w:rFonts w:hint="eastAsia" w:ascii="宋体" w:hAnsi="宋体" w:cs="仿宋"/>
          <w:bCs/>
          <w:color w:val="000000"/>
          <w:szCs w:val="21"/>
          <w:highlight w:val="none"/>
          <w:lang w:val="en-US" w:eastAsia="zh-CN"/>
        </w:rPr>
        <w:t>20</w:t>
      </w:r>
      <w:r>
        <w:rPr>
          <w:rFonts w:hint="eastAsia" w:ascii="宋体" w:hAnsi="宋体" w:eastAsia="宋体" w:cs="仿宋"/>
          <w:bCs/>
          <w:color w:val="000000"/>
          <w:szCs w:val="21"/>
          <w:highlight w:val="none"/>
        </w:rPr>
        <w:t>分）：提供有服务方案，方案包含有服务内容，且方案可行，测评服务团队中至少包含高级测评师1人，中级测评师1人，且承诺为本项目投入5 人以上稳定的技术服务队伍；</w:t>
      </w:r>
    </w:p>
    <w:p>
      <w:pPr>
        <w:keepNext w:val="0"/>
        <w:keepLines w:val="0"/>
        <w:pageBreakBefore w:val="0"/>
        <w:widowControl w:val="0"/>
        <w:shd w:val="clear" w:color="auto" w:fill="auto"/>
        <w:kinsoku/>
        <w:wordWrap/>
        <w:overflowPunct/>
        <w:topLinePunct w:val="0"/>
        <w:autoSpaceDE/>
        <w:autoSpaceDN/>
        <w:bidi w:val="0"/>
        <w:snapToGrid w:val="0"/>
        <w:spacing w:line="360" w:lineRule="auto"/>
        <w:ind w:firstLine="420" w:firstLineChars="200"/>
        <w:outlineLvl w:val="1"/>
        <w:rPr>
          <w:rFonts w:hint="eastAsia" w:ascii="宋体" w:hAnsi="宋体" w:eastAsia="宋体" w:cs="仿宋"/>
          <w:bCs/>
          <w:color w:val="000000"/>
          <w:szCs w:val="21"/>
          <w:highlight w:val="none"/>
        </w:rPr>
      </w:pPr>
      <w:r>
        <w:rPr>
          <w:rFonts w:hint="eastAsia" w:ascii="宋体" w:hAnsi="宋体" w:eastAsia="宋体" w:cs="仿宋"/>
          <w:bCs/>
          <w:color w:val="000000"/>
          <w:szCs w:val="21"/>
          <w:highlight w:val="none"/>
        </w:rPr>
        <w:t>二档（2</w:t>
      </w:r>
      <w:r>
        <w:rPr>
          <w:rFonts w:hint="eastAsia" w:ascii="宋体" w:hAnsi="宋体" w:cs="仿宋"/>
          <w:bCs/>
          <w:color w:val="000000"/>
          <w:szCs w:val="21"/>
          <w:highlight w:val="none"/>
          <w:lang w:val="en-US" w:eastAsia="zh-CN"/>
        </w:rPr>
        <w:t>5</w:t>
      </w:r>
      <w:r>
        <w:rPr>
          <w:rFonts w:hint="eastAsia" w:ascii="宋体" w:hAnsi="宋体" w:eastAsia="宋体" w:cs="仿宋"/>
          <w:bCs/>
          <w:color w:val="000000"/>
          <w:szCs w:val="21"/>
          <w:highlight w:val="none"/>
        </w:rPr>
        <w:t>分）：</w:t>
      </w:r>
      <w:r>
        <w:rPr>
          <w:rFonts w:hint="eastAsia" w:ascii="宋体" w:hAnsi="宋体" w:eastAsia="宋体" w:cs="仿宋"/>
          <w:bCs/>
          <w:color w:val="000000"/>
          <w:szCs w:val="21"/>
          <w:highlight w:val="none"/>
          <w:lang w:val="en-US" w:eastAsia="zh-CN"/>
        </w:rPr>
        <w:t xml:space="preserve">提供有服务方案，方案包含有项目服务内容、保密承诺，且描述了项目服务的方法以及实现方式。等保测评服务团队中至少包含高级测评师2人、中级测评师2人，且项目经理具有：（1）高级测评师证书、（2）商用密码应用安全性评估人员测评能力考核合格证书，并承诺为本项目投入6人以上稳定的技术服务队伍； </w:t>
      </w:r>
    </w:p>
    <w:p>
      <w:pPr>
        <w:keepNext w:val="0"/>
        <w:keepLines w:val="0"/>
        <w:pageBreakBefore w:val="0"/>
        <w:widowControl w:val="0"/>
        <w:kinsoku/>
        <w:wordWrap/>
        <w:overflowPunct/>
        <w:topLinePunct w:val="0"/>
        <w:autoSpaceDE/>
        <w:autoSpaceDN/>
        <w:bidi w:val="0"/>
        <w:spacing w:line="360" w:lineRule="auto"/>
        <w:ind w:firstLine="420" w:firstLineChars="200"/>
        <w:rPr>
          <w:rFonts w:hint="eastAsia" w:ascii="宋体" w:hAnsi="宋体" w:eastAsia="宋体" w:cs="仿宋"/>
          <w:bCs/>
          <w:color w:val="000000"/>
          <w:szCs w:val="21"/>
          <w:highlight w:val="none"/>
          <w:lang w:val="en-US" w:eastAsia="zh-CN"/>
        </w:rPr>
      </w:pPr>
      <w:r>
        <w:rPr>
          <w:rFonts w:hint="eastAsia" w:ascii="宋体" w:hAnsi="宋体" w:eastAsia="宋体" w:cs="仿宋"/>
          <w:bCs/>
          <w:color w:val="000000"/>
          <w:szCs w:val="21"/>
          <w:highlight w:val="none"/>
          <w:lang w:val="en-US" w:eastAsia="zh-CN"/>
        </w:rPr>
        <w:t>三档（30分）：提供有服务方案，方案包含有项目服务内容、保密承诺，且描述了项目服务的方法以及实现方式，服务机构及联系人、技术人员名单等资料详细，服务承诺和保障措施</w:t>
      </w:r>
      <w:r>
        <w:rPr>
          <w:rFonts w:hint="eastAsia" w:ascii="宋体" w:hAnsi="宋体" w:cs="仿宋"/>
          <w:bCs/>
          <w:color w:val="000000"/>
          <w:szCs w:val="21"/>
          <w:highlight w:val="none"/>
          <w:lang w:val="en-US" w:eastAsia="zh-CN"/>
        </w:rPr>
        <w:t>详细可行</w:t>
      </w:r>
      <w:r>
        <w:rPr>
          <w:rFonts w:hint="eastAsia" w:ascii="宋体" w:hAnsi="宋体" w:eastAsia="宋体" w:cs="仿宋"/>
          <w:bCs/>
          <w:color w:val="000000"/>
          <w:szCs w:val="21"/>
          <w:highlight w:val="none"/>
          <w:lang w:val="en-US" w:eastAsia="zh-CN"/>
        </w:rPr>
        <w:t>。测评服务团队中至少包含高级测评师3人、中级测评师3人，且项目经理具有：（1）高级测评师证书（2）商用密码应用安全性评估人员测评能力考核合格证书（3）渗透测试认证证书（NSCP)或</w:t>
      </w:r>
      <w:r>
        <w:rPr>
          <w:rFonts w:hint="eastAsia" w:ascii="宋体" w:hAnsi="宋体" w:eastAsia="宋体" w:cs="宋体"/>
          <w:szCs w:val="21"/>
          <w:highlight w:val="none"/>
        </w:rPr>
        <w:t>重要信息系统保护人员（CIIP-T）证书</w:t>
      </w:r>
      <w:r>
        <w:rPr>
          <w:rFonts w:hint="eastAsia" w:ascii="宋体" w:hAnsi="宋体" w:eastAsia="宋体" w:cs="仿宋"/>
          <w:bCs/>
          <w:color w:val="000000"/>
          <w:szCs w:val="21"/>
          <w:highlight w:val="none"/>
          <w:lang w:val="en-US" w:eastAsia="zh-CN"/>
        </w:rPr>
        <w:t xml:space="preserve">，并承诺为本项目投入7人以上稳定的技术服务队伍。 </w:t>
      </w:r>
    </w:p>
    <w:p>
      <w:pPr>
        <w:pStyle w:val="23"/>
        <w:rPr>
          <w:rFonts w:hint="eastAsia"/>
          <w:sz w:val="21"/>
          <w:szCs w:val="21"/>
          <w:lang w:val="en-US" w:eastAsia="zh-CN"/>
        </w:rPr>
      </w:pPr>
      <w:r>
        <w:rPr>
          <w:rFonts w:hint="eastAsia" w:ascii="宋体" w:hAnsi="宋体" w:eastAsia="宋体" w:cs="仿宋"/>
          <w:b/>
          <w:color w:val="000000"/>
          <w:sz w:val="21"/>
          <w:szCs w:val="24"/>
          <w:highlight w:val="none"/>
        </w:rPr>
        <w:t>注：以上拟投入人员需提供身份证</w:t>
      </w:r>
      <w:r>
        <w:rPr>
          <w:rFonts w:hint="eastAsia" w:ascii="宋体" w:hAnsi="宋体" w:cs="仿宋"/>
          <w:b/>
          <w:color w:val="000000"/>
          <w:sz w:val="21"/>
          <w:szCs w:val="24"/>
          <w:highlight w:val="none"/>
          <w:lang w:eastAsia="zh-CN"/>
        </w:rPr>
        <w:t>扫描件</w:t>
      </w:r>
      <w:r>
        <w:rPr>
          <w:rFonts w:hint="eastAsia" w:ascii="宋体" w:hAnsi="宋体" w:eastAsia="宋体" w:cs="仿宋"/>
          <w:b/>
          <w:color w:val="000000"/>
          <w:sz w:val="21"/>
          <w:szCs w:val="24"/>
          <w:highlight w:val="none"/>
        </w:rPr>
        <w:t>、证书</w:t>
      </w:r>
      <w:r>
        <w:rPr>
          <w:rFonts w:hint="eastAsia" w:ascii="宋体" w:hAnsi="宋体" w:cs="仿宋"/>
          <w:b/>
          <w:color w:val="000000"/>
          <w:sz w:val="21"/>
          <w:szCs w:val="24"/>
          <w:highlight w:val="none"/>
          <w:lang w:val="en-US" w:eastAsia="zh-CN"/>
        </w:rPr>
        <w:t>扫描</w:t>
      </w:r>
      <w:r>
        <w:rPr>
          <w:rFonts w:hint="eastAsia" w:ascii="宋体" w:hAnsi="宋体" w:eastAsia="宋体" w:cs="仿宋"/>
          <w:b/>
          <w:color w:val="000000"/>
          <w:sz w:val="21"/>
          <w:szCs w:val="24"/>
          <w:highlight w:val="none"/>
        </w:rPr>
        <w:t>件并加盖</w:t>
      </w:r>
      <w:r>
        <w:rPr>
          <w:rFonts w:hint="eastAsia" w:ascii="宋体" w:hAnsi="宋体" w:cs="仿宋"/>
          <w:b/>
          <w:color w:val="000000"/>
          <w:sz w:val="21"/>
          <w:szCs w:val="24"/>
          <w:highlight w:val="none"/>
          <w:lang w:val="en-US" w:eastAsia="zh-CN"/>
        </w:rPr>
        <w:t>供应商</w:t>
      </w:r>
      <w:r>
        <w:rPr>
          <w:rFonts w:hint="eastAsia" w:ascii="宋体" w:hAnsi="宋体" w:eastAsia="宋体" w:cs="仿宋"/>
          <w:b/>
          <w:color w:val="000000"/>
          <w:sz w:val="21"/>
          <w:szCs w:val="24"/>
          <w:highlight w:val="none"/>
        </w:rPr>
        <w:t>公章</w:t>
      </w:r>
      <w:r>
        <w:rPr>
          <w:rFonts w:hint="eastAsia" w:ascii="宋体" w:hAnsi="宋体" w:cs="仿宋"/>
          <w:b/>
          <w:color w:val="000000"/>
          <w:sz w:val="21"/>
          <w:szCs w:val="24"/>
          <w:highlight w:val="none"/>
          <w:lang w:eastAsia="zh-CN"/>
        </w:rPr>
        <w:t>，</w:t>
      </w:r>
      <w:r>
        <w:rPr>
          <w:rFonts w:hint="eastAsia" w:ascii="宋体" w:hAnsi="宋体" w:cs="仿宋"/>
          <w:b/>
          <w:color w:val="000000"/>
          <w:sz w:val="21"/>
          <w:szCs w:val="24"/>
          <w:highlight w:val="none"/>
          <w:lang w:val="en-US" w:eastAsia="zh-CN"/>
        </w:rPr>
        <w:t>否则不予评分</w:t>
      </w:r>
      <w:r>
        <w:rPr>
          <w:rFonts w:hint="eastAsia" w:ascii="宋体" w:hAnsi="宋体" w:eastAsia="宋体" w:cs="仿宋"/>
          <w:b/>
          <w:color w:val="000000"/>
          <w:sz w:val="21"/>
          <w:szCs w:val="24"/>
          <w:highlight w:val="none"/>
        </w:rPr>
        <w:t>。</w:t>
      </w:r>
    </w:p>
    <w:p>
      <w:pPr>
        <w:keepNext w:val="0"/>
        <w:keepLines w:val="0"/>
        <w:pageBreakBefore w:val="0"/>
        <w:widowControl w:val="0"/>
        <w:shd w:val="clear" w:color="auto" w:fill="auto"/>
        <w:kinsoku/>
        <w:wordWrap/>
        <w:overflowPunct/>
        <w:topLinePunct w:val="0"/>
        <w:autoSpaceDE/>
        <w:autoSpaceDN/>
        <w:bidi w:val="0"/>
        <w:snapToGrid w:val="0"/>
        <w:spacing w:line="360" w:lineRule="auto"/>
        <w:outlineLvl w:val="1"/>
        <w:rPr>
          <w:rFonts w:ascii="宋体" w:hAnsi="宋体" w:eastAsia="宋体" w:cs="仿宋"/>
          <w:b/>
          <w:color w:val="000000"/>
          <w:szCs w:val="21"/>
          <w:highlight w:val="none"/>
        </w:rPr>
      </w:pPr>
      <w:r>
        <w:rPr>
          <w:rFonts w:hint="eastAsia" w:ascii="宋体" w:hAnsi="宋体" w:eastAsia="宋体" w:cs="仿宋"/>
          <w:b/>
          <w:color w:val="000000"/>
          <w:szCs w:val="21"/>
          <w:highlight w:val="none"/>
        </w:rPr>
        <w:t>3、商务分……………………………………………………………………………………………………</w:t>
      </w:r>
      <w:r>
        <w:rPr>
          <w:rFonts w:hint="eastAsia" w:ascii="宋体" w:hAnsi="宋体" w:cs="仿宋"/>
          <w:b/>
          <w:color w:val="000000"/>
          <w:szCs w:val="21"/>
          <w:highlight w:val="none"/>
          <w:lang w:val="en-US" w:eastAsia="zh-CN"/>
        </w:rPr>
        <w:t>20</w:t>
      </w:r>
      <w:r>
        <w:rPr>
          <w:rFonts w:hint="eastAsia" w:ascii="宋体" w:hAnsi="宋体" w:eastAsia="宋体" w:cs="仿宋"/>
          <w:b/>
          <w:color w:val="000000"/>
          <w:szCs w:val="21"/>
          <w:highlight w:val="none"/>
        </w:rPr>
        <w:t>分</w:t>
      </w:r>
    </w:p>
    <w:p>
      <w:pPr>
        <w:keepNext w:val="0"/>
        <w:keepLines w:val="0"/>
        <w:pageBreakBefore w:val="0"/>
        <w:widowControl w:val="0"/>
        <w:shd w:val="clear" w:color="auto" w:fill="auto"/>
        <w:kinsoku/>
        <w:wordWrap/>
        <w:overflowPunct/>
        <w:topLinePunct w:val="0"/>
        <w:autoSpaceDE/>
        <w:autoSpaceDN/>
        <w:bidi w:val="0"/>
        <w:snapToGrid w:val="0"/>
        <w:spacing w:line="360" w:lineRule="auto"/>
        <w:ind w:firstLine="420" w:firstLineChars="200"/>
        <w:outlineLvl w:val="1"/>
        <w:rPr>
          <w:rFonts w:hint="eastAsia" w:ascii="宋体" w:hAnsi="宋体" w:cs="仿宋"/>
          <w:bCs/>
          <w:color w:val="000000"/>
          <w:szCs w:val="21"/>
          <w:highlight w:val="none"/>
          <w:lang w:eastAsia="zh-CN"/>
        </w:rPr>
      </w:pPr>
      <w:r>
        <w:rPr>
          <w:rFonts w:hint="eastAsia" w:ascii="宋体" w:hAnsi="宋体" w:eastAsia="宋体" w:cs="仿宋"/>
          <w:bCs/>
          <w:color w:val="000000"/>
          <w:szCs w:val="21"/>
          <w:highlight w:val="none"/>
        </w:rPr>
        <w:t>（1）</w:t>
      </w:r>
      <w:bookmarkStart w:id="166" w:name="OLE_LINK7"/>
      <w:r>
        <w:rPr>
          <w:rFonts w:hint="eastAsia" w:ascii="宋体" w:hAnsi="宋体" w:eastAsia="宋体" w:cs="仿宋"/>
          <w:bCs/>
          <w:color w:val="000000"/>
          <w:szCs w:val="21"/>
          <w:highlight w:val="none"/>
          <w:lang w:eastAsia="zh-CN"/>
        </w:rPr>
        <w:t>供应商</w:t>
      </w:r>
      <w:bookmarkEnd w:id="166"/>
      <w:r>
        <w:rPr>
          <w:rFonts w:hint="eastAsia" w:ascii="宋体" w:hAnsi="宋体" w:eastAsia="宋体" w:cs="仿宋"/>
          <w:bCs/>
          <w:color w:val="000000"/>
          <w:szCs w:val="21"/>
          <w:highlight w:val="none"/>
        </w:rPr>
        <w:t>自202</w:t>
      </w:r>
      <w:r>
        <w:rPr>
          <w:rFonts w:hint="eastAsia" w:ascii="宋体" w:hAnsi="宋体" w:cs="仿宋"/>
          <w:bCs/>
          <w:color w:val="000000"/>
          <w:szCs w:val="21"/>
          <w:highlight w:val="none"/>
          <w:lang w:val="en-US" w:eastAsia="zh-CN"/>
        </w:rPr>
        <w:t>2</w:t>
      </w:r>
      <w:r>
        <w:rPr>
          <w:rFonts w:hint="eastAsia" w:ascii="宋体" w:hAnsi="宋体" w:eastAsia="宋体" w:cs="仿宋"/>
          <w:bCs/>
          <w:color w:val="000000"/>
          <w:szCs w:val="21"/>
          <w:highlight w:val="none"/>
        </w:rPr>
        <w:t>年以来</w:t>
      </w:r>
      <w:bookmarkStart w:id="167" w:name="OLE_LINK82"/>
      <w:r>
        <w:rPr>
          <w:rFonts w:hint="eastAsia" w:ascii="宋体" w:hAnsi="宋体" w:eastAsia="宋体" w:cs="仿宋"/>
          <w:bCs/>
          <w:color w:val="000000"/>
          <w:szCs w:val="21"/>
          <w:highlight w:val="none"/>
        </w:rPr>
        <w:t>完成类似项目业绩</w:t>
      </w:r>
      <w:bookmarkEnd w:id="167"/>
      <w:r>
        <w:rPr>
          <w:rFonts w:hint="eastAsia" w:ascii="宋体" w:hAnsi="宋体" w:eastAsia="宋体" w:cs="仿宋"/>
          <w:bCs/>
          <w:color w:val="000000"/>
          <w:szCs w:val="21"/>
          <w:highlight w:val="none"/>
        </w:rPr>
        <w:t>，以合同或中标通知书</w:t>
      </w:r>
      <w:r>
        <w:rPr>
          <w:rFonts w:hint="eastAsia" w:ascii="宋体" w:hAnsi="宋体" w:cs="仿宋"/>
          <w:bCs/>
          <w:color w:val="000000"/>
          <w:szCs w:val="21"/>
          <w:highlight w:val="none"/>
          <w:lang w:eastAsia="zh-CN"/>
        </w:rPr>
        <w:t>扫描件</w:t>
      </w:r>
      <w:r>
        <w:rPr>
          <w:rFonts w:hint="eastAsia" w:ascii="宋体" w:hAnsi="宋体" w:eastAsia="宋体" w:cs="仿宋"/>
          <w:bCs/>
          <w:color w:val="000000"/>
          <w:szCs w:val="21"/>
          <w:highlight w:val="none"/>
        </w:rPr>
        <w:t>为准，每份得</w:t>
      </w:r>
      <w:r>
        <w:rPr>
          <w:rFonts w:hint="eastAsia" w:ascii="宋体" w:hAnsi="宋体" w:cs="仿宋"/>
          <w:bCs/>
          <w:color w:val="000000"/>
          <w:szCs w:val="21"/>
          <w:highlight w:val="none"/>
          <w:lang w:val="en-US" w:eastAsia="zh-CN"/>
        </w:rPr>
        <w:t>1</w:t>
      </w:r>
      <w:r>
        <w:rPr>
          <w:rFonts w:hint="eastAsia" w:ascii="宋体" w:hAnsi="宋体" w:eastAsia="宋体" w:cs="仿宋"/>
          <w:bCs/>
          <w:color w:val="000000"/>
          <w:szCs w:val="21"/>
          <w:highlight w:val="none"/>
        </w:rPr>
        <w:t>分</w:t>
      </w:r>
      <w:r>
        <w:rPr>
          <w:rFonts w:hint="eastAsia" w:ascii="宋体" w:hAnsi="宋体" w:cs="仿宋"/>
          <w:bCs/>
          <w:color w:val="000000"/>
          <w:szCs w:val="21"/>
          <w:highlight w:val="none"/>
          <w:lang w:eastAsia="zh-CN"/>
        </w:rPr>
        <w:t>，</w:t>
      </w:r>
      <w:r>
        <w:rPr>
          <w:rFonts w:hint="eastAsia" w:ascii="宋体" w:hAnsi="宋体" w:eastAsia="宋体" w:cs="仿宋"/>
          <w:bCs/>
          <w:color w:val="000000"/>
          <w:szCs w:val="21"/>
          <w:highlight w:val="none"/>
        </w:rPr>
        <w:t>满分</w:t>
      </w:r>
      <w:r>
        <w:rPr>
          <w:rFonts w:hint="eastAsia" w:ascii="宋体" w:hAnsi="宋体" w:cs="仿宋"/>
          <w:bCs/>
          <w:color w:val="000000"/>
          <w:szCs w:val="21"/>
          <w:highlight w:val="none"/>
          <w:lang w:val="en-US" w:eastAsia="zh-CN"/>
        </w:rPr>
        <w:t>10</w:t>
      </w:r>
      <w:r>
        <w:rPr>
          <w:rFonts w:hint="eastAsia" w:ascii="宋体" w:hAnsi="宋体" w:eastAsia="宋体" w:cs="仿宋"/>
          <w:bCs/>
          <w:color w:val="000000"/>
          <w:szCs w:val="21"/>
          <w:highlight w:val="none"/>
        </w:rPr>
        <w:t>分</w:t>
      </w:r>
      <w:r>
        <w:rPr>
          <w:rFonts w:hint="eastAsia" w:ascii="宋体" w:hAnsi="宋体" w:cs="仿宋"/>
          <w:bCs/>
          <w:color w:val="000000"/>
          <w:szCs w:val="21"/>
          <w:highlight w:val="none"/>
          <w:lang w:eastAsia="zh-CN"/>
        </w:rPr>
        <w:t>。</w:t>
      </w:r>
    </w:p>
    <w:p>
      <w:pPr>
        <w:keepNext w:val="0"/>
        <w:keepLines w:val="0"/>
        <w:pageBreakBefore w:val="0"/>
        <w:widowControl w:val="0"/>
        <w:shd w:val="clear" w:color="auto" w:fill="auto"/>
        <w:kinsoku/>
        <w:wordWrap/>
        <w:overflowPunct/>
        <w:topLinePunct w:val="0"/>
        <w:autoSpaceDE/>
        <w:autoSpaceDN/>
        <w:bidi w:val="0"/>
        <w:spacing w:line="360" w:lineRule="auto"/>
        <w:ind w:firstLine="420" w:firstLineChars="200"/>
        <w:outlineLvl w:val="1"/>
        <w:rPr>
          <w:rFonts w:hint="default" w:ascii="Calibri" w:hAnsi="Calibri" w:eastAsia="宋体" w:cs="Times New Roman"/>
          <w:color w:val="000000"/>
          <w:highlight w:val="none"/>
          <w:lang w:val="en-US" w:eastAsia="zh-CN"/>
        </w:rPr>
      </w:pPr>
      <w:r>
        <w:rPr>
          <w:rFonts w:hint="eastAsia" w:ascii="宋体" w:hAnsi="宋体" w:eastAsia="宋体" w:cs="仿宋"/>
          <w:bCs/>
          <w:color w:val="000000"/>
          <w:kern w:val="2"/>
          <w:sz w:val="21"/>
          <w:szCs w:val="21"/>
          <w:highlight w:val="none"/>
          <w:lang w:val="en-US" w:eastAsia="zh-CN" w:bidi="ar-SA"/>
        </w:rPr>
        <w:t>（</w:t>
      </w:r>
      <w:r>
        <w:rPr>
          <w:rFonts w:hint="eastAsia" w:ascii="宋体" w:hAnsi="宋体" w:cs="仿宋"/>
          <w:bCs/>
          <w:color w:val="000000"/>
          <w:kern w:val="2"/>
          <w:sz w:val="21"/>
          <w:szCs w:val="21"/>
          <w:highlight w:val="none"/>
          <w:lang w:val="en-US" w:eastAsia="zh-CN" w:bidi="ar-SA"/>
        </w:rPr>
        <w:t>2</w:t>
      </w:r>
      <w:r>
        <w:rPr>
          <w:rFonts w:hint="eastAsia" w:ascii="宋体" w:hAnsi="宋体" w:eastAsia="宋体" w:cs="仿宋"/>
          <w:bCs/>
          <w:color w:val="000000"/>
          <w:kern w:val="2"/>
          <w:sz w:val="21"/>
          <w:szCs w:val="21"/>
          <w:highlight w:val="none"/>
          <w:lang w:val="en-US" w:eastAsia="zh-CN" w:bidi="ar-SA"/>
        </w:rPr>
        <w:t>）</w:t>
      </w:r>
      <w:r>
        <w:rPr>
          <w:rFonts w:hint="eastAsia" w:ascii="宋体" w:hAnsi="宋体" w:cs="仿宋"/>
          <w:bCs/>
          <w:color w:val="000000"/>
          <w:kern w:val="2"/>
          <w:sz w:val="21"/>
          <w:szCs w:val="21"/>
          <w:highlight w:val="none"/>
          <w:lang w:val="en-US" w:eastAsia="zh-CN" w:bidi="ar-SA"/>
        </w:rPr>
        <w:t>提供</w:t>
      </w:r>
      <w:r>
        <w:rPr>
          <w:rFonts w:hint="eastAsia" w:ascii="宋体" w:hAnsi="宋体" w:eastAsia="宋体" w:cs="仿宋"/>
          <w:bCs/>
          <w:color w:val="000000"/>
          <w:kern w:val="2"/>
          <w:sz w:val="21"/>
          <w:szCs w:val="21"/>
          <w:highlight w:val="none"/>
          <w:lang w:val="en-US" w:eastAsia="zh-CN" w:bidi="ar-SA"/>
        </w:rPr>
        <w:t>源代码备份漏洞利用工具软件著作权证书、源代码安全审计检测系统软件著作权证书、移动安全检测系统著作权证书、验证码安全加固认证系统著作权证书、网站安全扫描工具软件著作权证书，每项得</w:t>
      </w:r>
      <w:r>
        <w:rPr>
          <w:rFonts w:hint="eastAsia" w:ascii="宋体" w:hAnsi="宋体" w:cs="仿宋"/>
          <w:bCs/>
          <w:color w:val="000000"/>
          <w:kern w:val="2"/>
          <w:sz w:val="21"/>
          <w:szCs w:val="21"/>
          <w:highlight w:val="none"/>
          <w:lang w:val="en-US" w:eastAsia="zh-CN" w:bidi="ar-SA"/>
        </w:rPr>
        <w:t>2</w:t>
      </w:r>
      <w:r>
        <w:rPr>
          <w:rFonts w:hint="eastAsia" w:ascii="宋体" w:hAnsi="宋体" w:eastAsia="宋体" w:cs="仿宋"/>
          <w:bCs/>
          <w:color w:val="000000"/>
          <w:kern w:val="2"/>
          <w:sz w:val="21"/>
          <w:szCs w:val="21"/>
          <w:highlight w:val="none"/>
          <w:lang w:val="en-US" w:eastAsia="zh-CN" w:bidi="ar-SA"/>
        </w:rPr>
        <w:t>分，满分</w:t>
      </w:r>
      <w:r>
        <w:rPr>
          <w:rFonts w:hint="eastAsia" w:ascii="宋体" w:hAnsi="宋体" w:cs="仿宋"/>
          <w:bCs/>
          <w:color w:val="000000"/>
          <w:kern w:val="2"/>
          <w:sz w:val="21"/>
          <w:szCs w:val="21"/>
          <w:highlight w:val="none"/>
          <w:lang w:val="en-US" w:eastAsia="zh-CN" w:bidi="ar-SA"/>
        </w:rPr>
        <w:t>10</w:t>
      </w:r>
      <w:r>
        <w:rPr>
          <w:rFonts w:hint="eastAsia" w:ascii="宋体" w:hAnsi="宋体" w:eastAsia="宋体" w:cs="仿宋"/>
          <w:bCs/>
          <w:color w:val="000000"/>
          <w:kern w:val="2"/>
          <w:sz w:val="21"/>
          <w:szCs w:val="21"/>
          <w:highlight w:val="none"/>
          <w:lang w:val="en-US" w:eastAsia="zh-CN" w:bidi="ar-SA"/>
        </w:rPr>
        <w:t>分。（著作权证书</w:t>
      </w:r>
      <w:r>
        <w:rPr>
          <w:rFonts w:hint="eastAsia" w:ascii="宋体" w:hAnsi="宋体" w:cs="仿宋"/>
          <w:bCs/>
          <w:color w:val="000000"/>
          <w:kern w:val="2"/>
          <w:sz w:val="21"/>
          <w:szCs w:val="21"/>
          <w:highlight w:val="none"/>
          <w:lang w:val="en-US" w:eastAsia="zh-CN" w:bidi="ar-SA"/>
        </w:rPr>
        <w:t>中软件名称可与以上名称不完全一致，但须为同类功能软件。</w:t>
      </w:r>
      <w:r>
        <w:rPr>
          <w:rFonts w:hint="eastAsia" w:ascii="宋体" w:hAnsi="宋体" w:eastAsia="宋体" w:cs="仿宋"/>
          <w:bCs/>
          <w:color w:val="000000"/>
          <w:kern w:val="2"/>
          <w:sz w:val="21"/>
          <w:szCs w:val="21"/>
          <w:highlight w:val="none"/>
          <w:lang w:val="en-US" w:eastAsia="zh-CN" w:bidi="ar-SA"/>
        </w:rPr>
        <w:t>提供证明材料</w:t>
      </w:r>
      <w:r>
        <w:rPr>
          <w:rFonts w:hint="eastAsia" w:ascii="宋体" w:hAnsi="宋体" w:cs="仿宋"/>
          <w:bCs/>
          <w:color w:val="000000"/>
          <w:kern w:val="2"/>
          <w:sz w:val="21"/>
          <w:szCs w:val="21"/>
          <w:highlight w:val="none"/>
          <w:lang w:val="en-US" w:eastAsia="zh-CN" w:bidi="ar-SA"/>
        </w:rPr>
        <w:t>扫描件</w:t>
      </w:r>
      <w:r>
        <w:rPr>
          <w:rFonts w:hint="eastAsia" w:ascii="宋体" w:hAnsi="宋体" w:eastAsia="宋体" w:cs="仿宋"/>
          <w:bCs/>
          <w:color w:val="000000"/>
          <w:kern w:val="2"/>
          <w:sz w:val="21"/>
          <w:szCs w:val="21"/>
          <w:highlight w:val="none"/>
          <w:lang w:val="en-US" w:eastAsia="zh-CN" w:bidi="ar-SA"/>
        </w:rPr>
        <w:t xml:space="preserve">并加盖公章） </w:t>
      </w:r>
    </w:p>
    <w:p>
      <w:pPr>
        <w:keepNext w:val="0"/>
        <w:keepLines w:val="0"/>
        <w:pageBreakBefore w:val="0"/>
        <w:widowControl w:val="0"/>
        <w:shd w:val="clear" w:color="auto" w:fill="auto"/>
        <w:kinsoku/>
        <w:wordWrap/>
        <w:overflowPunct/>
        <w:topLinePunct w:val="0"/>
        <w:autoSpaceDE/>
        <w:autoSpaceDN/>
        <w:bidi w:val="0"/>
        <w:snapToGrid w:val="0"/>
        <w:spacing w:line="360" w:lineRule="auto"/>
        <w:ind w:firstLine="422" w:firstLineChars="200"/>
        <w:outlineLvl w:val="1"/>
        <w:rPr>
          <w:rFonts w:ascii="宋体" w:hAnsi="宋体" w:eastAsia="宋体" w:cs="Times New Roman"/>
          <w:b/>
          <w:color w:val="000000"/>
          <w:szCs w:val="21"/>
          <w:highlight w:val="none"/>
        </w:rPr>
      </w:pPr>
      <w:r>
        <w:rPr>
          <w:rFonts w:hint="eastAsia" w:ascii="宋体" w:hAnsi="宋体" w:eastAsia="宋体" w:cs="Times New Roman"/>
          <w:b/>
          <w:color w:val="000000"/>
          <w:szCs w:val="21"/>
          <w:highlight w:val="none"/>
        </w:rPr>
        <w:t>总得分</w:t>
      </w:r>
      <w:r>
        <w:rPr>
          <w:rFonts w:ascii="宋体" w:hAnsi="宋体" w:eastAsia="宋体" w:cs="Times New Roman"/>
          <w:b/>
          <w:color w:val="000000"/>
          <w:szCs w:val="21"/>
          <w:highlight w:val="none"/>
        </w:rPr>
        <w:t xml:space="preserve">=1 + 2 + 3 </w:t>
      </w:r>
      <w:r>
        <w:rPr>
          <w:rFonts w:hint="eastAsia" w:ascii="宋体" w:hAnsi="宋体" w:eastAsia="宋体" w:cs="Times New Roman"/>
          <w:b/>
          <w:color w:val="000000"/>
          <w:szCs w:val="21"/>
          <w:highlight w:val="none"/>
        </w:rPr>
        <w:t>。</w:t>
      </w:r>
    </w:p>
    <w:p>
      <w:pPr>
        <w:pStyle w:val="23"/>
        <w:keepNext w:val="0"/>
        <w:keepLines w:val="0"/>
        <w:pageBreakBefore w:val="0"/>
        <w:widowControl w:val="0"/>
        <w:kinsoku/>
        <w:wordWrap/>
        <w:overflowPunct/>
        <w:topLinePunct w:val="0"/>
        <w:autoSpaceDE/>
        <w:autoSpaceDN/>
        <w:bidi w:val="0"/>
        <w:spacing w:line="360" w:lineRule="auto"/>
        <w:rPr>
          <w:rFonts w:hint="eastAsia" w:ascii="宋体" w:hAnsi="宋体" w:cs="宋体"/>
          <w:color w:val="auto"/>
          <w:sz w:val="21"/>
          <w:szCs w:val="21"/>
        </w:rPr>
      </w:pPr>
    </w:p>
    <w:p>
      <w:pPr>
        <w:spacing w:line="360" w:lineRule="auto"/>
        <w:ind w:firstLine="420" w:firstLineChars="200"/>
        <w:rPr>
          <w:rFonts w:hint="eastAsia" w:ascii="宋体" w:hAnsi="宋体" w:cs="宋体"/>
          <w:color w:val="auto"/>
        </w:rPr>
      </w:pPr>
      <w:r>
        <w:rPr>
          <w:rFonts w:hint="eastAsia" w:ascii="宋体" w:hAnsi="宋体" w:cs="宋体"/>
          <w:color w:val="auto"/>
        </w:rPr>
        <w:t>7.2终止竞争性磋商采购活动</w:t>
      </w:r>
    </w:p>
    <w:p>
      <w:pPr>
        <w:spacing w:line="360" w:lineRule="auto"/>
        <w:ind w:firstLine="420" w:firstLineChars="200"/>
        <w:rPr>
          <w:rFonts w:hint="eastAsia" w:ascii="宋体" w:hAnsi="宋体"/>
          <w:b/>
          <w:color w:val="auto"/>
        </w:rPr>
      </w:pPr>
      <w:r>
        <w:rPr>
          <w:rFonts w:hint="eastAsia" w:ascii="宋体" w:hAnsi="宋体" w:cs="宋体"/>
          <w:color w:val="auto"/>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pPr>
        <w:pStyle w:val="3"/>
        <w:spacing w:before="0" w:after="0" w:line="360" w:lineRule="auto"/>
        <w:ind w:firstLine="640" w:firstLineChars="200"/>
        <w:jc w:val="center"/>
        <w:rPr>
          <w:rFonts w:hint="eastAsia" w:ascii="宋体" w:hAnsi="宋体"/>
          <w:b w:val="0"/>
          <w:color w:val="auto"/>
        </w:rPr>
      </w:pPr>
      <w:bookmarkStart w:id="168" w:name="_Toc22545"/>
      <w:bookmarkStart w:id="169" w:name="_Toc80886939"/>
      <w:bookmarkStart w:id="170" w:name="_Toc11595"/>
      <w:r>
        <w:rPr>
          <w:rFonts w:hint="eastAsia" w:ascii="宋体" w:hAnsi="宋体"/>
          <w:b w:val="0"/>
          <w:color w:val="auto"/>
        </w:rPr>
        <w:t>第二节 评审报告</w:t>
      </w:r>
      <w:bookmarkEnd w:id="157"/>
      <w:bookmarkEnd w:id="168"/>
      <w:bookmarkEnd w:id="169"/>
      <w:bookmarkEnd w:id="170"/>
    </w:p>
    <w:p>
      <w:pPr>
        <w:spacing w:line="360" w:lineRule="auto"/>
        <w:ind w:firstLine="480" w:firstLineChars="200"/>
        <w:rPr>
          <w:rFonts w:hint="eastAsia" w:ascii="黑体" w:hAnsi="黑体" w:eastAsia="黑体" w:cs="宋体"/>
          <w:color w:val="auto"/>
          <w:sz w:val="24"/>
          <w:szCs w:val="32"/>
        </w:rPr>
      </w:pPr>
      <w:r>
        <w:rPr>
          <w:rFonts w:hint="eastAsia" w:ascii="黑体" w:hAnsi="黑体" w:eastAsia="黑体" w:cs="宋体"/>
          <w:color w:val="auto"/>
          <w:sz w:val="24"/>
          <w:szCs w:val="32"/>
        </w:rPr>
        <w:t>1.成交标准</w:t>
      </w:r>
    </w:p>
    <w:p>
      <w:pPr>
        <w:spacing w:line="360" w:lineRule="auto"/>
        <w:ind w:firstLine="420" w:firstLineChars="200"/>
        <w:rPr>
          <w:rFonts w:hint="eastAsia" w:ascii="宋体" w:hAnsi="宋体" w:cs="宋体"/>
          <w:color w:val="auto"/>
          <w:sz w:val="24"/>
        </w:rPr>
      </w:pPr>
      <w:r>
        <w:rPr>
          <w:rFonts w:hint="eastAsia" w:ascii="宋体" w:hAnsi="宋体" w:cs="宋体"/>
          <w:bCs/>
          <w:color w:val="auto"/>
          <w:szCs w:val="21"/>
        </w:rPr>
        <w:t>由磋商小组根据综合评分情况，按照评审得分由高到低顺序推荐3名以上成交候选供应商</w:t>
      </w:r>
      <w:r>
        <w:rPr>
          <w:rFonts w:hint="eastAsia" w:ascii="宋体" w:hAnsi="宋体" w:cs="宋体"/>
          <w:color w:val="auto"/>
        </w:rPr>
        <w:t>,并在线编写电子评审报告</w:t>
      </w:r>
      <w:r>
        <w:rPr>
          <w:rFonts w:hint="eastAsia" w:ascii="宋体" w:hAnsi="宋体" w:cs="宋体"/>
          <w:bCs/>
          <w:color w:val="auto"/>
          <w:szCs w:val="21"/>
        </w:rPr>
        <w:t>。符合本章第一节第5.3条情形的，可以推荐2家成交候选供应商。评审得分相同的，按照最后报价（不计算价格折扣）由低到高的顺序推荐。评审得分且最后报价（不计算价格折扣）相同的，按照技术</w:t>
      </w:r>
      <w:r>
        <w:rPr>
          <w:rFonts w:hint="eastAsia"/>
        </w:rPr>
        <w:t>、商务</w:t>
      </w:r>
      <w:r>
        <w:rPr>
          <w:rFonts w:hint="eastAsia" w:ascii="宋体" w:hAnsi="宋体" w:cs="宋体"/>
          <w:bCs/>
          <w:color w:val="auto"/>
          <w:szCs w:val="21"/>
        </w:rPr>
        <w:t>指标优劣顺序推荐（按技术分得分由高到低排序，技术分得分相同的按照商务分得分由高到低排序）。评审得分、最后报价（不计算价格折扣）、技术分得分、商务分得分均相同的，由磋商小组随机抽取推荐。</w:t>
      </w:r>
    </w:p>
    <w:p>
      <w:pPr>
        <w:spacing w:line="360" w:lineRule="auto"/>
        <w:ind w:firstLine="480" w:firstLineChars="200"/>
        <w:rPr>
          <w:rFonts w:hint="eastAsia" w:ascii="黑体" w:hAnsi="黑体" w:eastAsia="黑体" w:cs="宋体"/>
          <w:color w:val="auto"/>
          <w:sz w:val="24"/>
          <w:szCs w:val="32"/>
        </w:rPr>
      </w:pPr>
      <w:r>
        <w:rPr>
          <w:rFonts w:hint="eastAsia" w:ascii="黑体" w:hAnsi="黑体" w:eastAsia="黑体" w:cs="宋体"/>
          <w:color w:val="auto"/>
          <w:sz w:val="24"/>
          <w:szCs w:val="32"/>
        </w:rPr>
        <w:t>2.评标争议</w:t>
      </w:r>
      <w:r>
        <w:rPr>
          <w:rFonts w:ascii="黑体" w:hAnsi="黑体" w:eastAsia="黑体" w:cs="宋体"/>
          <w:color w:val="auto"/>
          <w:sz w:val="24"/>
          <w:szCs w:val="32"/>
        </w:rPr>
        <w:t>事项</w:t>
      </w:r>
      <w:r>
        <w:rPr>
          <w:rFonts w:hint="eastAsia" w:ascii="黑体" w:hAnsi="黑体" w:eastAsia="黑体" w:cs="宋体"/>
          <w:color w:val="auto"/>
          <w:sz w:val="24"/>
          <w:szCs w:val="32"/>
        </w:rPr>
        <w:t>处理</w:t>
      </w:r>
    </w:p>
    <w:p>
      <w:pPr>
        <w:pStyle w:val="69"/>
        <w:spacing w:before="0"/>
        <w:ind w:firstLine="420"/>
        <w:rPr>
          <w:rFonts w:hint="eastAsia" w:ascii="宋体" w:hAnsi="宋体" w:cs="宋体"/>
          <w:color w:val="auto"/>
          <w:kern w:val="2"/>
          <w:sz w:val="21"/>
          <w:szCs w:val="24"/>
        </w:rPr>
      </w:pPr>
      <w:r>
        <w:rPr>
          <w:rFonts w:hint="eastAsia" w:ascii="宋体" w:hAnsi="宋体" w:cs="宋体"/>
          <w:color w:val="auto"/>
          <w:kern w:val="2"/>
          <w:sz w:val="21"/>
          <w:szCs w:val="24"/>
        </w:rPr>
        <w:t>磋商小组成员对需要共同认定的事项存在争议的，应当按照少数服从多数的原则作出结论。持不同意见的磋商小组成员应当在评审报告上签署不同意见及理由，否则视为同意评审报告。</w:t>
      </w:r>
    </w:p>
    <w:p>
      <w:pPr>
        <w:pStyle w:val="69"/>
        <w:spacing w:before="0"/>
        <w:ind w:firstLine="420"/>
        <w:rPr>
          <w:rFonts w:cs="宋体"/>
          <w:color w:val="auto"/>
          <w:kern w:val="2"/>
          <w:sz w:val="21"/>
          <w:szCs w:val="24"/>
        </w:rPr>
      </w:pPr>
    </w:p>
    <w:p>
      <w:pPr>
        <w:pStyle w:val="3"/>
        <w:spacing w:before="0" w:after="0" w:line="360" w:lineRule="auto"/>
        <w:ind w:firstLine="640" w:firstLineChars="200"/>
        <w:jc w:val="center"/>
        <w:rPr>
          <w:rFonts w:ascii="宋体" w:hAnsi="宋体"/>
          <w:b w:val="0"/>
          <w:color w:val="auto"/>
        </w:rPr>
      </w:pPr>
      <w:bookmarkStart w:id="171" w:name="_Toc80886940"/>
      <w:bookmarkStart w:id="172" w:name="_Toc2025"/>
      <w:bookmarkStart w:id="173" w:name="_Toc80205936"/>
      <w:bookmarkStart w:id="174" w:name="_Toc20045"/>
      <w:r>
        <w:rPr>
          <w:rFonts w:hint="eastAsia" w:ascii="宋体" w:hAnsi="宋体"/>
          <w:b w:val="0"/>
          <w:color w:val="auto"/>
        </w:rPr>
        <w:t>第三节 评审过程的保密与录像</w:t>
      </w:r>
      <w:bookmarkEnd w:id="171"/>
      <w:bookmarkEnd w:id="172"/>
      <w:bookmarkEnd w:id="173"/>
      <w:bookmarkEnd w:id="174"/>
    </w:p>
    <w:p>
      <w:pPr>
        <w:spacing w:line="360" w:lineRule="auto"/>
        <w:ind w:firstLine="480" w:firstLineChars="200"/>
        <w:rPr>
          <w:rFonts w:hint="eastAsia" w:ascii="黑体" w:hAnsi="黑体" w:eastAsia="黑体" w:cs="宋体"/>
          <w:color w:val="auto"/>
          <w:sz w:val="24"/>
          <w:szCs w:val="32"/>
        </w:rPr>
      </w:pPr>
      <w:r>
        <w:rPr>
          <w:rFonts w:hint="eastAsia" w:ascii="黑体" w:hAnsi="黑体" w:eastAsia="黑体" w:cs="宋体"/>
          <w:color w:val="auto"/>
          <w:sz w:val="24"/>
          <w:szCs w:val="32"/>
        </w:rPr>
        <w:t>1.保密。</w:t>
      </w:r>
    </w:p>
    <w:p>
      <w:pPr>
        <w:widowControl/>
        <w:spacing w:line="360" w:lineRule="auto"/>
        <w:ind w:firstLine="420" w:firstLineChars="200"/>
        <w:rPr>
          <w:rFonts w:cs="宋体"/>
          <w:color w:val="auto"/>
        </w:rPr>
      </w:pPr>
      <w:r>
        <w:rPr>
          <w:rFonts w:cs="宋体"/>
          <w:color w:val="auto"/>
        </w:rPr>
        <w:t>评审活动在严格保密的情况下进行。评审过程中凡是与响应文件评审和比较、中标成交供应商推荐等评审有关的情况，以及涉及国家秘密和商业秘密等信息，</w:t>
      </w:r>
      <w:r>
        <w:rPr>
          <w:rFonts w:hint="eastAsia" w:cs="宋体"/>
          <w:color w:val="auto"/>
        </w:rPr>
        <w:t>磋商小组</w:t>
      </w:r>
      <w:r>
        <w:rPr>
          <w:rFonts w:cs="宋体"/>
          <w:color w:val="auto"/>
        </w:rPr>
        <w:t>成员、采购人和采购</w:t>
      </w:r>
      <w:r>
        <w:rPr>
          <w:rFonts w:hint="eastAsia" w:cs="宋体"/>
          <w:color w:val="auto"/>
        </w:rPr>
        <w:t>代理</w:t>
      </w:r>
      <w:r>
        <w:rPr>
          <w:rFonts w:cs="宋体"/>
          <w:color w:val="auto"/>
        </w:rPr>
        <w:t>机构工作人员、相关监督人员等与评审有关的人员应当予以保密。</w:t>
      </w:r>
    </w:p>
    <w:p>
      <w:pPr>
        <w:widowControl/>
        <w:spacing w:line="360" w:lineRule="auto"/>
        <w:ind w:firstLine="480" w:firstLineChars="200"/>
        <w:rPr>
          <w:rFonts w:hint="eastAsia" w:ascii="黑体" w:hAnsi="黑体" w:eastAsia="黑体" w:cs="宋体"/>
          <w:color w:val="auto"/>
          <w:sz w:val="24"/>
          <w:szCs w:val="32"/>
        </w:rPr>
      </w:pPr>
      <w:r>
        <w:rPr>
          <w:rFonts w:hint="eastAsia" w:ascii="黑体" w:hAnsi="黑体" w:eastAsia="黑体" w:cs="宋体"/>
          <w:color w:val="auto"/>
          <w:sz w:val="24"/>
          <w:szCs w:val="32"/>
        </w:rPr>
        <w:t>2.录音录像。</w:t>
      </w:r>
    </w:p>
    <w:p>
      <w:pPr>
        <w:spacing w:line="360" w:lineRule="auto"/>
        <w:ind w:firstLine="420" w:firstLineChars="200"/>
        <w:rPr>
          <w:color w:val="auto"/>
        </w:rPr>
      </w:pPr>
      <w:r>
        <w:rPr>
          <w:rFonts w:hint="eastAsia" w:cs="宋体"/>
          <w:color w:val="auto"/>
        </w:rPr>
        <w:t>采购代理机构对评审工作现场及操作屏幕进行全过程录音录像，录音录像资料作为采购项目文件随其他文件一并存档。</w:t>
      </w:r>
    </w:p>
    <w:p>
      <w:pPr>
        <w:pStyle w:val="3"/>
        <w:jc w:val="center"/>
        <w:rPr>
          <w:color w:val="auto"/>
        </w:rPr>
      </w:pPr>
      <w:r>
        <w:rPr>
          <w:color w:val="auto"/>
        </w:rPr>
        <w:br w:type="page"/>
      </w:r>
    </w:p>
    <w:p>
      <w:pPr>
        <w:pStyle w:val="3"/>
        <w:jc w:val="center"/>
        <w:rPr>
          <w:color w:val="auto"/>
        </w:rPr>
      </w:pPr>
    </w:p>
    <w:p>
      <w:pPr>
        <w:pStyle w:val="3"/>
        <w:jc w:val="center"/>
        <w:rPr>
          <w:color w:val="auto"/>
        </w:rPr>
      </w:pPr>
    </w:p>
    <w:p>
      <w:pPr>
        <w:pStyle w:val="3"/>
        <w:jc w:val="center"/>
        <w:rPr>
          <w:color w:val="auto"/>
        </w:rPr>
      </w:pPr>
    </w:p>
    <w:p>
      <w:pPr>
        <w:rPr>
          <w:color w:val="auto"/>
        </w:rPr>
      </w:pPr>
    </w:p>
    <w:p>
      <w:pPr>
        <w:pStyle w:val="2"/>
        <w:rPr>
          <w:color w:val="auto"/>
        </w:rPr>
      </w:pPr>
    </w:p>
    <w:p>
      <w:pPr>
        <w:rPr>
          <w:color w:val="auto"/>
        </w:rPr>
      </w:pPr>
    </w:p>
    <w:p>
      <w:pPr>
        <w:pStyle w:val="2"/>
        <w:jc w:val="center"/>
        <w:rPr>
          <w:color w:val="auto"/>
        </w:rPr>
        <w:sectPr>
          <w:headerReference r:id="rId10" w:type="default"/>
          <w:footerReference r:id="rId11" w:type="default"/>
          <w:pgSz w:w="11911" w:h="16838"/>
          <w:pgMar w:top="1134" w:right="1134" w:bottom="1134" w:left="1134" w:header="720" w:footer="720" w:gutter="0"/>
          <w:cols w:space="720" w:num="1"/>
        </w:sectPr>
      </w:pPr>
      <w:bookmarkStart w:id="175" w:name="_Toc17404"/>
      <w:bookmarkStart w:id="176" w:name="_Toc22302"/>
      <w:bookmarkStart w:id="177" w:name="_Toc26272"/>
      <w:bookmarkStart w:id="178" w:name="_Toc7776"/>
      <w:bookmarkStart w:id="179" w:name="_Toc5005"/>
      <w:bookmarkStart w:id="180" w:name="_Toc27282"/>
      <w:bookmarkStart w:id="181" w:name="_Toc12890"/>
      <w:bookmarkStart w:id="182" w:name="_Toc80886941"/>
      <w:r>
        <w:rPr>
          <w:rFonts w:hint="eastAsia" w:ascii="Calibri" w:hAnsi="Calibri"/>
          <w:color w:val="auto"/>
        </w:rPr>
        <w:t>第五章 响应文件格式</w:t>
      </w:r>
      <w:bookmarkEnd w:id="175"/>
      <w:bookmarkEnd w:id="176"/>
      <w:bookmarkEnd w:id="177"/>
      <w:bookmarkEnd w:id="178"/>
      <w:bookmarkEnd w:id="179"/>
      <w:bookmarkEnd w:id="180"/>
      <w:bookmarkEnd w:id="181"/>
      <w:bookmarkEnd w:id="182"/>
    </w:p>
    <w:p>
      <w:pPr>
        <w:pStyle w:val="3"/>
        <w:jc w:val="center"/>
        <w:rPr>
          <w:rFonts w:hint="eastAsia" w:ascii="宋体" w:hAnsi="宋体"/>
          <w:bCs w:val="0"/>
          <w:color w:val="auto"/>
        </w:rPr>
      </w:pPr>
      <w:bookmarkStart w:id="183" w:name="_Toc80886943"/>
      <w:bookmarkStart w:id="184" w:name="_Toc12994"/>
      <w:bookmarkStart w:id="185" w:name="_Toc80205939"/>
      <w:bookmarkStart w:id="186" w:name="_Toc22245"/>
      <w:r>
        <w:rPr>
          <w:rFonts w:hint="eastAsia" w:ascii="宋体" w:hAnsi="宋体"/>
          <w:bCs w:val="0"/>
          <w:color w:val="auto"/>
        </w:rPr>
        <w:t>第一节 资格证明文件格式</w:t>
      </w:r>
      <w:bookmarkEnd w:id="183"/>
      <w:bookmarkEnd w:id="184"/>
      <w:bookmarkEnd w:id="185"/>
      <w:bookmarkEnd w:id="186"/>
    </w:p>
    <w:p>
      <w:pPr>
        <w:snapToGrid w:val="0"/>
        <w:spacing w:before="120" w:beforeLines="50" w:after="50"/>
        <w:jc w:val="left"/>
        <w:rPr>
          <w:rFonts w:hint="eastAsia"/>
          <w:color w:val="auto"/>
          <w:sz w:val="24"/>
        </w:rPr>
      </w:pPr>
      <w:r>
        <w:rPr>
          <w:rFonts w:hint="eastAsia" w:hAnsi="宋体" w:cs="宋体"/>
          <w:b/>
          <w:bCs/>
          <w:color w:val="auto"/>
          <w:sz w:val="28"/>
          <w:szCs w:val="28"/>
        </w:rPr>
        <w:t>1.资格证明文件封面的格式</w:t>
      </w:r>
      <w:r>
        <w:rPr>
          <w:rFonts w:hint="eastAsia" w:ascii="宋体" w:hAnsi="宋体" w:cs="宋体"/>
          <w:b/>
          <w:color w:val="auto"/>
          <w:sz w:val="28"/>
          <w:szCs w:val="28"/>
        </w:rPr>
        <w:t>（参照此格式自拟）</w:t>
      </w:r>
      <w:r>
        <w:rPr>
          <w:rFonts w:hint="eastAsia" w:hAnsi="宋体" w:cs="宋体"/>
          <w:b/>
          <w:bCs/>
          <w:color w:val="auto"/>
          <w:sz w:val="28"/>
          <w:szCs w:val="28"/>
        </w:rPr>
        <w:t>：</w:t>
      </w:r>
      <w:r>
        <w:rPr>
          <w:rFonts w:hint="eastAsia"/>
          <w:color w:val="auto"/>
          <w:sz w:val="24"/>
        </w:rPr>
        <w:t xml:space="preserve">                                      </w:t>
      </w:r>
    </w:p>
    <w:p>
      <w:pPr>
        <w:snapToGrid w:val="0"/>
        <w:spacing w:before="120" w:beforeLines="50" w:after="50"/>
        <w:ind w:firstLine="6930" w:firstLineChars="3300"/>
        <w:rPr>
          <w:rFonts w:hint="eastAsia"/>
          <w:bCs/>
          <w:color w:val="auto"/>
          <w:sz w:val="32"/>
          <w:szCs w:val="20"/>
        </w:rPr>
      </w:pPr>
      <w:r>
        <w:rPr>
          <w:rFonts w:hint="eastAsia"/>
          <w:bCs/>
          <w:color w:val="auto"/>
        </w:rPr>
        <w:t>全流程电子文件</w:t>
      </w:r>
    </w:p>
    <w:p>
      <w:pPr>
        <w:snapToGrid w:val="0"/>
        <w:spacing w:before="120" w:beforeLines="50" w:after="50"/>
        <w:rPr>
          <w:rFonts w:hint="eastAsia"/>
          <w:color w:val="auto"/>
          <w:sz w:val="24"/>
          <w:szCs w:val="20"/>
        </w:rPr>
      </w:pPr>
    </w:p>
    <w:p>
      <w:pPr>
        <w:snapToGrid w:val="0"/>
        <w:spacing w:before="120" w:beforeLines="50" w:after="50"/>
        <w:rPr>
          <w:rFonts w:hint="eastAsia"/>
          <w:color w:val="auto"/>
          <w:sz w:val="24"/>
          <w:szCs w:val="20"/>
        </w:rPr>
      </w:pPr>
    </w:p>
    <w:p>
      <w:pPr>
        <w:snapToGrid w:val="0"/>
        <w:spacing w:before="120" w:beforeLines="50" w:after="50"/>
        <w:jc w:val="center"/>
        <w:rPr>
          <w:rFonts w:hint="eastAsia" w:ascii="仿宋" w:hAnsi="仿宋" w:eastAsia="仿宋" w:cs="仿宋"/>
          <w:bCs/>
          <w:color w:val="auto"/>
          <w:sz w:val="44"/>
          <w:szCs w:val="44"/>
        </w:rPr>
      </w:pPr>
      <w:r>
        <w:rPr>
          <w:rFonts w:hint="eastAsia" w:ascii="仿宋" w:hAnsi="仿宋" w:eastAsia="仿宋" w:cs="仿宋"/>
          <w:bCs/>
          <w:color w:val="auto"/>
          <w:sz w:val="44"/>
          <w:szCs w:val="44"/>
        </w:rPr>
        <w:t>资  格  证  明  文  件</w:t>
      </w:r>
    </w:p>
    <w:p>
      <w:pPr>
        <w:snapToGrid w:val="0"/>
        <w:spacing w:before="120" w:beforeLines="50" w:after="50"/>
        <w:rPr>
          <w:rFonts w:hint="eastAsia"/>
          <w:bCs/>
          <w:color w:val="auto"/>
          <w:sz w:val="24"/>
          <w:szCs w:val="20"/>
        </w:rPr>
      </w:pPr>
    </w:p>
    <w:p>
      <w:pPr>
        <w:snapToGrid w:val="0"/>
        <w:spacing w:before="120" w:beforeLines="50" w:after="50"/>
        <w:rPr>
          <w:rFonts w:hint="eastAsia"/>
          <w:bCs/>
          <w:color w:val="auto"/>
          <w:sz w:val="24"/>
          <w:szCs w:val="20"/>
        </w:rPr>
      </w:pPr>
    </w:p>
    <w:p>
      <w:pPr>
        <w:snapToGrid w:val="0"/>
        <w:spacing w:before="120" w:beforeLines="50" w:after="50"/>
        <w:rPr>
          <w:rFonts w:hint="eastAsia"/>
          <w:bCs/>
          <w:color w:val="auto"/>
          <w:sz w:val="24"/>
          <w:szCs w:val="20"/>
        </w:rPr>
      </w:pPr>
    </w:p>
    <w:p>
      <w:pPr>
        <w:snapToGrid w:val="0"/>
        <w:spacing w:before="120" w:beforeLines="50" w:after="50"/>
        <w:rPr>
          <w:rFonts w:hint="eastAsia"/>
          <w:bCs/>
          <w:color w:val="auto"/>
          <w:sz w:val="24"/>
          <w:szCs w:val="20"/>
        </w:rPr>
      </w:pPr>
    </w:p>
    <w:p>
      <w:pPr>
        <w:snapToGrid w:val="0"/>
        <w:spacing w:before="120" w:beforeLines="50" w:after="50"/>
        <w:rPr>
          <w:rFonts w:hint="eastAsia"/>
          <w:bCs/>
          <w:color w:val="auto"/>
          <w:sz w:val="24"/>
          <w:szCs w:val="20"/>
        </w:rPr>
      </w:pPr>
    </w:p>
    <w:p>
      <w:pPr>
        <w:snapToGrid w:val="0"/>
        <w:spacing w:before="120" w:beforeLines="50" w:after="50"/>
        <w:ind w:firstLine="640" w:firstLineChars="200"/>
        <w:rPr>
          <w:rFonts w:hint="eastAsia" w:cs="仿宋_GB2312"/>
          <w:bCs/>
          <w:color w:val="auto"/>
          <w:sz w:val="32"/>
          <w:szCs w:val="32"/>
        </w:rPr>
      </w:pPr>
      <w:r>
        <w:rPr>
          <w:rFonts w:hint="eastAsia" w:cs="仿宋_GB2312"/>
          <w:bCs/>
          <w:color w:val="auto"/>
          <w:sz w:val="32"/>
          <w:szCs w:val="32"/>
        </w:rPr>
        <w:t>项目名称：</w:t>
      </w:r>
    </w:p>
    <w:p>
      <w:pPr>
        <w:snapToGrid w:val="0"/>
        <w:spacing w:before="120" w:beforeLines="50" w:after="50"/>
        <w:ind w:firstLine="720" w:firstLineChars="225"/>
        <w:rPr>
          <w:rFonts w:hint="eastAsia" w:cs="仿宋_GB2312"/>
          <w:bCs/>
          <w:color w:val="auto"/>
          <w:sz w:val="32"/>
          <w:szCs w:val="32"/>
        </w:rPr>
      </w:pPr>
    </w:p>
    <w:p>
      <w:pPr>
        <w:snapToGrid w:val="0"/>
        <w:spacing w:before="120" w:beforeLines="50" w:after="50"/>
        <w:ind w:firstLine="720" w:firstLineChars="225"/>
        <w:rPr>
          <w:rFonts w:hint="eastAsia" w:cs="仿宋_GB2312"/>
          <w:bCs/>
          <w:color w:val="auto"/>
          <w:sz w:val="32"/>
          <w:szCs w:val="32"/>
        </w:rPr>
      </w:pPr>
      <w:r>
        <w:rPr>
          <w:rFonts w:hint="eastAsia" w:cs="仿宋_GB2312"/>
          <w:bCs/>
          <w:color w:val="auto"/>
          <w:sz w:val="32"/>
          <w:szCs w:val="32"/>
        </w:rPr>
        <w:t>项目编号：</w:t>
      </w:r>
    </w:p>
    <w:p>
      <w:pPr>
        <w:snapToGrid w:val="0"/>
        <w:spacing w:before="120" w:beforeLines="50" w:after="50"/>
        <w:ind w:firstLine="720" w:firstLineChars="225"/>
        <w:rPr>
          <w:rFonts w:hint="eastAsia" w:cs="仿宋_GB2312"/>
          <w:bCs/>
          <w:color w:val="auto"/>
          <w:sz w:val="32"/>
          <w:szCs w:val="32"/>
        </w:rPr>
      </w:pPr>
      <w:r>
        <w:rPr>
          <w:rFonts w:hint="eastAsia" w:cs="仿宋_GB2312"/>
          <w:bCs/>
          <w:color w:val="auto"/>
          <w:sz w:val="32"/>
          <w:szCs w:val="32"/>
        </w:rPr>
        <w:t xml:space="preserve"> </w:t>
      </w:r>
    </w:p>
    <w:p>
      <w:pPr>
        <w:snapToGrid w:val="0"/>
        <w:spacing w:before="120" w:beforeLines="50" w:after="50"/>
        <w:ind w:firstLine="720" w:firstLineChars="225"/>
        <w:rPr>
          <w:rFonts w:hint="eastAsia" w:cs="仿宋_GB2312"/>
          <w:bCs/>
          <w:color w:val="auto"/>
          <w:sz w:val="32"/>
          <w:szCs w:val="32"/>
        </w:rPr>
      </w:pPr>
      <w:r>
        <w:rPr>
          <w:rFonts w:hint="eastAsia" w:cs="仿宋_GB2312"/>
          <w:bCs/>
          <w:color w:val="auto"/>
          <w:sz w:val="32"/>
          <w:szCs w:val="32"/>
        </w:rPr>
        <w:t>所竞分标（如有则填写，无分标时填写“无”或者留空）：</w:t>
      </w:r>
    </w:p>
    <w:p>
      <w:pPr>
        <w:snapToGrid w:val="0"/>
        <w:spacing w:before="120" w:beforeLines="50" w:after="50"/>
        <w:ind w:firstLine="720" w:firstLineChars="225"/>
        <w:rPr>
          <w:rFonts w:hint="eastAsia" w:cs="仿宋_GB2312"/>
          <w:bCs/>
          <w:color w:val="auto"/>
          <w:sz w:val="32"/>
          <w:szCs w:val="32"/>
        </w:rPr>
      </w:pPr>
    </w:p>
    <w:p>
      <w:pPr>
        <w:pStyle w:val="7"/>
        <w:snapToGrid w:val="0"/>
        <w:spacing w:before="50" w:after="50"/>
        <w:ind w:firstLine="720" w:firstLineChars="225"/>
        <w:rPr>
          <w:rFonts w:hint="eastAsia" w:cs="仿宋_GB2312"/>
          <w:bCs/>
          <w:color w:val="auto"/>
          <w:sz w:val="32"/>
          <w:szCs w:val="32"/>
        </w:rPr>
      </w:pPr>
      <w:r>
        <w:rPr>
          <w:rFonts w:hint="eastAsia" w:cs="仿宋_GB2312"/>
          <w:bCs/>
          <w:color w:val="auto"/>
          <w:sz w:val="32"/>
          <w:szCs w:val="32"/>
        </w:rPr>
        <w:t>供应商名称：</w:t>
      </w:r>
    </w:p>
    <w:p>
      <w:pPr>
        <w:pStyle w:val="7"/>
        <w:snapToGrid w:val="0"/>
        <w:spacing w:before="50" w:after="50"/>
        <w:ind w:firstLine="720" w:firstLineChars="225"/>
        <w:rPr>
          <w:rFonts w:hint="eastAsia" w:cs="仿宋_GB2312"/>
          <w:bCs/>
          <w:color w:val="auto"/>
          <w:sz w:val="32"/>
          <w:szCs w:val="32"/>
        </w:rPr>
      </w:pPr>
    </w:p>
    <w:p>
      <w:pPr>
        <w:pStyle w:val="7"/>
        <w:snapToGrid w:val="0"/>
        <w:spacing w:before="50" w:after="50"/>
        <w:ind w:firstLine="720" w:firstLineChars="225"/>
        <w:rPr>
          <w:rFonts w:hint="eastAsia" w:cs="仿宋_GB2312"/>
          <w:bCs/>
          <w:color w:val="auto"/>
          <w:sz w:val="32"/>
          <w:szCs w:val="32"/>
        </w:rPr>
      </w:pPr>
    </w:p>
    <w:p>
      <w:pPr>
        <w:pStyle w:val="7"/>
        <w:snapToGrid w:val="0"/>
        <w:spacing w:before="50" w:after="50"/>
        <w:ind w:firstLine="720" w:firstLineChars="225"/>
        <w:rPr>
          <w:rFonts w:hint="eastAsia" w:cs="仿宋_GB2312"/>
          <w:bCs/>
          <w:color w:val="auto"/>
          <w:sz w:val="32"/>
          <w:szCs w:val="32"/>
        </w:rPr>
      </w:pPr>
    </w:p>
    <w:p>
      <w:pPr>
        <w:pStyle w:val="7"/>
        <w:snapToGrid w:val="0"/>
        <w:spacing w:before="50" w:after="50"/>
        <w:ind w:firstLine="1280" w:firstLineChars="400"/>
        <w:rPr>
          <w:rFonts w:hint="eastAsia" w:cs="仿宋_GB2312"/>
          <w:bCs/>
          <w:color w:val="auto"/>
          <w:sz w:val="32"/>
          <w:szCs w:val="32"/>
        </w:rPr>
      </w:pPr>
    </w:p>
    <w:p>
      <w:pPr>
        <w:snapToGrid w:val="0"/>
        <w:spacing w:before="120" w:beforeLines="50" w:after="50"/>
        <w:jc w:val="center"/>
        <w:rPr>
          <w:rFonts w:hint="eastAsia" w:cs="仿宋_GB2312"/>
          <w:color w:val="auto"/>
          <w:sz w:val="32"/>
          <w:szCs w:val="32"/>
        </w:rPr>
      </w:pPr>
      <w:r>
        <w:rPr>
          <w:rFonts w:hint="eastAsia" w:cs="仿宋_GB2312"/>
          <w:color w:val="auto"/>
          <w:sz w:val="32"/>
          <w:szCs w:val="32"/>
        </w:rPr>
        <w:t>年    月    日</w:t>
      </w:r>
    </w:p>
    <w:p>
      <w:pPr>
        <w:snapToGrid w:val="0"/>
        <w:spacing w:before="120" w:beforeLines="50" w:after="50" w:line="360" w:lineRule="auto"/>
        <w:jc w:val="left"/>
        <w:rPr>
          <w:rFonts w:hint="eastAsia" w:ascii="宋体" w:hAnsi="宋体" w:cs="宋体"/>
          <w:b/>
          <w:bCs/>
          <w:color w:val="auto"/>
          <w:sz w:val="28"/>
          <w:szCs w:val="28"/>
        </w:rPr>
      </w:pPr>
      <w:r>
        <w:rPr>
          <w:color w:val="auto"/>
          <w:sz w:val="24"/>
        </w:rPr>
        <w:br w:type="page"/>
      </w:r>
      <w:r>
        <w:rPr>
          <w:rFonts w:hint="eastAsia" w:ascii="宋体" w:hAnsi="宋体" w:cs="宋体"/>
          <w:b/>
          <w:bCs/>
          <w:color w:val="auto"/>
          <w:sz w:val="28"/>
          <w:szCs w:val="28"/>
        </w:rPr>
        <w:t>2.资格证明文件目录</w:t>
      </w:r>
    </w:p>
    <w:p>
      <w:pPr>
        <w:spacing w:line="360" w:lineRule="auto"/>
        <w:rPr>
          <w:rFonts w:hint="eastAsia" w:ascii="宋体" w:hAnsi="宋体" w:cs="宋体"/>
          <w:b/>
          <w:bCs/>
          <w:color w:val="auto"/>
          <w:sz w:val="28"/>
          <w:szCs w:val="28"/>
        </w:rPr>
      </w:pPr>
      <w:r>
        <w:rPr>
          <w:rFonts w:hint="eastAsia" w:ascii="宋体" w:hAnsi="宋体" w:cs="宋体"/>
          <w:color w:val="auto"/>
          <w:sz w:val="28"/>
          <w:szCs w:val="28"/>
        </w:rPr>
        <w:t xml:space="preserve">    根据竞争性磋商文件规定及供应商提供的材料自行编写目录（部分格式后附）。</w:t>
      </w:r>
    </w:p>
    <w:p>
      <w:pPr>
        <w:spacing w:line="320" w:lineRule="exact"/>
        <w:jc w:val="left"/>
        <w:rPr>
          <w:rFonts w:hint="eastAsia" w:ascii="宋体" w:hAnsi="宋体" w:cs="宋体"/>
          <w:b/>
          <w:bCs/>
          <w:color w:val="auto"/>
          <w:sz w:val="28"/>
          <w:szCs w:val="28"/>
        </w:rPr>
      </w:pPr>
      <w:r>
        <w:rPr>
          <w:rFonts w:hint="eastAsia"/>
          <w:color w:val="auto"/>
          <w:szCs w:val="21"/>
        </w:rPr>
        <w:br w:type="page"/>
      </w:r>
      <w:r>
        <w:rPr>
          <w:rFonts w:hint="eastAsia" w:ascii="宋体" w:hAnsi="宋体" w:cs="宋体"/>
          <w:b/>
          <w:bCs/>
          <w:color w:val="auto"/>
          <w:kern w:val="0"/>
          <w:sz w:val="28"/>
          <w:szCs w:val="28"/>
        </w:rPr>
        <w:t>3.声明函的格式：</w:t>
      </w:r>
    </w:p>
    <w:p>
      <w:pPr>
        <w:spacing w:line="320" w:lineRule="exact"/>
        <w:jc w:val="center"/>
        <w:rPr>
          <w:rFonts w:hint="eastAsia"/>
          <w:b/>
          <w:color w:val="auto"/>
          <w:sz w:val="32"/>
          <w:szCs w:val="32"/>
        </w:rPr>
      </w:pPr>
    </w:p>
    <w:p>
      <w:pPr>
        <w:spacing w:line="320" w:lineRule="exact"/>
        <w:jc w:val="center"/>
        <w:rPr>
          <w:rFonts w:hint="eastAsia"/>
          <w:b/>
          <w:color w:val="auto"/>
          <w:sz w:val="32"/>
          <w:szCs w:val="32"/>
        </w:rPr>
      </w:pPr>
      <w:r>
        <w:rPr>
          <w:rFonts w:hint="eastAsia"/>
          <w:b/>
          <w:color w:val="auto"/>
          <w:sz w:val="32"/>
          <w:szCs w:val="32"/>
        </w:rPr>
        <w:t>声明函</w:t>
      </w:r>
    </w:p>
    <w:p>
      <w:pPr>
        <w:spacing w:line="320" w:lineRule="exact"/>
        <w:jc w:val="center"/>
        <w:rPr>
          <w:rFonts w:hint="eastAsia"/>
          <w:color w:val="auto"/>
          <w:sz w:val="24"/>
          <w:szCs w:val="20"/>
        </w:rPr>
      </w:pPr>
    </w:p>
    <w:p>
      <w:pPr>
        <w:keepNext w:val="0"/>
        <w:keepLines w:val="0"/>
        <w:pageBreakBefore w:val="0"/>
        <w:widowControl w:val="0"/>
        <w:kinsoku/>
        <w:wordWrap/>
        <w:overflowPunct/>
        <w:topLinePunct w:val="0"/>
        <w:autoSpaceDE/>
        <w:autoSpaceDN/>
        <w:bidi w:val="0"/>
        <w:adjustRightInd/>
        <w:snapToGrid/>
        <w:spacing w:line="440" w:lineRule="exact"/>
        <w:contextualSpacing/>
        <w:textAlignment w:val="auto"/>
        <w:rPr>
          <w:rFonts w:hint="eastAsia" w:ascii="宋体" w:hAnsi="宋体" w:cs="宋体"/>
          <w:color w:val="auto"/>
          <w:sz w:val="24"/>
        </w:rPr>
      </w:pPr>
      <w:r>
        <w:rPr>
          <w:rFonts w:hint="eastAsia" w:ascii="宋体" w:hAnsi="宋体" w:cs="宋体"/>
          <w:color w:val="auto"/>
          <w:sz w:val="24"/>
        </w:rPr>
        <w:t>致：</w:t>
      </w:r>
      <w:r>
        <w:rPr>
          <w:rFonts w:hint="eastAsia" w:ascii="宋体" w:hAnsi="宋体" w:cs="宋体"/>
          <w:color w:val="auto"/>
          <w:sz w:val="24"/>
          <w:u w:val="single"/>
        </w:rPr>
        <w:t>（采购代理机构名称）</w:t>
      </w:r>
      <w:r>
        <w:rPr>
          <w:rFonts w:hint="eastAsia" w:ascii="宋体" w:hAnsi="宋体" w:cs="宋体"/>
          <w:color w:val="auto"/>
          <w:sz w:val="24"/>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contextualSpacing/>
        <w:textAlignment w:val="auto"/>
        <w:rPr>
          <w:rFonts w:hint="eastAsia" w:ascii="宋体" w:hAnsi="宋体" w:cs="宋体"/>
          <w:color w:val="auto"/>
          <w:sz w:val="24"/>
        </w:rPr>
      </w:pPr>
      <w:r>
        <w:rPr>
          <w:rFonts w:hint="eastAsia" w:ascii="宋体" w:hAnsi="宋体" w:cs="宋体"/>
          <w:i/>
          <w:iCs/>
          <w:color w:val="auto"/>
          <w:sz w:val="24"/>
          <w:u w:val="single"/>
        </w:rPr>
        <w:t>（供应商名称）</w:t>
      </w:r>
      <w:r>
        <w:rPr>
          <w:rFonts w:hint="eastAsia" w:ascii="宋体" w:hAnsi="宋体" w:cs="宋体"/>
          <w:color w:val="auto"/>
          <w:sz w:val="24"/>
        </w:rPr>
        <w:t>系中华人民共和国合法供应商，经营地址</w:t>
      </w:r>
      <w:r>
        <w:rPr>
          <w:rFonts w:hint="eastAsia" w:ascii="宋体" w:hAnsi="宋体" w:cs="宋体"/>
          <w:color w:val="auto"/>
          <w:sz w:val="24"/>
          <w:u w:val="single"/>
        </w:rPr>
        <w:t xml:space="preserve">                              </w:t>
      </w:r>
      <w:r>
        <w:rPr>
          <w:rFonts w:hint="eastAsia" w:ascii="宋体" w:hAnsi="宋体" w:cs="宋体"/>
          <w:color w:val="auto"/>
          <w:sz w:val="24"/>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contextualSpacing/>
        <w:textAlignment w:val="auto"/>
        <w:rPr>
          <w:rFonts w:hint="eastAsia" w:ascii="宋体" w:hAnsi="宋体" w:cs="宋体"/>
          <w:color w:val="auto"/>
          <w:sz w:val="24"/>
        </w:rPr>
      </w:pPr>
      <w:r>
        <w:rPr>
          <w:rFonts w:hint="eastAsia" w:ascii="宋体" w:hAnsi="宋体" w:cs="宋体"/>
          <w:color w:val="auto"/>
          <w:sz w:val="24"/>
        </w:rPr>
        <w:t>我方愿意参加贵方组织的</w:t>
      </w:r>
      <w:r>
        <w:rPr>
          <w:rFonts w:hint="eastAsia" w:ascii="宋体" w:hAnsi="宋体" w:cs="宋体"/>
          <w:i/>
          <w:iCs/>
          <w:color w:val="auto"/>
          <w:sz w:val="24"/>
          <w:u w:val="single"/>
        </w:rPr>
        <w:t>（项目名称）</w:t>
      </w:r>
      <w:r>
        <w:rPr>
          <w:rFonts w:hint="eastAsia" w:ascii="宋体" w:hAnsi="宋体" w:cs="宋体"/>
          <w:color w:val="auto"/>
          <w:sz w:val="24"/>
        </w:rPr>
        <w:t>项目的竞标，为便于贵方公正、择优地确定成交供应商及其竞标产品和服务，我方就本次竞标有关事项郑重声明如下：</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contextualSpacing/>
        <w:textAlignment w:val="auto"/>
        <w:rPr>
          <w:rFonts w:hint="eastAsia" w:ascii="宋体" w:hAnsi="宋体" w:cs="宋体"/>
          <w:color w:val="auto"/>
          <w:sz w:val="24"/>
        </w:rPr>
      </w:pPr>
      <w:r>
        <w:rPr>
          <w:rFonts w:hint="eastAsia" w:ascii="宋体" w:hAnsi="宋体" w:cs="宋体"/>
          <w:color w:val="auto"/>
          <w:sz w:val="24"/>
        </w:rPr>
        <w:t>1.我方向贵方提交的所有响应文件、资料都是准确的和真实的。</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contextualSpacing/>
        <w:textAlignment w:val="auto"/>
        <w:rPr>
          <w:rFonts w:hint="eastAsia" w:ascii="宋体" w:hAnsi="宋体" w:cs="宋体"/>
          <w:color w:val="auto"/>
          <w:sz w:val="24"/>
        </w:rPr>
      </w:pPr>
      <w:r>
        <w:rPr>
          <w:rFonts w:hint="eastAsia" w:ascii="宋体" w:hAnsi="宋体" w:cs="宋体"/>
          <w:color w:val="auto"/>
          <w:sz w:val="24"/>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contextualSpacing/>
        <w:textAlignment w:val="auto"/>
        <w:rPr>
          <w:rFonts w:hint="eastAsia" w:ascii="宋体" w:hAnsi="宋体" w:cs="宋体"/>
          <w:color w:val="auto"/>
          <w:sz w:val="24"/>
        </w:rPr>
      </w:pPr>
      <w:r>
        <w:rPr>
          <w:rFonts w:hint="eastAsia" w:ascii="宋体" w:hAnsi="宋体" w:cs="宋体"/>
          <w:color w:val="auto"/>
          <w:sz w:val="24"/>
        </w:rPr>
        <w:t>3.在此，我方宣布同意如下：</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contextualSpacing/>
        <w:textAlignment w:val="auto"/>
        <w:rPr>
          <w:rFonts w:hint="eastAsia" w:ascii="宋体" w:hAnsi="宋体" w:cs="宋体"/>
          <w:color w:val="auto"/>
          <w:sz w:val="24"/>
        </w:rPr>
      </w:pPr>
      <w:r>
        <w:rPr>
          <w:rFonts w:hint="eastAsia" w:ascii="宋体" w:hAnsi="宋体" w:cs="宋体"/>
          <w:color w:val="auto"/>
          <w:sz w:val="24"/>
        </w:rPr>
        <w:t>（1）将按磋商文件的约定履行合同责任和义务；</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contextualSpacing/>
        <w:textAlignment w:val="auto"/>
        <w:rPr>
          <w:rFonts w:hint="eastAsia" w:ascii="宋体" w:hAnsi="宋体" w:cs="宋体"/>
          <w:color w:val="auto"/>
          <w:sz w:val="24"/>
        </w:rPr>
      </w:pPr>
      <w:r>
        <w:rPr>
          <w:rFonts w:hint="eastAsia" w:ascii="宋体" w:hAnsi="宋体" w:cs="宋体"/>
          <w:color w:val="auto"/>
          <w:sz w:val="24"/>
        </w:rPr>
        <w:t>（2）已详细审查</w:t>
      </w:r>
      <w:r>
        <w:rPr>
          <w:rFonts w:hint="eastAsia" w:ascii="宋体" w:hAnsi="宋体" w:eastAsia="宋体" w:cs="宋体"/>
          <w:color w:val="auto"/>
          <w:sz w:val="24"/>
          <w:szCs w:val="24"/>
          <w:lang w:val="en-US" w:eastAsia="zh-CN"/>
        </w:rPr>
        <w:t>磋商</w:t>
      </w:r>
      <w:r>
        <w:rPr>
          <w:rFonts w:hint="eastAsia" w:ascii="宋体" w:hAnsi="宋体" w:eastAsia="宋体" w:cs="宋体"/>
          <w:color w:val="auto"/>
          <w:sz w:val="24"/>
          <w:szCs w:val="24"/>
        </w:rPr>
        <w:t>文件</w:t>
      </w:r>
      <w:r>
        <w:rPr>
          <w:rFonts w:hint="eastAsia" w:ascii="宋体" w:hAnsi="宋体" w:eastAsia="宋体" w:cs="宋体"/>
          <w:color w:val="auto"/>
          <w:sz w:val="24"/>
          <w:szCs w:val="24"/>
          <w:lang w:val="en-US" w:eastAsia="zh-CN"/>
        </w:rPr>
        <w:t>的</w:t>
      </w:r>
      <w:r>
        <w:rPr>
          <w:rFonts w:hint="eastAsia" w:ascii="宋体" w:hAnsi="宋体" w:eastAsia="宋体" w:cs="宋体"/>
          <w:color w:val="auto"/>
          <w:sz w:val="24"/>
          <w:szCs w:val="24"/>
        </w:rPr>
        <w:t>全部</w:t>
      </w:r>
      <w:r>
        <w:rPr>
          <w:rFonts w:hint="eastAsia" w:ascii="宋体" w:hAnsi="宋体" w:eastAsia="宋体" w:cs="宋体"/>
          <w:color w:val="auto"/>
          <w:sz w:val="24"/>
          <w:szCs w:val="24"/>
          <w:lang w:val="en-US" w:eastAsia="zh-CN"/>
        </w:rPr>
        <w:t>内容</w:t>
      </w:r>
      <w:r>
        <w:rPr>
          <w:rFonts w:hint="eastAsia" w:ascii="宋体" w:hAnsi="宋体" w:cs="宋体"/>
          <w:color w:val="auto"/>
          <w:sz w:val="24"/>
        </w:rPr>
        <w:t>，包括澄清或者更正公告（如有）；</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contextualSpacing/>
        <w:textAlignment w:val="auto"/>
        <w:rPr>
          <w:rFonts w:hint="eastAsia" w:ascii="宋体" w:hAnsi="宋体" w:cs="宋体"/>
          <w:color w:val="auto"/>
          <w:sz w:val="24"/>
        </w:rPr>
      </w:pPr>
      <w:r>
        <w:rPr>
          <w:rFonts w:hint="eastAsia" w:ascii="宋体" w:hAnsi="宋体" w:cs="宋体"/>
          <w:color w:val="auto"/>
          <w:sz w:val="24"/>
        </w:rPr>
        <w:t>（3）同意提供按照贵方可能要求的与磋商有关的一切数据或者资料。</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contextualSpacing/>
        <w:textAlignment w:val="auto"/>
        <w:rPr>
          <w:rFonts w:hint="eastAsia" w:ascii="宋体" w:hAnsi="宋体" w:cs="宋体"/>
          <w:color w:val="auto"/>
          <w:sz w:val="24"/>
        </w:rPr>
      </w:pPr>
      <w:r>
        <w:rPr>
          <w:rFonts w:hint="eastAsia" w:ascii="宋体" w:hAnsi="宋体" w:cs="宋体"/>
          <w:color w:val="auto"/>
          <w:sz w:val="24"/>
        </w:rPr>
        <w:t>4.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contextualSpacing/>
        <w:textAlignment w:val="auto"/>
        <w:rPr>
          <w:rFonts w:hint="eastAsia" w:ascii="宋体" w:hAnsi="宋体" w:cs="宋体"/>
          <w:color w:val="auto"/>
          <w:sz w:val="24"/>
        </w:rPr>
      </w:pPr>
      <w:r>
        <w:rPr>
          <w:rFonts w:hint="eastAsia" w:ascii="宋体" w:hAnsi="宋体" w:cs="宋体"/>
          <w:color w:val="auto"/>
          <w:sz w:val="24"/>
          <w:lang w:val="en-US" w:eastAsia="zh-CN"/>
        </w:rPr>
        <w:t>5</w:t>
      </w:r>
      <w:r>
        <w:rPr>
          <w:rFonts w:hint="eastAsia" w:ascii="宋体" w:hAnsi="宋体" w:cs="宋体"/>
          <w:color w:val="auto"/>
          <w:sz w:val="24"/>
        </w:rPr>
        <w:t>.根据《中华人民共和国政府采购法实施条例》第五十条要求对政府采购合同进行公告，但政府采购合同中涉及国家秘密、商业秘密的内容除外。我方就对本次响应文件进行注明如下：（两项内容中必须选择一项）</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contextualSpacing/>
        <w:textAlignment w:val="auto"/>
        <w:rPr>
          <w:rFonts w:hint="eastAsia" w:ascii="宋体" w:hAnsi="宋体" w:cs="宋体"/>
          <w:color w:val="auto"/>
          <w:sz w:val="24"/>
        </w:rPr>
      </w:pPr>
      <w:r>
        <w:rPr>
          <w:rFonts w:hint="eastAsia" w:ascii="宋体" w:hAnsi="宋体" w:cs="宋体"/>
          <w:color w:val="auto"/>
          <w:sz w:val="24"/>
        </w:rPr>
        <w:t>□我方本次响应文件</w:t>
      </w:r>
      <w:r>
        <w:rPr>
          <w:rFonts w:hint="eastAsia" w:ascii="宋体" w:hAnsi="宋体" w:cs="宋体"/>
          <w:color w:val="auto"/>
          <w:kern w:val="0"/>
          <w:sz w:val="24"/>
        </w:rPr>
        <w:t>内容中</w:t>
      </w:r>
      <w:r>
        <w:rPr>
          <w:rFonts w:hint="eastAsia" w:ascii="宋体" w:hAnsi="宋体" w:cs="宋体"/>
          <w:color w:val="auto"/>
          <w:sz w:val="24"/>
        </w:rPr>
        <w:t>未</w:t>
      </w:r>
      <w:r>
        <w:rPr>
          <w:rFonts w:hint="eastAsia" w:ascii="宋体" w:hAnsi="宋体" w:cs="宋体"/>
          <w:color w:val="auto"/>
          <w:kern w:val="0"/>
          <w:sz w:val="24"/>
        </w:rPr>
        <w:t>涉及商业秘密；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contextualSpacing/>
        <w:textAlignment w:val="auto"/>
        <w:rPr>
          <w:rFonts w:hint="eastAsia" w:ascii="宋体" w:hAnsi="宋体" w:cs="宋体"/>
          <w:color w:val="auto"/>
          <w:sz w:val="24"/>
        </w:rPr>
      </w:pPr>
      <w:r>
        <w:rPr>
          <w:rFonts w:hint="eastAsia" w:ascii="宋体" w:hAnsi="宋体" w:cs="宋体"/>
          <w:color w:val="auto"/>
          <w:sz w:val="24"/>
        </w:rPr>
        <w:t>□我方本次响应文件</w:t>
      </w:r>
      <w:r>
        <w:rPr>
          <w:rFonts w:hint="eastAsia" w:ascii="宋体" w:hAnsi="宋体" w:cs="宋体"/>
          <w:color w:val="auto"/>
          <w:kern w:val="0"/>
          <w:sz w:val="24"/>
        </w:rPr>
        <w:t>涉及商业秘密的内容有：</w:t>
      </w:r>
      <w:r>
        <w:rPr>
          <w:rFonts w:hint="eastAsia" w:ascii="宋体" w:hAnsi="宋体" w:cs="宋体"/>
          <w:color w:val="auto"/>
          <w:kern w:val="0"/>
          <w:sz w:val="24"/>
          <w:u w:val="single"/>
        </w:rPr>
        <w:t xml:space="preserve">                         </w:t>
      </w:r>
      <w:r>
        <w:rPr>
          <w:rFonts w:hint="eastAsia" w:ascii="宋体" w:hAnsi="宋体" w:cs="宋体"/>
          <w:color w:val="auto"/>
          <w:kern w:val="0"/>
          <w:sz w:val="24"/>
        </w:rPr>
        <w:t>；</w:t>
      </w:r>
    </w:p>
    <w:p>
      <w:pPr>
        <w:pStyle w:val="18"/>
        <w:keepNext w:val="0"/>
        <w:keepLines w:val="0"/>
        <w:pageBreakBefore w:val="0"/>
        <w:widowControl w:val="0"/>
        <w:tabs>
          <w:tab w:val="left" w:pos="939"/>
        </w:tabs>
        <w:kinsoku/>
        <w:wordWrap/>
        <w:overflowPunct/>
        <w:topLinePunct w:val="0"/>
        <w:autoSpaceDE/>
        <w:autoSpaceDN/>
        <w:bidi w:val="0"/>
        <w:adjustRightInd/>
        <w:snapToGrid/>
        <w:spacing w:line="440" w:lineRule="exact"/>
        <w:ind w:left="0" w:leftChars="0" w:firstLine="480" w:firstLineChars="200"/>
        <w:textAlignment w:val="auto"/>
        <w:rPr>
          <w:rFonts w:hint="eastAsia" w:ascii="宋体" w:hAnsi="宋体" w:cs="宋体"/>
          <w:color w:val="auto"/>
          <w:sz w:val="24"/>
        </w:rPr>
      </w:pPr>
      <w:r>
        <w:rPr>
          <w:rFonts w:hint="eastAsia" w:ascii="宋体" w:hAnsi="宋体" w:cs="宋体"/>
          <w:color w:val="auto"/>
          <w:kern w:val="0"/>
          <w:sz w:val="24"/>
          <w:lang w:val="en-US" w:eastAsia="zh-CN"/>
        </w:rPr>
        <w:t>6</w:t>
      </w:r>
      <w:r>
        <w:rPr>
          <w:rFonts w:hint="eastAsia" w:ascii="宋体" w:hAnsi="宋体" w:cs="宋体"/>
          <w:color w:val="auto"/>
          <w:kern w:val="0"/>
          <w:sz w:val="24"/>
        </w:rPr>
        <w:t>.</w:t>
      </w:r>
      <w:r>
        <w:rPr>
          <w:rFonts w:hint="eastAsia" w:ascii="宋体" w:hAnsi="宋体" w:cs="宋体"/>
          <w:color w:val="auto"/>
          <w:sz w:val="24"/>
        </w:rPr>
        <w:t>以上事项如有虚假或者隐瞒，我方愿意承担一切后果，并不再寻求任何旨在减轻或者免除法律责任的辩解。</w:t>
      </w:r>
    </w:p>
    <w:p>
      <w:pPr>
        <w:pStyle w:val="18"/>
        <w:keepNext w:val="0"/>
        <w:keepLines w:val="0"/>
        <w:pageBreakBefore w:val="0"/>
        <w:widowControl w:val="0"/>
        <w:tabs>
          <w:tab w:val="left" w:pos="939"/>
        </w:tabs>
        <w:kinsoku/>
        <w:wordWrap/>
        <w:overflowPunct/>
        <w:topLinePunct w:val="0"/>
        <w:autoSpaceDE/>
        <w:autoSpaceDN/>
        <w:bidi w:val="0"/>
        <w:adjustRightInd/>
        <w:snapToGrid/>
        <w:spacing w:line="440" w:lineRule="exact"/>
        <w:ind w:left="141" w:leftChars="67" w:firstLine="360" w:firstLineChars="150"/>
        <w:textAlignment w:val="auto"/>
        <w:rPr>
          <w:rFonts w:hint="eastAsia" w:ascii="宋体" w:hAnsi="宋体" w:cs="宋体"/>
          <w:color w:val="auto"/>
          <w:sz w:val="24"/>
        </w:rPr>
      </w:pPr>
      <w:r>
        <w:rPr>
          <w:rFonts w:hint="eastAsia" w:ascii="宋体" w:hAnsi="宋体" w:cs="宋体"/>
          <w:color w:val="auto"/>
          <w:sz w:val="24"/>
        </w:rPr>
        <w:t>特此承诺。</w:t>
      </w:r>
    </w:p>
    <w:p>
      <w:pPr>
        <w:pStyle w:val="18"/>
        <w:keepNext w:val="0"/>
        <w:keepLines w:val="0"/>
        <w:pageBreakBefore w:val="0"/>
        <w:widowControl w:val="0"/>
        <w:tabs>
          <w:tab w:val="left" w:pos="939"/>
        </w:tabs>
        <w:kinsoku/>
        <w:wordWrap/>
        <w:overflowPunct/>
        <w:topLinePunct w:val="0"/>
        <w:autoSpaceDE/>
        <w:autoSpaceDN/>
        <w:bidi w:val="0"/>
        <w:adjustRightInd/>
        <w:snapToGrid/>
        <w:spacing w:line="440" w:lineRule="exact"/>
        <w:ind w:left="0" w:leftChars="0" w:firstLine="480" w:firstLineChars="200"/>
        <w:textAlignment w:val="auto"/>
        <w:rPr>
          <w:rFonts w:hint="eastAsia" w:ascii="宋体" w:hAnsi="宋体" w:cs="宋体"/>
          <w:color w:val="auto"/>
          <w:sz w:val="24"/>
        </w:rPr>
      </w:pPr>
      <w:r>
        <w:rPr>
          <w:rFonts w:hint="eastAsia" w:ascii="宋体" w:hAnsi="宋体" w:cs="宋体"/>
          <w:color w:val="auto"/>
          <w:sz w:val="24"/>
        </w:rPr>
        <w:t>注：如为联合体竞标，盖章处须加盖联合体各方公章，否则其响应文件按无效响应处理。</w:t>
      </w:r>
    </w:p>
    <w:p>
      <w:pPr>
        <w:autoSpaceDE w:val="0"/>
        <w:autoSpaceDN w:val="0"/>
        <w:spacing w:line="360" w:lineRule="auto"/>
        <w:ind w:left="4365" w:leftChars="1850" w:hanging="480" w:hangingChars="200"/>
        <w:rPr>
          <w:rFonts w:hint="eastAsia" w:ascii="宋体" w:hAnsi="宋体" w:cs="宋体"/>
          <w:color w:val="auto"/>
          <w:kern w:val="0"/>
          <w:sz w:val="24"/>
        </w:rPr>
      </w:pPr>
    </w:p>
    <w:p>
      <w:pPr>
        <w:autoSpaceDE w:val="0"/>
        <w:autoSpaceDN w:val="0"/>
        <w:spacing w:line="360" w:lineRule="auto"/>
        <w:ind w:left="4365" w:leftChars="1850" w:hanging="480" w:hangingChars="200"/>
        <w:rPr>
          <w:rFonts w:hint="eastAsia" w:ascii="宋体" w:hAnsi="宋体" w:cs="宋体"/>
          <w:color w:val="auto"/>
          <w:kern w:val="0"/>
          <w:sz w:val="24"/>
        </w:rPr>
      </w:pPr>
      <w:r>
        <w:rPr>
          <w:rFonts w:hint="eastAsia" w:ascii="宋体" w:hAnsi="宋体" w:cs="宋体"/>
          <w:color w:val="auto"/>
          <w:kern w:val="0"/>
          <w:sz w:val="24"/>
        </w:rPr>
        <w:t>供应商名称（盖公章）：</w:t>
      </w:r>
    </w:p>
    <w:p>
      <w:pPr>
        <w:autoSpaceDE w:val="0"/>
        <w:autoSpaceDN w:val="0"/>
        <w:spacing w:line="360" w:lineRule="auto"/>
        <w:ind w:firstLine="6120" w:firstLineChars="2550"/>
        <w:rPr>
          <w:rFonts w:hint="eastAsia" w:ascii="宋体" w:hAnsi="宋体" w:cs="宋体"/>
          <w:color w:val="auto"/>
          <w:kern w:val="0"/>
          <w:sz w:val="24"/>
          <w:lang w:val="zh-CN"/>
        </w:rPr>
      </w:pPr>
      <w:r>
        <w:rPr>
          <w:rFonts w:hint="eastAsia" w:ascii="宋体" w:hAnsi="宋体" w:cs="宋体"/>
          <w:color w:val="auto"/>
          <w:kern w:val="0"/>
          <w:sz w:val="24"/>
          <w:lang w:val="zh-CN"/>
        </w:rPr>
        <w:t>日期：  年  月   日</w:t>
      </w:r>
    </w:p>
    <w:p>
      <w:pPr>
        <w:rPr>
          <w:rFonts w:hint="eastAsia" w:ascii="宋体" w:hAnsi="宋体" w:cs="宋体"/>
          <w:color w:val="auto"/>
          <w:kern w:val="0"/>
          <w:sz w:val="24"/>
          <w:lang w:val="zh-CN"/>
        </w:rPr>
      </w:pPr>
    </w:p>
    <w:p>
      <w:pPr>
        <w:snapToGrid w:val="0"/>
        <w:spacing w:line="360" w:lineRule="auto"/>
        <w:ind w:right="480"/>
        <w:rPr>
          <w:rFonts w:ascii="宋体" w:hAnsi="宋体" w:eastAsia="宋体" w:cs="宋体"/>
          <w:b/>
          <w:color w:val="auto"/>
          <w:kern w:val="0"/>
          <w:sz w:val="32"/>
          <w:szCs w:val="32"/>
        </w:rPr>
      </w:pPr>
      <w:r>
        <w:rPr>
          <w:rFonts w:hint="eastAsia" w:ascii="宋体" w:hAnsi="宋体" w:eastAsia="宋体" w:cs="宋体"/>
          <w:b/>
          <w:color w:val="auto"/>
          <w:kern w:val="0"/>
          <w:sz w:val="32"/>
          <w:szCs w:val="32"/>
          <w:lang w:val="en-US" w:eastAsia="zh-CN"/>
        </w:rPr>
        <w:t>4</w:t>
      </w:r>
      <w:r>
        <w:rPr>
          <w:rFonts w:hint="eastAsia" w:ascii="宋体" w:hAnsi="宋体" w:eastAsia="宋体" w:cs="宋体"/>
          <w:b/>
          <w:color w:val="auto"/>
          <w:kern w:val="0"/>
          <w:sz w:val="32"/>
          <w:szCs w:val="32"/>
        </w:rPr>
        <w:t>.</w:t>
      </w:r>
      <w:r>
        <w:rPr>
          <w:rFonts w:hint="eastAsia" w:ascii="宋体" w:hAnsi="宋体" w:eastAsia="宋体" w:cs="宋体"/>
          <w:b/>
          <w:color w:val="auto"/>
          <w:sz w:val="28"/>
          <w:szCs w:val="28"/>
        </w:rPr>
        <w:t>供应商直接控股股东信息表的格式</w:t>
      </w:r>
      <w:r>
        <w:rPr>
          <w:rFonts w:hint="eastAsia" w:ascii="Times New Roman" w:hAnsi="Times New Roman" w:eastAsia="宋体" w:cs="Times New Roman"/>
          <w:color w:val="auto"/>
          <w:sz w:val="28"/>
          <w:szCs w:val="28"/>
        </w:rPr>
        <w:t>：</w:t>
      </w:r>
    </w:p>
    <w:p>
      <w:pPr>
        <w:snapToGrid w:val="0"/>
        <w:jc w:val="left"/>
        <w:rPr>
          <w:rFonts w:ascii="Times New Roman" w:hAnsi="Times New Roman" w:eastAsia="宋体" w:cs="Times New Roman"/>
          <w:color w:val="auto"/>
          <w:sz w:val="18"/>
          <w:szCs w:val="18"/>
        </w:rPr>
      </w:pPr>
    </w:p>
    <w:p>
      <w:pPr>
        <w:snapToGrid w:val="0"/>
        <w:spacing w:before="50" w:after="165" w:afterLines="50" w:line="360" w:lineRule="auto"/>
        <w:jc w:val="center"/>
        <w:rPr>
          <w:rFonts w:hint="eastAsia"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kern w:val="0"/>
          <w:sz w:val="32"/>
          <w:szCs w:val="32"/>
          <w:highlight w:val="none"/>
        </w:rPr>
        <w:t>供应商直接控股股东信息表</w:t>
      </w:r>
    </w:p>
    <w:tbl>
      <w:tblPr>
        <w:tblStyle w:val="32"/>
        <w:tblW w:w="9476" w:type="dxa"/>
        <w:tblInd w:w="125" w:type="dxa"/>
        <w:shd w:val="clear" w:color="auto" w:fill="FBFBFB"/>
        <w:tblLayout w:type="fixed"/>
        <w:tblCellMar>
          <w:top w:w="0" w:type="dxa"/>
          <w:left w:w="0" w:type="dxa"/>
          <w:bottom w:w="0" w:type="dxa"/>
          <w:right w:w="0" w:type="dxa"/>
        </w:tblCellMar>
      </w:tblPr>
      <w:tblGrid>
        <w:gridCol w:w="828"/>
        <w:gridCol w:w="2269"/>
        <w:gridCol w:w="1239"/>
        <w:gridCol w:w="3879"/>
        <w:gridCol w:w="1261"/>
      </w:tblGrid>
      <w:tr>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pPr>
              <w:spacing w:line="360" w:lineRule="auto"/>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pPr>
              <w:spacing w:line="360" w:lineRule="auto"/>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pPr>
              <w:spacing w:line="360" w:lineRule="auto"/>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出资比例</w:t>
            </w:r>
          </w:p>
        </w:tc>
        <w:tc>
          <w:tcPr>
            <w:tcW w:w="387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pPr>
              <w:spacing w:line="360" w:lineRule="auto"/>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身份证号码或者统一社会信用代码</w:t>
            </w:r>
          </w:p>
        </w:tc>
        <w:tc>
          <w:tcPr>
            <w:tcW w:w="1261"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pPr>
              <w:spacing w:line="360" w:lineRule="auto"/>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备注</w:t>
            </w:r>
          </w:p>
        </w:tc>
      </w:tr>
      <w:tr>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highlight w:val="none"/>
              </w:rPr>
            </w:pPr>
          </w:p>
        </w:tc>
        <w:tc>
          <w:tcPr>
            <w:tcW w:w="387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highlight w:val="none"/>
              </w:rPr>
            </w:pPr>
          </w:p>
        </w:tc>
        <w:tc>
          <w:tcPr>
            <w:tcW w:w="1261"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highlight w:val="none"/>
              </w:rPr>
            </w:pPr>
          </w:p>
        </w:tc>
      </w:tr>
      <w:tr>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highlight w:val="none"/>
              </w:rPr>
            </w:pPr>
          </w:p>
        </w:tc>
        <w:tc>
          <w:tcPr>
            <w:tcW w:w="387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highlight w:val="none"/>
              </w:rPr>
            </w:pPr>
          </w:p>
        </w:tc>
        <w:tc>
          <w:tcPr>
            <w:tcW w:w="1261"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highlight w:val="none"/>
              </w:rPr>
            </w:pPr>
          </w:p>
        </w:tc>
      </w:tr>
      <w:tr>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highlight w:val="none"/>
              </w:rPr>
            </w:pPr>
          </w:p>
        </w:tc>
        <w:tc>
          <w:tcPr>
            <w:tcW w:w="387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highlight w:val="none"/>
              </w:rPr>
            </w:pPr>
          </w:p>
        </w:tc>
        <w:tc>
          <w:tcPr>
            <w:tcW w:w="1261"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highlight w:val="none"/>
              </w:rPr>
            </w:pPr>
          </w:p>
        </w:tc>
      </w:tr>
      <w:tr>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highlight w:val="none"/>
              </w:rPr>
            </w:pPr>
          </w:p>
        </w:tc>
        <w:tc>
          <w:tcPr>
            <w:tcW w:w="387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highlight w:val="none"/>
              </w:rPr>
            </w:pPr>
          </w:p>
        </w:tc>
        <w:tc>
          <w:tcPr>
            <w:tcW w:w="1261"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highlight w:val="none"/>
              </w:rPr>
            </w:pPr>
          </w:p>
        </w:tc>
      </w:tr>
    </w:tbl>
    <w:p>
      <w:pPr>
        <w:snapToGrid w:val="0"/>
        <w:spacing w:line="360" w:lineRule="auto"/>
        <w:jc w:val="left"/>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注：</w:t>
      </w:r>
    </w:p>
    <w:p>
      <w:pPr>
        <w:snapToGrid w:val="0"/>
        <w:spacing w:line="360" w:lineRule="auto"/>
        <w:jc w:val="left"/>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snapToGrid w:val="0"/>
        <w:spacing w:line="360" w:lineRule="auto"/>
        <w:jc w:val="left"/>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2.本表所指的控股关系仅限于直接控股关系，不包括间接的控股关系。公司实际控制人与公司之间的关系不属于本表所指的直接控股关系。</w:t>
      </w:r>
    </w:p>
    <w:p>
      <w:pPr>
        <w:snapToGrid w:val="0"/>
        <w:spacing w:line="360" w:lineRule="auto"/>
        <w:jc w:val="left"/>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3.供应商不存在直接控股股东的，则填“无”。</w:t>
      </w:r>
    </w:p>
    <w:p>
      <w:pPr>
        <w:snapToGrid w:val="0"/>
        <w:spacing w:before="50" w:after="120" w:afterLines="50"/>
        <w:ind w:firstLine="180" w:firstLineChars="100"/>
        <w:jc w:val="left"/>
        <w:rPr>
          <w:rFonts w:ascii="宋体" w:hAnsi="宋体" w:eastAsia="宋体" w:cs="Times New Roman"/>
          <w:color w:val="auto"/>
          <w:sz w:val="18"/>
          <w:szCs w:val="18"/>
        </w:rPr>
      </w:pPr>
    </w:p>
    <w:p>
      <w:pPr>
        <w:snapToGrid w:val="0"/>
        <w:spacing w:before="50" w:after="240" w:afterLines="100" w:line="360" w:lineRule="auto"/>
        <w:jc w:val="left"/>
        <w:rPr>
          <w:rFonts w:ascii="宋体" w:hAnsi="宋体" w:eastAsia="宋体" w:cs="宋体"/>
          <w:color w:val="auto"/>
          <w:sz w:val="24"/>
        </w:rPr>
      </w:pPr>
      <w:r>
        <w:rPr>
          <w:rFonts w:hint="eastAsia" w:ascii="宋体" w:hAnsi="宋体" w:eastAsia="宋体" w:cs="宋体"/>
          <w:color w:val="auto"/>
          <w:sz w:val="24"/>
        </w:rPr>
        <w:t xml:space="preserve">                                     </w:t>
      </w:r>
    </w:p>
    <w:p>
      <w:pPr>
        <w:autoSpaceDE w:val="0"/>
        <w:autoSpaceDN w:val="0"/>
        <w:spacing w:line="360" w:lineRule="auto"/>
        <w:ind w:left="4365" w:leftChars="1850" w:hanging="480" w:hangingChars="200"/>
        <w:rPr>
          <w:rFonts w:hint="eastAsia" w:ascii="宋体" w:hAnsi="宋体" w:eastAsia="宋体" w:cs="宋体"/>
          <w:color w:val="auto"/>
          <w:kern w:val="0"/>
          <w:sz w:val="24"/>
        </w:rPr>
      </w:pPr>
      <w:r>
        <w:rPr>
          <w:rFonts w:hint="eastAsia" w:ascii="宋体" w:hAnsi="宋体" w:eastAsia="宋体" w:cs="宋体"/>
          <w:color w:val="auto"/>
          <w:sz w:val="24"/>
        </w:rPr>
        <w:t xml:space="preserve"> </w:t>
      </w:r>
      <w:r>
        <w:rPr>
          <w:rFonts w:hint="eastAsia" w:ascii="宋体" w:hAnsi="宋体" w:eastAsia="宋体" w:cs="宋体"/>
          <w:color w:val="auto"/>
          <w:kern w:val="0"/>
          <w:sz w:val="24"/>
        </w:rPr>
        <w:t>供应商名称（盖公章）：</w:t>
      </w:r>
    </w:p>
    <w:p>
      <w:pPr>
        <w:snapToGrid w:val="0"/>
        <w:spacing w:before="50" w:after="240" w:afterLines="100" w:line="360" w:lineRule="auto"/>
        <w:ind w:left="7428" w:leftChars="2223" w:hanging="2760" w:hangingChars="1150"/>
        <w:jc w:val="left"/>
        <w:rPr>
          <w:rFonts w:ascii="宋体" w:hAnsi="宋体" w:eastAsia="宋体" w:cs="宋体"/>
          <w:b/>
          <w:bCs/>
          <w:color w:val="auto"/>
          <w:sz w:val="30"/>
          <w:szCs w:val="30"/>
        </w:rPr>
      </w:pPr>
      <w:r>
        <w:rPr>
          <w:rFonts w:hint="eastAsia" w:ascii="宋体" w:hAnsi="宋体" w:eastAsia="宋体" w:cs="宋体"/>
          <w:color w:val="auto"/>
          <w:kern w:val="0"/>
          <w:sz w:val="24"/>
          <w:lang w:val="zh-CN"/>
        </w:rPr>
        <w:t>日期：  年  月   日</w:t>
      </w:r>
    </w:p>
    <w:p>
      <w:pPr>
        <w:rPr>
          <w:rFonts w:hint="eastAsia" w:ascii="宋体" w:hAnsi="宋体" w:eastAsia="宋体" w:cs="宋体"/>
          <w:b/>
          <w:bCs/>
          <w:color w:val="auto"/>
          <w:sz w:val="28"/>
          <w:szCs w:val="28"/>
        </w:rPr>
      </w:pPr>
      <w:r>
        <w:rPr>
          <w:rFonts w:hint="eastAsia" w:ascii="宋体" w:hAnsi="宋体" w:eastAsia="宋体" w:cs="宋体"/>
          <w:b/>
          <w:bCs/>
          <w:color w:val="auto"/>
          <w:sz w:val="28"/>
          <w:szCs w:val="28"/>
        </w:rPr>
        <w:br w:type="page"/>
      </w:r>
    </w:p>
    <w:p>
      <w:pPr>
        <w:snapToGrid w:val="0"/>
        <w:spacing w:line="360" w:lineRule="auto"/>
        <w:ind w:right="480"/>
        <w:rPr>
          <w:rFonts w:ascii="宋体" w:hAnsi="宋体" w:eastAsia="宋体" w:cs="宋体"/>
          <w:b/>
          <w:color w:val="auto"/>
          <w:kern w:val="0"/>
          <w:sz w:val="32"/>
          <w:szCs w:val="32"/>
        </w:rPr>
      </w:pPr>
      <w:r>
        <w:rPr>
          <w:rFonts w:hint="eastAsia" w:ascii="宋体" w:hAnsi="宋体" w:eastAsia="宋体" w:cs="宋体"/>
          <w:b/>
          <w:color w:val="auto"/>
          <w:kern w:val="0"/>
          <w:sz w:val="32"/>
          <w:szCs w:val="32"/>
          <w:lang w:val="en-US" w:eastAsia="zh-CN"/>
        </w:rPr>
        <w:t>5</w:t>
      </w:r>
      <w:r>
        <w:rPr>
          <w:rFonts w:hint="eastAsia" w:ascii="宋体" w:hAnsi="宋体" w:eastAsia="宋体" w:cs="宋体"/>
          <w:b/>
          <w:color w:val="auto"/>
          <w:kern w:val="0"/>
          <w:sz w:val="32"/>
          <w:szCs w:val="32"/>
        </w:rPr>
        <w:t>.</w:t>
      </w:r>
      <w:r>
        <w:rPr>
          <w:rFonts w:hint="eastAsia" w:ascii="宋体" w:hAnsi="宋体" w:eastAsia="宋体" w:cs="宋体"/>
          <w:b/>
          <w:color w:val="auto"/>
          <w:sz w:val="28"/>
          <w:szCs w:val="28"/>
          <w:lang w:val="en-US" w:eastAsia="zh-CN"/>
        </w:rPr>
        <w:t>供应商</w:t>
      </w:r>
      <w:r>
        <w:rPr>
          <w:rFonts w:hint="eastAsia" w:ascii="宋体" w:hAnsi="宋体" w:eastAsia="宋体" w:cs="宋体"/>
          <w:b/>
          <w:color w:val="auto"/>
          <w:sz w:val="28"/>
          <w:szCs w:val="28"/>
        </w:rPr>
        <w:t>直接管理关系信息表的格式</w:t>
      </w:r>
      <w:r>
        <w:rPr>
          <w:rFonts w:hint="eastAsia" w:ascii="Times New Roman" w:hAnsi="Times New Roman" w:eastAsia="宋体" w:cs="Times New Roman"/>
          <w:color w:val="auto"/>
          <w:sz w:val="28"/>
          <w:szCs w:val="28"/>
        </w:rPr>
        <w:t>：</w:t>
      </w:r>
    </w:p>
    <w:p>
      <w:pPr>
        <w:snapToGrid w:val="0"/>
        <w:jc w:val="left"/>
        <w:rPr>
          <w:rFonts w:ascii="Times New Roman" w:hAnsi="Times New Roman" w:eastAsia="宋体" w:cs="Times New Roman"/>
          <w:color w:val="auto"/>
          <w:sz w:val="18"/>
          <w:szCs w:val="18"/>
        </w:rPr>
      </w:pPr>
    </w:p>
    <w:p>
      <w:pPr>
        <w:snapToGrid w:val="0"/>
        <w:spacing w:line="360" w:lineRule="auto"/>
        <w:jc w:val="center"/>
        <w:rPr>
          <w:rFonts w:hint="eastAsia" w:ascii="宋体" w:hAnsi="宋体" w:eastAsia="宋体" w:cs="Times New Roman"/>
          <w:color w:val="auto"/>
          <w:sz w:val="32"/>
          <w:szCs w:val="32"/>
          <w:highlight w:val="none"/>
        </w:rPr>
      </w:pPr>
      <w:r>
        <w:rPr>
          <w:rFonts w:hint="eastAsia" w:ascii="宋体" w:hAnsi="宋体" w:eastAsia="宋体" w:cs="Times New Roman"/>
          <w:b/>
          <w:color w:val="auto"/>
          <w:sz w:val="32"/>
          <w:szCs w:val="32"/>
          <w:highlight w:val="none"/>
        </w:rPr>
        <w:t>供应商直接管理关系信息表</w:t>
      </w:r>
    </w:p>
    <w:tbl>
      <w:tblPr>
        <w:tblStyle w:val="32"/>
        <w:tblW w:w="9652" w:type="dxa"/>
        <w:tblInd w:w="125" w:type="dxa"/>
        <w:shd w:val="clear" w:color="auto" w:fill="FBFBFB"/>
        <w:tblLayout w:type="fixed"/>
        <w:tblCellMar>
          <w:top w:w="0" w:type="dxa"/>
          <w:left w:w="0" w:type="dxa"/>
          <w:bottom w:w="0" w:type="dxa"/>
          <w:right w:w="0" w:type="dxa"/>
        </w:tblCellMar>
      </w:tblPr>
      <w:tblGrid>
        <w:gridCol w:w="1005"/>
        <w:gridCol w:w="2659"/>
        <w:gridCol w:w="3924"/>
        <w:gridCol w:w="2064"/>
      </w:tblGrid>
      <w:tr>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pPr>
              <w:spacing w:line="360" w:lineRule="auto"/>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pPr>
              <w:spacing w:line="360" w:lineRule="auto"/>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pPr>
              <w:spacing w:line="360" w:lineRule="auto"/>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pPr>
              <w:spacing w:line="360" w:lineRule="auto"/>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备注</w:t>
            </w:r>
          </w:p>
        </w:tc>
      </w:tr>
      <w:tr>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highlight w:val="none"/>
              </w:rPr>
            </w:pPr>
          </w:p>
        </w:tc>
      </w:tr>
      <w:tr>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highlight w:val="none"/>
              </w:rPr>
            </w:pPr>
          </w:p>
        </w:tc>
      </w:tr>
      <w:tr>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highlight w:val="none"/>
              </w:rPr>
            </w:pPr>
          </w:p>
        </w:tc>
      </w:tr>
      <w:tr>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highlight w:val="none"/>
              </w:rPr>
            </w:pPr>
          </w:p>
        </w:tc>
      </w:tr>
    </w:tbl>
    <w:p>
      <w:pPr>
        <w:snapToGrid w:val="0"/>
        <w:spacing w:line="360" w:lineRule="auto"/>
        <w:jc w:val="left"/>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注：</w:t>
      </w:r>
    </w:p>
    <w:p>
      <w:pPr>
        <w:snapToGrid w:val="0"/>
        <w:spacing w:line="360" w:lineRule="auto"/>
        <w:ind w:firstLine="480" w:firstLineChars="200"/>
        <w:jc w:val="left"/>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1.管理关系：是指不具有出资持股关系的其他单位之间存在的管理与被管理关系，如一些上下级关系的事业单位和团体组织。</w:t>
      </w:r>
    </w:p>
    <w:p>
      <w:pPr>
        <w:snapToGrid w:val="0"/>
        <w:spacing w:line="360" w:lineRule="auto"/>
        <w:ind w:firstLine="480" w:firstLineChars="200"/>
        <w:jc w:val="left"/>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2.</w:t>
      </w:r>
      <w:r>
        <w:rPr>
          <w:rFonts w:hint="eastAsia" w:ascii="宋体" w:hAnsi="宋体" w:eastAsia="宋体" w:cs="Times New Roman"/>
          <w:color w:val="auto"/>
          <w:spacing w:val="-6"/>
          <w:sz w:val="24"/>
          <w:highlight w:val="none"/>
        </w:rPr>
        <w:t>本表所指的管理关系仅限于直接管理关系，不包括间接的管理关系。</w:t>
      </w:r>
    </w:p>
    <w:p>
      <w:pPr>
        <w:snapToGrid w:val="0"/>
        <w:spacing w:line="360" w:lineRule="auto"/>
        <w:ind w:firstLine="480" w:firstLineChars="200"/>
        <w:jc w:val="left"/>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3.供应商不存在直接管理关系的，则填“无”。</w:t>
      </w:r>
    </w:p>
    <w:p>
      <w:pPr>
        <w:snapToGrid w:val="0"/>
        <w:spacing w:before="50" w:after="120" w:afterLines="50"/>
        <w:ind w:firstLine="180" w:firstLineChars="100"/>
        <w:jc w:val="left"/>
        <w:rPr>
          <w:rFonts w:ascii="宋体" w:hAnsi="宋体" w:eastAsia="宋体" w:cs="Times New Roman"/>
          <w:color w:val="auto"/>
          <w:sz w:val="18"/>
          <w:szCs w:val="18"/>
        </w:rPr>
      </w:pPr>
    </w:p>
    <w:p>
      <w:pPr>
        <w:snapToGrid w:val="0"/>
        <w:spacing w:before="50" w:after="240" w:afterLines="100" w:line="360" w:lineRule="auto"/>
        <w:jc w:val="left"/>
        <w:rPr>
          <w:rFonts w:ascii="宋体" w:hAnsi="宋体" w:eastAsia="宋体" w:cs="宋体"/>
          <w:color w:val="auto"/>
          <w:sz w:val="24"/>
        </w:rPr>
      </w:pPr>
      <w:r>
        <w:rPr>
          <w:rFonts w:hint="eastAsia" w:ascii="宋体" w:hAnsi="宋体" w:eastAsia="宋体" w:cs="宋体"/>
          <w:color w:val="auto"/>
          <w:sz w:val="24"/>
        </w:rPr>
        <w:t xml:space="preserve">                                     </w:t>
      </w:r>
    </w:p>
    <w:p>
      <w:pPr>
        <w:autoSpaceDE w:val="0"/>
        <w:autoSpaceDN w:val="0"/>
        <w:spacing w:line="360" w:lineRule="auto"/>
        <w:ind w:left="4365" w:leftChars="1850" w:hanging="480" w:hangingChars="200"/>
        <w:rPr>
          <w:rFonts w:hint="eastAsia" w:ascii="宋体" w:hAnsi="宋体" w:eastAsia="宋体" w:cs="宋体"/>
          <w:color w:val="auto"/>
          <w:kern w:val="0"/>
          <w:sz w:val="24"/>
        </w:rPr>
      </w:pPr>
      <w:r>
        <w:rPr>
          <w:rFonts w:hint="eastAsia" w:ascii="宋体" w:hAnsi="宋体" w:eastAsia="宋体" w:cs="宋体"/>
          <w:color w:val="auto"/>
          <w:sz w:val="24"/>
        </w:rPr>
        <w:t xml:space="preserve"> </w:t>
      </w:r>
      <w:r>
        <w:rPr>
          <w:rFonts w:hint="eastAsia" w:ascii="宋体" w:hAnsi="宋体" w:eastAsia="宋体" w:cs="宋体"/>
          <w:color w:val="auto"/>
          <w:kern w:val="0"/>
          <w:sz w:val="24"/>
        </w:rPr>
        <w:t>供应商名称（盖公章）：</w:t>
      </w:r>
    </w:p>
    <w:p>
      <w:pPr>
        <w:snapToGrid w:val="0"/>
        <w:spacing w:before="50" w:after="240" w:afterLines="100" w:line="360" w:lineRule="auto"/>
        <w:ind w:left="7428" w:leftChars="2223" w:hanging="2760" w:hangingChars="1150"/>
        <w:jc w:val="left"/>
        <w:rPr>
          <w:rFonts w:ascii="宋体" w:hAnsi="宋体" w:eastAsia="宋体" w:cs="宋体"/>
          <w:b/>
          <w:bCs/>
          <w:color w:val="auto"/>
          <w:sz w:val="30"/>
          <w:szCs w:val="30"/>
        </w:rPr>
      </w:pPr>
      <w:r>
        <w:rPr>
          <w:rFonts w:hint="eastAsia" w:ascii="宋体" w:hAnsi="宋体" w:eastAsia="宋体" w:cs="宋体"/>
          <w:color w:val="auto"/>
          <w:kern w:val="0"/>
          <w:sz w:val="24"/>
          <w:lang w:val="zh-CN"/>
        </w:rPr>
        <w:t>日期：  年  月   日</w:t>
      </w:r>
    </w:p>
    <w:p>
      <w:pPr>
        <w:rPr>
          <w:rFonts w:hint="eastAsia" w:ascii="宋体" w:hAnsi="宋体" w:cs="宋体"/>
          <w:b/>
          <w:color w:val="auto"/>
          <w:kern w:val="0"/>
          <w:sz w:val="28"/>
          <w:szCs w:val="28"/>
        </w:rPr>
      </w:pPr>
      <w:r>
        <w:rPr>
          <w:rFonts w:hint="eastAsia" w:ascii="宋体" w:hAnsi="宋体" w:cs="宋体"/>
          <w:b/>
          <w:color w:val="auto"/>
          <w:kern w:val="0"/>
          <w:sz w:val="28"/>
          <w:szCs w:val="28"/>
        </w:rPr>
        <w:br w:type="page"/>
      </w:r>
    </w:p>
    <w:p>
      <w:pPr>
        <w:pStyle w:val="7"/>
        <w:overflowPunct w:val="0"/>
        <w:spacing w:line="520" w:lineRule="exact"/>
        <w:ind w:firstLine="0"/>
        <w:rPr>
          <w:rFonts w:hint="eastAsia" w:ascii="宋体" w:hAnsi="宋体" w:cs="宋体"/>
          <w:b/>
          <w:bCs/>
          <w:color w:val="auto"/>
          <w:sz w:val="28"/>
          <w:szCs w:val="28"/>
        </w:rPr>
      </w:pPr>
      <w:r>
        <w:rPr>
          <w:rFonts w:hint="eastAsia" w:ascii="宋体" w:hAnsi="宋体" w:cs="宋体"/>
          <w:b/>
          <w:color w:val="auto"/>
          <w:kern w:val="0"/>
          <w:sz w:val="28"/>
          <w:szCs w:val="28"/>
          <w:lang w:val="en-US" w:eastAsia="zh-CN"/>
        </w:rPr>
        <w:t>6</w:t>
      </w:r>
      <w:r>
        <w:rPr>
          <w:rFonts w:hint="eastAsia" w:ascii="宋体" w:hAnsi="宋体" w:cs="宋体"/>
          <w:b/>
          <w:color w:val="auto"/>
          <w:kern w:val="0"/>
          <w:sz w:val="28"/>
          <w:szCs w:val="28"/>
        </w:rPr>
        <w:t>.联合体竞标协议书的格式：</w:t>
      </w:r>
    </w:p>
    <w:p>
      <w:pPr>
        <w:spacing w:line="600" w:lineRule="exact"/>
        <w:jc w:val="center"/>
        <w:rPr>
          <w:rFonts w:hint="eastAsia" w:ascii="仿宋" w:hAnsi="仿宋" w:eastAsia="仿宋" w:cs="仿宋"/>
          <w:color w:val="auto"/>
          <w:sz w:val="44"/>
          <w:szCs w:val="44"/>
        </w:rPr>
      </w:pPr>
    </w:p>
    <w:p>
      <w:pPr>
        <w:spacing w:line="600" w:lineRule="exact"/>
        <w:jc w:val="center"/>
        <w:rPr>
          <w:rFonts w:hint="eastAsia" w:ascii="宋体" w:hAnsi="宋体" w:cs="宋体"/>
          <w:b/>
          <w:bCs/>
          <w:color w:val="auto"/>
          <w:sz w:val="32"/>
          <w:szCs w:val="32"/>
        </w:rPr>
      </w:pPr>
      <w:r>
        <w:rPr>
          <w:rFonts w:hint="eastAsia" w:ascii="宋体" w:hAnsi="宋体" w:cs="宋体"/>
          <w:b/>
          <w:bCs/>
          <w:color w:val="auto"/>
          <w:sz w:val="32"/>
          <w:szCs w:val="32"/>
        </w:rPr>
        <w:t>联合体竞标协议书</w:t>
      </w:r>
    </w:p>
    <w:p>
      <w:pPr>
        <w:autoSpaceDE w:val="0"/>
        <w:autoSpaceDN w:val="0"/>
        <w:adjustRightInd w:val="0"/>
        <w:spacing w:line="360" w:lineRule="auto"/>
        <w:jc w:val="left"/>
        <w:rPr>
          <w:rFonts w:hAnsi="Calibri" w:cs="宋体"/>
          <w:color w:val="auto"/>
          <w:kern w:val="0"/>
          <w:szCs w:val="21"/>
          <w:u w:val="single"/>
        </w:rPr>
      </w:pPr>
    </w:p>
    <w:p>
      <w:pPr>
        <w:autoSpaceDE w:val="0"/>
        <w:autoSpaceDN w:val="0"/>
        <w:adjustRightInd w:val="0"/>
        <w:spacing w:line="360" w:lineRule="exact"/>
        <w:jc w:val="left"/>
        <w:rPr>
          <w:rFonts w:hint="eastAsia" w:ascii="宋体" w:hAnsi="宋体" w:cs="宋体"/>
          <w:color w:val="auto"/>
          <w:kern w:val="0"/>
          <w:sz w:val="24"/>
        </w:rPr>
      </w:pPr>
      <w:r>
        <w:rPr>
          <w:rFonts w:hint="eastAsia" w:ascii="宋体" w:hAnsi="宋体" w:cs="宋体"/>
          <w:color w:val="auto"/>
          <w:kern w:val="0"/>
          <w:sz w:val="24"/>
          <w:u w:val="single"/>
        </w:rPr>
        <w:t xml:space="preserve">                                                  </w:t>
      </w:r>
      <w:r>
        <w:rPr>
          <w:rFonts w:hint="eastAsia" w:ascii="宋体" w:hAnsi="宋体" w:cs="宋体"/>
          <w:color w:val="auto"/>
          <w:kern w:val="0"/>
          <w:sz w:val="24"/>
        </w:rPr>
        <w:t>（所有成员单位名称）自愿组成联合体，共同参加</w:t>
      </w:r>
      <w:r>
        <w:rPr>
          <w:rFonts w:hint="eastAsia" w:ascii="宋体" w:hAnsi="宋体" w:cs="宋体"/>
          <w:color w:val="auto"/>
          <w:kern w:val="0"/>
          <w:sz w:val="24"/>
          <w:u w:val="single"/>
        </w:rPr>
        <w:t xml:space="preserve">     </w:t>
      </w:r>
      <w:r>
        <w:rPr>
          <w:rFonts w:hint="eastAsia" w:ascii="宋体" w:hAnsi="宋体" w:cs="宋体"/>
          <w:i/>
          <w:iCs/>
          <w:color w:val="auto"/>
          <w:kern w:val="0"/>
          <w:sz w:val="24"/>
          <w:u w:val="single"/>
        </w:rPr>
        <w:t>（采购代理机构名称）</w:t>
      </w:r>
      <w:r>
        <w:rPr>
          <w:rFonts w:hint="eastAsia" w:ascii="宋体" w:hAnsi="宋体" w:cs="宋体"/>
          <w:color w:val="auto"/>
          <w:kern w:val="0"/>
          <w:sz w:val="24"/>
          <w:u w:val="single"/>
        </w:rPr>
        <w:t xml:space="preserve">    </w:t>
      </w:r>
      <w:r>
        <w:rPr>
          <w:rFonts w:hint="eastAsia" w:ascii="宋体" w:hAnsi="宋体" w:cs="宋体"/>
          <w:color w:val="auto"/>
          <w:kern w:val="0"/>
          <w:sz w:val="24"/>
        </w:rPr>
        <w:t>组织的</w:t>
      </w:r>
      <w:r>
        <w:rPr>
          <w:rFonts w:hint="eastAsia" w:ascii="宋体" w:hAnsi="宋体" w:cs="宋体"/>
          <w:color w:val="auto"/>
          <w:kern w:val="0"/>
          <w:sz w:val="24"/>
          <w:u w:val="single"/>
        </w:rPr>
        <w:t xml:space="preserve">        </w:t>
      </w:r>
      <w:r>
        <w:rPr>
          <w:rFonts w:hint="eastAsia" w:ascii="宋体" w:hAnsi="宋体" w:cs="宋体"/>
          <w:i/>
          <w:iCs/>
          <w:color w:val="auto"/>
          <w:kern w:val="0"/>
          <w:sz w:val="24"/>
          <w:u w:val="single"/>
        </w:rPr>
        <w:t xml:space="preserve"> （项目名称）</w:t>
      </w:r>
      <w:r>
        <w:rPr>
          <w:rFonts w:hint="eastAsia" w:ascii="宋体" w:hAnsi="宋体" w:cs="宋体"/>
          <w:color w:val="auto"/>
          <w:kern w:val="0"/>
          <w:sz w:val="24"/>
          <w:u w:val="single"/>
        </w:rPr>
        <w:t xml:space="preserve">         </w:t>
      </w:r>
      <w:r>
        <w:rPr>
          <w:rFonts w:hint="eastAsia" w:ascii="宋体" w:hAnsi="宋体" w:cs="宋体"/>
          <w:color w:val="auto"/>
          <w:kern w:val="0"/>
          <w:sz w:val="24"/>
        </w:rPr>
        <w:t>（项目编号：</w:t>
      </w:r>
      <w:r>
        <w:rPr>
          <w:rFonts w:hint="eastAsia" w:ascii="宋体" w:hAnsi="宋体" w:cs="宋体"/>
          <w:i/>
          <w:iCs/>
          <w:color w:val="auto"/>
          <w:kern w:val="0"/>
          <w:sz w:val="24"/>
          <w:u w:val="single"/>
        </w:rPr>
        <w:t>（项目编号）</w:t>
      </w:r>
      <w:r>
        <w:rPr>
          <w:rFonts w:hint="eastAsia" w:ascii="宋体" w:hAnsi="宋体" w:cs="宋体"/>
          <w:color w:val="auto"/>
          <w:kern w:val="0"/>
          <w:sz w:val="24"/>
          <w:u w:val="single"/>
        </w:rPr>
        <w:t xml:space="preserve"> </w:t>
      </w:r>
      <w:r>
        <w:rPr>
          <w:rFonts w:hint="eastAsia" w:ascii="宋体" w:hAnsi="宋体" w:cs="宋体"/>
          <w:color w:val="auto"/>
          <w:kern w:val="0"/>
          <w:sz w:val="24"/>
        </w:rPr>
        <w:t>）竞争性磋商采购。现就联合体竞标事宜订立如下协议：</w:t>
      </w:r>
    </w:p>
    <w:p>
      <w:pPr>
        <w:autoSpaceDE w:val="0"/>
        <w:autoSpaceDN w:val="0"/>
        <w:adjustRightInd w:val="0"/>
        <w:spacing w:line="360" w:lineRule="exact"/>
        <w:ind w:firstLine="420"/>
        <w:jc w:val="left"/>
        <w:rPr>
          <w:rFonts w:hint="eastAsia"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u w:val="single"/>
        </w:rPr>
        <w:t xml:space="preserve">                         </w:t>
      </w:r>
      <w:r>
        <w:rPr>
          <w:rFonts w:hint="eastAsia" w:ascii="宋体" w:hAnsi="宋体" w:cs="宋体"/>
          <w:color w:val="auto"/>
          <w:kern w:val="0"/>
          <w:sz w:val="24"/>
        </w:rPr>
        <w:t>（某成员单位名称）为联合体名称牵头人。</w:t>
      </w:r>
    </w:p>
    <w:p>
      <w:pPr>
        <w:autoSpaceDE w:val="0"/>
        <w:autoSpaceDN w:val="0"/>
        <w:adjustRightInd w:val="0"/>
        <w:spacing w:line="360" w:lineRule="exact"/>
        <w:ind w:firstLine="420"/>
        <w:jc w:val="left"/>
        <w:rPr>
          <w:rFonts w:hint="eastAsia" w:ascii="宋体" w:hAnsi="宋体" w:cs="宋体"/>
          <w:color w:val="auto"/>
          <w:kern w:val="0"/>
          <w:sz w:val="24"/>
        </w:rPr>
      </w:pPr>
      <w:r>
        <w:rPr>
          <w:rFonts w:hint="eastAsia" w:ascii="宋体" w:hAnsi="宋体" w:cs="宋体"/>
          <w:color w:val="auto"/>
          <w:kern w:val="0"/>
          <w:sz w:val="24"/>
        </w:rPr>
        <w:t>2、联合体牵头人合法代表联合体各成员负责本磋商项目响应文件编制和合同谈判活动，并代表联合体提交和接收相关的资料、信息及指示，并处理与之有关的一切事务，负责合同实施阶段的主办、组织和协调工作。</w:t>
      </w:r>
    </w:p>
    <w:p>
      <w:pPr>
        <w:autoSpaceDE w:val="0"/>
        <w:autoSpaceDN w:val="0"/>
        <w:adjustRightInd w:val="0"/>
        <w:spacing w:line="360" w:lineRule="exact"/>
        <w:ind w:firstLine="420"/>
        <w:jc w:val="left"/>
        <w:rPr>
          <w:rFonts w:hint="eastAsia" w:ascii="宋体" w:hAnsi="宋体" w:cs="宋体"/>
          <w:color w:val="auto"/>
          <w:kern w:val="0"/>
          <w:sz w:val="24"/>
        </w:rPr>
      </w:pPr>
      <w:r>
        <w:rPr>
          <w:rFonts w:hint="eastAsia" w:ascii="宋体" w:hAnsi="宋体" w:cs="宋体"/>
          <w:color w:val="auto"/>
          <w:kern w:val="0"/>
          <w:sz w:val="24"/>
        </w:rPr>
        <w:t>3、联合体牵头人在本项目中签署和盖章的一切文件和处理的一切事宜，联合体各成员均予以承认。 联合体各成员将严格按照磋商文件、响应文件和合同的要求全面履行义务，并向采购人承担连带责任。</w:t>
      </w:r>
    </w:p>
    <w:p>
      <w:pPr>
        <w:autoSpaceDE w:val="0"/>
        <w:autoSpaceDN w:val="0"/>
        <w:adjustRightInd w:val="0"/>
        <w:spacing w:line="360" w:lineRule="exact"/>
        <w:ind w:left="479" w:leftChars="228"/>
        <w:jc w:val="left"/>
        <w:rPr>
          <w:rFonts w:hint="eastAsia" w:ascii="宋体" w:hAnsi="宋体" w:cs="宋体"/>
          <w:color w:val="auto"/>
          <w:kern w:val="0"/>
          <w:sz w:val="24"/>
        </w:rPr>
      </w:pPr>
      <w:r>
        <w:rPr>
          <w:rFonts w:hint="eastAsia" w:ascii="宋体" w:hAnsi="宋体" w:cs="宋体"/>
          <w:color w:val="auto"/>
          <w:kern w:val="0"/>
          <w:sz w:val="24"/>
        </w:rPr>
        <w:t>4、联合体各成员单位内部的职责分工如下：</w:t>
      </w:r>
      <w:r>
        <w:rPr>
          <w:rFonts w:hint="eastAsia" w:ascii="宋体" w:hAnsi="宋体" w:cs="宋体"/>
          <w:color w:val="auto"/>
          <w:kern w:val="0"/>
          <w:sz w:val="24"/>
          <w:u w:val="single"/>
        </w:rPr>
        <w:t xml:space="preserve">                                       </w:t>
      </w:r>
      <w:r>
        <w:rPr>
          <w:rFonts w:hint="eastAsia" w:ascii="宋体" w:hAnsi="宋体" w:cs="宋体"/>
          <w:color w:val="auto"/>
          <w:kern w:val="0"/>
          <w:sz w:val="24"/>
        </w:rPr>
        <w:t>。</w:t>
      </w:r>
    </w:p>
    <w:p>
      <w:pPr>
        <w:spacing w:line="360" w:lineRule="exact"/>
        <w:ind w:firstLine="480" w:firstLineChars="200"/>
        <w:rPr>
          <w:rFonts w:hint="eastAsia" w:ascii="宋体" w:hAnsi="宋体" w:cs="宋体"/>
          <w:color w:val="auto"/>
          <w:kern w:val="0"/>
          <w:sz w:val="24"/>
        </w:rPr>
      </w:pPr>
      <w:r>
        <w:rPr>
          <w:rFonts w:hint="eastAsia" w:ascii="宋体" w:hAnsi="宋体" w:cs="宋体"/>
          <w:color w:val="auto"/>
          <w:kern w:val="0"/>
          <w:sz w:val="24"/>
        </w:rPr>
        <w:t>5、本联合体中，</w:t>
      </w:r>
      <w:r>
        <w:rPr>
          <w:rFonts w:hint="eastAsia" w:ascii="宋体" w:hAnsi="宋体" w:cs="宋体"/>
          <w:color w:val="auto"/>
          <w:kern w:val="0"/>
          <w:sz w:val="24"/>
          <w:u w:val="single"/>
        </w:rPr>
        <w:t xml:space="preserve">                         （某成员单位名称）为       </w:t>
      </w:r>
      <w:r>
        <w:rPr>
          <w:rFonts w:hint="eastAsia" w:ascii="宋体" w:hAnsi="宋体" w:cs="宋体"/>
          <w:color w:val="auto"/>
          <w:kern w:val="0"/>
          <w:sz w:val="24"/>
        </w:rPr>
        <w:t>（请填写：中型、小型、微型）企业，其协议合同金额占联合体协议合同总金额的</w:t>
      </w:r>
      <w:r>
        <w:rPr>
          <w:rFonts w:hint="eastAsia" w:ascii="宋体" w:hAnsi="宋体" w:cs="宋体"/>
          <w:color w:val="auto"/>
          <w:kern w:val="0"/>
          <w:sz w:val="24"/>
          <w:u w:val="single"/>
        </w:rPr>
        <w:t xml:space="preserve">       </w:t>
      </w:r>
      <w:r>
        <w:rPr>
          <w:rFonts w:hint="eastAsia" w:ascii="宋体" w:hAnsi="宋体" w:cs="宋体"/>
          <w:color w:val="auto"/>
          <w:kern w:val="0"/>
          <w:sz w:val="24"/>
        </w:rPr>
        <w:t>%。【如联合体成员中有小型、微型企业的，请填写此条，否则无需填写；如联合体成员中有多个小型、微型企业的，请逐一列出。】</w:t>
      </w:r>
    </w:p>
    <w:p>
      <w:pPr>
        <w:autoSpaceDE w:val="0"/>
        <w:autoSpaceDN w:val="0"/>
        <w:adjustRightInd w:val="0"/>
        <w:spacing w:line="360" w:lineRule="exact"/>
        <w:ind w:firstLine="420"/>
        <w:jc w:val="left"/>
        <w:rPr>
          <w:rFonts w:hint="eastAsia" w:ascii="宋体" w:hAnsi="宋体" w:cs="宋体"/>
          <w:color w:val="auto"/>
          <w:kern w:val="0"/>
          <w:sz w:val="24"/>
        </w:rPr>
      </w:pPr>
      <w:r>
        <w:rPr>
          <w:rFonts w:hint="eastAsia" w:ascii="宋体" w:hAnsi="宋体" w:cs="宋体"/>
          <w:color w:val="auto"/>
          <w:kern w:val="0"/>
          <w:sz w:val="24"/>
        </w:rPr>
        <w:t>6、本协议书自签署之日起生效，合同履行完毕后自动失效。</w:t>
      </w:r>
    </w:p>
    <w:p>
      <w:pPr>
        <w:autoSpaceDE w:val="0"/>
        <w:autoSpaceDN w:val="0"/>
        <w:adjustRightInd w:val="0"/>
        <w:spacing w:line="360" w:lineRule="exact"/>
        <w:ind w:firstLine="420"/>
        <w:jc w:val="left"/>
        <w:rPr>
          <w:rFonts w:hint="eastAsia" w:ascii="宋体" w:hAnsi="宋体" w:cs="宋体"/>
          <w:color w:val="auto"/>
          <w:kern w:val="0"/>
          <w:sz w:val="24"/>
        </w:rPr>
      </w:pPr>
      <w:r>
        <w:rPr>
          <w:rFonts w:hint="eastAsia" w:ascii="宋体" w:hAnsi="宋体" w:cs="宋体"/>
          <w:color w:val="auto"/>
          <w:kern w:val="0"/>
          <w:sz w:val="24"/>
        </w:rPr>
        <w:t>7、本协议书一式</w:t>
      </w:r>
      <w:r>
        <w:rPr>
          <w:rFonts w:hint="eastAsia" w:ascii="宋体" w:hAnsi="宋体" w:cs="宋体"/>
          <w:color w:val="auto"/>
          <w:kern w:val="0"/>
          <w:sz w:val="24"/>
          <w:u w:val="single"/>
        </w:rPr>
        <w:t xml:space="preserve">    </w:t>
      </w:r>
      <w:r>
        <w:rPr>
          <w:rFonts w:hint="eastAsia" w:ascii="宋体" w:hAnsi="宋体" w:cs="宋体"/>
          <w:color w:val="auto"/>
          <w:kern w:val="0"/>
          <w:sz w:val="24"/>
        </w:rPr>
        <w:t>份，联合体成员和采购代理机构各执一份。</w:t>
      </w:r>
    </w:p>
    <w:p>
      <w:pPr>
        <w:autoSpaceDE w:val="0"/>
        <w:autoSpaceDN w:val="0"/>
        <w:adjustRightInd w:val="0"/>
        <w:spacing w:line="360" w:lineRule="exact"/>
        <w:ind w:firstLine="420"/>
        <w:jc w:val="left"/>
        <w:rPr>
          <w:rFonts w:hint="eastAsia" w:ascii="宋体" w:hAnsi="宋体" w:cs="宋体"/>
          <w:color w:val="auto"/>
          <w:kern w:val="0"/>
          <w:sz w:val="24"/>
        </w:rPr>
      </w:pPr>
      <w:r>
        <w:rPr>
          <w:rFonts w:hint="eastAsia" w:ascii="宋体" w:hAnsi="宋体" w:cs="宋体"/>
          <w:color w:val="auto"/>
          <w:kern w:val="0"/>
          <w:sz w:val="24"/>
        </w:rPr>
        <w:t>注：本协议书由法定代表人签字的，应附法定代表人身份证明；本协议书由委托代理人签字的，应附法定代表人授权委托书。</w:t>
      </w:r>
    </w:p>
    <w:p>
      <w:pPr>
        <w:autoSpaceDE w:val="0"/>
        <w:autoSpaceDN w:val="0"/>
        <w:adjustRightInd w:val="0"/>
        <w:spacing w:line="360" w:lineRule="exact"/>
        <w:jc w:val="left"/>
        <w:rPr>
          <w:rFonts w:hint="eastAsia" w:ascii="宋体" w:hAnsi="宋体" w:cs="宋体"/>
          <w:color w:val="auto"/>
          <w:kern w:val="0"/>
          <w:sz w:val="24"/>
        </w:rPr>
      </w:pPr>
      <w:r>
        <w:rPr>
          <w:rFonts w:hint="eastAsia" w:ascii="宋体" w:hAnsi="宋体" w:cs="宋体"/>
          <w:color w:val="auto"/>
          <w:kern w:val="0"/>
          <w:sz w:val="24"/>
        </w:rPr>
        <w:t>牵头人名称：</w:t>
      </w:r>
      <w:r>
        <w:rPr>
          <w:rFonts w:hint="eastAsia" w:ascii="宋体" w:hAnsi="宋体" w:cs="宋体"/>
          <w:color w:val="auto"/>
          <w:kern w:val="0"/>
          <w:sz w:val="24"/>
          <w:u w:val="single"/>
        </w:rPr>
        <w:t xml:space="preserve">                                       </w:t>
      </w:r>
      <w:r>
        <w:rPr>
          <w:rFonts w:hint="eastAsia" w:ascii="宋体" w:hAnsi="宋体" w:cs="宋体"/>
          <w:color w:val="auto"/>
          <w:kern w:val="0"/>
          <w:sz w:val="24"/>
        </w:rPr>
        <w:t>（盖公章）</w:t>
      </w:r>
    </w:p>
    <w:p>
      <w:pPr>
        <w:autoSpaceDE w:val="0"/>
        <w:autoSpaceDN w:val="0"/>
        <w:adjustRightInd w:val="0"/>
        <w:spacing w:line="360" w:lineRule="exact"/>
        <w:jc w:val="left"/>
        <w:rPr>
          <w:rFonts w:hint="eastAsia" w:ascii="宋体" w:hAnsi="宋体" w:cs="宋体"/>
          <w:color w:val="auto"/>
          <w:kern w:val="0"/>
          <w:sz w:val="24"/>
        </w:rPr>
      </w:pPr>
      <w:r>
        <w:rPr>
          <w:rFonts w:hint="eastAsia" w:ascii="宋体" w:hAnsi="宋体" w:cs="宋体"/>
          <w:color w:val="auto"/>
          <w:kern w:val="0"/>
          <w:sz w:val="24"/>
        </w:rPr>
        <w:t>法定代表人或其委托代理人：</w:t>
      </w:r>
      <w:r>
        <w:rPr>
          <w:rFonts w:hint="eastAsia" w:ascii="宋体" w:hAnsi="宋体" w:cs="宋体"/>
          <w:color w:val="auto"/>
          <w:kern w:val="0"/>
          <w:sz w:val="24"/>
          <w:u w:val="single"/>
        </w:rPr>
        <w:t xml:space="preserve">                         </w:t>
      </w:r>
      <w:r>
        <w:rPr>
          <w:rFonts w:hint="eastAsia" w:ascii="宋体" w:hAnsi="宋体" w:cs="宋体"/>
          <w:color w:val="auto"/>
          <w:kern w:val="0"/>
          <w:sz w:val="24"/>
        </w:rPr>
        <w:t>（签字）</w:t>
      </w:r>
    </w:p>
    <w:p>
      <w:pPr>
        <w:autoSpaceDE w:val="0"/>
        <w:autoSpaceDN w:val="0"/>
        <w:adjustRightInd w:val="0"/>
        <w:spacing w:line="360" w:lineRule="exact"/>
        <w:jc w:val="left"/>
        <w:rPr>
          <w:rFonts w:hint="eastAsia" w:ascii="宋体" w:hAnsi="宋体" w:cs="宋体"/>
          <w:color w:val="auto"/>
          <w:kern w:val="0"/>
          <w:sz w:val="24"/>
        </w:rPr>
      </w:pPr>
    </w:p>
    <w:p>
      <w:pPr>
        <w:autoSpaceDE w:val="0"/>
        <w:autoSpaceDN w:val="0"/>
        <w:adjustRightInd w:val="0"/>
        <w:spacing w:line="360" w:lineRule="exact"/>
        <w:jc w:val="left"/>
        <w:rPr>
          <w:rFonts w:hint="eastAsia" w:ascii="宋体" w:hAnsi="宋体" w:cs="宋体"/>
          <w:color w:val="auto"/>
          <w:kern w:val="0"/>
          <w:sz w:val="24"/>
        </w:rPr>
      </w:pPr>
      <w:r>
        <w:rPr>
          <w:rFonts w:hint="eastAsia" w:ascii="宋体" w:hAnsi="宋体" w:cs="宋体"/>
          <w:color w:val="auto"/>
          <w:kern w:val="0"/>
          <w:sz w:val="24"/>
        </w:rPr>
        <w:t>成员一名称：</w:t>
      </w:r>
      <w:r>
        <w:rPr>
          <w:rFonts w:hint="eastAsia" w:ascii="宋体" w:hAnsi="宋体" w:cs="宋体"/>
          <w:color w:val="auto"/>
          <w:kern w:val="0"/>
          <w:sz w:val="24"/>
          <w:u w:val="single"/>
        </w:rPr>
        <w:t xml:space="preserve">                                       </w:t>
      </w:r>
      <w:r>
        <w:rPr>
          <w:rFonts w:hint="eastAsia" w:ascii="宋体" w:hAnsi="宋体" w:cs="宋体"/>
          <w:color w:val="auto"/>
          <w:kern w:val="0"/>
          <w:sz w:val="24"/>
        </w:rPr>
        <w:t>（盖公章）</w:t>
      </w:r>
    </w:p>
    <w:p>
      <w:pPr>
        <w:autoSpaceDE w:val="0"/>
        <w:autoSpaceDN w:val="0"/>
        <w:adjustRightInd w:val="0"/>
        <w:spacing w:line="360" w:lineRule="exact"/>
        <w:jc w:val="left"/>
        <w:rPr>
          <w:rFonts w:hint="eastAsia" w:ascii="宋体" w:hAnsi="宋体" w:cs="宋体"/>
          <w:color w:val="auto"/>
          <w:kern w:val="0"/>
          <w:sz w:val="24"/>
        </w:rPr>
      </w:pPr>
      <w:r>
        <w:rPr>
          <w:rFonts w:hint="eastAsia" w:ascii="宋体" w:hAnsi="宋体" w:cs="宋体"/>
          <w:color w:val="auto"/>
          <w:kern w:val="0"/>
          <w:sz w:val="24"/>
        </w:rPr>
        <w:t>法定代表人或其委托代理人：</w:t>
      </w:r>
      <w:r>
        <w:rPr>
          <w:rFonts w:hint="eastAsia" w:ascii="宋体" w:hAnsi="宋体" w:cs="宋体"/>
          <w:color w:val="auto"/>
          <w:kern w:val="0"/>
          <w:sz w:val="24"/>
          <w:u w:val="single"/>
        </w:rPr>
        <w:t xml:space="preserve">                         </w:t>
      </w:r>
      <w:r>
        <w:rPr>
          <w:rFonts w:hint="eastAsia" w:ascii="宋体" w:hAnsi="宋体" w:cs="宋体"/>
          <w:color w:val="auto"/>
          <w:kern w:val="0"/>
          <w:sz w:val="24"/>
        </w:rPr>
        <w:t>（签字）</w:t>
      </w:r>
    </w:p>
    <w:p>
      <w:pPr>
        <w:autoSpaceDE w:val="0"/>
        <w:autoSpaceDN w:val="0"/>
        <w:adjustRightInd w:val="0"/>
        <w:spacing w:line="360" w:lineRule="exact"/>
        <w:jc w:val="left"/>
        <w:rPr>
          <w:rFonts w:hint="eastAsia" w:ascii="宋体" w:hAnsi="宋体" w:cs="宋体"/>
          <w:color w:val="auto"/>
          <w:kern w:val="0"/>
          <w:szCs w:val="21"/>
        </w:rPr>
      </w:pPr>
    </w:p>
    <w:p>
      <w:pPr>
        <w:autoSpaceDE w:val="0"/>
        <w:autoSpaceDN w:val="0"/>
        <w:adjustRightInd w:val="0"/>
        <w:spacing w:line="360" w:lineRule="exact"/>
        <w:jc w:val="left"/>
        <w:rPr>
          <w:rFonts w:hint="eastAsia" w:ascii="宋体" w:hAnsi="宋体" w:cs="宋体"/>
          <w:color w:val="auto"/>
          <w:kern w:val="0"/>
          <w:sz w:val="24"/>
        </w:rPr>
      </w:pPr>
      <w:r>
        <w:rPr>
          <w:rFonts w:hint="eastAsia" w:ascii="宋体" w:hAnsi="宋体" w:cs="宋体"/>
          <w:color w:val="auto"/>
          <w:kern w:val="0"/>
          <w:sz w:val="24"/>
        </w:rPr>
        <w:t>成员二名称：</w:t>
      </w:r>
      <w:r>
        <w:rPr>
          <w:rFonts w:hint="eastAsia" w:ascii="宋体" w:hAnsi="宋体" w:cs="宋体"/>
          <w:color w:val="auto"/>
          <w:kern w:val="0"/>
          <w:sz w:val="24"/>
          <w:u w:val="single"/>
        </w:rPr>
        <w:t xml:space="preserve">                                       </w:t>
      </w:r>
      <w:r>
        <w:rPr>
          <w:rFonts w:hint="eastAsia" w:ascii="宋体" w:hAnsi="宋体" w:cs="宋体"/>
          <w:color w:val="auto"/>
          <w:kern w:val="0"/>
          <w:sz w:val="24"/>
        </w:rPr>
        <w:t>（盖公章）</w:t>
      </w:r>
    </w:p>
    <w:p>
      <w:pPr>
        <w:autoSpaceDE w:val="0"/>
        <w:autoSpaceDN w:val="0"/>
        <w:adjustRightInd w:val="0"/>
        <w:spacing w:line="360" w:lineRule="exact"/>
        <w:jc w:val="left"/>
        <w:rPr>
          <w:rFonts w:hint="eastAsia" w:ascii="宋体" w:hAnsi="宋体" w:cs="宋体"/>
          <w:color w:val="auto"/>
          <w:kern w:val="0"/>
          <w:sz w:val="24"/>
        </w:rPr>
      </w:pPr>
      <w:r>
        <w:rPr>
          <w:rFonts w:hint="eastAsia" w:ascii="宋体" w:hAnsi="宋体" w:cs="宋体"/>
          <w:color w:val="auto"/>
          <w:kern w:val="0"/>
          <w:sz w:val="24"/>
        </w:rPr>
        <w:t>法定代表人或其委托代理人：                         （签字）</w:t>
      </w:r>
    </w:p>
    <w:p>
      <w:pPr>
        <w:autoSpaceDE w:val="0"/>
        <w:autoSpaceDN w:val="0"/>
        <w:adjustRightInd w:val="0"/>
        <w:spacing w:line="360" w:lineRule="exact"/>
        <w:jc w:val="left"/>
        <w:rPr>
          <w:rFonts w:hint="eastAsia" w:ascii="宋体" w:hAnsi="宋体" w:cs="宋体"/>
          <w:color w:val="auto"/>
          <w:kern w:val="0"/>
          <w:sz w:val="24"/>
        </w:rPr>
      </w:pPr>
    </w:p>
    <w:p>
      <w:pPr>
        <w:autoSpaceDE w:val="0"/>
        <w:autoSpaceDN w:val="0"/>
        <w:adjustRightInd w:val="0"/>
        <w:spacing w:line="360" w:lineRule="exact"/>
        <w:jc w:val="left"/>
        <w:rPr>
          <w:rFonts w:ascii="宋体" w:hAnsi="宋体" w:cs="宋体"/>
          <w:color w:val="auto"/>
          <w:kern w:val="0"/>
          <w:sz w:val="24"/>
        </w:rPr>
      </w:pPr>
      <w:r>
        <w:rPr>
          <w:rFonts w:hint="eastAsia" w:ascii="宋体" w:hAnsi="宋体" w:cs="宋体"/>
          <w:color w:val="auto"/>
          <w:kern w:val="0"/>
          <w:sz w:val="24"/>
        </w:rPr>
        <w:t>......</w:t>
      </w:r>
    </w:p>
    <w:p>
      <w:pPr>
        <w:autoSpaceDE w:val="0"/>
        <w:autoSpaceDN w:val="0"/>
        <w:spacing w:line="360" w:lineRule="exact"/>
        <w:ind w:left="4365" w:leftChars="1850" w:hanging="480" w:hangingChars="200"/>
        <w:rPr>
          <w:rFonts w:hint="eastAsia" w:ascii="宋体" w:hAnsi="宋体" w:cs="宋体"/>
          <w:color w:val="auto"/>
          <w:kern w:val="0"/>
          <w:sz w:val="24"/>
        </w:rPr>
      </w:pPr>
    </w:p>
    <w:p>
      <w:pPr>
        <w:autoSpaceDE w:val="0"/>
        <w:autoSpaceDN w:val="0"/>
        <w:spacing w:line="360" w:lineRule="exact"/>
        <w:ind w:firstLine="6120" w:firstLineChars="2550"/>
        <w:rPr>
          <w:rFonts w:hint="eastAsia" w:ascii="宋体" w:hAnsi="宋体" w:cs="宋体"/>
          <w:color w:val="auto"/>
          <w:kern w:val="0"/>
          <w:sz w:val="24"/>
          <w:lang w:val="zh-CN"/>
        </w:rPr>
      </w:pPr>
      <w:r>
        <w:rPr>
          <w:rFonts w:hint="eastAsia" w:ascii="宋体" w:hAnsi="宋体" w:cs="宋体"/>
          <w:color w:val="auto"/>
          <w:kern w:val="0"/>
          <w:sz w:val="24"/>
          <w:lang w:val="zh-CN"/>
        </w:rPr>
        <w:t>日期：  年  月   日</w:t>
      </w:r>
    </w:p>
    <w:p>
      <w:pPr>
        <w:autoSpaceDE w:val="0"/>
        <w:autoSpaceDN w:val="0"/>
        <w:spacing w:line="360" w:lineRule="auto"/>
        <w:ind w:firstLine="6120" w:firstLineChars="2550"/>
        <w:rPr>
          <w:rFonts w:hint="eastAsia" w:ascii="仿宋_GB2312" w:hAnsi="仿宋" w:eastAsia="仿宋_GB2312" w:cs="仿宋_GB2312"/>
          <w:color w:val="auto"/>
          <w:kern w:val="0"/>
          <w:sz w:val="24"/>
          <w:lang w:val="zh-CN"/>
        </w:rPr>
      </w:pPr>
    </w:p>
    <w:p>
      <w:pPr>
        <w:autoSpaceDE w:val="0"/>
        <w:autoSpaceDN w:val="0"/>
        <w:spacing w:line="360" w:lineRule="auto"/>
        <w:ind w:firstLine="6120" w:firstLineChars="2550"/>
        <w:rPr>
          <w:rFonts w:hint="eastAsia" w:ascii="仿宋_GB2312" w:hAnsi="仿宋" w:eastAsia="仿宋_GB2312" w:cs="仿宋_GB2312"/>
          <w:color w:val="auto"/>
          <w:kern w:val="0"/>
          <w:sz w:val="24"/>
          <w:lang w:val="zh-CN"/>
        </w:rPr>
      </w:pPr>
    </w:p>
    <w:p>
      <w:pPr>
        <w:pStyle w:val="3"/>
        <w:jc w:val="center"/>
        <w:rPr>
          <w:rFonts w:hint="eastAsia" w:ascii="宋体" w:hAnsi="宋体"/>
          <w:b w:val="0"/>
          <w:color w:val="auto"/>
        </w:rPr>
      </w:pPr>
      <w:bookmarkStart w:id="187" w:name="_Toc80205940"/>
      <w:bookmarkStart w:id="188" w:name="_Toc80886944"/>
      <w:bookmarkStart w:id="189" w:name="_Toc20562"/>
      <w:bookmarkStart w:id="190" w:name="_Toc15951"/>
      <w:r>
        <w:rPr>
          <w:rFonts w:hint="eastAsia" w:ascii="宋体" w:hAnsi="宋体"/>
          <w:b w:val="0"/>
          <w:bCs w:val="0"/>
          <w:color w:val="auto"/>
        </w:rPr>
        <w:t xml:space="preserve">第二节 </w:t>
      </w:r>
      <w:r>
        <w:rPr>
          <w:rFonts w:hint="eastAsia" w:ascii="宋体" w:hAnsi="宋体"/>
          <w:b w:val="0"/>
          <w:color w:val="auto"/>
        </w:rPr>
        <w:t>商务技术文件格式</w:t>
      </w:r>
      <w:bookmarkEnd w:id="187"/>
      <w:bookmarkEnd w:id="188"/>
      <w:bookmarkEnd w:id="189"/>
      <w:bookmarkEnd w:id="190"/>
    </w:p>
    <w:p>
      <w:pPr>
        <w:snapToGrid w:val="0"/>
        <w:spacing w:before="120" w:beforeLines="50" w:after="50" w:line="360" w:lineRule="auto"/>
        <w:jc w:val="left"/>
        <w:rPr>
          <w:rFonts w:hint="eastAsia" w:ascii="宋体" w:hAnsi="宋体"/>
          <w:b/>
          <w:color w:val="auto"/>
          <w:sz w:val="32"/>
          <w:szCs w:val="32"/>
        </w:rPr>
      </w:pPr>
      <w:r>
        <w:rPr>
          <w:rFonts w:hint="eastAsia" w:ascii="宋体" w:hAnsi="宋体"/>
          <w:b/>
          <w:color w:val="auto"/>
          <w:sz w:val="28"/>
          <w:szCs w:val="28"/>
        </w:rPr>
        <w:t>1.商务技术文件封面的格式</w:t>
      </w:r>
      <w:r>
        <w:rPr>
          <w:rFonts w:hint="eastAsia" w:ascii="宋体" w:hAnsi="宋体" w:cs="宋体"/>
          <w:b/>
          <w:color w:val="auto"/>
          <w:sz w:val="28"/>
          <w:szCs w:val="28"/>
        </w:rPr>
        <w:t>（参照此格式自拟）</w:t>
      </w:r>
      <w:r>
        <w:rPr>
          <w:rFonts w:hint="eastAsia" w:ascii="宋体" w:hAnsi="宋体"/>
          <w:b/>
          <w:color w:val="auto"/>
          <w:sz w:val="28"/>
          <w:szCs w:val="28"/>
        </w:rPr>
        <w:t>：</w:t>
      </w:r>
    </w:p>
    <w:p>
      <w:pPr>
        <w:snapToGrid w:val="0"/>
        <w:spacing w:before="120" w:beforeLines="50" w:after="50"/>
        <w:rPr>
          <w:rFonts w:hint="eastAsia"/>
          <w:color w:val="auto"/>
          <w:sz w:val="24"/>
        </w:rPr>
      </w:pPr>
      <w:r>
        <w:rPr>
          <w:rFonts w:hint="eastAsia"/>
          <w:color w:val="auto"/>
          <w:sz w:val="24"/>
        </w:rPr>
        <w:t xml:space="preserve">                                             </w:t>
      </w:r>
    </w:p>
    <w:p>
      <w:pPr>
        <w:snapToGrid w:val="0"/>
        <w:spacing w:before="120" w:beforeLines="50" w:after="50"/>
        <w:ind w:firstLine="6720" w:firstLineChars="3200"/>
        <w:rPr>
          <w:rFonts w:hint="eastAsia"/>
          <w:bCs/>
          <w:color w:val="auto"/>
          <w:sz w:val="32"/>
          <w:szCs w:val="20"/>
        </w:rPr>
      </w:pPr>
      <w:r>
        <w:rPr>
          <w:rFonts w:hint="eastAsia"/>
          <w:bCs/>
          <w:color w:val="auto"/>
        </w:rPr>
        <w:t>全流程电子文件</w:t>
      </w:r>
    </w:p>
    <w:p>
      <w:pPr>
        <w:snapToGrid w:val="0"/>
        <w:spacing w:before="120" w:beforeLines="50" w:after="50"/>
        <w:rPr>
          <w:rFonts w:hint="eastAsia"/>
          <w:color w:val="auto"/>
          <w:sz w:val="24"/>
          <w:szCs w:val="20"/>
        </w:rPr>
      </w:pPr>
    </w:p>
    <w:p>
      <w:pPr>
        <w:snapToGrid w:val="0"/>
        <w:spacing w:before="120" w:beforeLines="50" w:after="50"/>
        <w:rPr>
          <w:rFonts w:hint="eastAsia"/>
          <w:color w:val="auto"/>
          <w:sz w:val="24"/>
          <w:szCs w:val="20"/>
        </w:rPr>
      </w:pPr>
    </w:p>
    <w:p>
      <w:pPr>
        <w:snapToGrid w:val="0"/>
        <w:spacing w:before="120" w:beforeLines="50" w:after="50"/>
        <w:rPr>
          <w:rFonts w:hint="eastAsia"/>
          <w:color w:val="auto"/>
          <w:sz w:val="24"/>
          <w:szCs w:val="20"/>
        </w:rPr>
      </w:pPr>
    </w:p>
    <w:p>
      <w:pPr>
        <w:snapToGrid w:val="0"/>
        <w:spacing w:before="120" w:beforeLines="50" w:after="50"/>
        <w:jc w:val="center"/>
        <w:rPr>
          <w:rFonts w:hint="eastAsia" w:ascii="仿宋" w:hAnsi="仿宋" w:eastAsia="仿宋" w:cs="仿宋"/>
          <w:bCs/>
          <w:color w:val="auto"/>
          <w:sz w:val="44"/>
          <w:szCs w:val="44"/>
        </w:rPr>
      </w:pPr>
      <w:r>
        <w:rPr>
          <w:rFonts w:hint="eastAsia" w:ascii="仿宋" w:hAnsi="仿宋" w:eastAsia="仿宋" w:cs="仿宋"/>
          <w:bCs/>
          <w:color w:val="auto"/>
          <w:sz w:val="44"/>
          <w:szCs w:val="44"/>
        </w:rPr>
        <w:t>商  务  技  术  文  件</w:t>
      </w:r>
    </w:p>
    <w:p>
      <w:pPr>
        <w:snapToGrid w:val="0"/>
        <w:spacing w:before="120" w:beforeLines="50" w:after="50"/>
        <w:rPr>
          <w:rFonts w:hint="eastAsia"/>
          <w:bCs/>
          <w:color w:val="auto"/>
          <w:sz w:val="24"/>
          <w:szCs w:val="20"/>
        </w:rPr>
      </w:pPr>
    </w:p>
    <w:p>
      <w:pPr>
        <w:snapToGrid w:val="0"/>
        <w:spacing w:before="120" w:beforeLines="50" w:after="50"/>
        <w:rPr>
          <w:rFonts w:hint="eastAsia"/>
          <w:bCs/>
          <w:color w:val="auto"/>
          <w:sz w:val="24"/>
          <w:szCs w:val="20"/>
        </w:rPr>
      </w:pPr>
    </w:p>
    <w:p>
      <w:pPr>
        <w:snapToGrid w:val="0"/>
        <w:spacing w:before="120" w:beforeLines="50" w:after="50"/>
        <w:rPr>
          <w:rFonts w:hint="eastAsia"/>
          <w:bCs/>
          <w:color w:val="auto"/>
          <w:sz w:val="24"/>
          <w:szCs w:val="20"/>
        </w:rPr>
      </w:pPr>
    </w:p>
    <w:p>
      <w:pPr>
        <w:snapToGrid w:val="0"/>
        <w:spacing w:before="120" w:beforeLines="50" w:after="50"/>
        <w:rPr>
          <w:rFonts w:hint="eastAsia"/>
          <w:bCs/>
          <w:color w:val="auto"/>
          <w:sz w:val="24"/>
          <w:szCs w:val="20"/>
        </w:rPr>
      </w:pPr>
    </w:p>
    <w:p>
      <w:pPr>
        <w:snapToGrid w:val="0"/>
        <w:spacing w:before="120" w:beforeLines="50" w:after="50"/>
        <w:rPr>
          <w:rFonts w:hint="eastAsia"/>
          <w:bCs/>
          <w:color w:val="auto"/>
          <w:sz w:val="24"/>
          <w:szCs w:val="20"/>
        </w:rPr>
      </w:pPr>
    </w:p>
    <w:p>
      <w:pPr>
        <w:snapToGrid w:val="0"/>
        <w:spacing w:before="120" w:beforeLines="50" w:after="50"/>
        <w:ind w:firstLine="640" w:firstLineChars="200"/>
        <w:rPr>
          <w:rFonts w:hint="eastAsia" w:cs="仿宋_GB2312"/>
          <w:bCs/>
          <w:color w:val="auto"/>
          <w:sz w:val="32"/>
          <w:szCs w:val="32"/>
        </w:rPr>
      </w:pPr>
      <w:r>
        <w:rPr>
          <w:rFonts w:hint="eastAsia" w:cs="仿宋_GB2312"/>
          <w:bCs/>
          <w:color w:val="auto"/>
          <w:sz w:val="32"/>
          <w:szCs w:val="32"/>
        </w:rPr>
        <w:t>项目名称：</w:t>
      </w:r>
    </w:p>
    <w:p>
      <w:pPr>
        <w:snapToGrid w:val="0"/>
        <w:spacing w:before="120" w:beforeLines="50" w:after="50"/>
        <w:ind w:firstLine="720" w:firstLineChars="225"/>
        <w:rPr>
          <w:rFonts w:hint="eastAsia" w:cs="仿宋_GB2312"/>
          <w:bCs/>
          <w:color w:val="auto"/>
          <w:sz w:val="32"/>
          <w:szCs w:val="32"/>
        </w:rPr>
      </w:pPr>
    </w:p>
    <w:p>
      <w:pPr>
        <w:snapToGrid w:val="0"/>
        <w:spacing w:before="120" w:beforeLines="50" w:after="50"/>
        <w:ind w:firstLine="640" w:firstLineChars="200"/>
        <w:rPr>
          <w:rFonts w:hint="eastAsia" w:cs="仿宋_GB2312"/>
          <w:bCs/>
          <w:color w:val="auto"/>
          <w:sz w:val="32"/>
          <w:szCs w:val="32"/>
        </w:rPr>
      </w:pPr>
      <w:r>
        <w:rPr>
          <w:rFonts w:hint="eastAsia" w:cs="仿宋_GB2312"/>
          <w:bCs/>
          <w:color w:val="auto"/>
          <w:sz w:val="32"/>
          <w:szCs w:val="32"/>
        </w:rPr>
        <w:t>项目编号：</w:t>
      </w:r>
    </w:p>
    <w:p>
      <w:pPr>
        <w:snapToGrid w:val="0"/>
        <w:spacing w:before="120" w:beforeLines="50" w:after="50"/>
        <w:ind w:firstLine="720" w:firstLineChars="225"/>
        <w:rPr>
          <w:rFonts w:hint="eastAsia" w:cs="仿宋_GB2312"/>
          <w:bCs/>
          <w:color w:val="auto"/>
          <w:sz w:val="32"/>
          <w:szCs w:val="32"/>
        </w:rPr>
      </w:pPr>
      <w:r>
        <w:rPr>
          <w:rFonts w:hint="eastAsia" w:cs="仿宋_GB2312"/>
          <w:bCs/>
          <w:color w:val="auto"/>
          <w:sz w:val="32"/>
          <w:szCs w:val="32"/>
        </w:rPr>
        <w:t xml:space="preserve"> </w:t>
      </w:r>
    </w:p>
    <w:p>
      <w:pPr>
        <w:snapToGrid w:val="0"/>
        <w:spacing w:before="120" w:beforeLines="50" w:after="50"/>
        <w:ind w:firstLine="640" w:firstLineChars="200"/>
        <w:rPr>
          <w:rFonts w:hint="eastAsia" w:cs="仿宋_GB2312"/>
          <w:bCs/>
          <w:color w:val="auto"/>
          <w:sz w:val="32"/>
          <w:szCs w:val="32"/>
        </w:rPr>
      </w:pPr>
      <w:r>
        <w:rPr>
          <w:rFonts w:hint="eastAsia" w:cs="仿宋_GB2312"/>
          <w:bCs/>
          <w:color w:val="auto"/>
          <w:sz w:val="32"/>
          <w:szCs w:val="32"/>
        </w:rPr>
        <w:t>所竞分标（如有则填写，无分标时填写“无”或者留空）：</w:t>
      </w:r>
    </w:p>
    <w:p>
      <w:pPr>
        <w:snapToGrid w:val="0"/>
        <w:spacing w:before="120" w:beforeLines="50" w:after="50"/>
        <w:ind w:firstLine="720" w:firstLineChars="225"/>
        <w:rPr>
          <w:rFonts w:hint="eastAsia" w:cs="仿宋_GB2312"/>
          <w:bCs/>
          <w:color w:val="auto"/>
          <w:sz w:val="32"/>
          <w:szCs w:val="32"/>
        </w:rPr>
      </w:pPr>
    </w:p>
    <w:p>
      <w:pPr>
        <w:pStyle w:val="7"/>
        <w:snapToGrid w:val="0"/>
        <w:spacing w:before="50" w:after="50"/>
        <w:ind w:firstLine="640" w:firstLineChars="200"/>
        <w:rPr>
          <w:rFonts w:hint="eastAsia" w:cs="仿宋_GB2312"/>
          <w:bCs/>
          <w:color w:val="auto"/>
          <w:sz w:val="32"/>
          <w:szCs w:val="32"/>
        </w:rPr>
      </w:pPr>
      <w:r>
        <w:rPr>
          <w:rFonts w:hint="eastAsia" w:cs="仿宋_GB2312"/>
          <w:bCs/>
          <w:color w:val="auto"/>
          <w:sz w:val="32"/>
          <w:szCs w:val="32"/>
        </w:rPr>
        <w:t>供应商名称：</w:t>
      </w:r>
    </w:p>
    <w:p>
      <w:pPr>
        <w:pStyle w:val="7"/>
        <w:snapToGrid w:val="0"/>
        <w:spacing w:before="50" w:after="50"/>
        <w:ind w:firstLine="720" w:firstLineChars="225"/>
        <w:rPr>
          <w:rFonts w:hint="eastAsia" w:cs="仿宋_GB2312"/>
          <w:bCs/>
          <w:color w:val="auto"/>
          <w:sz w:val="32"/>
          <w:szCs w:val="32"/>
        </w:rPr>
      </w:pPr>
    </w:p>
    <w:p>
      <w:pPr>
        <w:pStyle w:val="7"/>
        <w:snapToGrid w:val="0"/>
        <w:spacing w:before="50" w:after="50"/>
        <w:ind w:firstLine="720" w:firstLineChars="225"/>
        <w:rPr>
          <w:rFonts w:hint="eastAsia" w:cs="仿宋_GB2312"/>
          <w:bCs/>
          <w:color w:val="auto"/>
          <w:sz w:val="32"/>
          <w:szCs w:val="32"/>
        </w:rPr>
      </w:pPr>
    </w:p>
    <w:p>
      <w:pPr>
        <w:pStyle w:val="7"/>
        <w:snapToGrid w:val="0"/>
        <w:spacing w:before="50" w:after="50"/>
        <w:ind w:firstLine="1280" w:firstLineChars="400"/>
        <w:rPr>
          <w:rFonts w:hint="eastAsia" w:cs="仿宋_GB2312"/>
          <w:bCs/>
          <w:color w:val="auto"/>
          <w:sz w:val="32"/>
          <w:szCs w:val="32"/>
        </w:rPr>
      </w:pPr>
    </w:p>
    <w:p>
      <w:pPr>
        <w:snapToGrid w:val="0"/>
        <w:spacing w:before="120" w:beforeLines="50" w:after="50"/>
        <w:jc w:val="center"/>
        <w:rPr>
          <w:rFonts w:hint="eastAsia" w:cs="仿宋_GB2312"/>
          <w:color w:val="auto"/>
          <w:sz w:val="32"/>
          <w:szCs w:val="32"/>
        </w:rPr>
      </w:pPr>
      <w:r>
        <w:rPr>
          <w:rFonts w:hint="eastAsia" w:cs="仿宋_GB2312"/>
          <w:color w:val="auto"/>
          <w:sz w:val="32"/>
          <w:szCs w:val="32"/>
        </w:rPr>
        <w:t>年    月    日</w:t>
      </w:r>
    </w:p>
    <w:p>
      <w:pPr>
        <w:snapToGrid w:val="0"/>
        <w:spacing w:before="120" w:beforeLines="50" w:after="50" w:line="360" w:lineRule="auto"/>
        <w:ind w:left="142" w:firstLine="643" w:firstLineChars="200"/>
        <w:jc w:val="left"/>
        <w:rPr>
          <w:b/>
          <w:bCs/>
          <w:color w:val="auto"/>
          <w:sz w:val="32"/>
          <w:szCs w:val="32"/>
        </w:rPr>
        <w:sectPr>
          <w:pgSz w:w="11911" w:h="16838"/>
          <w:pgMar w:top="1134" w:right="1134" w:bottom="1134" w:left="1134" w:header="720" w:footer="720" w:gutter="0"/>
          <w:cols w:space="720" w:num="1"/>
        </w:sectPr>
      </w:pPr>
    </w:p>
    <w:p>
      <w:pPr>
        <w:spacing w:line="360" w:lineRule="auto"/>
        <w:ind w:right="420"/>
        <w:rPr>
          <w:rFonts w:hint="eastAsia" w:ascii="宋体" w:hAnsi="宋体" w:cs="宋体"/>
          <w:color w:val="auto"/>
          <w:sz w:val="24"/>
          <w:szCs w:val="20"/>
        </w:rPr>
      </w:pPr>
      <w:r>
        <w:rPr>
          <w:rFonts w:hint="eastAsia" w:ascii="宋体" w:hAnsi="宋体" w:cs="宋体"/>
          <w:b/>
          <w:bCs/>
          <w:color w:val="auto"/>
          <w:sz w:val="28"/>
          <w:szCs w:val="28"/>
        </w:rPr>
        <w:t>2.商务技术文件目录</w:t>
      </w:r>
    </w:p>
    <w:p>
      <w:pPr>
        <w:spacing w:line="400" w:lineRule="exact"/>
        <w:rPr>
          <w:rFonts w:hint="eastAsia" w:ascii="仿宋_GB2312" w:hAnsi="仿宋_GB2312" w:eastAsia="仿宋_GB2312" w:cs="仿宋_GB2312"/>
          <w:color w:val="auto"/>
          <w:sz w:val="32"/>
          <w:szCs w:val="32"/>
        </w:rPr>
      </w:pPr>
      <w:r>
        <w:rPr>
          <w:rFonts w:hint="eastAsia" w:ascii="宋体" w:hAnsi="宋体" w:cs="宋体"/>
          <w:color w:val="auto"/>
          <w:kern w:val="0"/>
          <w:sz w:val="24"/>
        </w:rPr>
        <w:t xml:space="preserve">  根据竞争性磋商文件规定及供应商提供的材料自行编写目录（部分格式后附）。</w:t>
      </w:r>
    </w:p>
    <w:p>
      <w:pPr>
        <w:spacing w:line="520" w:lineRule="exact"/>
        <w:jc w:val="left"/>
        <w:rPr>
          <w:rFonts w:hint="eastAsia" w:ascii="宋体" w:hAnsi="宋体" w:cs="宋体"/>
          <w:color w:val="auto"/>
          <w:sz w:val="28"/>
          <w:szCs w:val="28"/>
        </w:rPr>
      </w:pPr>
      <w:r>
        <w:rPr>
          <w:rFonts w:hint="eastAsia" w:ascii="仿宋" w:hAnsi="仿宋" w:eastAsia="仿宋" w:cs="仿宋"/>
          <w:color w:val="auto"/>
          <w:sz w:val="44"/>
          <w:szCs w:val="44"/>
        </w:rPr>
        <w:br w:type="page"/>
      </w:r>
      <w:r>
        <w:rPr>
          <w:rFonts w:hint="eastAsia" w:ascii="宋体" w:hAnsi="宋体" w:cs="宋体"/>
          <w:b/>
          <w:color w:val="auto"/>
          <w:sz w:val="28"/>
          <w:szCs w:val="28"/>
        </w:rPr>
        <w:t>3.无串通竞标行为的承诺函的格式：</w:t>
      </w:r>
    </w:p>
    <w:p>
      <w:pPr>
        <w:spacing w:line="520" w:lineRule="exact"/>
        <w:jc w:val="center"/>
        <w:rPr>
          <w:rFonts w:hint="eastAsia" w:ascii="仿宋" w:hAnsi="仿宋" w:eastAsia="仿宋" w:cs="仿宋"/>
          <w:color w:val="auto"/>
          <w:sz w:val="44"/>
          <w:szCs w:val="44"/>
        </w:rPr>
      </w:pPr>
    </w:p>
    <w:p>
      <w:pPr>
        <w:spacing w:line="520" w:lineRule="exact"/>
        <w:jc w:val="center"/>
        <w:rPr>
          <w:rFonts w:hint="eastAsia" w:ascii="宋体" w:hAnsi="宋体" w:cs="宋体"/>
          <w:b/>
          <w:bCs/>
          <w:color w:val="auto"/>
          <w:sz w:val="32"/>
          <w:szCs w:val="32"/>
        </w:rPr>
      </w:pPr>
      <w:r>
        <w:rPr>
          <w:rFonts w:hint="eastAsia" w:ascii="宋体" w:hAnsi="宋体" w:cs="宋体"/>
          <w:b/>
          <w:bCs/>
          <w:color w:val="auto"/>
          <w:sz w:val="32"/>
          <w:szCs w:val="32"/>
        </w:rPr>
        <w:t>无串通竞标行为的承诺函</w:t>
      </w:r>
    </w:p>
    <w:p>
      <w:pPr>
        <w:spacing w:line="520" w:lineRule="exact"/>
        <w:ind w:firstLine="640" w:firstLineChars="200"/>
        <w:rPr>
          <w:rFonts w:hint="eastAsia" w:ascii="仿宋_GB2312" w:hAnsi="仿宋_GB2312" w:eastAsia="仿宋_GB2312" w:cs="仿宋_GB2312"/>
          <w:color w:val="auto"/>
          <w:sz w:val="32"/>
          <w:szCs w:val="32"/>
        </w:rPr>
      </w:pPr>
    </w:p>
    <w:p>
      <w:pPr>
        <w:spacing w:line="360" w:lineRule="auto"/>
        <w:ind w:firstLine="482" w:firstLineChars="200"/>
        <w:contextualSpacing/>
        <w:rPr>
          <w:rFonts w:hint="eastAsia" w:ascii="宋体" w:hAnsi="宋体" w:cs="宋体"/>
          <w:b/>
          <w:bCs/>
          <w:color w:val="auto"/>
          <w:sz w:val="24"/>
        </w:rPr>
      </w:pPr>
      <w:r>
        <w:rPr>
          <w:rFonts w:hint="eastAsia" w:ascii="宋体" w:hAnsi="宋体" w:cs="宋体"/>
          <w:b/>
          <w:bCs/>
          <w:color w:val="auto"/>
          <w:sz w:val="24"/>
        </w:rPr>
        <w:t>一、我方承诺无下列相互串通竞标的情形：</w:t>
      </w:r>
    </w:p>
    <w:p>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1.不同供应商的响应文件由同一单位或者个人编制；或不同</w:t>
      </w:r>
      <w:r>
        <w:rPr>
          <w:rFonts w:hint="eastAsia" w:ascii="宋体" w:hAnsi="宋体" w:cs="宋体"/>
          <w:color w:val="auto"/>
          <w:sz w:val="24"/>
          <w:lang w:eastAsia="zh-CN"/>
        </w:rPr>
        <w:t>供应商</w:t>
      </w:r>
      <w:r>
        <w:rPr>
          <w:rFonts w:hint="eastAsia" w:ascii="宋体" w:hAnsi="宋体" w:cs="宋体"/>
          <w:color w:val="auto"/>
          <w:sz w:val="24"/>
        </w:rPr>
        <w:t xml:space="preserve">报名的IP地址一致的； </w:t>
      </w:r>
    </w:p>
    <w:p>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2.不同供应商委托同一单位或者个人办理竞标事宜；</w:t>
      </w:r>
    </w:p>
    <w:p>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3.不同供应商的响应文件载明的项目管理员为同一个人；</w:t>
      </w:r>
    </w:p>
    <w:p>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4.不</w:t>
      </w:r>
      <w:r>
        <w:rPr>
          <w:rFonts w:hint="eastAsia" w:ascii="宋体" w:hAnsi="宋体" w:cs="宋体"/>
          <w:color w:val="auto"/>
          <w:spacing w:val="-6"/>
          <w:sz w:val="24"/>
        </w:rPr>
        <w:t>同供应商的响应文件异常一致或者响应报价呈规律性差异；</w:t>
      </w:r>
    </w:p>
    <w:p>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5.不同供应商的响应文件相互混装；</w:t>
      </w:r>
    </w:p>
    <w:p>
      <w:pPr>
        <w:pStyle w:val="15"/>
        <w:ind w:firstLine="480" w:firstLineChars="200"/>
        <w:rPr>
          <w:rFonts w:hint="eastAsia" w:ascii="宋体" w:hAnsi="宋体" w:cs="宋体"/>
          <w:color w:val="auto"/>
        </w:rPr>
      </w:pPr>
      <w:r>
        <w:rPr>
          <w:rFonts w:hint="eastAsia" w:ascii="宋体" w:hAnsi="宋体" w:cs="宋体"/>
          <w:color w:val="auto"/>
          <w:sz w:val="24"/>
        </w:rPr>
        <w:t>6.不同供应商的磋商保证金从同一单位或者个人账户转出。</w:t>
      </w:r>
    </w:p>
    <w:p>
      <w:pPr>
        <w:spacing w:line="360" w:lineRule="auto"/>
        <w:ind w:firstLine="482" w:firstLineChars="200"/>
        <w:contextualSpacing/>
        <w:rPr>
          <w:rFonts w:hint="eastAsia" w:ascii="宋体" w:hAnsi="宋体" w:cs="宋体"/>
          <w:b/>
          <w:bCs/>
          <w:color w:val="auto"/>
          <w:sz w:val="24"/>
        </w:rPr>
      </w:pPr>
      <w:r>
        <w:rPr>
          <w:rFonts w:hint="eastAsia" w:ascii="宋体" w:hAnsi="宋体" w:cs="宋体"/>
          <w:b/>
          <w:bCs/>
          <w:color w:val="auto"/>
          <w:sz w:val="24"/>
        </w:rPr>
        <w:t>二、我方承诺无下列恶意串通的情形：</w:t>
      </w:r>
    </w:p>
    <w:p>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1.供应商直接或者间接从采购人或者采购代理机构处获得其他供应商的相关信息并修改其响应文件；</w:t>
      </w:r>
    </w:p>
    <w:p>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2.供应商按照采购人或者采购代理机构的授意撤换、修改响应文件；</w:t>
      </w:r>
    </w:p>
    <w:p>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3.供</w:t>
      </w:r>
      <w:r>
        <w:rPr>
          <w:rFonts w:hint="eastAsia" w:ascii="宋体" w:hAnsi="宋体" w:cs="宋体"/>
          <w:color w:val="auto"/>
          <w:spacing w:val="-6"/>
          <w:sz w:val="24"/>
        </w:rPr>
        <w:t>应商之间协商报价、技术方案等响应文件的实质性内容；</w:t>
      </w:r>
    </w:p>
    <w:p>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4.属于同一集团、协会、商会等组织成员的供应商按照该组织要求协同参加政府采购活动；</w:t>
      </w:r>
    </w:p>
    <w:p>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5.供应商之间事先约定一致抬高或者压低响应报价，或者在竞争性磋商项目中事先约定轮流以高价位或者低价位成交，或者事先约定由某一特定供应商成交，然后再参加竞标；</w:t>
      </w:r>
    </w:p>
    <w:p>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6.供应商之间商定部分供应商放弃参加政府采购活动或者放弃成交；</w:t>
      </w:r>
    </w:p>
    <w:p>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7.供应商与采购人或者采购代理机构之间、供应商相互之间，为</w:t>
      </w:r>
      <w:r>
        <w:rPr>
          <w:rFonts w:hint="eastAsia" w:ascii="宋体" w:hAnsi="宋体" w:cs="宋体"/>
          <w:color w:val="auto"/>
          <w:spacing w:val="-6"/>
          <w:sz w:val="24"/>
        </w:rPr>
        <w:t>谋求特定供应商成交或者排斥其他供应商的其他串通行为。</w:t>
      </w:r>
    </w:p>
    <w:p>
      <w:pPr>
        <w:spacing w:line="360" w:lineRule="auto"/>
        <w:ind w:firstLine="480" w:firstLineChars="200"/>
        <w:contextualSpacing/>
        <w:rPr>
          <w:rFonts w:hint="eastAsia" w:ascii="宋体" w:hAnsi="宋体" w:cs="宋体"/>
          <w:color w:val="auto"/>
          <w:sz w:val="24"/>
        </w:rPr>
      </w:pPr>
    </w:p>
    <w:p>
      <w:pPr>
        <w:spacing w:line="360" w:lineRule="auto"/>
        <w:ind w:firstLine="482" w:firstLineChars="200"/>
        <w:contextualSpacing/>
        <w:rPr>
          <w:rFonts w:hint="eastAsia" w:ascii="宋体" w:hAnsi="宋体" w:cs="宋体"/>
          <w:b/>
          <w:bCs/>
          <w:color w:val="auto"/>
          <w:sz w:val="24"/>
        </w:rPr>
      </w:pPr>
      <w:r>
        <w:rPr>
          <w:rFonts w:hint="eastAsia" w:ascii="宋体" w:hAnsi="宋体" w:cs="宋体"/>
          <w:b/>
          <w:bCs/>
          <w:color w:val="auto"/>
          <w:sz w:val="24"/>
        </w:rPr>
        <w:t>以上情形一经核查属实，接受政府采购监管部门对我方认定存在围标串标行为，我方愿意承担一切后果，并不再寻求任何旨在减轻或者免除法律责任的辩解。</w:t>
      </w:r>
    </w:p>
    <w:p>
      <w:pPr>
        <w:pStyle w:val="23"/>
        <w:rPr>
          <w:rFonts w:hint="eastAsia" w:ascii="宋体" w:hAnsi="宋体" w:cs="宋体"/>
          <w:b/>
          <w:bCs/>
          <w:color w:val="auto"/>
          <w:sz w:val="24"/>
        </w:rPr>
      </w:pPr>
    </w:p>
    <w:p>
      <w:pPr>
        <w:pStyle w:val="23"/>
        <w:rPr>
          <w:rFonts w:hint="eastAsia" w:ascii="宋体" w:hAnsi="宋体" w:cs="宋体"/>
          <w:b/>
          <w:bCs/>
          <w:color w:val="auto"/>
          <w:sz w:val="24"/>
        </w:rPr>
      </w:pPr>
    </w:p>
    <w:p>
      <w:pPr>
        <w:autoSpaceDE w:val="0"/>
        <w:autoSpaceDN w:val="0"/>
        <w:spacing w:line="360" w:lineRule="auto"/>
        <w:ind w:left="4335" w:leftChars="1950" w:hanging="240" w:hangingChars="100"/>
        <w:rPr>
          <w:rFonts w:hint="eastAsia" w:ascii="宋体" w:hAnsi="宋体" w:cs="宋体"/>
          <w:color w:val="auto"/>
          <w:kern w:val="0"/>
          <w:sz w:val="24"/>
        </w:rPr>
      </w:pPr>
      <w:r>
        <w:rPr>
          <w:rFonts w:hint="eastAsia" w:ascii="宋体" w:hAnsi="宋体" w:cs="宋体"/>
          <w:color w:val="auto"/>
          <w:kern w:val="0"/>
          <w:sz w:val="24"/>
        </w:rPr>
        <w:t>供应商名称（盖公章）：</w:t>
      </w:r>
    </w:p>
    <w:p>
      <w:pPr>
        <w:spacing w:line="480" w:lineRule="auto"/>
        <w:ind w:firstLine="5040" w:firstLineChars="2100"/>
        <w:jc w:val="left"/>
        <w:rPr>
          <w:rFonts w:hint="eastAsia" w:ascii="宋体" w:hAnsi="宋体" w:cs="宋体"/>
          <w:b/>
          <w:bCs/>
          <w:color w:val="auto"/>
          <w:sz w:val="28"/>
          <w:szCs w:val="28"/>
        </w:rPr>
      </w:pPr>
      <w:r>
        <w:rPr>
          <w:rFonts w:hint="eastAsia" w:ascii="宋体" w:hAnsi="宋体" w:cs="宋体"/>
          <w:color w:val="auto"/>
          <w:kern w:val="0"/>
          <w:sz w:val="24"/>
          <w:lang w:val="zh-CN"/>
        </w:rPr>
        <w:t xml:space="preserve">日期：  年  月   日   </w:t>
      </w:r>
      <w:r>
        <w:rPr>
          <w:b/>
          <w:bCs/>
          <w:color w:val="auto"/>
          <w:sz w:val="32"/>
          <w:szCs w:val="32"/>
        </w:rPr>
        <w:br w:type="page"/>
      </w:r>
      <w:r>
        <w:rPr>
          <w:rFonts w:hint="eastAsia" w:ascii="宋体" w:hAnsi="宋体" w:cs="宋体"/>
          <w:b/>
          <w:bCs/>
          <w:color w:val="auto"/>
          <w:sz w:val="28"/>
          <w:szCs w:val="28"/>
        </w:rPr>
        <w:t>4.法定代表人身份证明的格式：</w:t>
      </w:r>
    </w:p>
    <w:p>
      <w:pPr>
        <w:spacing w:line="520" w:lineRule="exact"/>
        <w:jc w:val="center"/>
        <w:rPr>
          <w:rFonts w:hint="eastAsia" w:ascii="仿宋_GB2312" w:hAnsi="仿宋_GB2312" w:eastAsia="仿宋_GB2312" w:cs="仿宋_GB2312"/>
          <w:color w:val="auto"/>
          <w:sz w:val="32"/>
          <w:szCs w:val="32"/>
        </w:rPr>
      </w:pPr>
      <w:r>
        <w:rPr>
          <w:rFonts w:hint="eastAsia" w:ascii="宋体" w:hAnsi="宋体" w:cs="宋体"/>
          <w:bCs/>
          <w:color w:val="auto"/>
          <w:sz w:val="32"/>
          <w:szCs w:val="32"/>
        </w:rPr>
        <w:t>法定代表人身份证明</w:t>
      </w:r>
    </w:p>
    <w:p>
      <w:pPr>
        <w:spacing w:line="360" w:lineRule="auto"/>
        <w:ind w:left="540"/>
        <w:contextualSpacing/>
        <w:rPr>
          <w:rFonts w:hint="eastAsia" w:ascii="仿宋_GB2312" w:hAnsi="仿宋_GB2312" w:eastAsia="仿宋_GB2312" w:cs="仿宋_GB2312"/>
          <w:color w:val="auto"/>
          <w:sz w:val="32"/>
          <w:szCs w:val="32"/>
        </w:rPr>
      </w:pPr>
    </w:p>
    <w:p>
      <w:pPr>
        <w:spacing w:line="360" w:lineRule="auto"/>
        <w:ind w:left="540"/>
        <w:contextualSpacing/>
        <w:rPr>
          <w:rFonts w:hint="eastAsia" w:ascii="宋体" w:hAnsi="宋体" w:cs="宋体"/>
          <w:color w:val="auto"/>
          <w:sz w:val="24"/>
        </w:rPr>
      </w:pPr>
      <w:r>
        <w:rPr>
          <w:rFonts w:hint="eastAsia" w:ascii="宋体" w:hAnsi="宋体" w:cs="宋体"/>
          <w:color w:val="auto"/>
          <w:sz w:val="24"/>
        </w:rPr>
        <w:t>供应商名称：</w:t>
      </w:r>
      <w:r>
        <w:rPr>
          <w:rFonts w:hint="eastAsia" w:ascii="宋体" w:hAnsi="宋体" w:cs="宋体"/>
          <w:color w:val="auto"/>
          <w:sz w:val="24"/>
          <w:u w:val="single"/>
        </w:rPr>
        <w:t xml:space="preserve">                                                      </w:t>
      </w:r>
    </w:p>
    <w:p>
      <w:pPr>
        <w:spacing w:line="360" w:lineRule="auto"/>
        <w:ind w:left="540"/>
        <w:contextualSpacing/>
        <w:rPr>
          <w:rFonts w:hint="eastAsia" w:ascii="宋体" w:hAnsi="宋体" w:cs="宋体"/>
          <w:color w:val="auto"/>
          <w:sz w:val="24"/>
        </w:rPr>
      </w:pPr>
      <w:r>
        <w:rPr>
          <w:rFonts w:hint="eastAsia" w:ascii="宋体" w:hAnsi="宋体" w:cs="宋体"/>
          <w:color w:val="auto"/>
          <w:sz w:val="24"/>
        </w:rPr>
        <w:t>地    址：</w:t>
      </w:r>
      <w:r>
        <w:rPr>
          <w:rFonts w:hint="eastAsia" w:ascii="宋体" w:hAnsi="宋体" w:cs="宋体"/>
          <w:color w:val="auto"/>
          <w:sz w:val="24"/>
          <w:u w:val="single"/>
        </w:rPr>
        <w:t xml:space="preserve">                                                        </w:t>
      </w:r>
    </w:p>
    <w:p>
      <w:pPr>
        <w:spacing w:line="360" w:lineRule="auto"/>
        <w:ind w:left="540"/>
        <w:contextualSpacing/>
        <w:rPr>
          <w:rFonts w:hint="eastAsia" w:ascii="宋体" w:hAnsi="宋体" w:cs="宋体"/>
          <w:color w:val="auto"/>
          <w:sz w:val="24"/>
        </w:rPr>
      </w:pPr>
      <w:r>
        <w:rPr>
          <w:rFonts w:hint="eastAsia" w:ascii="宋体" w:hAnsi="宋体" w:cs="宋体"/>
          <w:color w:val="auto"/>
          <w:sz w:val="24"/>
        </w:rPr>
        <w:t>姓    名：</w:t>
      </w:r>
      <w:r>
        <w:rPr>
          <w:rFonts w:hint="eastAsia" w:ascii="宋体" w:hAnsi="宋体" w:cs="宋体"/>
          <w:color w:val="auto"/>
          <w:sz w:val="24"/>
          <w:u w:val="single"/>
        </w:rPr>
        <w:t xml:space="preserve">                </w:t>
      </w:r>
      <w:r>
        <w:rPr>
          <w:rFonts w:hint="eastAsia" w:ascii="宋体" w:hAnsi="宋体" w:cs="宋体"/>
          <w:color w:val="auto"/>
          <w:sz w:val="24"/>
        </w:rPr>
        <w:t>性     别：</w:t>
      </w:r>
      <w:r>
        <w:rPr>
          <w:rFonts w:hint="eastAsia" w:ascii="宋体" w:hAnsi="宋体" w:cs="宋体"/>
          <w:color w:val="auto"/>
          <w:sz w:val="24"/>
          <w:u w:val="single"/>
        </w:rPr>
        <w:t xml:space="preserve">                </w:t>
      </w:r>
    </w:p>
    <w:p>
      <w:pPr>
        <w:spacing w:line="360" w:lineRule="auto"/>
        <w:ind w:left="540"/>
        <w:contextualSpacing/>
        <w:rPr>
          <w:rFonts w:hint="eastAsia" w:ascii="宋体" w:hAnsi="宋体" w:cs="宋体"/>
          <w:color w:val="auto"/>
          <w:sz w:val="24"/>
          <w:u w:val="single"/>
        </w:rPr>
      </w:pPr>
      <w:r>
        <w:rPr>
          <w:rFonts w:hint="eastAsia" w:ascii="宋体" w:hAnsi="宋体" w:cs="宋体"/>
          <w:color w:val="auto"/>
          <w:sz w:val="24"/>
        </w:rPr>
        <w:t>年    龄：</w:t>
      </w:r>
      <w:r>
        <w:rPr>
          <w:rFonts w:hint="eastAsia" w:ascii="宋体" w:hAnsi="宋体" w:cs="宋体"/>
          <w:color w:val="auto"/>
          <w:sz w:val="24"/>
          <w:u w:val="single"/>
        </w:rPr>
        <w:t xml:space="preserve">                </w:t>
      </w:r>
      <w:r>
        <w:rPr>
          <w:rFonts w:hint="eastAsia" w:ascii="宋体" w:hAnsi="宋体" w:cs="宋体"/>
          <w:color w:val="auto"/>
          <w:sz w:val="24"/>
        </w:rPr>
        <w:t>职     务：</w:t>
      </w:r>
      <w:r>
        <w:rPr>
          <w:rFonts w:hint="eastAsia" w:ascii="宋体" w:hAnsi="宋体" w:cs="宋体"/>
          <w:color w:val="auto"/>
          <w:sz w:val="24"/>
          <w:u w:val="single"/>
        </w:rPr>
        <w:t xml:space="preserve">                </w:t>
      </w:r>
    </w:p>
    <w:p>
      <w:pPr>
        <w:spacing w:line="360" w:lineRule="auto"/>
        <w:ind w:left="540"/>
        <w:contextualSpacing/>
        <w:rPr>
          <w:rFonts w:hint="eastAsia" w:ascii="宋体" w:hAnsi="宋体" w:cs="宋体"/>
          <w:color w:val="auto"/>
          <w:sz w:val="24"/>
        </w:rPr>
      </w:pPr>
      <w:r>
        <w:rPr>
          <w:rFonts w:hint="eastAsia" w:ascii="宋体" w:hAnsi="宋体" w:cs="宋体"/>
          <w:color w:val="auto"/>
          <w:sz w:val="24"/>
        </w:rPr>
        <w:t>身份证号码：</w:t>
      </w:r>
      <w:r>
        <w:rPr>
          <w:rFonts w:hint="eastAsia" w:ascii="宋体" w:hAnsi="宋体" w:cs="宋体"/>
          <w:color w:val="auto"/>
          <w:sz w:val="24"/>
          <w:u w:val="single"/>
        </w:rPr>
        <w:t xml:space="preserve">                                        </w:t>
      </w:r>
    </w:p>
    <w:p>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系</w:t>
      </w:r>
      <w:r>
        <w:rPr>
          <w:rFonts w:hint="eastAsia" w:ascii="宋体" w:hAnsi="宋体" w:cs="宋体"/>
          <w:color w:val="auto"/>
          <w:sz w:val="24"/>
          <w:u w:val="single"/>
        </w:rPr>
        <w:t>（供应商名称）</w:t>
      </w:r>
      <w:r>
        <w:rPr>
          <w:rFonts w:hint="eastAsia" w:ascii="宋体" w:hAnsi="宋体" w:cs="宋体"/>
          <w:color w:val="auto"/>
          <w:sz w:val="24"/>
        </w:rPr>
        <w:t>的法定代表人。</w:t>
      </w:r>
    </w:p>
    <w:p>
      <w:pPr>
        <w:spacing w:line="360" w:lineRule="auto"/>
        <w:ind w:left="540"/>
        <w:contextualSpacing/>
        <w:rPr>
          <w:rFonts w:hint="eastAsia" w:ascii="宋体" w:hAnsi="宋体" w:cs="宋体"/>
          <w:color w:val="auto"/>
          <w:sz w:val="24"/>
        </w:rPr>
      </w:pPr>
      <w:r>
        <w:rPr>
          <w:rFonts w:hint="eastAsia" w:ascii="宋体" w:hAnsi="宋体" w:cs="宋体"/>
          <w:color w:val="auto"/>
          <w:sz w:val="24"/>
        </w:rPr>
        <w:t>特此证明。</w:t>
      </w:r>
    </w:p>
    <w:p>
      <w:pPr>
        <w:spacing w:line="360" w:lineRule="auto"/>
        <w:ind w:left="540"/>
        <w:contextualSpacing/>
        <w:rPr>
          <w:rFonts w:hint="eastAsia" w:ascii="宋体" w:hAnsi="宋体" w:cs="宋体"/>
          <w:color w:val="auto"/>
          <w:sz w:val="24"/>
        </w:rPr>
      </w:pPr>
    </w:p>
    <w:p>
      <w:pPr>
        <w:spacing w:line="360" w:lineRule="auto"/>
        <w:ind w:left="540"/>
        <w:contextualSpacing/>
        <w:rPr>
          <w:rFonts w:hint="eastAsia" w:ascii="宋体" w:hAnsi="宋体" w:cs="宋体"/>
          <w:color w:val="auto"/>
          <w:sz w:val="24"/>
        </w:rPr>
      </w:pPr>
    </w:p>
    <w:p>
      <w:pPr>
        <w:spacing w:line="360" w:lineRule="auto"/>
        <w:ind w:left="540"/>
        <w:contextualSpacing/>
        <w:rPr>
          <w:rFonts w:hint="eastAsia" w:ascii="宋体" w:hAnsi="宋体" w:cs="宋体"/>
          <w:color w:val="auto"/>
          <w:sz w:val="24"/>
        </w:rPr>
      </w:pPr>
    </w:p>
    <w:p>
      <w:pPr>
        <w:spacing w:line="360" w:lineRule="auto"/>
        <w:ind w:left="540"/>
        <w:contextualSpacing/>
        <w:rPr>
          <w:rFonts w:hint="eastAsia" w:ascii="宋体" w:hAnsi="宋体" w:cs="宋体"/>
          <w:color w:val="auto"/>
          <w:sz w:val="24"/>
        </w:rPr>
      </w:pPr>
      <w:r>
        <w:rPr>
          <w:rFonts w:hint="eastAsia" w:ascii="宋体" w:hAnsi="宋体" w:cs="宋体"/>
          <w:color w:val="auto"/>
          <w:sz w:val="24"/>
        </w:rPr>
        <w:t>附件：法定代表人有效身份证正反面复印件</w:t>
      </w:r>
    </w:p>
    <w:p>
      <w:pPr>
        <w:spacing w:line="360" w:lineRule="auto"/>
        <w:ind w:left="540"/>
        <w:contextualSpacing/>
        <w:rPr>
          <w:rFonts w:hint="eastAsia" w:ascii="宋体" w:hAnsi="宋体" w:cs="宋体"/>
          <w:color w:val="auto"/>
          <w:sz w:val="24"/>
        </w:rPr>
      </w:pPr>
    </w:p>
    <w:p>
      <w:pPr>
        <w:autoSpaceDE w:val="0"/>
        <w:autoSpaceDN w:val="0"/>
        <w:spacing w:line="360" w:lineRule="auto"/>
        <w:ind w:left="4335" w:leftChars="1950" w:hanging="240" w:hangingChars="100"/>
        <w:rPr>
          <w:rFonts w:hint="eastAsia" w:ascii="宋体" w:hAnsi="宋体" w:cs="宋体"/>
          <w:color w:val="auto"/>
          <w:kern w:val="0"/>
          <w:sz w:val="24"/>
        </w:rPr>
      </w:pPr>
      <w:r>
        <w:rPr>
          <w:rFonts w:hint="eastAsia" w:ascii="宋体" w:hAnsi="宋体" w:cs="宋体"/>
          <w:color w:val="auto"/>
          <w:kern w:val="0"/>
          <w:sz w:val="24"/>
        </w:rPr>
        <w:t>供应商名称（盖公章）：</w:t>
      </w:r>
    </w:p>
    <w:p>
      <w:pPr>
        <w:spacing w:line="360" w:lineRule="auto"/>
        <w:contextualSpacing/>
        <w:jc w:val="center"/>
        <w:rPr>
          <w:rFonts w:hint="eastAsia" w:ascii="宋体" w:hAnsi="宋体" w:cs="宋体"/>
          <w:b/>
          <w:color w:val="auto"/>
          <w:sz w:val="24"/>
        </w:rPr>
      </w:pPr>
      <w:r>
        <w:rPr>
          <w:rFonts w:hint="eastAsia" w:ascii="宋体" w:hAnsi="宋体" w:cs="宋体"/>
          <w:color w:val="auto"/>
          <w:kern w:val="0"/>
          <w:sz w:val="24"/>
          <w:lang w:val="zh-CN"/>
        </w:rPr>
        <w:t xml:space="preserve">                                                   日期：  年  月   日</w:t>
      </w:r>
    </w:p>
    <w:p>
      <w:pPr>
        <w:spacing w:line="360" w:lineRule="auto"/>
        <w:contextualSpacing/>
        <w:jc w:val="left"/>
        <w:rPr>
          <w:rFonts w:hint="eastAsia" w:ascii="宋体" w:hAnsi="宋体" w:cs="宋体"/>
          <w:color w:val="auto"/>
          <w:sz w:val="24"/>
        </w:rPr>
      </w:pPr>
    </w:p>
    <w:p>
      <w:pPr>
        <w:spacing w:line="360" w:lineRule="auto"/>
        <w:contextualSpacing/>
        <w:jc w:val="left"/>
        <w:rPr>
          <w:rFonts w:hint="eastAsia" w:ascii="宋体" w:hAnsi="宋体" w:cs="宋体"/>
          <w:color w:val="auto"/>
          <w:sz w:val="24"/>
        </w:rPr>
      </w:pPr>
    </w:p>
    <w:p>
      <w:pPr>
        <w:spacing w:line="360" w:lineRule="auto"/>
        <w:ind w:firstLine="420" w:firstLineChars="200"/>
        <w:contextualSpacing/>
        <w:jc w:val="left"/>
        <w:rPr>
          <w:rFonts w:hint="eastAsia" w:ascii="宋体" w:hAnsi="宋体" w:cs="宋体"/>
          <w:color w:val="auto"/>
          <w:szCs w:val="21"/>
        </w:rPr>
      </w:pPr>
      <w:r>
        <w:rPr>
          <w:rFonts w:hint="eastAsia" w:ascii="宋体" w:hAnsi="宋体" w:cs="宋体"/>
          <w:color w:val="auto"/>
          <w:szCs w:val="21"/>
        </w:rPr>
        <w:t>注：</w:t>
      </w:r>
    </w:p>
    <w:p>
      <w:pPr>
        <w:spacing w:line="360" w:lineRule="auto"/>
        <w:ind w:firstLine="420" w:firstLineChars="200"/>
        <w:contextualSpacing/>
        <w:jc w:val="left"/>
        <w:rPr>
          <w:rFonts w:hint="eastAsia" w:ascii="宋体" w:hAnsi="宋体" w:cs="宋体"/>
          <w:color w:val="auto"/>
          <w:szCs w:val="21"/>
        </w:rPr>
      </w:pPr>
      <w:r>
        <w:rPr>
          <w:rFonts w:hint="eastAsia" w:ascii="宋体" w:hAnsi="宋体" w:cs="宋体"/>
          <w:color w:val="auto"/>
          <w:szCs w:val="21"/>
        </w:rPr>
        <w:t>1.自然人竞标的无需提供，联合体竞标的只需牵头人出具。</w:t>
      </w:r>
    </w:p>
    <w:p>
      <w:pPr>
        <w:spacing w:line="360" w:lineRule="auto"/>
        <w:ind w:firstLine="420" w:firstLineChars="200"/>
        <w:contextualSpacing/>
        <w:jc w:val="left"/>
        <w:rPr>
          <w:rFonts w:hint="eastAsia" w:ascii="宋体" w:hAnsi="宋体" w:cs="宋体"/>
          <w:color w:val="auto"/>
          <w:szCs w:val="21"/>
        </w:rPr>
        <w:sectPr>
          <w:pgSz w:w="11911" w:h="16838"/>
          <w:pgMar w:top="1134" w:right="1134" w:bottom="1134" w:left="1134" w:header="720" w:footer="720" w:gutter="0"/>
          <w:cols w:space="720" w:num="1"/>
        </w:sectPr>
      </w:pPr>
      <w:r>
        <w:rPr>
          <w:rFonts w:hint="eastAsia" w:ascii="宋体" w:hAnsi="宋体" w:cs="宋体"/>
          <w:color w:val="auto"/>
          <w:szCs w:val="21"/>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pPr>
        <w:spacing w:line="360" w:lineRule="auto"/>
        <w:ind w:firstLine="482" w:firstLineChars="200"/>
        <w:contextualSpacing/>
        <w:jc w:val="left"/>
        <w:rPr>
          <w:rFonts w:hint="eastAsia" w:ascii="仿宋_GB2312" w:hAnsi="仿宋_GB2312" w:eastAsia="仿宋_GB2312" w:cs="仿宋_GB2312"/>
          <w:b/>
          <w:color w:val="auto"/>
          <w:sz w:val="32"/>
          <w:szCs w:val="32"/>
        </w:rPr>
      </w:pPr>
      <w:r>
        <w:rPr>
          <w:rFonts w:hint="eastAsia" w:ascii="Calibri"/>
          <w:b/>
          <w:color w:val="auto"/>
          <w:sz w:val="24"/>
        </w:rPr>
        <w:t>附件：</w:t>
      </w:r>
    </w:p>
    <w:tbl>
      <w:tblPr>
        <w:tblStyle w:val="32"/>
        <w:tblW w:w="84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2" w:hRule="atLeast"/>
          <w:jc w:val="center"/>
        </w:trPr>
        <w:tc>
          <w:tcPr>
            <w:tcW w:w="8461" w:type="dxa"/>
            <w:vAlign w:val="top"/>
          </w:tcPr>
          <w:p>
            <w:pPr>
              <w:spacing w:line="360" w:lineRule="auto"/>
              <w:rPr>
                <w:rFonts w:ascii="Times New Roman" w:hAnsi="Calibri" w:eastAsia="宋体" w:cs="Times New Roman"/>
                <w:b/>
                <w:color w:val="auto"/>
                <w:sz w:val="24"/>
              </w:rPr>
            </w:pPr>
          </w:p>
          <w:p>
            <w:pPr>
              <w:spacing w:line="360" w:lineRule="auto"/>
              <w:rPr>
                <w:rFonts w:ascii="Times New Roman" w:hAnsi="Calibri" w:eastAsia="宋体" w:cs="Times New Roman"/>
                <w:b/>
                <w:color w:val="auto"/>
                <w:sz w:val="24"/>
              </w:rPr>
            </w:pPr>
            <w:r>
              <w:rPr>
                <w:rFonts w:hint="eastAsia" w:ascii="Times New Roman" w:hAnsi="Calibri" w:eastAsia="宋体" w:cs="Times New Roman"/>
                <w:b/>
                <w:color w:val="auto"/>
                <w:sz w:val="24"/>
              </w:rPr>
              <w:t>法定代表人身份证复印件粘贴处（正、反面）</w:t>
            </w:r>
          </w:p>
        </w:tc>
      </w:tr>
    </w:tbl>
    <w:p>
      <w:pPr>
        <w:adjustRightInd w:val="0"/>
        <w:snapToGrid w:val="0"/>
        <w:spacing w:line="300" w:lineRule="auto"/>
        <w:jc w:val="left"/>
        <w:rPr>
          <w:rFonts w:hint="eastAsia"/>
          <w:b/>
          <w:color w:val="auto"/>
          <w:szCs w:val="21"/>
        </w:rPr>
      </w:pPr>
    </w:p>
    <w:p>
      <w:pPr>
        <w:spacing w:line="520" w:lineRule="exact"/>
        <w:ind w:firstLine="880"/>
        <w:jc w:val="left"/>
        <w:rPr>
          <w:rFonts w:hint="eastAsia" w:ascii="宋体" w:hAnsi="宋体" w:cs="宋体"/>
          <w:color w:val="auto"/>
          <w:szCs w:val="21"/>
        </w:rPr>
      </w:pPr>
    </w:p>
    <w:p>
      <w:pPr>
        <w:spacing w:line="520" w:lineRule="exact"/>
        <w:jc w:val="left"/>
        <w:rPr>
          <w:rFonts w:hint="eastAsia" w:ascii="仿宋" w:hAnsi="仿宋" w:eastAsia="仿宋" w:cs="仿宋"/>
          <w:bCs/>
          <w:color w:val="auto"/>
          <w:sz w:val="44"/>
          <w:szCs w:val="44"/>
        </w:rPr>
      </w:pPr>
      <w:r>
        <w:rPr>
          <w:rFonts w:hint="eastAsia" w:ascii="仿宋" w:hAnsi="仿宋" w:eastAsia="仿宋" w:cs="仿宋"/>
          <w:color w:val="auto"/>
          <w:sz w:val="44"/>
          <w:szCs w:val="44"/>
        </w:rPr>
        <w:br w:type="page"/>
      </w:r>
      <w:r>
        <w:rPr>
          <w:rFonts w:hint="eastAsia" w:ascii="宋体" w:hAnsi="宋体" w:cs="宋体"/>
          <w:b/>
          <w:bCs/>
          <w:color w:val="auto"/>
          <w:sz w:val="28"/>
          <w:szCs w:val="28"/>
        </w:rPr>
        <w:t>5.法定代表人授权委托书的格式：</w:t>
      </w:r>
    </w:p>
    <w:p>
      <w:pPr>
        <w:spacing w:line="500" w:lineRule="exact"/>
        <w:jc w:val="center"/>
        <w:rPr>
          <w:rFonts w:hint="eastAsia" w:ascii="仿宋" w:hAnsi="仿宋" w:eastAsia="仿宋" w:cs="仿宋"/>
          <w:color w:val="auto"/>
          <w:sz w:val="44"/>
          <w:szCs w:val="44"/>
        </w:rPr>
      </w:pPr>
    </w:p>
    <w:p>
      <w:pPr>
        <w:spacing w:line="520" w:lineRule="exact"/>
        <w:jc w:val="center"/>
        <w:rPr>
          <w:rFonts w:hint="eastAsia" w:ascii="宋体" w:hAnsi="宋体" w:cs="宋体"/>
          <w:color w:val="auto"/>
          <w:sz w:val="32"/>
          <w:szCs w:val="32"/>
        </w:rPr>
      </w:pPr>
      <w:r>
        <w:rPr>
          <w:rFonts w:hint="eastAsia" w:ascii="宋体" w:hAnsi="宋体" w:cs="宋体"/>
          <w:color w:val="auto"/>
          <w:sz w:val="32"/>
          <w:szCs w:val="32"/>
        </w:rPr>
        <w:t>授权委托书（非联合体竞标格式）</w:t>
      </w:r>
    </w:p>
    <w:p>
      <w:pPr>
        <w:spacing w:line="520" w:lineRule="exact"/>
        <w:jc w:val="center"/>
        <w:rPr>
          <w:rFonts w:hint="eastAsia" w:ascii="宋体" w:hAnsi="宋体" w:cs="宋体"/>
          <w:color w:val="auto"/>
          <w:sz w:val="32"/>
          <w:szCs w:val="32"/>
        </w:rPr>
      </w:pPr>
      <w:r>
        <w:rPr>
          <w:rFonts w:hint="eastAsia" w:ascii="宋体" w:hAnsi="宋体" w:cs="宋体"/>
          <w:color w:val="auto"/>
          <w:sz w:val="32"/>
          <w:szCs w:val="32"/>
        </w:rPr>
        <w:t>（如有委托时）</w:t>
      </w:r>
    </w:p>
    <w:p>
      <w:pPr>
        <w:spacing w:line="520" w:lineRule="exact"/>
        <w:rPr>
          <w:rFonts w:hint="eastAsia" w:ascii="仿宋_GB2312" w:hAnsi="仿宋_GB2312" w:eastAsia="仿宋_GB2312" w:cs="仿宋_GB2312"/>
          <w:color w:val="auto"/>
          <w:sz w:val="32"/>
          <w:szCs w:val="32"/>
        </w:rPr>
      </w:pPr>
    </w:p>
    <w:p>
      <w:pPr>
        <w:spacing w:line="360" w:lineRule="auto"/>
        <w:rPr>
          <w:rFonts w:hint="eastAsia" w:ascii="宋体" w:hAnsi="宋体" w:cs="宋体"/>
          <w:color w:val="auto"/>
          <w:sz w:val="24"/>
        </w:rPr>
      </w:pPr>
      <w:r>
        <w:rPr>
          <w:rFonts w:hint="eastAsia" w:ascii="宋体" w:hAnsi="宋体" w:cs="宋体"/>
          <w:color w:val="auto"/>
          <w:sz w:val="24"/>
        </w:rPr>
        <w:t>致：</w:t>
      </w:r>
      <w:r>
        <w:rPr>
          <w:rFonts w:hint="eastAsia" w:ascii="宋体" w:hAnsi="宋体" w:cs="宋体"/>
          <w:color w:val="auto"/>
          <w:sz w:val="24"/>
          <w:u w:val="single"/>
        </w:rPr>
        <w:t>（采购人名称）</w:t>
      </w:r>
      <w:r>
        <w:rPr>
          <w:rFonts w:hint="eastAsia" w:ascii="宋体" w:hAnsi="宋体" w:cs="宋体"/>
          <w:color w:val="auto"/>
          <w:sz w:val="24"/>
        </w:rPr>
        <w:t>：</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我</w:t>
      </w:r>
      <w:r>
        <w:rPr>
          <w:rFonts w:hint="eastAsia" w:ascii="宋体" w:hAnsi="宋体" w:cs="宋体"/>
          <w:color w:val="auto"/>
          <w:sz w:val="24"/>
          <w:u w:val="single"/>
        </w:rPr>
        <w:t xml:space="preserve">  </w:t>
      </w:r>
      <w:r>
        <w:rPr>
          <w:rFonts w:hint="eastAsia" w:ascii="宋体" w:hAnsi="宋体" w:cs="宋体"/>
          <w:i/>
          <w:iCs/>
          <w:color w:val="auto"/>
          <w:sz w:val="24"/>
          <w:u w:val="single"/>
        </w:rPr>
        <w:t>（姓名）</w:t>
      </w:r>
      <w:r>
        <w:rPr>
          <w:rFonts w:hint="eastAsia" w:ascii="宋体" w:hAnsi="宋体" w:cs="宋体"/>
          <w:color w:val="auto"/>
          <w:sz w:val="24"/>
          <w:u w:val="single"/>
        </w:rPr>
        <w:t xml:space="preserve">  </w:t>
      </w:r>
      <w:r>
        <w:rPr>
          <w:rFonts w:hint="eastAsia" w:ascii="宋体" w:hAnsi="宋体" w:cs="宋体"/>
          <w:color w:val="auto"/>
          <w:sz w:val="24"/>
        </w:rPr>
        <w:t>系</w:t>
      </w:r>
      <w:r>
        <w:rPr>
          <w:rFonts w:hint="eastAsia" w:ascii="宋体" w:hAnsi="宋体" w:cs="宋体"/>
          <w:color w:val="auto"/>
          <w:sz w:val="24"/>
          <w:u w:val="single"/>
        </w:rPr>
        <w:t xml:space="preserve">  </w:t>
      </w:r>
      <w:r>
        <w:rPr>
          <w:rFonts w:hint="eastAsia" w:ascii="宋体" w:hAnsi="宋体" w:cs="宋体"/>
          <w:i/>
          <w:iCs/>
          <w:color w:val="auto"/>
          <w:sz w:val="24"/>
          <w:u w:val="single"/>
        </w:rPr>
        <w:t>（供应商名称）</w:t>
      </w:r>
      <w:r>
        <w:rPr>
          <w:rFonts w:hint="eastAsia" w:ascii="宋体" w:hAnsi="宋体" w:cs="宋体"/>
          <w:color w:val="auto"/>
          <w:sz w:val="24"/>
          <w:u w:val="single"/>
        </w:rPr>
        <w:t xml:space="preserve">  </w:t>
      </w:r>
      <w:r>
        <w:rPr>
          <w:rFonts w:hint="eastAsia" w:ascii="宋体" w:hAnsi="宋体" w:cs="宋体"/>
          <w:color w:val="auto"/>
          <w:sz w:val="24"/>
        </w:rPr>
        <w:t>的（</w:t>
      </w:r>
      <w:r>
        <w:rPr>
          <w:rFonts w:hint="eastAsia" w:ascii="宋体" w:hAnsi="宋体" w:cs="宋体"/>
          <w:color w:val="auto"/>
          <w:sz w:val="24"/>
          <w:u w:val="single"/>
        </w:rPr>
        <w:t>□法定代表人/□负责人/□自然人本人</w:t>
      </w:r>
      <w:r>
        <w:rPr>
          <w:rFonts w:hint="eastAsia" w:ascii="宋体" w:hAnsi="宋体" w:cs="宋体"/>
          <w:color w:val="auto"/>
          <w:sz w:val="24"/>
        </w:rPr>
        <w:t>），现授权</w:t>
      </w:r>
      <w:r>
        <w:rPr>
          <w:rFonts w:hint="eastAsia" w:ascii="宋体" w:hAnsi="宋体" w:cs="宋体"/>
          <w:color w:val="auto"/>
          <w:sz w:val="24"/>
          <w:u w:val="single"/>
        </w:rPr>
        <w:t xml:space="preserve"> </w:t>
      </w:r>
      <w:r>
        <w:rPr>
          <w:rFonts w:hint="eastAsia" w:ascii="宋体" w:hAnsi="宋体" w:cs="宋体"/>
          <w:i/>
          <w:iCs/>
          <w:color w:val="auto"/>
          <w:sz w:val="24"/>
          <w:u w:val="single"/>
        </w:rPr>
        <w:t>（姓名）</w:t>
      </w:r>
      <w:r>
        <w:rPr>
          <w:rFonts w:hint="eastAsia" w:ascii="宋体" w:hAnsi="宋体" w:cs="宋体"/>
          <w:color w:val="auto"/>
          <w:sz w:val="24"/>
          <w:u w:val="single"/>
        </w:rPr>
        <w:t xml:space="preserve"> </w:t>
      </w:r>
      <w:r>
        <w:rPr>
          <w:rFonts w:hint="eastAsia" w:ascii="宋体" w:hAnsi="宋体" w:cs="宋体"/>
          <w:color w:val="auto"/>
          <w:sz w:val="24"/>
        </w:rPr>
        <w:t>以我方的名义参加</w:t>
      </w:r>
      <w:r>
        <w:rPr>
          <w:rFonts w:hint="eastAsia" w:ascii="宋体" w:hAnsi="宋体" w:cs="宋体"/>
          <w:color w:val="auto"/>
          <w:sz w:val="24"/>
          <w:u w:val="single"/>
        </w:rPr>
        <w:t xml:space="preserve">      </w:t>
      </w:r>
      <w:r>
        <w:rPr>
          <w:rFonts w:hint="eastAsia" w:ascii="宋体" w:hAnsi="宋体" w:cs="宋体"/>
          <w:i/>
          <w:iCs/>
          <w:color w:val="auto"/>
          <w:sz w:val="24"/>
          <w:u w:val="single"/>
        </w:rPr>
        <w:t>（项目名称）</w:t>
      </w:r>
      <w:r>
        <w:rPr>
          <w:rFonts w:hint="eastAsia" w:ascii="宋体" w:hAnsi="宋体" w:cs="宋体"/>
          <w:color w:val="auto"/>
          <w:sz w:val="24"/>
          <w:u w:val="single"/>
        </w:rPr>
        <w:t xml:space="preserve">        </w:t>
      </w:r>
      <w:r>
        <w:rPr>
          <w:rFonts w:hint="eastAsia" w:ascii="宋体" w:hAnsi="宋体" w:cs="宋体"/>
          <w:color w:val="auto"/>
          <w:sz w:val="24"/>
        </w:rPr>
        <w:t>项目的竞标活动，并代表我方全权办理针对上述项目的所有采购程序和环节的具体事务和签署相关文件。</w:t>
      </w:r>
    </w:p>
    <w:p>
      <w:pPr>
        <w:spacing w:line="360" w:lineRule="auto"/>
        <w:rPr>
          <w:rFonts w:hint="eastAsia" w:ascii="宋体" w:hAnsi="宋体" w:cs="宋体"/>
          <w:color w:val="auto"/>
          <w:sz w:val="24"/>
        </w:rPr>
      </w:pPr>
      <w:r>
        <w:rPr>
          <w:rFonts w:hint="eastAsia" w:ascii="宋体" w:hAnsi="宋体" w:cs="宋体"/>
          <w:color w:val="auto"/>
          <w:sz w:val="24"/>
        </w:rPr>
        <w:t xml:space="preserve">    我方对委托代理人的签字事项负全部责任。</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本授权书自签署之日起生效，在撤销授权的书面通知以前，本授权书一直有效。委托代理人在授权书有效期内签署的所有文件不因授权的撤销而失效。</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委托代理人无转委托权，特此委托。</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附：委托代理人有效身份证正反面复印件</w:t>
      </w: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r>
        <w:rPr>
          <w:rFonts w:hint="eastAsia" w:ascii="宋体" w:hAnsi="宋体" w:cs="宋体"/>
          <w:color w:val="auto"/>
          <w:sz w:val="24"/>
        </w:rPr>
        <w:t xml:space="preserve">委托代理人（签字）：         法定代表人（签字）：                    </w:t>
      </w:r>
    </w:p>
    <w:p>
      <w:pPr>
        <w:spacing w:line="360" w:lineRule="auto"/>
        <w:rPr>
          <w:rFonts w:hint="eastAsia" w:ascii="宋体" w:hAnsi="宋体" w:cs="宋体"/>
          <w:color w:val="auto"/>
          <w:sz w:val="24"/>
        </w:rPr>
      </w:pPr>
      <w:r>
        <w:rPr>
          <w:rFonts w:hint="eastAsia" w:ascii="宋体" w:hAnsi="宋体" w:cs="宋体"/>
          <w:color w:val="auto"/>
          <w:sz w:val="24"/>
        </w:rPr>
        <w:t xml:space="preserve">委托代理人身份证号码：                              </w:t>
      </w:r>
    </w:p>
    <w:p>
      <w:pPr>
        <w:spacing w:line="360" w:lineRule="auto"/>
        <w:rPr>
          <w:rFonts w:hint="eastAsia" w:ascii="宋体" w:hAnsi="宋体" w:cs="宋体"/>
          <w:color w:val="auto"/>
          <w:sz w:val="24"/>
        </w:rPr>
      </w:pPr>
      <w:r>
        <w:rPr>
          <w:rFonts w:hint="eastAsia" w:ascii="宋体" w:hAnsi="宋体" w:cs="宋体"/>
          <w:color w:val="auto"/>
          <w:sz w:val="24"/>
        </w:rPr>
        <w:t xml:space="preserve">                                </w:t>
      </w:r>
    </w:p>
    <w:p>
      <w:pPr>
        <w:spacing w:line="360" w:lineRule="auto"/>
        <w:rPr>
          <w:rFonts w:hint="eastAsia" w:ascii="宋体" w:hAnsi="宋体" w:cs="宋体"/>
          <w:color w:val="auto"/>
          <w:sz w:val="24"/>
        </w:rPr>
      </w:pPr>
      <w:r>
        <w:rPr>
          <w:rFonts w:hint="eastAsia" w:ascii="宋体" w:hAnsi="宋体" w:cs="宋体"/>
          <w:color w:val="auto"/>
          <w:sz w:val="24"/>
        </w:rPr>
        <w:t xml:space="preserve">                         </w:t>
      </w:r>
      <w:r>
        <w:rPr>
          <w:rFonts w:hint="eastAsia" w:ascii="宋体" w:hAnsi="宋体" w:cs="宋体"/>
          <w:color w:val="auto"/>
          <w:kern w:val="0"/>
          <w:sz w:val="24"/>
        </w:rPr>
        <w:t>供应商名称（盖公章）：</w:t>
      </w:r>
    </w:p>
    <w:p>
      <w:pPr>
        <w:spacing w:line="360" w:lineRule="auto"/>
        <w:contextualSpacing/>
        <w:jc w:val="center"/>
        <w:rPr>
          <w:rFonts w:hint="eastAsia" w:ascii="宋体" w:hAnsi="宋体" w:cs="宋体"/>
          <w:b/>
          <w:color w:val="auto"/>
          <w:sz w:val="24"/>
        </w:rPr>
      </w:pPr>
      <w:r>
        <w:rPr>
          <w:rFonts w:hint="eastAsia" w:ascii="宋体" w:hAnsi="宋体" w:cs="宋体"/>
          <w:color w:val="auto"/>
          <w:kern w:val="0"/>
          <w:sz w:val="24"/>
          <w:lang w:val="zh-CN"/>
        </w:rPr>
        <w:t xml:space="preserve">                                                   日期：  年  月   日</w:t>
      </w:r>
    </w:p>
    <w:p>
      <w:pPr>
        <w:spacing w:line="360" w:lineRule="auto"/>
        <w:rPr>
          <w:rFonts w:hint="eastAsia" w:ascii="宋体" w:hAnsi="宋体" w:cs="宋体"/>
          <w:color w:val="auto"/>
          <w:sz w:val="24"/>
        </w:rPr>
      </w:pP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注：</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 法定代表人和委托代理人必须在授权委托书上签字，</w:t>
      </w:r>
      <w:r>
        <w:rPr>
          <w:rFonts w:hint="eastAsia" w:ascii="宋体" w:hAnsi="宋体" w:cs="宋体"/>
          <w:b/>
          <w:color w:val="auto"/>
          <w:szCs w:val="21"/>
        </w:rPr>
        <w:t>否则其响应文件按无效响应处理。</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3. 法人、其他组织竞标时“我方”是指“我单位”，自然人竞标时“我方”是指“本人”。</w:t>
      </w:r>
    </w:p>
    <w:p>
      <w:pPr>
        <w:spacing w:line="500" w:lineRule="exact"/>
        <w:jc w:val="center"/>
        <w:rPr>
          <w:rFonts w:hint="eastAsia" w:ascii="宋体" w:hAnsi="宋体" w:cs="宋体"/>
          <w:b/>
          <w:bCs/>
          <w:color w:val="auto"/>
          <w:sz w:val="32"/>
          <w:szCs w:val="32"/>
        </w:rPr>
      </w:pPr>
      <w:r>
        <w:rPr>
          <w:rFonts w:ascii="仿宋_GB2312" w:hAnsi="仿宋_GB2312" w:eastAsia="仿宋_GB2312" w:cs="仿宋_GB2312"/>
          <w:color w:val="auto"/>
          <w:szCs w:val="21"/>
        </w:rPr>
        <w:br w:type="page"/>
      </w:r>
      <w:r>
        <w:rPr>
          <w:rFonts w:hint="eastAsia" w:ascii="宋体" w:hAnsi="宋体" w:cs="宋体"/>
          <w:b/>
          <w:bCs/>
          <w:color w:val="auto"/>
          <w:sz w:val="32"/>
          <w:szCs w:val="32"/>
        </w:rPr>
        <w:t>授权委托书（联合体竞标格式）</w:t>
      </w:r>
    </w:p>
    <w:p>
      <w:pPr>
        <w:spacing w:line="500" w:lineRule="exact"/>
        <w:jc w:val="center"/>
        <w:rPr>
          <w:rFonts w:hint="eastAsia" w:ascii="宋体" w:hAnsi="宋体" w:cs="宋体"/>
          <w:b/>
          <w:bCs/>
          <w:color w:val="auto"/>
          <w:sz w:val="32"/>
          <w:szCs w:val="32"/>
        </w:rPr>
      </w:pPr>
      <w:r>
        <w:rPr>
          <w:rFonts w:hint="eastAsia" w:ascii="宋体" w:hAnsi="宋体" w:cs="宋体"/>
          <w:b/>
          <w:bCs/>
          <w:color w:val="auto"/>
          <w:sz w:val="32"/>
          <w:szCs w:val="32"/>
        </w:rPr>
        <w:t>（如有委托时）</w:t>
      </w:r>
    </w:p>
    <w:p>
      <w:pPr>
        <w:spacing w:line="500" w:lineRule="exact"/>
        <w:jc w:val="center"/>
        <w:rPr>
          <w:rFonts w:ascii="仿宋" w:hAnsi="仿宋" w:eastAsia="仿宋" w:cs="仿宋"/>
          <w:color w:val="auto"/>
          <w:sz w:val="44"/>
          <w:szCs w:val="44"/>
        </w:rPr>
      </w:pPr>
    </w:p>
    <w:p>
      <w:pPr>
        <w:spacing w:line="500" w:lineRule="exact"/>
        <w:jc w:val="center"/>
        <w:rPr>
          <w:rFonts w:hint="eastAsia" w:ascii="仿宋_GB2312" w:hAnsi="仿宋_GB2312" w:eastAsia="仿宋_GB2312" w:cs="仿宋_GB2312"/>
          <w:color w:val="auto"/>
          <w:sz w:val="32"/>
          <w:szCs w:val="32"/>
        </w:rPr>
      </w:pPr>
    </w:p>
    <w:p>
      <w:pPr>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本授权委托书声明：根据</w:t>
      </w:r>
      <w:r>
        <w:rPr>
          <w:rFonts w:hint="eastAsia" w:ascii="宋体" w:hAnsi="宋体" w:cs="宋体"/>
          <w:color w:val="auto"/>
          <w:sz w:val="24"/>
          <w:u w:val="single"/>
        </w:rPr>
        <w:t xml:space="preserve">                </w:t>
      </w:r>
      <w:r>
        <w:rPr>
          <w:rFonts w:hint="eastAsia" w:ascii="宋体" w:hAnsi="宋体" w:cs="宋体"/>
          <w:color w:val="auto"/>
          <w:sz w:val="24"/>
        </w:rPr>
        <w:t>（牵头人名称）与</w:t>
      </w:r>
      <w:r>
        <w:rPr>
          <w:rFonts w:hint="eastAsia" w:ascii="宋体" w:hAnsi="宋体" w:cs="宋体"/>
          <w:color w:val="auto"/>
          <w:sz w:val="24"/>
          <w:u w:val="single"/>
        </w:rPr>
        <w:t xml:space="preserve">              </w:t>
      </w:r>
      <w:r>
        <w:rPr>
          <w:rFonts w:hint="eastAsia" w:ascii="宋体" w:hAnsi="宋体" w:cs="宋体"/>
          <w:color w:val="auto"/>
          <w:sz w:val="24"/>
        </w:rPr>
        <w:t>（联合体其他成员名称）签订的《联合体竞标协议书》的内容，</w:t>
      </w:r>
      <w:r>
        <w:rPr>
          <w:rFonts w:hint="eastAsia" w:ascii="宋体" w:hAnsi="宋体" w:cs="宋体"/>
          <w:color w:val="auto"/>
          <w:sz w:val="24"/>
          <w:u w:val="single"/>
        </w:rPr>
        <w:t xml:space="preserve">                       </w:t>
      </w:r>
      <w:r>
        <w:rPr>
          <w:rFonts w:hint="eastAsia" w:ascii="宋体" w:hAnsi="宋体" w:cs="宋体"/>
          <w:color w:val="auto"/>
          <w:sz w:val="24"/>
        </w:rPr>
        <w:t>（牵头人名称）的法定代表人</w:t>
      </w:r>
      <w:r>
        <w:rPr>
          <w:rFonts w:hint="eastAsia" w:ascii="宋体" w:hAnsi="宋体" w:cs="宋体"/>
          <w:color w:val="auto"/>
          <w:sz w:val="24"/>
          <w:u w:val="single"/>
        </w:rPr>
        <w:t xml:space="preserve">      </w:t>
      </w:r>
      <w:r>
        <w:rPr>
          <w:rFonts w:hint="eastAsia" w:ascii="宋体" w:hAnsi="宋体" w:cs="宋体"/>
          <w:i/>
          <w:iCs/>
          <w:color w:val="auto"/>
          <w:sz w:val="24"/>
          <w:u w:val="single"/>
        </w:rPr>
        <w:t>（姓名）</w:t>
      </w:r>
      <w:r>
        <w:rPr>
          <w:rFonts w:hint="eastAsia" w:ascii="宋体" w:hAnsi="宋体" w:cs="宋体"/>
          <w:color w:val="auto"/>
          <w:sz w:val="24"/>
        </w:rPr>
        <w:t>现授权</w:t>
      </w:r>
      <w:r>
        <w:rPr>
          <w:rFonts w:hint="eastAsia" w:ascii="宋体" w:hAnsi="宋体" w:cs="宋体"/>
          <w:color w:val="auto"/>
          <w:sz w:val="24"/>
          <w:u w:val="single"/>
        </w:rPr>
        <w:t xml:space="preserve">     </w:t>
      </w:r>
      <w:r>
        <w:rPr>
          <w:rFonts w:hint="eastAsia" w:ascii="宋体" w:hAnsi="宋体" w:cs="宋体"/>
          <w:i/>
          <w:iCs/>
          <w:color w:val="auto"/>
          <w:sz w:val="24"/>
          <w:u w:val="single"/>
        </w:rPr>
        <w:t xml:space="preserve"> （姓名）</w:t>
      </w:r>
      <w:r>
        <w:rPr>
          <w:rFonts w:hint="eastAsia" w:ascii="宋体" w:hAnsi="宋体" w:cs="宋体"/>
          <w:color w:val="auto"/>
          <w:sz w:val="24"/>
        </w:rPr>
        <w:t>为联合委托代理人，并代表我方全权办理针对上述项目的所有采购程序和环节的具体事务和签署相关文件。</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我方对委托代理人的签字事项负全部责任。</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本授权书自签署之日起生效，在撤销授权的书面通知以前，本授权书一直有效。委托代理人在授权书有效期内签署的所有文件不因授权的撤销而失效。</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委托代理人无转委托权，特此委托。</w:t>
      </w:r>
    </w:p>
    <w:p>
      <w:pPr>
        <w:spacing w:line="360" w:lineRule="auto"/>
        <w:rPr>
          <w:rFonts w:hint="eastAsia" w:ascii="宋体" w:hAnsi="宋体" w:cs="宋体"/>
          <w:color w:val="auto"/>
          <w:sz w:val="24"/>
        </w:rPr>
      </w:pPr>
      <w:r>
        <w:rPr>
          <w:rFonts w:hint="eastAsia" w:ascii="宋体" w:hAnsi="宋体" w:cs="宋体"/>
          <w:color w:val="auto"/>
          <w:sz w:val="24"/>
        </w:rPr>
        <w:t xml:space="preserve">    </w:t>
      </w:r>
    </w:p>
    <w:p>
      <w:pPr>
        <w:spacing w:line="360" w:lineRule="auto"/>
        <w:ind w:firstLine="1560" w:firstLineChars="650"/>
        <w:rPr>
          <w:rFonts w:hint="eastAsia" w:ascii="宋体" w:hAnsi="宋体" w:cs="宋体"/>
          <w:color w:val="auto"/>
          <w:sz w:val="24"/>
        </w:rPr>
      </w:pPr>
      <w:r>
        <w:rPr>
          <w:rFonts w:hint="eastAsia" w:ascii="宋体" w:hAnsi="宋体" w:cs="宋体"/>
          <w:color w:val="auto"/>
          <w:sz w:val="24"/>
        </w:rPr>
        <w:t>牵头人法定代表人（签字）：</w:t>
      </w:r>
    </w:p>
    <w:p>
      <w:pPr>
        <w:spacing w:line="360" w:lineRule="auto"/>
        <w:ind w:firstLine="3120" w:firstLineChars="1300"/>
        <w:rPr>
          <w:rFonts w:hint="eastAsia" w:ascii="宋体" w:hAnsi="宋体" w:cs="宋体"/>
          <w:color w:val="auto"/>
          <w:sz w:val="24"/>
        </w:rPr>
      </w:pPr>
      <w:r>
        <w:rPr>
          <w:rFonts w:hint="eastAsia" w:ascii="宋体" w:hAnsi="宋体" w:cs="宋体"/>
          <w:color w:val="auto"/>
          <w:sz w:val="24"/>
        </w:rPr>
        <w:t>牵头人名称（盖公章）：</w:t>
      </w:r>
    </w:p>
    <w:p>
      <w:pPr>
        <w:spacing w:line="360" w:lineRule="auto"/>
        <w:ind w:firstLine="3840" w:firstLineChars="1600"/>
        <w:rPr>
          <w:rFonts w:hint="eastAsia" w:ascii="宋体" w:hAnsi="宋体" w:cs="宋体"/>
          <w:color w:val="auto"/>
          <w:sz w:val="24"/>
        </w:rPr>
      </w:pPr>
      <w:r>
        <w:rPr>
          <w:rFonts w:hint="eastAsia" w:ascii="宋体" w:hAnsi="宋体" w:cs="宋体"/>
          <w:color w:val="auto"/>
          <w:sz w:val="24"/>
        </w:rPr>
        <w:t>日期：    年   月   日</w:t>
      </w:r>
    </w:p>
    <w:p>
      <w:pPr>
        <w:spacing w:line="360" w:lineRule="auto"/>
        <w:rPr>
          <w:rFonts w:hint="eastAsia" w:ascii="宋体" w:hAnsi="宋体" w:cs="宋体"/>
          <w:color w:val="auto"/>
          <w:sz w:val="24"/>
        </w:rPr>
      </w:pPr>
    </w:p>
    <w:p>
      <w:pPr>
        <w:spacing w:line="360" w:lineRule="auto"/>
        <w:ind w:firstLine="3120" w:firstLineChars="1300"/>
        <w:rPr>
          <w:rFonts w:hint="eastAsia" w:ascii="宋体" w:hAnsi="宋体" w:cs="宋体"/>
          <w:color w:val="auto"/>
          <w:sz w:val="24"/>
        </w:rPr>
      </w:pPr>
      <w:r>
        <w:rPr>
          <w:rFonts w:hint="eastAsia" w:ascii="宋体" w:hAnsi="宋体" w:cs="宋体"/>
          <w:color w:val="auto"/>
          <w:sz w:val="24"/>
        </w:rPr>
        <w:t>委托代理人（签字）：</w:t>
      </w:r>
    </w:p>
    <w:p>
      <w:pPr>
        <w:spacing w:line="360" w:lineRule="auto"/>
        <w:ind w:firstLine="3840" w:firstLineChars="1600"/>
        <w:rPr>
          <w:rFonts w:hint="eastAsia" w:ascii="宋体" w:hAnsi="宋体" w:cs="宋体"/>
          <w:color w:val="auto"/>
          <w:sz w:val="24"/>
        </w:rPr>
      </w:pPr>
      <w:r>
        <w:rPr>
          <w:rFonts w:hint="eastAsia" w:ascii="宋体" w:hAnsi="宋体" w:cs="宋体"/>
          <w:color w:val="auto"/>
          <w:sz w:val="24"/>
        </w:rPr>
        <w:t>日期：    年   月   日</w:t>
      </w:r>
    </w:p>
    <w:p>
      <w:pPr>
        <w:spacing w:line="360" w:lineRule="auto"/>
        <w:rPr>
          <w:rFonts w:hint="eastAsia" w:ascii="宋体" w:hAnsi="宋体" w:cs="宋体"/>
          <w:color w:val="auto"/>
          <w:sz w:val="24"/>
        </w:rPr>
      </w:pP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注：</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 法定代表人和委托代理人必须在授权委托书上签字，</w:t>
      </w:r>
      <w:r>
        <w:rPr>
          <w:rFonts w:hint="eastAsia" w:ascii="宋体" w:hAnsi="宋体" w:cs="宋体"/>
          <w:b/>
          <w:color w:val="auto"/>
          <w:szCs w:val="21"/>
        </w:rPr>
        <w:t>否则其响应文件按无效响应处理。</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2.本授权委托书应由联合体牵头人的法定代表人按上述规定签署。</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3.供应商为其他组织或者自然人时，本磋商文件规定的法定代表人指负责人或者自然人。本磋商文件所称负责人是指参加竞标的其他组织营业执照上的负责人，本磋商文件所称自然人指参与竞标的自然人本人。</w:t>
      </w:r>
    </w:p>
    <w:p>
      <w:pPr>
        <w:spacing w:line="360" w:lineRule="auto"/>
        <w:ind w:firstLine="420" w:firstLineChars="200"/>
        <w:jc w:val="left"/>
        <w:rPr>
          <w:rFonts w:hint="eastAsia" w:ascii="宋体" w:hAnsi="宋体" w:cs="宋体"/>
          <w:color w:val="auto"/>
          <w:sz w:val="24"/>
        </w:rPr>
      </w:pPr>
      <w:r>
        <w:rPr>
          <w:rFonts w:hint="eastAsia" w:ascii="宋体" w:hAnsi="宋体" w:cs="宋体"/>
          <w:color w:val="auto"/>
          <w:szCs w:val="21"/>
        </w:rPr>
        <w:t>4.法人、其他组织竞标时“我方”是指“我单位”，自然人竞标时“我方”是指“本人”。</w:t>
      </w:r>
    </w:p>
    <w:p>
      <w:pPr>
        <w:spacing w:line="360" w:lineRule="auto"/>
        <w:ind w:firstLine="420" w:firstLineChars="200"/>
        <w:jc w:val="left"/>
        <w:rPr>
          <w:rFonts w:hint="eastAsia" w:ascii="仿宋_GB2312" w:hAnsi="仿宋_GB2312" w:eastAsia="仿宋_GB2312" w:cs="仿宋_GB2312"/>
          <w:color w:val="auto"/>
          <w:szCs w:val="21"/>
        </w:rPr>
      </w:pPr>
    </w:p>
    <w:p>
      <w:pPr>
        <w:widowControl/>
        <w:shd w:val="clear" w:color="auto" w:fill="FFFFFF"/>
        <w:spacing w:line="480" w:lineRule="atLeast"/>
        <w:rPr>
          <w:rFonts w:hint="eastAsia" w:ascii="宋体" w:hAnsi="宋体" w:cs="宋体"/>
          <w:color w:val="auto"/>
          <w:sz w:val="24"/>
        </w:rPr>
      </w:pPr>
      <w:r>
        <w:rPr>
          <w:rFonts w:hint="eastAsia" w:ascii="仿宋_GB2312" w:hAnsi="仿宋_GB2312" w:eastAsia="仿宋_GB2312" w:cs="仿宋_GB2312"/>
          <w:color w:val="auto"/>
          <w:sz w:val="32"/>
          <w:szCs w:val="32"/>
        </w:rPr>
        <w:br w:type="page"/>
      </w:r>
      <w:r>
        <w:rPr>
          <w:rFonts w:hint="eastAsia" w:hAnsi="宋体" w:cs="宋体"/>
          <w:b/>
          <w:color w:val="auto"/>
          <w:sz w:val="28"/>
          <w:szCs w:val="28"/>
        </w:rPr>
        <w:t xml:space="preserve">5、供应商认为有必要提供的其他文件 </w:t>
      </w:r>
    </w:p>
    <w:p>
      <w:pPr>
        <w:shd w:val="clear" w:color="auto" w:fill="FFFFFF"/>
        <w:spacing w:line="520" w:lineRule="exact"/>
        <w:jc w:val="center"/>
        <w:rPr>
          <w:color w:val="auto"/>
          <w:sz w:val="24"/>
        </w:rPr>
      </w:pPr>
    </w:p>
    <w:p>
      <w:pPr>
        <w:spacing w:line="520" w:lineRule="exact"/>
        <w:jc w:val="center"/>
        <w:rPr>
          <w:color w:val="auto"/>
          <w:sz w:val="24"/>
        </w:rPr>
      </w:pPr>
    </w:p>
    <w:p>
      <w:pPr>
        <w:spacing w:line="520" w:lineRule="exact"/>
        <w:jc w:val="left"/>
        <w:rPr>
          <w:rFonts w:hint="eastAsia" w:ascii="仿宋_GB2312" w:hAnsi="仿宋_GB2312" w:eastAsia="仿宋_GB2312" w:cs="仿宋_GB2312"/>
          <w:color w:val="auto"/>
          <w:sz w:val="32"/>
          <w:szCs w:val="32"/>
        </w:rPr>
      </w:pPr>
    </w:p>
    <w:p>
      <w:pPr>
        <w:spacing w:line="520" w:lineRule="exact"/>
        <w:jc w:val="left"/>
        <w:rPr>
          <w:rFonts w:hint="eastAsia" w:ascii="仿宋" w:hAnsi="仿宋" w:eastAsia="仿宋" w:cs="仿宋_GB2312"/>
          <w:b/>
          <w:color w:val="auto"/>
          <w:sz w:val="30"/>
          <w:szCs w:val="30"/>
        </w:rPr>
      </w:pPr>
      <w:r>
        <w:rPr>
          <w:rFonts w:hint="eastAsia" w:ascii="仿宋_GB2312" w:hAnsi="仿宋_GB2312" w:eastAsia="仿宋_GB2312" w:cs="仿宋_GB2312"/>
          <w:color w:val="auto"/>
          <w:sz w:val="32"/>
          <w:szCs w:val="32"/>
        </w:rPr>
        <w:br w:type="page"/>
      </w:r>
      <w:r>
        <w:rPr>
          <w:rFonts w:hint="eastAsia" w:ascii="宋体" w:hAnsi="宋体" w:cs="宋体"/>
          <w:b/>
          <w:color w:val="auto"/>
          <w:sz w:val="28"/>
          <w:szCs w:val="28"/>
        </w:rPr>
        <w:t>6.商务条款偏离表的格式：</w:t>
      </w:r>
    </w:p>
    <w:p>
      <w:pPr>
        <w:pStyle w:val="23"/>
        <w:rPr>
          <w:rFonts w:hint="eastAsia"/>
          <w:color w:val="auto"/>
        </w:rPr>
      </w:pPr>
    </w:p>
    <w:p>
      <w:pPr>
        <w:spacing w:line="500" w:lineRule="exact"/>
        <w:jc w:val="center"/>
        <w:rPr>
          <w:rFonts w:hint="eastAsia" w:ascii="宋体" w:hAnsi="宋体" w:cs="宋体"/>
          <w:bCs/>
          <w:color w:val="auto"/>
          <w:sz w:val="44"/>
          <w:szCs w:val="44"/>
        </w:rPr>
      </w:pPr>
      <w:r>
        <w:rPr>
          <w:rFonts w:hint="eastAsia" w:ascii="宋体" w:hAnsi="宋体" w:cs="宋体"/>
          <w:bCs/>
          <w:color w:val="auto"/>
          <w:sz w:val="44"/>
          <w:szCs w:val="44"/>
        </w:rPr>
        <w:t>商务条款偏离表</w:t>
      </w:r>
    </w:p>
    <w:p>
      <w:pPr>
        <w:spacing w:line="520" w:lineRule="exact"/>
        <w:rPr>
          <w:rFonts w:hint="eastAsia" w:ascii="宋体" w:hAnsi="宋体" w:cs="宋体"/>
          <w:color w:val="auto"/>
          <w:sz w:val="32"/>
          <w:szCs w:val="32"/>
        </w:rPr>
      </w:pPr>
    </w:p>
    <w:p>
      <w:pPr>
        <w:spacing w:line="360" w:lineRule="auto"/>
        <w:contextualSpacing/>
        <w:rPr>
          <w:rFonts w:hint="eastAsia" w:ascii="宋体" w:hAnsi="宋体" w:cs="宋体"/>
          <w:color w:val="auto"/>
          <w:sz w:val="24"/>
          <w:u w:val="single"/>
        </w:rPr>
      </w:pPr>
      <w:r>
        <w:rPr>
          <w:rFonts w:hint="eastAsia" w:ascii="宋体" w:hAnsi="宋体" w:cs="宋体"/>
          <w:color w:val="auto"/>
          <w:sz w:val="24"/>
        </w:rPr>
        <w:t>项目名称：</w:t>
      </w:r>
      <w:r>
        <w:rPr>
          <w:rFonts w:hint="eastAsia" w:ascii="宋体" w:hAnsi="宋体" w:cs="宋体"/>
          <w:color w:val="auto"/>
          <w:sz w:val="24"/>
          <w:u w:val="single"/>
        </w:rPr>
        <w:t xml:space="preserve">                 </w:t>
      </w:r>
    </w:p>
    <w:p>
      <w:pPr>
        <w:spacing w:line="360" w:lineRule="auto"/>
        <w:contextualSpacing/>
        <w:rPr>
          <w:rFonts w:hint="eastAsia" w:ascii="宋体" w:hAnsi="宋体" w:cs="宋体"/>
          <w:color w:val="auto"/>
          <w:sz w:val="24"/>
        </w:rPr>
      </w:pPr>
      <w:r>
        <w:rPr>
          <w:rFonts w:hint="eastAsia" w:ascii="宋体" w:hAnsi="宋体" w:cs="宋体"/>
          <w:color w:val="auto"/>
          <w:sz w:val="24"/>
        </w:rPr>
        <w:t>项目编号：</w:t>
      </w:r>
      <w:r>
        <w:rPr>
          <w:rFonts w:hint="eastAsia" w:ascii="宋体" w:hAnsi="宋体" w:cs="宋体"/>
          <w:color w:val="auto"/>
          <w:sz w:val="24"/>
          <w:u w:val="single"/>
        </w:rPr>
        <w:t xml:space="preserve">                 </w:t>
      </w:r>
    </w:p>
    <w:p>
      <w:pPr>
        <w:spacing w:line="360" w:lineRule="auto"/>
        <w:contextualSpacing/>
        <w:rPr>
          <w:rFonts w:hint="eastAsia" w:ascii="宋体" w:hAnsi="宋体" w:cs="宋体"/>
          <w:color w:val="auto"/>
          <w:sz w:val="24"/>
          <w:u w:val="single"/>
        </w:rPr>
      </w:pPr>
      <w:r>
        <w:rPr>
          <w:rFonts w:hint="eastAsia" w:ascii="宋体" w:hAnsi="宋体" w:cs="宋体"/>
          <w:color w:val="auto"/>
          <w:sz w:val="24"/>
        </w:rPr>
        <w:t>所竞分标（如有则填写，无分标时填写“无”或者留空）：</w:t>
      </w:r>
      <w:r>
        <w:rPr>
          <w:rFonts w:hint="eastAsia" w:ascii="宋体" w:hAnsi="宋体" w:cs="宋体"/>
          <w:color w:val="auto"/>
          <w:sz w:val="24"/>
          <w:u w:val="single"/>
        </w:rPr>
        <w:t xml:space="preserve">                </w:t>
      </w:r>
    </w:p>
    <w:tbl>
      <w:tblPr>
        <w:tblStyle w:val="32"/>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69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eastAsia" w:ascii="宋体" w:hAnsi="宋体" w:cs="宋体"/>
                <w:color w:val="auto"/>
                <w:szCs w:val="21"/>
              </w:rPr>
            </w:pPr>
            <w:r>
              <w:rPr>
                <w:rFonts w:hint="eastAsia" w:ascii="宋体" w:hAnsi="宋体" w:cs="宋体"/>
                <w:color w:val="auto"/>
                <w:szCs w:val="21"/>
              </w:rPr>
              <w:t>项号</w:t>
            </w:r>
          </w:p>
        </w:tc>
        <w:tc>
          <w:tcPr>
            <w:tcW w:w="392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eastAsia" w:ascii="宋体" w:hAnsi="宋体" w:cs="宋体"/>
                <w:color w:val="auto"/>
                <w:szCs w:val="21"/>
              </w:rPr>
            </w:pPr>
            <w:r>
              <w:rPr>
                <w:rFonts w:hint="eastAsia" w:ascii="宋体" w:hAnsi="宋体" w:eastAsia="宋体" w:cs="宋体"/>
                <w:color w:val="auto"/>
                <w:szCs w:val="21"/>
                <w:highlight w:val="none"/>
              </w:rPr>
              <w:t>竞争性磋商文件的商务</w:t>
            </w:r>
            <w:r>
              <w:rPr>
                <w:rFonts w:hint="eastAsia" w:ascii="宋体" w:hAnsi="宋体" w:eastAsia="宋体" w:cs="宋体"/>
                <w:color w:val="auto"/>
                <w:szCs w:val="21"/>
                <w:highlight w:val="none"/>
                <w:lang w:val="en-US" w:eastAsia="zh-CN"/>
              </w:rPr>
              <w:t>条款</w:t>
            </w:r>
          </w:p>
        </w:tc>
        <w:tc>
          <w:tcPr>
            <w:tcW w:w="358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eastAsia" w:ascii="宋体" w:hAnsi="宋体" w:cs="宋体"/>
                <w:color w:val="auto"/>
                <w:szCs w:val="21"/>
              </w:rPr>
            </w:pPr>
            <w:r>
              <w:rPr>
                <w:rFonts w:hint="eastAsia" w:ascii="宋体" w:hAnsi="宋体" w:eastAsia="宋体" w:cs="宋体"/>
                <w:color w:val="auto"/>
                <w:szCs w:val="21"/>
                <w:highlight w:val="none"/>
              </w:rPr>
              <w:t>响应文件</w:t>
            </w:r>
            <w:r>
              <w:rPr>
                <w:rFonts w:hint="eastAsia" w:ascii="宋体" w:hAnsi="宋体" w:eastAsia="宋体" w:cs="宋体"/>
                <w:color w:val="auto"/>
                <w:szCs w:val="21"/>
                <w:highlight w:val="none"/>
                <w:lang w:val="en-US" w:eastAsia="zh-CN"/>
              </w:rPr>
              <w:t>响应</w:t>
            </w:r>
            <w:r>
              <w:rPr>
                <w:rFonts w:hint="eastAsia" w:ascii="宋体" w:hAnsi="宋体" w:eastAsia="宋体" w:cs="宋体"/>
                <w:color w:val="auto"/>
                <w:szCs w:val="21"/>
                <w:highlight w:val="none"/>
              </w:rPr>
              <w:t>的商务条款</w:t>
            </w:r>
          </w:p>
        </w:tc>
        <w:tc>
          <w:tcPr>
            <w:tcW w:w="1274"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eastAsia" w:ascii="宋体" w:hAnsi="宋体" w:cs="宋体"/>
                <w:color w:val="auto"/>
                <w:szCs w:val="21"/>
              </w:rPr>
            </w:pPr>
            <w:r>
              <w:rPr>
                <w:rFonts w:hint="eastAsia" w:ascii="宋体" w:hAnsi="宋体" w:cs="宋体"/>
                <w:color w:val="auto"/>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tcPr>
          <w:p>
            <w:pPr>
              <w:spacing w:line="340" w:lineRule="exact"/>
              <w:rPr>
                <w:rFonts w:hint="eastAsia" w:ascii="宋体" w:hAnsi="宋体" w:cs="宋体"/>
                <w:color w:val="auto"/>
                <w:szCs w:val="21"/>
              </w:rPr>
            </w:pPr>
            <w:r>
              <w:rPr>
                <w:rFonts w:hint="eastAsia" w:ascii="宋体" w:hAnsi="宋体" w:cs="宋体"/>
                <w:color w:val="auto"/>
                <w:szCs w:val="21"/>
              </w:rPr>
              <w:t>一</w:t>
            </w:r>
          </w:p>
        </w:tc>
        <w:tc>
          <w:tcPr>
            <w:tcW w:w="3926" w:type="dxa"/>
            <w:tcBorders>
              <w:top w:val="single" w:color="auto" w:sz="4" w:space="0"/>
              <w:left w:val="single" w:color="auto" w:sz="4" w:space="0"/>
              <w:bottom w:val="single" w:color="auto" w:sz="4" w:space="0"/>
              <w:right w:val="single" w:color="auto" w:sz="4" w:space="0"/>
            </w:tcBorders>
          </w:tcPr>
          <w:p>
            <w:pPr>
              <w:spacing w:line="340" w:lineRule="exact"/>
              <w:rPr>
                <w:rFonts w:hint="eastAsia" w:ascii="宋体" w:hAnsi="宋体" w:cs="宋体"/>
                <w:color w:val="auto"/>
                <w:szCs w:val="21"/>
              </w:rPr>
            </w:pPr>
          </w:p>
        </w:tc>
        <w:tc>
          <w:tcPr>
            <w:tcW w:w="3589" w:type="dxa"/>
            <w:tcBorders>
              <w:top w:val="single" w:color="auto" w:sz="4" w:space="0"/>
              <w:left w:val="single" w:color="auto" w:sz="4" w:space="0"/>
              <w:bottom w:val="single" w:color="auto" w:sz="4" w:space="0"/>
              <w:right w:val="single" w:color="auto" w:sz="4" w:space="0"/>
            </w:tcBorders>
          </w:tcPr>
          <w:p>
            <w:pPr>
              <w:spacing w:line="340" w:lineRule="exact"/>
              <w:rPr>
                <w:rFonts w:hint="eastAsia" w:ascii="宋体" w:hAnsi="宋体" w:cs="宋体"/>
                <w:color w:val="auto"/>
                <w:szCs w:val="21"/>
              </w:rPr>
            </w:pPr>
          </w:p>
        </w:tc>
        <w:tc>
          <w:tcPr>
            <w:tcW w:w="1274" w:type="dxa"/>
            <w:tcBorders>
              <w:top w:val="single" w:color="auto" w:sz="4" w:space="0"/>
              <w:left w:val="single" w:color="auto" w:sz="4" w:space="0"/>
              <w:bottom w:val="single" w:color="auto" w:sz="4" w:space="0"/>
              <w:right w:val="single" w:color="auto" w:sz="4" w:space="0"/>
            </w:tcBorders>
          </w:tcPr>
          <w:p>
            <w:pPr>
              <w:spacing w:line="300" w:lineRule="exact"/>
              <w:rPr>
                <w:rFonts w:hint="eastAsia"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tcPr>
          <w:p>
            <w:pPr>
              <w:spacing w:line="340" w:lineRule="exact"/>
              <w:rPr>
                <w:rFonts w:hint="eastAsia" w:ascii="宋体" w:hAnsi="宋体" w:cs="宋体"/>
                <w:color w:val="auto"/>
                <w:szCs w:val="21"/>
              </w:rPr>
            </w:pPr>
            <w:r>
              <w:rPr>
                <w:rFonts w:hint="eastAsia" w:ascii="宋体" w:hAnsi="宋体" w:cs="宋体"/>
                <w:color w:val="auto"/>
                <w:szCs w:val="21"/>
              </w:rPr>
              <w:t>二</w:t>
            </w:r>
          </w:p>
        </w:tc>
        <w:tc>
          <w:tcPr>
            <w:tcW w:w="3926" w:type="dxa"/>
            <w:tcBorders>
              <w:top w:val="single" w:color="auto" w:sz="4" w:space="0"/>
              <w:left w:val="single" w:color="auto" w:sz="4" w:space="0"/>
              <w:bottom w:val="single" w:color="auto" w:sz="4" w:space="0"/>
              <w:right w:val="single" w:color="auto" w:sz="4" w:space="0"/>
            </w:tcBorders>
          </w:tcPr>
          <w:p>
            <w:pPr>
              <w:spacing w:line="340" w:lineRule="exact"/>
              <w:rPr>
                <w:rFonts w:hint="eastAsia" w:ascii="宋体" w:hAnsi="宋体" w:cs="宋体"/>
                <w:color w:val="auto"/>
                <w:szCs w:val="21"/>
              </w:rPr>
            </w:pPr>
          </w:p>
        </w:tc>
        <w:tc>
          <w:tcPr>
            <w:tcW w:w="3589" w:type="dxa"/>
            <w:tcBorders>
              <w:top w:val="single" w:color="auto" w:sz="4" w:space="0"/>
              <w:left w:val="single" w:color="auto" w:sz="4" w:space="0"/>
              <w:bottom w:val="single" w:color="auto" w:sz="4" w:space="0"/>
              <w:right w:val="single" w:color="auto" w:sz="4" w:space="0"/>
            </w:tcBorders>
          </w:tcPr>
          <w:p>
            <w:pPr>
              <w:spacing w:line="340" w:lineRule="exact"/>
              <w:rPr>
                <w:rFonts w:hint="eastAsia" w:ascii="宋体" w:hAnsi="宋体" w:cs="宋体"/>
                <w:color w:val="auto"/>
                <w:szCs w:val="21"/>
              </w:rPr>
            </w:pPr>
          </w:p>
        </w:tc>
        <w:tc>
          <w:tcPr>
            <w:tcW w:w="1274" w:type="dxa"/>
            <w:tcBorders>
              <w:top w:val="single" w:color="auto" w:sz="4" w:space="0"/>
              <w:left w:val="single" w:color="auto" w:sz="4" w:space="0"/>
              <w:bottom w:val="single" w:color="auto" w:sz="4" w:space="0"/>
              <w:right w:val="single" w:color="auto" w:sz="4" w:space="0"/>
            </w:tcBorders>
          </w:tcPr>
          <w:p>
            <w:pPr>
              <w:spacing w:line="300" w:lineRule="exact"/>
              <w:rPr>
                <w:rFonts w:hint="eastAsia"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tcPr>
          <w:p>
            <w:pPr>
              <w:spacing w:line="340" w:lineRule="exact"/>
              <w:rPr>
                <w:rFonts w:hint="eastAsia" w:ascii="宋体" w:hAnsi="宋体" w:cs="宋体"/>
                <w:color w:val="auto"/>
                <w:szCs w:val="21"/>
              </w:rPr>
            </w:pPr>
            <w:r>
              <w:rPr>
                <w:rFonts w:hint="eastAsia" w:ascii="宋体" w:hAnsi="宋体" w:cs="宋体"/>
                <w:color w:val="auto"/>
                <w:szCs w:val="21"/>
              </w:rPr>
              <w:t>...</w:t>
            </w:r>
          </w:p>
        </w:tc>
        <w:tc>
          <w:tcPr>
            <w:tcW w:w="3926" w:type="dxa"/>
            <w:tcBorders>
              <w:top w:val="single" w:color="auto" w:sz="4" w:space="0"/>
              <w:left w:val="single" w:color="auto" w:sz="4" w:space="0"/>
              <w:bottom w:val="single" w:color="auto" w:sz="4" w:space="0"/>
              <w:right w:val="single" w:color="auto" w:sz="4" w:space="0"/>
            </w:tcBorders>
          </w:tcPr>
          <w:p>
            <w:pPr>
              <w:spacing w:line="340" w:lineRule="exact"/>
              <w:rPr>
                <w:rFonts w:hint="eastAsia" w:ascii="宋体" w:hAnsi="宋体" w:cs="宋体"/>
                <w:color w:val="auto"/>
                <w:szCs w:val="21"/>
              </w:rPr>
            </w:pPr>
          </w:p>
        </w:tc>
        <w:tc>
          <w:tcPr>
            <w:tcW w:w="3589" w:type="dxa"/>
            <w:tcBorders>
              <w:top w:val="single" w:color="auto" w:sz="4" w:space="0"/>
              <w:left w:val="single" w:color="auto" w:sz="4" w:space="0"/>
              <w:bottom w:val="single" w:color="auto" w:sz="4" w:space="0"/>
              <w:right w:val="single" w:color="auto" w:sz="4" w:space="0"/>
            </w:tcBorders>
          </w:tcPr>
          <w:p>
            <w:pPr>
              <w:spacing w:line="340" w:lineRule="exact"/>
              <w:rPr>
                <w:rFonts w:hint="eastAsia" w:ascii="宋体" w:hAnsi="宋体" w:cs="宋体"/>
                <w:color w:val="auto"/>
                <w:szCs w:val="21"/>
              </w:rPr>
            </w:pPr>
          </w:p>
        </w:tc>
        <w:tc>
          <w:tcPr>
            <w:tcW w:w="1274" w:type="dxa"/>
            <w:tcBorders>
              <w:top w:val="single" w:color="auto" w:sz="4" w:space="0"/>
              <w:left w:val="single" w:color="auto" w:sz="4" w:space="0"/>
              <w:bottom w:val="single" w:color="auto" w:sz="4" w:space="0"/>
              <w:right w:val="single" w:color="auto" w:sz="4" w:space="0"/>
            </w:tcBorders>
          </w:tcPr>
          <w:p>
            <w:pPr>
              <w:spacing w:line="300" w:lineRule="exact"/>
              <w:rPr>
                <w:rFonts w:hint="eastAsia" w:ascii="宋体" w:hAnsi="宋体" w:cs="宋体"/>
                <w:color w:val="auto"/>
                <w:szCs w:val="21"/>
              </w:rPr>
            </w:pPr>
          </w:p>
        </w:tc>
      </w:tr>
    </w:tbl>
    <w:p>
      <w:pPr>
        <w:pStyle w:val="16"/>
        <w:spacing w:line="400" w:lineRule="exact"/>
        <w:ind w:firstLine="0" w:firstLineChars="0"/>
        <w:contextualSpacing/>
        <w:rPr>
          <w:rFonts w:hint="eastAsia" w:ascii="宋体" w:hAnsi="宋体" w:eastAsia="宋体" w:cs="宋体"/>
          <w:color w:val="auto"/>
          <w:sz w:val="24"/>
          <w:szCs w:val="24"/>
        </w:rPr>
      </w:pPr>
      <w:r>
        <w:rPr>
          <w:rFonts w:hint="eastAsia" w:ascii="宋体" w:hAnsi="宋体" w:eastAsia="宋体" w:cs="宋体"/>
          <w:color w:val="auto"/>
          <w:sz w:val="24"/>
          <w:szCs w:val="24"/>
        </w:rPr>
        <w:t>注：</w:t>
      </w:r>
    </w:p>
    <w:p>
      <w:pPr>
        <w:pStyle w:val="16"/>
        <w:spacing w:line="4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1.应对照磋商文件“第二章 采购需求”中的商务条款逐条作出明确响应，并作出偏离说明。</w:t>
      </w:r>
    </w:p>
    <w:p>
      <w:pPr>
        <w:pStyle w:val="16"/>
        <w:spacing w:line="4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2.供应商应根据自身的承诺，对照磋商文件要求，在“偏离说明”中注明“正偏离”或者“负偏离”或者“无偏离”。既不属于“正偏离”也不属于“负偏离”即为“无偏离”。 当响应文件的商务内容低于竞争性磋商文件要求时，供应商应当如实写明“负偏离”。</w:t>
      </w:r>
    </w:p>
    <w:p>
      <w:pPr>
        <w:spacing w:line="400" w:lineRule="exact"/>
        <w:ind w:firstLine="480" w:firstLineChars="200"/>
        <w:rPr>
          <w:rFonts w:hint="eastAsia" w:ascii="宋体" w:hAnsi="宋体" w:cs="宋体"/>
          <w:color w:val="auto"/>
          <w:kern w:val="0"/>
          <w:sz w:val="24"/>
        </w:rPr>
      </w:pPr>
      <w:r>
        <w:rPr>
          <w:rFonts w:hint="eastAsia" w:ascii="宋体" w:hAnsi="宋体" w:cs="宋体"/>
          <w:color w:val="auto"/>
          <w:kern w:val="0"/>
          <w:sz w:val="24"/>
        </w:rPr>
        <w:t>3.表格内容均需按要求填写，不得留空，</w:t>
      </w:r>
      <w:r>
        <w:rPr>
          <w:rFonts w:hint="eastAsia" w:ascii="宋体" w:hAnsi="宋体" w:cs="宋体"/>
          <w:b/>
          <w:bCs/>
          <w:color w:val="auto"/>
          <w:kern w:val="0"/>
          <w:sz w:val="24"/>
        </w:rPr>
        <w:t>否则按竞标无效处理。</w:t>
      </w:r>
    </w:p>
    <w:p>
      <w:pPr>
        <w:spacing w:line="400" w:lineRule="exact"/>
        <w:ind w:firstLine="480" w:firstLineChars="200"/>
        <w:contextualSpacing/>
        <w:rPr>
          <w:rFonts w:hint="eastAsia" w:ascii="宋体" w:hAnsi="宋体" w:cs="宋体"/>
          <w:color w:val="auto"/>
          <w:kern w:val="0"/>
          <w:sz w:val="24"/>
        </w:rPr>
      </w:pPr>
    </w:p>
    <w:p>
      <w:pPr>
        <w:spacing w:line="360" w:lineRule="auto"/>
        <w:ind w:firstLine="3840" w:firstLineChars="1600"/>
        <w:rPr>
          <w:rFonts w:hint="eastAsia" w:ascii="宋体" w:hAnsi="宋体" w:cs="宋体"/>
          <w:color w:val="auto"/>
          <w:sz w:val="24"/>
        </w:rPr>
      </w:pPr>
      <w:r>
        <w:rPr>
          <w:rFonts w:hint="eastAsia" w:ascii="宋体" w:hAnsi="宋体" w:cs="宋体"/>
          <w:color w:val="auto"/>
          <w:kern w:val="0"/>
          <w:sz w:val="24"/>
        </w:rPr>
        <w:t>供应商名称（盖公章）：</w:t>
      </w:r>
    </w:p>
    <w:p>
      <w:pPr>
        <w:spacing w:line="360" w:lineRule="auto"/>
        <w:contextualSpacing/>
        <w:jc w:val="center"/>
        <w:rPr>
          <w:rFonts w:hint="eastAsia" w:ascii="宋体" w:hAnsi="宋体" w:cs="宋体"/>
          <w:b/>
          <w:color w:val="auto"/>
          <w:sz w:val="24"/>
        </w:rPr>
      </w:pPr>
      <w:r>
        <w:rPr>
          <w:rFonts w:hint="eastAsia" w:ascii="宋体" w:hAnsi="宋体" w:cs="宋体"/>
          <w:color w:val="auto"/>
          <w:kern w:val="0"/>
          <w:sz w:val="24"/>
          <w:lang w:val="zh-CN"/>
        </w:rPr>
        <w:t xml:space="preserve">                                                   日期：  年  月   日</w:t>
      </w:r>
    </w:p>
    <w:p>
      <w:pPr>
        <w:snapToGrid w:val="0"/>
        <w:spacing w:line="360" w:lineRule="auto"/>
        <w:ind w:firstLine="602" w:firstLineChars="200"/>
        <w:rPr>
          <w:rFonts w:hint="eastAsia" w:ascii="仿宋" w:hAnsi="仿宋" w:eastAsia="仿宋" w:cs="仿宋_GB2312"/>
          <w:b/>
          <w:color w:val="auto"/>
          <w:sz w:val="30"/>
          <w:szCs w:val="30"/>
        </w:rPr>
      </w:pPr>
    </w:p>
    <w:p>
      <w:pPr>
        <w:snapToGrid w:val="0"/>
        <w:spacing w:line="360" w:lineRule="auto"/>
        <w:ind w:firstLine="602" w:firstLineChars="200"/>
        <w:rPr>
          <w:rFonts w:hint="eastAsia" w:ascii="仿宋" w:hAnsi="仿宋" w:eastAsia="仿宋" w:cs="仿宋_GB2312"/>
          <w:b/>
          <w:color w:val="auto"/>
          <w:sz w:val="30"/>
          <w:szCs w:val="30"/>
        </w:rPr>
      </w:pPr>
    </w:p>
    <w:p>
      <w:pPr>
        <w:pStyle w:val="23"/>
        <w:rPr>
          <w:rFonts w:hint="eastAsia"/>
          <w:color w:val="auto"/>
        </w:rPr>
      </w:pPr>
    </w:p>
    <w:p>
      <w:pPr>
        <w:snapToGrid w:val="0"/>
        <w:spacing w:line="360" w:lineRule="auto"/>
        <w:ind w:firstLine="602" w:firstLineChars="200"/>
        <w:rPr>
          <w:rFonts w:ascii="仿宋" w:hAnsi="仿宋" w:eastAsia="仿宋" w:cs="仿宋_GB2312"/>
          <w:b/>
          <w:color w:val="auto"/>
          <w:sz w:val="30"/>
          <w:szCs w:val="30"/>
        </w:rPr>
      </w:pPr>
    </w:p>
    <w:p>
      <w:pPr>
        <w:pStyle w:val="26"/>
        <w:snapToGrid w:val="0"/>
        <w:ind w:left="562" w:hanging="562"/>
        <w:rPr>
          <w:rFonts w:hint="eastAsia" w:ascii="宋体" w:hAnsi="宋体" w:cs="宋体"/>
          <w:i/>
          <w:iCs/>
          <w:color w:val="auto"/>
          <w:sz w:val="24"/>
        </w:rPr>
      </w:pPr>
      <w:r>
        <w:rPr>
          <w:rFonts w:hint="eastAsia" w:ascii="宋体" w:hAnsi="宋体" w:cs="宋体"/>
          <w:b/>
          <w:color w:val="auto"/>
          <w:sz w:val="28"/>
          <w:szCs w:val="28"/>
        </w:rPr>
        <w:t>7.供应商类似的业绩证明文件</w:t>
      </w:r>
      <w:r>
        <w:rPr>
          <w:rFonts w:hint="eastAsia" w:ascii="宋体" w:hAnsi="宋体" w:cs="宋体"/>
          <w:b/>
          <w:bCs/>
          <w:color w:val="auto"/>
          <w:sz w:val="30"/>
          <w:szCs w:val="30"/>
        </w:rPr>
        <w:t>（如有要求）：</w:t>
      </w:r>
    </w:p>
    <w:p>
      <w:pPr>
        <w:spacing w:line="360" w:lineRule="auto"/>
        <w:ind w:firstLine="2880" w:firstLineChars="900"/>
        <w:contextualSpacing/>
        <w:rPr>
          <w:rFonts w:hint="eastAsia" w:ascii="宋体" w:hAnsi="宋体" w:cs="宋体"/>
          <w:color w:val="auto"/>
          <w:sz w:val="32"/>
          <w:szCs w:val="32"/>
        </w:rPr>
      </w:pPr>
    </w:p>
    <w:p>
      <w:pPr>
        <w:spacing w:line="360" w:lineRule="auto"/>
        <w:ind w:firstLine="2880" w:firstLineChars="900"/>
        <w:contextualSpacing/>
        <w:rPr>
          <w:rFonts w:hint="eastAsia" w:ascii="宋体" w:hAnsi="宋体" w:cs="宋体"/>
          <w:color w:val="auto"/>
          <w:sz w:val="32"/>
          <w:szCs w:val="32"/>
        </w:rPr>
      </w:pPr>
      <w:r>
        <w:rPr>
          <w:rFonts w:hint="eastAsia" w:ascii="宋体" w:hAnsi="宋体" w:cs="宋体"/>
          <w:color w:val="auto"/>
          <w:sz w:val="32"/>
          <w:szCs w:val="32"/>
        </w:rPr>
        <w:t>类似项目的业绩一览表</w:t>
      </w:r>
    </w:p>
    <w:p>
      <w:pPr>
        <w:spacing w:line="360" w:lineRule="auto"/>
        <w:contextualSpacing/>
        <w:rPr>
          <w:rFonts w:hint="eastAsia" w:ascii="宋体" w:hAnsi="宋体" w:cs="宋体"/>
          <w:color w:val="auto"/>
          <w:sz w:val="24"/>
          <w:u w:val="single"/>
        </w:rPr>
      </w:pPr>
      <w:r>
        <w:rPr>
          <w:rFonts w:hint="eastAsia" w:ascii="宋体" w:hAnsi="宋体" w:cs="宋体"/>
          <w:color w:val="auto"/>
          <w:sz w:val="24"/>
        </w:rPr>
        <w:t>所竞分标（如有则填写，无分标时填写“无”或者留空）：</w:t>
      </w:r>
      <w:r>
        <w:rPr>
          <w:rFonts w:hint="eastAsia" w:ascii="宋体" w:hAnsi="宋体" w:cs="宋体"/>
          <w:color w:val="auto"/>
          <w:sz w:val="24"/>
          <w:u w:val="single"/>
        </w:rPr>
        <w:t xml:space="preserve">                </w:t>
      </w:r>
    </w:p>
    <w:tbl>
      <w:tblPr>
        <w:tblStyle w:val="32"/>
        <w:tblpPr w:leftFromText="180" w:rightFromText="180" w:vertAnchor="page" w:horzAnchor="page" w:tblpX="1008" w:tblpY="3639"/>
        <w:tblW w:w="1031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63"/>
        <w:gridCol w:w="2164"/>
        <w:gridCol w:w="1134"/>
        <w:gridCol w:w="1134"/>
        <w:gridCol w:w="1701"/>
        <w:gridCol w:w="1276"/>
        <w:gridCol w:w="184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106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宋体" w:hAnsi="宋体" w:cs="宋体"/>
                <w:color w:val="auto"/>
                <w:sz w:val="24"/>
              </w:rPr>
            </w:pPr>
            <w:r>
              <w:rPr>
                <w:rFonts w:hint="eastAsia" w:ascii="宋体" w:hAnsi="宋体" w:cs="宋体"/>
                <w:color w:val="auto"/>
                <w:sz w:val="24"/>
              </w:rPr>
              <w:t>采购人名称</w:t>
            </w:r>
          </w:p>
        </w:tc>
        <w:tc>
          <w:tcPr>
            <w:tcW w:w="2164"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宋体" w:hAnsi="宋体" w:cs="宋体"/>
                <w:color w:val="auto"/>
                <w:sz w:val="24"/>
              </w:rPr>
            </w:pPr>
            <w:r>
              <w:rPr>
                <w:rFonts w:hint="eastAsia" w:ascii="宋体" w:hAnsi="宋体" w:cs="宋体"/>
                <w:color w:val="auto"/>
                <w:sz w:val="24"/>
              </w:rPr>
              <w:t>项目名称</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宋体" w:hAnsi="宋体" w:cs="宋体"/>
                <w:color w:val="auto"/>
                <w:sz w:val="24"/>
              </w:rPr>
            </w:pPr>
            <w:r>
              <w:rPr>
                <w:rFonts w:hint="eastAsia" w:ascii="宋体" w:hAnsi="宋体" w:cs="宋体"/>
                <w:color w:val="auto"/>
                <w:sz w:val="24"/>
              </w:rPr>
              <w:t>合同</w:t>
            </w:r>
          </w:p>
          <w:p>
            <w:pPr>
              <w:snapToGrid w:val="0"/>
              <w:spacing w:line="240" w:lineRule="exact"/>
              <w:jc w:val="center"/>
              <w:rPr>
                <w:rFonts w:hint="eastAsia" w:ascii="宋体" w:hAnsi="宋体" w:cs="宋体"/>
                <w:color w:val="auto"/>
                <w:sz w:val="24"/>
              </w:rPr>
            </w:pPr>
            <w:r>
              <w:rPr>
                <w:rFonts w:hint="eastAsia" w:ascii="宋体" w:hAnsi="宋体" w:cs="宋体"/>
                <w:color w:val="auto"/>
                <w:sz w:val="24"/>
              </w:rPr>
              <w:t>金额</w:t>
            </w:r>
          </w:p>
          <w:p>
            <w:pPr>
              <w:snapToGrid w:val="0"/>
              <w:spacing w:line="240" w:lineRule="exact"/>
              <w:jc w:val="center"/>
              <w:rPr>
                <w:rFonts w:hint="eastAsia" w:ascii="宋体" w:hAnsi="宋体" w:cs="宋体"/>
                <w:color w:val="auto"/>
                <w:sz w:val="24"/>
              </w:rPr>
            </w:pPr>
            <w:r>
              <w:rPr>
                <w:rFonts w:hint="eastAsia" w:ascii="宋体" w:hAnsi="宋体" w:cs="宋体"/>
                <w:color w:val="auto"/>
                <w:sz w:val="24"/>
              </w:rPr>
              <w:t>（万元）</w:t>
            </w:r>
          </w:p>
        </w:tc>
        <w:tc>
          <w:tcPr>
            <w:tcW w:w="4111" w:type="dxa"/>
            <w:gridSpan w:val="3"/>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宋体" w:hAnsi="宋体" w:cs="宋体"/>
                <w:color w:val="auto"/>
                <w:sz w:val="24"/>
              </w:rPr>
            </w:pPr>
            <w:r>
              <w:rPr>
                <w:rFonts w:hint="eastAsia" w:ascii="宋体" w:hAnsi="宋体" w:cs="宋体"/>
                <w:color w:val="auto"/>
                <w:sz w:val="24"/>
              </w:rPr>
              <w:t>附件在响应文件中页码</w:t>
            </w: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宋体" w:hAnsi="宋体" w:cs="宋体"/>
                <w:color w:val="auto"/>
                <w:sz w:val="24"/>
              </w:rPr>
            </w:pPr>
            <w:r>
              <w:rPr>
                <w:rFonts w:hint="eastAsia" w:ascii="宋体" w:hAnsi="宋体" w:cs="宋体"/>
                <w:color w:val="auto"/>
                <w:sz w:val="24"/>
              </w:rPr>
              <w:t>采购人联系人及联系电话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1063"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cs="宋体"/>
                <w:color w:val="auto"/>
                <w:sz w:val="24"/>
              </w:rPr>
            </w:pPr>
          </w:p>
        </w:tc>
        <w:tc>
          <w:tcPr>
            <w:tcW w:w="2164"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cs="宋体"/>
                <w:color w:val="auto"/>
                <w:sz w:val="24"/>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cs="宋体"/>
                <w:color w:val="auto"/>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宋体" w:hAnsi="宋体" w:eastAsia="宋体" w:cs="宋体"/>
                <w:color w:val="auto"/>
                <w:sz w:val="24"/>
                <w:lang w:val="en-US" w:eastAsia="zh-CN"/>
              </w:rPr>
            </w:pPr>
            <w:r>
              <w:rPr>
                <w:rFonts w:hint="eastAsia" w:ascii="宋体" w:hAnsi="宋体" w:cs="宋体"/>
                <w:color w:val="auto"/>
                <w:sz w:val="24"/>
              </w:rPr>
              <w:t>合同</w:t>
            </w:r>
            <w:r>
              <w:rPr>
                <w:rFonts w:hint="eastAsia" w:ascii="宋体" w:hAnsi="宋体" w:cs="宋体"/>
                <w:color w:val="auto"/>
                <w:sz w:val="24"/>
                <w:lang w:val="en-US" w:eastAsia="zh-CN"/>
              </w:rPr>
              <w:t>或</w:t>
            </w:r>
            <w:r>
              <w:rPr>
                <w:rFonts w:hint="eastAsia" w:ascii="宋体" w:hAnsi="宋体" w:eastAsia="宋体" w:cs="宋体"/>
                <w:color w:val="auto"/>
              </w:rPr>
              <w:t>中标（成交）通知书</w:t>
            </w:r>
          </w:p>
        </w:tc>
        <w:tc>
          <w:tcPr>
            <w:tcW w:w="1701"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宋体" w:hAnsi="宋体" w:cs="宋体"/>
                <w:color w:val="auto"/>
                <w:sz w:val="24"/>
              </w:rPr>
            </w:pPr>
            <w:r>
              <w:rPr>
                <w:rFonts w:hint="eastAsia" w:ascii="宋体" w:hAnsi="宋体" w:cs="宋体"/>
                <w:color w:val="auto"/>
                <w:sz w:val="24"/>
              </w:rPr>
              <w:t>验收报告</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宋体" w:hAnsi="宋体" w:cs="宋体"/>
                <w:color w:val="auto"/>
                <w:sz w:val="24"/>
              </w:rPr>
            </w:pPr>
            <w:r>
              <w:rPr>
                <w:rFonts w:hint="eastAsia" w:ascii="宋体" w:hAnsi="宋体" w:cs="宋体"/>
                <w:color w:val="auto"/>
                <w:sz w:val="24"/>
              </w:rPr>
              <w:t>用户评价</w:t>
            </w: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1063"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hint="eastAsia" w:ascii="宋体" w:hAnsi="宋体" w:cs="宋体"/>
                <w:color w:val="auto"/>
                <w:sz w:val="24"/>
              </w:rPr>
            </w:pPr>
          </w:p>
        </w:tc>
        <w:tc>
          <w:tcPr>
            <w:tcW w:w="2164"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hint="eastAsia" w:ascii="宋体" w:hAnsi="宋体" w:cs="宋体"/>
                <w:color w:val="auto"/>
                <w:sz w:val="24"/>
              </w:rPr>
            </w:pPr>
          </w:p>
        </w:tc>
        <w:tc>
          <w:tcPr>
            <w:tcW w:w="1134"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hint="eastAsia" w:ascii="宋体" w:hAnsi="宋体" w:cs="宋体"/>
                <w:color w:val="auto"/>
                <w:sz w:val="24"/>
              </w:rPr>
            </w:pPr>
          </w:p>
        </w:tc>
        <w:tc>
          <w:tcPr>
            <w:tcW w:w="1134"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hint="eastAsia" w:ascii="宋体" w:hAnsi="宋体" w:cs="宋体"/>
                <w:color w:val="auto"/>
                <w:sz w:val="24"/>
              </w:rPr>
            </w:pPr>
          </w:p>
        </w:tc>
        <w:tc>
          <w:tcPr>
            <w:tcW w:w="1701"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hint="eastAsia" w:ascii="宋体" w:hAnsi="宋体" w:cs="宋体"/>
                <w:color w:val="auto"/>
                <w:sz w:val="24"/>
              </w:rPr>
            </w:pPr>
          </w:p>
        </w:tc>
        <w:tc>
          <w:tcPr>
            <w:tcW w:w="1276"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hint="eastAsia" w:ascii="宋体" w:hAnsi="宋体" w:cs="宋体"/>
                <w:color w:val="auto"/>
                <w:sz w:val="24"/>
              </w:rPr>
            </w:pPr>
          </w:p>
        </w:tc>
        <w:tc>
          <w:tcPr>
            <w:tcW w:w="1842"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hint="eastAsia"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3"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cs="宋体"/>
                <w:color w:val="auto"/>
                <w:sz w:val="24"/>
              </w:rPr>
            </w:pPr>
          </w:p>
        </w:tc>
        <w:tc>
          <w:tcPr>
            <w:tcW w:w="2164"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cs="宋体"/>
                <w:color w:val="auto"/>
                <w:sz w:val="24"/>
              </w:rPr>
            </w:pPr>
          </w:p>
        </w:tc>
        <w:tc>
          <w:tcPr>
            <w:tcW w:w="1134"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cs="宋体"/>
                <w:color w:val="auto"/>
                <w:sz w:val="24"/>
              </w:rPr>
            </w:pPr>
          </w:p>
        </w:tc>
        <w:tc>
          <w:tcPr>
            <w:tcW w:w="1134"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cs="宋体"/>
                <w:color w:val="auto"/>
                <w:sz w:val="24"/>
              </w:rPr>
            </w:pPr>
          </w:p>
        </w:tc>
        <w:tc>
          <w:tcPr>
            <w:tcW w:w="1701"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cs="宋体"/>
                <w:color w:val="auto"/>
                <w:sz w:val="24"/>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cs="宋体"/>
                <w:color w:val="auto"/>
                <w:sz w:val="24"/>
              </w:rPr>
            </w:pPr>
          </w:p>
        </w:tc>
        <w:tc>
          <w:tcPr>
            <w:tcW w:w="1842"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1063"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cs="宋体"/>
                <w:color w:val="auto"/>
                <w:sz w:val="24"/>
              </w:rPr>
            </w:pPr>
          </w:p>
        </w:tc>
        <w:tc>
          <w:tcPr>
            <w:tcW w:w="2164"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cs="宋体"/>
                <w:color w:val="auto"/>
                <w:sz w:val="24"/>
              </w:rPr>
            </w:pPr>
          </w:p>
        </w:tc>
        <w:tc>
          <w:tcPr>
            <w:tcW w:w="1134"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cs="宋体"/>
                <w:color w:val="auto"/>
                <w:sz w:val="24"/>
              </w:rPr>
            </w:pPr>
          </w:p>
        </w:tc>
        <w:tc>
          <w:tcPr>
            <w:tcW w:w="1134"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cs="宋体"/>
                <w:color w:val="auto"/>
                <w:sz w:val="24"/>
              </w:rPr>
            </w:pPr>
          </w:p>
        </w:tc>
        <w:tc>
          <w:tcPr>
            <w:tcW w:w="1701"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cs="宋体"/>
                <w:color w:val="auto"/>
                <w:sz w:val="24"/>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cs="宋体"/>
                <w:color w:val="auto"/>
                <w:sz w:val="24"/>
              </w:rPr>
            </w:pPr>
          </w:p>
        </w:tc>
        <w:tc>
          <w:tcPr>
            <w:tcW w:w="1842"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3"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cs="宋体"/>
                <w:color w:val="auto"/>
                <w:sz w:val="24"/>
              </w:rPr>
            </w:pPr>
          </w:p>
        </w:tc>
        <w:tc>
          <w:tcPr>
            <w:tcW w:w="2164"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cs="宋体"/>
                <w:color w:val="auto"/>
                <w:sz w:val="24"/>
              </w:rPr>
            </w:pPr>
          </w:p>
        </w:tc>
        <w:tc>
          <w:tcPr>
            <w:tcW w:w="1134"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cs="宋体"/>
                <w:color w:val="auto"/>
                <w:sz w:val="24"/>
              </w:rPr>
            </w:pPr>
          </w:p>
        </w:tc>
        <w:tc>
          <w:tcPr>
            <w:tcW w:w="1134"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cs="宋体"/>
                <w:color w:val="auto"/>
                <w:sz w:val="24"/>
              </w:rPr>
            </w:pPr>
          </w:p>
        </w:tc>
        <w:tc>
          <w:tcPr>
            <w:tcW w:w="1701"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cs="宋体"/>
                <w:color w:val="auto"/>
                <w:sz w:val="24"/>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cs="宋体"/>
                <w:color w:val="auto"/>
                <w:sz w:val="24"/>
              </w:rPr>
            </w:pPr>
          </w:p>
        </w:tc>
        <w:tc>
          <w:tcPr>
            <w:tcW w:w="1842"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3"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cs="宋体"/>
                <w:color w:val="auto"/>
                <w:sz w:val="24"/>
              </w:rPr>
            </w:pPr>
          </w:p>
        </w:tc>
        <w:tc>
          <w:tcPr>
            <w:tcW w:w="2164"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cs="宋体"/>
                <w:color w:val="auto"/>
                <w:sz w:val="24"/>
              </w:rPr>
            </w:pPr>
          </w:p>
        </w:tc>
        <w:tc>
          <w:tcPr>
            <w:tcW w:w="1134"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cs="宋体"/>
                <w:color w:val="auto"/>
                <w:sz w:val="24"/>
              </w:rPr>
            </w:pPr>
          </w:p>
        </w:tc>
        <w:tc>
          <w:tcPr>
            <w:tcW w:w="1134"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cs="宋体"/>
                <w:color w:val="auto"/>
                <w:sz w:val="24"/>
              </w:rPr>
            </w:pPr>
          </w:p>
        </w:tc>
        <w:tc>
          <w:tcPr>
            <w:tcW w:w="1701"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cs="宋体"/>
                <w:color w:val="auto"/>
                <w:sz w:val="24"/>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cs="宋体"/>
                <w:color w:val="auto"/>
                <w:sz w:val="24"/>
              </w:rPr>
            </w:pPr>
          </w:p>
        </w:tc>
        <w:tc>
          <w:tcPr>
            <w:tcW w:w="1842"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cs="宋体"/>
                <w:color w:val="auto"/>
                <w:sz w:val="24"/>
              </w:rPr>
            </w:pPr>
          </w:p>
        </w:tc>
      </w:tr>
    </w:tbl>
    <w:p>
      <w:pPr>
        <w:snapToGrid w:val="0"/>
        <w:spacing w:line="360" w:lineRule="auto"/>
        <w:ind w:firstLine="4935" w:firstLineChars="2350"/>
        <w:rPr>
          <w:rFonts w:hint="eastAsia" w:ascii="宋体" w:hAnsi="宋体" w:cs="宋体"/>
          <w:color w:val="auto"/>
          <w:szCs w:val="21"/>
        </w:rPr>
      </w:pPr>
    </w:p>
    <w:p>
      <w:pPr>
        <w:snapToGrid w:val="0"/>
        <w:spacing w:line="360" w:lineRule="auto"/>
        <w:rPr>
          <w:rFonts w:hint="eastAsia" w:ascii="宋体" w:hAnsi="宋体" w:cs="宋体"/>
          <w:color w:val="auto"/>
          <w:szCs w:val="21"/>
        </w:rPr>
      </w:pPr>
      <w:r>
        <w:rPr>
          <w:rFonts w:hint="eastAsia" w:ascii="宋体" w:hAnsi="宋体" w:cs="宋体"/>
          <w:color w:val="auto"/>
          <w:sz w:val="24"/>
          <w:szCs w:val="20"/>
        </w:rPr>
        <w:t>注：在填写时，如本表格不适合供应商的实际情况，可参照本表格式自行制表填写，并附上相关证明材料</w:t>
      </w:r>
      <w:r>
        <w:rPr>
          <w:rFonts w:hint="eastAsia"/>
          <w:color w:val="auto"/>
        </w:rPr>
        <w:t>。</w:t>
      </w:r>
    </w:p>
    <w:p>
      <w:pPr>
        <w:snapToGrid w:val="0"/>
        <w:spacing w:line="360" w:lineRule="auto"/>
        <w:rPr>
          <w:rFonts w:hint="eastAsia" w:ascii="宋体" w:hAnsi="宋体" w:cs="宋体"/>
          <w:color w:val="auto"/>
          <w:szCs w:val="21"/>
        </w:rPr>
      </w:pPr>
    </w:p>
    <w:p>
      <w:pPr>
        <w:snapToGrid w:val="0"/>
        <w:spacing w:line="360" w:lineRule="auto"/>
        <w:rPr>
          <w:rFonts w:hint="eastAsia" w:ascii="宋体" w:hAnsi="宋体" w:cs="宋体"/>
          <w:color w:val="auto"/>
          <w:szCs w:val="21"/>
        </w:rPr>
      </w:pPr>
    </w:p>
    <w:p>
      <w:pPr>
        <w:snapToGrid w:val="0"/>
        <w:spacing w:line="360" w:lineRule="auto"/>
        <w:rPr>
          <w:rFonts w:hint="eastAsia" w:ascii="宋体" w:hAnsi="宋体" w:cs="宋体"/>
          <w:color w:val="auto"/>
          <w:kern w:val="0"/>
          <w:sz w:val="24"/>
        </w:rPr>
      </w:pPr>
      <w:r>
        <w:rPr>
          <w:rFonts w:hint="eastAsia" w:ascii="宋体" w:hAnsi="宋体" w:cs="宋体"/>
          <w:color w:val="auto"/>
          <w:szCs w:val="21"/>
        </w:rPr>
        <w:t xml:space="preserve">                                                                 </w:t>
      </w:r>
      <w:r>
        <w:rPr>
          <w:rFonts w:hint="eastAsia" w:ascii="宋体" w:hAnsi="宋体" w:cs="宋体"/>
          <w:color w:val="auto"/>
          <w:kern w:val="0"/>
          <w:sz w:val="24"/>
          <w:lang w:val="zh-CN"/>
        </w:rPr>
        <w:t>供应商名称(盖公章)：</w:t>
      </w:r>
    </w:p>
    <w:p>
      <w:pPr>
        <w:spacing w:line="500" w:lineRule="exact"/>
        <w:jc w:val="center"/>
        <w:rPr>
          <w:rFonts w:hint="eastAsia" w:ascii="宋体" w:hAnsi="宋体" w:cs="宋体"/>
          <w:color w:val="auto"/>
          <w:sz w:val="32"/>
          <w:szCs w:val="32"/>
        </w:rPr>
        <w:sectPr>
          <w:pgSz w:w="11911" w:h="16838"/>
          <w:pgMar w:top="1134" w:right="1134" w:bottom="1134" w:left="1134" w:header="720" w:footer="720" w:gutter="0"/>
          <w:cols w:space="720" w:num="1"/>
        </w:sectPr>
      </w:pPr>
      <w:r>
        <w:rPr>
          <w:rFonts w:hint="eastAsia" w:ascii="宋体" w:hAnsi="宋体" w:cs="宋体"/>
          <w:color w:val="auto"/>
          <w:kern w:val="0"/>
          <w:sz w:val="24"/>
          <w:lang w:val="zh-CN"/>
        </w:rPr>
        <w:t xml:space="preserve">                                                     日期</w:t>
      </w:r>
      <w:r>
        <w:rPr>
          <w:rFonts w:hint="eastAsia" w:ascii="宋体" w:hAnsi="宋体" w:cs="宋体"/>
          <w:color w:val="auto"/>
          <w:kern w:val="0"/>
          <w:sz w:val="24"/>
        </w:rPr>
        <w:t xml:space="preserve">：  年  </w:t>
      </w:r>
      <w:r>
        <w:rPr>
          <w:rFonts w:hint="eastAsia" w:ascii="宋体" w:hAnsi="宋体" w:cs="宋体"/>
          <w:color w:val="auto"/>
          <w:kern w:val="0"/>
          <w:sz w:val="24"/>
          <w:lang w:val="zh-CN"/>
        </w:rPr>
        <w:t>月</w:t>
      </w:r>
      <w:r>
        <w:rPr>
          <w:rFonts w:hint="eastAsia" w:ascii="宋体" w:hAnsi="宋体" w:cs="宋体"/>
          <w:color w:val="auto"/>
          <w:kern w:val="0"/>
          <w:sz w:val="24"/>
        </w:rPr>
        <w:t xml:space="preserve">   </w:t>
      </w:r>
      <w:r>
        <w:rPr>
          <w:rFonts w:hint="eastAsia" w:ascii="宋体" w:hAnsi="宋体" w:cs="宋体"/>
          <w:color w:val="auto"/>
          <w:kern w:val="0"/>
          <w:sz w:val="24"/>
          <w:lang w:val="zh-CN"/>
        </w:rPr>
        <w:t>日</w:t>
      </w:r>
    </w:p>
    <w:p>
      <w:pPr>
        <w:snapToGrid w:val="0"/>
        <w:spacing w:line="360" w:lineRule="auto"/>
        <w:rPr>
          <w:rFonts w:hint="eastAsia" w:ascii="宋体" w:hAnsi="宋体" w:cs="宋体"/>
          <w:color w:val="auto"/>
          <w:sz w:val="28"/>
          <w:szCs w:val="28"/>
        </w:rPr>
      </w:pPr>
      <w:r>
        <w:rPr>
          <w:rFonts w:hint="eastAsia" w:ascii="宋体" w:hAnsi="宋体" w:cs="宋体"/>
          <w:b/>
          <w:color w:val="auto"/>
          <w:sz w:val="28"/>
          <w:szCs w:val="28"/>
        </w:rPr>
        <w:t>8.服务需求偏离表的格式：</w:t>
      </w:r>
    </w:p>
    <w:p>
      <w:pPr>
        <w:spacing w:line="500" w:lineRule="exact"/>
        <w:jc w:val="center"/>
        <w:rPr>
          <w:rFonts w:hint="eastAsia" w:ascii="宋体" w:hAnsi="宋体" w:cs="宋体"/>
          <w:bCs/>
          <w:color w:val="auto"/>
          <w:sz w:val="44"/>
          <w:szCs w:val="44"/>
        </w:rPr>
      </w:pPr>
      <w:r>
        <w:rPr>
          <w:rFonts w:hint="eastAsia" w:ascii="宋体" w:hAnsi="宋体" w:cs="宋体"/>
          <w:bCs/>
          <w:color w:val="auto"/>
          <w:sz w:val="44"/>
          <w:szCs w:val="44"/>
        </w:rPr>
        <w:t>服务需求偏离表</w:t>
      </w:r>
    </w:p>
    <w:p>
      <w:pPr>
        <w:spacing w:line="360" w:lineRule="auto"/>
        <w:contextualSpacing/>
        <w:jc w:val="left"/>
        <w:rPr>
          <w:rFonts w:hint="eastAsia" w:ascii="宋体" w:hAnsi="宋体" w:cs="宋体"/>
          <w:color w:val="auto"/>
          <w:sz w:val="24"/>
        </w:rPr>
      </w:pPr>
    </w:p>
    <w:p>
      <w:pPr>
        <w:spacing w:line="360" w:lineRule="auto"/>
        <w:ind w:firstLine="720" w:firstLineChars="300"/>
        <w:contextualSpacing/>
        <w:rPr>
          <w:rFonts w:hint="eastAsia" w:ascii="宋体" w:hAnsi="宋体" w:cs="宋体"/>
          <w:color w:val="auto"/>
          <w:sz w:val="24"/>
          <w:u w:val="single"/>
        </w:rPr>
      </w:pPr>
      <w:r>
        <w:rPr>
          <w:rFonts w:hint="eastAsia" w:ascii="宋体" w:hAnsi="宋体" w:cs="宋体"/>
          <w:color w:val="auto"/>
          <w:sz w:val="24"/>
        </w:rPr>
        <w:t>项目名称：</w:t>
      </w:r>
      <w:r>
        <w:rPr>
          <w:rFonts w:hint="eastAsia" w:ascii="宋体" w:hAnsi="宋体" w:cs="宋体"/>
          <w:color w:val="auto"/>
          <w:sz w:val="24"/>
          <w:u w:val="single"/>
        </w:rPr>
        <w:t xml:space="preserve">                 </w:t>
      </w:r>
    </w:p>
    <w:p>
      <w:pPr>
        <w:spacing w:line="360" w:lineRule="auto"/>
        <w:ind w:firstLine="720" w:firstLineChars="300"/>
        <w:contextualSpacing/>
        <w:rPr>
          <w:rFonts w:hint="eastAsia" w:ascii="宋体" w:hAnsi="宋体" w:cs="宋体"/>
          <w:color w:val="auto"/>
          <w:sz w:val="24"/>
        </w:rPr>
      </w:pPr>
      <w:r>
        <w:rPr>
          <w:rFonts w:hint="eastAsia" w:ascii="宋体" w:hAnsi="宋体" w:cs="宋体"/>
          <w:color w:val="auto"/>
          <w:sz w:val="24"/>
        </w:rPr>
        <w:t>项目编号：</w:t>
      </w:r>
      <w:r>
        <w:rPr>
          <w:rFonts w:hint="eastAsia" w:ascii="宋体" w:hAnsi="宋体" w:cs="宋体"/>
          <w:color w:val="auto"/>
          <w:sz w:val="24"/>
          <w:u w:val="single"/>
        </w:rPr>
        <w:t xml:space="preserve">                 </w:t>
      </w:r>
    </w:p>
    <w:p>
      <w:pPr>
        <w:spacing w:line="360" w:lineRule="auto"/>
        <w:ind w:firstLine="720" w:firstLineChars="300"/>
        <w:contextualSpacing/>
        <w:rPr>
          <w:rFonts w:hint="eastAsia" w:ascii="宋体" w:hAnsi="宋体" w:cs="宋体"/>
          <w:color w:val="auto"/>
          <w:sz w:val="24"/>
          <w:u w:val="single"/>
        </w:rPr>
      </w:pPr>
      <w:r>
        <w:rPr>
          <w:rFonts w:hint="eastAsia" w:ascii="宋体" w:hAnsi="宋体" w:cs="宋体"/>
          <w:color w:val="auto"/>
          <w:sz w:val="24"/>
        </w:rPr>
        <w:t>所竞分标（如有则填写，无分标时填写“无”或者留空）：</w:t>
      </w:r>
      <w:r>
        <w:rPr>
          <w:rFonts w:hint="eastAsia" w:ascii="宋体" w:hAnsi="宋体" w:cs="宋体"/>
          <w:color w:val="auto"/>
          <w:sz w:val="24"/>
          <w:u w:val="single"/>
        </w:rPr>
        <w:t xml:space="preserve">              </w:t>
      </w:r>
    </w:p>
    <w:tbl>
      <w:tblPr>
        <w:tblStyle w:val="32"/>
        <w:tblW w:w="91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175"/>
        <w:gridCol w:w="3197"/>
        <w:gridCol w:w="2944"/>
        <w:gridCol w:w="1095"/>
      </w:tblGrid>
      <w:tr>
        <w:tblPrEx>
          <w:tblCellMar>
            <w:top w:w="0" w:type="dxa"/>
            <w:left w:w="108" w:type="dxa"/>
            <w:bottom w:w="0" w:type="dxa"/>
            <w:right w:w="108" w:type="dxa"/>
          </w:tblCellMar>
        </w:tblPrEx>
        <w:trPr>
          <w:cantSplit/>
          <w:trHeight w:val="972" w:hRule="atLeast"/>
          <w:jc w:val="center"/>
        </w:trPr>
        <w:tc>
          <w:tcPr>
            <w:tcW w:w="754"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color w:val="auto"/>
                <w:szCs w:val="21"/>
              </w:rPr>
            </w:pPr>
            <w:r>
              <w:rPr>
                <w:rFonts w:hint="eastAsia" w:ascii="宋体" w:hAnsi="宋体" w:cs="宋体"/>
                <w:color w:val="auto"/>
                <w:szCs w:val="21"/>
              </w:rPr>
              <w:t>项号</w:t>
            </w:r>
          </w:p>
        </w:tc>
        <w:tc>
          <w:tcPr>
            <w:tcW w:w="11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szCs w:val="21"/>
              </w:rPr>
              <w:t>标的名称</w:t>
            </w:r>
          </w:p>
        </w:tc>
        <w:tc>
          <w:tcPr>
            <w:tcW w:w="31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lang w:eastAsia="zh-CN"/>
              </w:rPr>
            </w:pPr>
            <w:r>
              <w:rPr>
                <w:rFonts w:hint="eastAsia" w:ascii="宋体" w:hAnsi="宋体" w:cs="宋体"/>
                <w:color w:val="auto"/>
                <w:szCs w:val="21"/>
              </w:rPr>
              <w:t>竞争性磋商文件</w:t>
            </w:r>
            <w:r>
              <w:rPr>
                <w:rFonts w:hint="eastAsia" w:ascii="宋体" w:hAnsi="宋体"/>
                <w:color w:val="auto"/>
                <w:szCs w:val="21"/>
              </w:rPr>
              <w:t>采购需求中的</w:t>
            </w:r>
            <w:r>
              <w:rPr>
                <w:rFonts w:hint="eastAsia" w:ascii="宋体" w:hAnsi="宋体"/>
                <w:color w:val="auto"/>
                <w:szCs w:val="21"/>
                <w:lang w:eastAsia="zh-CN"/>
              </w:rPr>
              <w:t>技术要求</w:t>
            </w:r>
          </w:p>
        </w:tc>
        <w:tc>
          <w:tcPr>
            <w:tcW w:w="294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lang w:eastAsia="zh-CN"/>
              </w:rPr>
            </w:pPr>
            <w:r>
              <w:rPr>
                <w:rFonts w:hint="eastAsia" w:ascii="宋体" w:hAnsi="宋体" w:cs="宋体"/>
                <w:color w:val="auto"/>
                <w:szCs w:val="21"/>
              </w:rPr>
              <w:t>响应文件响应的</w:t>
            </w:r>
            <w:r>
              <w:rPr>
                <w:rFonts w:hint="eastAsia" w:ascii="宋体" w:hAnsi="宋体"/>
                <w:color w:val="auto"/>
                <w:szCs w:val="21"/>
                <w:lang w:eastAsia="zh-CN"/>
              </w:rPr>
              <w:t>技术要求</w:t>
            </w:r>
          </w:p>
        </w:tc>
        <w:tc>
          <w:tcPr>
            <w:tcW w:w="109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color w:val="auto"/>
                <w:szCs w:val="21"/>
              </w:rPr>
            </w:pPr>
            <w:r>
              <w:rPr>
                <w:rFonts w:hint="eastAsia" w:ascii="宋体" w:hAnsi="宋体" w:cs="宋体"/>
                <w:color w:val="auto"/>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75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auto"/>
                <w:szCs w:val="21"/>
              </w:rPr>
            </w:pPr>
            <w:r>
              <w:rPr>
                <w:rFonts w:hint="eastAsia" w:ascii="宋体" w:hAnsi="宋体" w:cs="宋体"/>
                <w:color w:val="auto"/>
                <w:szCs w:val="21"/>
              </w:rPr>
              <w:t>1</w:t>
            </w:r>
          </w:p>
        </w:tc>
        <w:tc>
          <w:tcPr>
            <w:tcW w:w="117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color w:val="auto"/>
                <w:szCs w:val="21"/>
              </w:rPr>
            </w:pPr>
          </w:p>
        </w:tc>
        <w:tc>
          <w:tcPr>
            <w:tcW w:w="319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color w:val="auto"/>
                <w:szCs w:val="21"/>
              </w:rPr>
            </w:pPr>
          </w:p>
        </w:tc>
        <w:tc>
          <w:tcPr>
            <w:tcW w:w="2944"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color w:val="auto"/>
                <w:szCs w:val="21"/>
              </w:rPr>
            </w:pPr>
          </w:p>
        </w:tc>
        <w:tc>
          <w:tcPr>
            <w:tcW w:w="109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75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auto"/>
                <w:szCs w:val="21"/>
              </w:rPr>
            </w:pPr>
            <w:r>
              <w:rPr>
                <w:rFonts w:hint="eastAsia" w:ascii="宋体" w:hAnsi="宋体" w:cs="宋体"/>
                <w:color w:val="auto"/>
                <w:szCs w:val="21"/>
              </w:rPr>
              <w:t>2</w:t>
            </w:r>
          </w:p>
        </w:tc>
        <w:tc>
          <w:tcPr>
            <w:tcW w:w="117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color w:val="auto"/>
                <w:szCs w:val="21"/>
              </w:rPr>
            </w:pPr>
          </w:p>
        </w:tc>
        <w:tc>
          <w:tcPr>
            <w:tcW w:w="319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color w:val="auto"/>
                <w:szCs w:val="21"/>
              </w:rPr>
            </w:pPr>
          </w:p>
        </w:tc>
        <w:tc>
          <w:tcPr>
            <w:tcW w:w="2944"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color w:val="auto"/>
                <w:szCs w:val="21"/>
              </w:rPr>
            </w:pPr>
          </w:p>
        </w:tc>
        <w:tc>
          <w:tcPr>
            <w:tcW w:w="109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75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auto"/>
                <w:szCs w:val="21"/>
              </w:rPr>
            </w:pPr>
          </w:p>
        </w:tc>
        <w:tc>
          <w:tcPr>
            <w:tcW w:w="117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color w:val="auto"/>
                <w:szCs w:val="21"/>
              </w:rPr>
            </w:pPr>
          </w:p>
        </w:tc>
        <w:tc>
          <w:tcPr>
            <w:tcW w:w="319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color w:val="auto"/>
                <w:szCs w:val="21"/>
              </w:rPr>
            </w:pPr>
          </w:p>
        </w:tc>
        <w:tc>
          <w:tcPr>
            <w:tcW w:w="2944"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color w:val="auto"/>
                <w:szCs w:val="21"/>
              </w:rPr>
            </w:pPr>
          </w:p>
        </w:tc>
        <w:tc>
          <w:tcPr>
            <w:tcW w:w="109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color w:val="auto"/>
                <w:szCs w:val="21"/>
              </w:rPr>
            </w:pPr>
          </w:p>
        </w:tc>
      </w:tr>
    </w:tbl>
    <w:p>
      <w:pPr>
        <w:pStyle w:val="16"/>
        <w:ind w:firstLine="845"/>
        <w:rPr>
          <w:rFonts w:hint="eastAsia" w:ascii="宋体" w:hAnsi="宋体" w:cs="宋体"/>
          <w:color w:val="auto"/>
          <w:sz w:val="24"/>
          <w:u w:val="single"/>
        </w:rPr>
      </w:pPr>
    </w:p>
    <w:p>
      <w:pPr>
        <w:pStyle w:val="14"/>
        <w:spacing w:after="0" w:line="360" w:lineRule="auto"/>
        <w:contextualSpacing/>
        <w:rPr>
          <w:rFonts w:hint="eastAsia" w:ascii="宋体" w:hAnsi="宋体" w:cs="宋体"/>
          <w:color w:val="auto"/>
          <w:kern w:val="0"/>
          <w:sz w:val="24"/>
          <w:szCs w:val="24"/>
        </w:rPr>
      </w:pPr>
    </w:p>
    <w:p>
      <w:pPr>
        <w:pStyle w:val="14"/>
        <w:spacing w:after="0" w:line="480" w:lineRule="auto"/>
        <w:ind w:firstLine="420" w:firstLineChars="200"/>
        <w:contextualSpacing/>
        <w:rPr>
          <w:rFonts w:hint="eastAsia" w:ascii="宋体" w:hAnsi="宋体" w:cs="宋体"/>
          <w:color w:val="auto"/>
          <w:kern w:val="0"/>
          <w:sz w:val="21"/>
          <w:szCs w:val="21"/>
        </w:rPr>
      </w:pPr>
      <w:r>
        <w:rPr>
          <w:rFonts w:hint="eastAsia" w:ascii="宋体" w:hAnsi="宋体" w:cs="宋体"/>
          <w:color w:val="auto"/>
          <w:kern w:val="0"/>
          <w:sz w:val="21"/>
          <w:szCs w:val="21"/>
        </w:rPr>
        <w:t>注：</w:t>
      </w:r>
    </w:p>
    <w:p>
      <w:pPr>
        <w:pStyle w:val="14"/>
        <w:spacing w:after="0" w:line="480" w:lineRule="auto"/>
        <w:ind w:firstLine="420" w:firstLineChars="200"/>
        <w:contextualSpacing/>
        <w:rPr>
          <w:rFonts w:hint="eastAsia" w:ascii="宋体" w:hAnsi="宋体" w:cs="宋体"/>
          <w:color w:val="auto"/>
          <w:kern w:val="0"/>
          <w:sz w:val="21"/>
          <w:szCs w:val="21"/>
        </w:rPr>
      </w:pPr>
      <w:r>
        <w:rPr>
          <w:rFonts w:hint="eastAsia" w:ascii="宋体" w:hAnsi="宋体" w:cs="宋体"/>
          <w:color w:val="auto"/>
          <w:kern w:val="0"/>
          <w:sz w:val="21"/>
          <w:szCs w:val="21"/>
        </w:rPr>
        <w:t xml:space="preserve">1.说明：应对照磋商文件“第二章  </w:t>
      </w:r>
      <w:r>
        <w:rPr>
          <w:rFonts w:hint="eastAsia" w:ascii="Cambria" w:hAnsi="Cambria"/>
          <w:bCs/>
          <w:color w:val="auto"/>
          <w:sz w:val="21"/>
          <w:szCs w:val="21"/>
        </w:rPr>
        <w:t>采购需求</w:t>
      </w:r>
      <w:r>
        <w:rPr>
          <w:rFonts w:hint="eastAsia" w:ascii="宋体" w:hAnsi="宋体" w:cs="宋体"/>
          <w:color w:val="auto"/>
          <w:kern w:val="0"/>
          <w:sz w:val="21"/>
          <w:szCs w:val="21"/>
        </w:rPr>
        <w:t>”中“需求一览表”的</w:t>
      </w:r>
      <w:r>
        <w:rPr>
          <w:rFonts w:hint="eastAsia" w:ascii="宋体" w:hAnsi="宋体" w:cs="宋体"/>
          <w:color w:val="auto"/>
          <w:kern w:val="0"/>
          <w:sz w:val="21"/>
          <w:szCs w:val="21"/>
          <w:lang w:eastAsia="zh-CN"/>
        </w:rPr>
        <w:t>技术要求</w:t>
      </w:r>
      <w:r>
        <w:rPr>
          <w:rFonts w:hint="eastAsia" w:ascii="宋体" w:hAnsi="宋体" w:cs="宋体"/>
          <w:color w:val="auto"/>
          <w:kern w:val="0"/>
          <w:sz w:val="21"/>
          <w:szCs w:val="21"/>
        </w:rPr>
        <w:t>条款逐条作出明确响应，并作出偏离说明。</w:t>
      </w:r>
    </w:p>
    <w:p>
      <w:pPr>
        <w:pStyle w:val="16"/>
        <w:spacing w:line="480" w:lineRule="auto"/>
        <w:ind w:firstLine="420" w:firstLineChars="200"/>
        <w:contextualSpacing/>
        <w:rPr>
          <w:rFonts w:hint="eastAsia" w:ascii="宋体" w:hAnsi="宋体" w:eastAsia="宋体" w:cs="宋体"/>
          <w:color w:val="auto"/>
          <w:sz w:val="21"/>
          <w:szCs w:val="21"/>
        </w:rPr>
      </w:pPr>
      <w:r>
        <w:rPr>
          <w:rFonts w:hint="eastAsia" w:ascii="宋体" w:hAnsi="宋体" w:eastAsia="宋体" w:cs="宋体"/>
          <w:color w:val="auto"/>
          <w:sz w:val="21"/>
          <w:szCs w:val="21"/>
        </w:rPr>
        <w:t>2.供应商应根据自身的承诺，对照磋商文件要求，在“偏离说明”中注明“正偏离”或者“负偏离”或者“无偏离”。既不属于“正偏离”也不属于“负偏离”即为“无偏离”。 当响应文件的</w:t>
      </w:r>
      <w:r>
        <w:rPr>
          <w:rFonts w:hint="eastAsia" w:ascii="宋体" w:hAnsi="宋体" w:eastAsia="宋体" w:cs="宋体"/>
          <w:color w:val="auto"/>
          <w:sz w:val="21"/>
          <w:szCs w:val="21"/>
          <w:lang w:eastAsia="zh-CN"/>
        </w:rPr>
        <w:t>技术要求</w:t>
      </w:r>
      <w:r>
        <w:rPr>
          <w:rFonts w:hint="eastAsia" w:ascii="宋体" w:hAnsi="宋体" w:eastAsia="宋体" w:cs="宋体"/>
          <w:color w:val="auto"/>
          <w:sz w:val="21"/>
          <w:szCs w:val="21"/>
        </w:rPr>
        <w:t>内容低于竞争性磋商文件要求时，供应商应当如实写明“负偏离”。</w:t>
      </w:r>
    </w:p>
    <w:p>
      <w:pPr>
        <w:spacing w:line="48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3.表格内容均需按要求填写并盖公章，不得留空，</w:t>
      </w:r>
      <w:r>
        <w:rPr>
          <w:rFonts w:hint="eastAsia" w:ascii="宋体" w:hAnsi="宋体" w:cs="宋体"/>
          <w:b/>
          <w:bCs/>
          <w:color w:val="auto"/>
          <w:kern w:val="0"/>
          <w:szCs w:val="21"/>
        </w:rPr>
        <w:t>否则按竞标无效处理。</w:t>
      </w:r>
    </w:p>
    <w:p>
      <w:pPr>
        <w:pStyle w:val="16"/>
        <w:spacing w:line="480" w:lineRule="auto"/>
        <w:ind w:firstLine="420" w:firstLineChars="200"/>
        <w:contextualSpacing/>
        <w:rPr>
          <w:rFonts w:hint="eastAsia" w:ascii="宋体" w:hAnsi="宋体" w:eastAsia="宋体" w:cs="宋体"/>
          <w:color w:val="auto"/>
          <w:sz w:val="21"/>
          <w:szCs w:val="21"/>
        </w:rPr>
      </w:pPr>
    </w:p>
    <w:p>
      <w:pPr>
        <w:snapToGrid w:val="0"/>
        <w:spacing w:line="360" w:lineRule="auto"/>
        <w:rPr>
          <w:rFonts w:hint="eastAsia" w:ascii="宋体" w:hAnsi="宋体" w:cs="宋体"/>
          <w:b/>
          <w:color w:val="auto"/>
          <w:sz w:val="30"/>
          <w:szCs w:val="30"/>
        </w:rPr>
      </w:pPr>
    </w:p>
    <w:p>
      <w:pPr>
        <w:autoSpaceDE w:val="0"/>
        <w:autoSpaceDN w:val="0"/>
        <w:spacing w:line="360" w:lineRule="auto"/>
        <w:ind w:left="4335" w:leftChars="1950" w:hanging="240" w:hangingChars="100"/>
        <w:rPr>
          <w:rFonts w:hint="eastAsia" w:ascii="宋体" w:hAnsi="宋体" w:cs="宋体"/>
          <w:color w:val="auto"/>
          <w:kern w:val="0"/>
          <w:sz w:val="24"/>
        </w:rPr>
      </w:pPr>
      <w:r>
        <w:rPr>
          <w:rFonts w:hint="eastAsia" w:ascii="宋体" w:hAnsi="宋体" w:cs="宋体"/>
          <w:color w:val="auto"/>
          <w:kern w:val="0"/>
          <w:sz w:val="24"/>
        </w:rPr>
        <w:t>供应商名称（盖公章）：</w:t>
      </w:r>
    </w:p>
    <w:p>
      <w:pPr>
        <w:autoSpaceDE w:val="0"/>
        <w:autoSpaceDN w:val="0"/>
        <w:spacing w:line="360" w:lineRule="auto"/>
        <w:ind w:firstLine="6480" w:firstLineChars="2700"/>
        <w:rPr>
          <w:rFonts w:hint="eastAsia" w:ascii="宋体" w:hAnsi="宋体" w:cs="宋体"/>
          <w:color w:val="auto"/>
          <w:kern w:val="0"/>
          <w:sz w:val="24"/>
          <w:lang w:val="zh-CN"/>
        </w:rPr>
      </w:pPr>
      <w:r>
        <w:rPr>
          <w:rFonts w:hint="eastAsia" w:ascii="宋体" w:hAnsi="宋体" w:cs="宋体"/>
          <w:color w:val="auto"/>
          <w:kern w:val="0"/>
          <w:sz w:val="24"/>
          <w:lang w:val="zh-CN"/>
        </w:rPr>
        <w:t>日期：  年  月   日</w:t>
      </w:r>
    </w:p>
    <w:p>
      <w:pPr>
        <w:snapToGrid w:val="0"/>
        <w:spacing w:line="360" w:lineRule="auto"/>
        <w:rPr>
          <w:rFonts w:hint="eastAsia" w:ascii="宋体" w:hAnsi="宋体" w:cs="宋体"/>
          <w:b/>
          <w:color w:val="auto"/>
          <w:sz w:val="28"/>
          <w:szCs w:val="28"/>
        </w:rPr>
      </w:pPr>
    </w:p>
    <w:p>
      <w:pPr>
        <w:snapToGrid w:val="0"/>
        <w:spacing w:line="360" w:lineRule="auto"/>
        <w:rPr>
          <w:rFonts w:hint="eastAsia" w:ascii="宋体" w:hAnsi="宋体" w:cs="宋体"/>
          <w:b/>
          <w:color w:val="auto"/>
          <w:sz w:val="28"/>
          <w:szCs w:val="28"/>
        </w:rPr>
      </w:pPr>
    </w:p>
    <w:p>
      <w:pPr>
        <w:snapToGrid w:val="0"/>
        <w:spacing w:line="360" w:lineRule="auto"/>
        <w:rPr>
          <w:rFonts w:hint="eastAsia" w:ascii="宋体" w:hAnsi="宋体" w:eastAsia="宋体" w:cs="宋体"/>
          <w:b/>
          <w:color w:val="auto"/>
          <w:sz w:val="28"/>
          <w:szCs w:val="28"/>
          <w:lang w:eastAsia="zh-CN"/>
        </w:rPr>
      </w:pPr>
      <w:r>
        <w:rPr>
          <w:rFonts w:hint="eastAsia" w:ascii="宋体" w:hAnsi="宋体" w:cs="宋体"/>
          <w:b/>
          <w:color w:val="auto"/>
          <w:sz w:val="28"/>
          <w:szCs w:val="28"/>
        </w:rPr>
        <w:t>9.</w:t>
      </w:r>
      <w:r>
        <w:rPr>
          <w:rFonts w:hint="eastAsia" w:ascii="宋体" w:hAnsi="宋体" w:cs="宋体"/>
          <w:b/>
          <w:color w:val="auto"/>
          <w:sz w:val="28"/>
          <w:szCs w:val="28"/>
          <w:lang w:eastAsia="zh-CN"/>
        </w:rPr>
        <w:t>项目方案</w:t>
      </w:r>
    </w:p>
    <w:p>
      <w:pPr>
        <w:autoSpaceDE w:val="0"/>
        <w:autoSpaceDN w:val="0"/>
        <w:spacing w:line="360" w:lineRule="auto"/>
        <w:jc w:val="center"/>
        <w:rPr>
          <w:rFonts w:hint="eastAsia" w:ascii="宋体" w:hAnsi="宋体" w:cs="宋体"/>
          <w:color w:val="auto"/>
          <w:sz w:val="24"/>
        </w:rPr>
      </w:pPr>
      <w:r>
        <w:rPr>
          <w:rFonts w:hint="eastAsia" w:ascii="宋体" w:hAnsi="宋体" w:cs="宋体"/>
          <w:color w:val="auto"/>
          <w:sz w:val="24"/>
        </w:rPr>
        <w:t>（由供应商根据采购需求及采购文件要求编制）</w:t>
      </w:r>
    </w:p>
    <w:p>
      <w:pPr>
        <w:pStyle w:val="2"/>
        <w:rPr>
          <w:rFonts w:hint="eastAsia" w:ascii="宋体" w:hAnsi="宋体" w:cs="宋体"/>
          <w:color w:val="auto"/>
          <w:kern w:val="0"/>
          <w:sz w:val="24"/>
          <w:lang w:val="zh-CN"/>
        </w:rPr>
      </w:pPr>
    </w:p>
    <w:p>
      <w:pPr>
        <w:rPr>
          <w:rFonts w:hint="eastAsia" w:ascii="宋体" w:hAnsi="宋体" w:cs="宋体"/>
          <w:color w:val="auto"/>
          <w:kern w:val="0"/>
          <w:sz w:val="24"/>
          <w:lang w:val="zh-CN"/>
        </w:rPr>
      </w:pPr>
    </w:p>
    <w:p>
      <w:pPr>
        <w:pStyle w:val="2"/>
        <w:rPr>
          <w:rFonts w:hint="eastAsia" w:ascii="宋体" w:hAnsi="宋体" w:cs="宋体"/>
          <w:color w:val="auto"/>
          <w:kern w:val="0"/>
          <w:sz w:val="24"/>
          <w:lang w:val="zh-CN"/>
        </w:rPr>
      </w:pPr>
    </w:p>
    <w:p>
      <w:pPr>
        <w:rPr>
          <w:rFonts w:hint="eastAsia"/>
          <w:color w:val="auto"/>
          <w:lang w:val="zh-CN"/>
        </w:rPr>
      </w:pPr>
    </w:p>
    <w:p>
      <w:pPr>
        <w:rPr>
          <w:rFonts w:hint="eastAsia"/>
          <w:color w:val="auto"/>
          <w:lang w:val="zh-CN"/>
        </w:rPr>
      </w:pPr>
    </w:p>
    <w:p>
      <w:pPr>
        <w:pStyle w:val="2"/>
        <w:jc w:val="center"/>
        <w:rPr>
          <w:rFonts w:ascii="宋体" w:hAnsi="宋体" w:cs="宋体"/>
          <w:color w:val="auto"/>
          <w:kern w:val="0"/>
          <w:sz w:val="24"/>
        </w:rPr>
      </w:pPr>
      <w:r>
        <w:rPr>
          <w:rFonts w:hint="eastAsia" w:ascii="宋体" w:hAnsi="宋体" w:cs="宋体"/>
          <w:color w:val="auto"/>
          <w:kern w:val="0"/>
          <w:sz w:val="24"/>
        </w:rPr>
        <w:t>（格式自拟）</w:t>
      </w:r>
    </w:p>
    <w:p>
      <w:pPr>
        <w:rPr>
          <w:rFonts w:hint="eastAsia" w:ascii="宋体" w:hAnsi="宋体" w:cs="宋体"/>
          <w:color w:val="auto"/>
          <w:kern w:val="0"/>
          <w:sz w:val="24"/>
          <w:lang w:val="zh-CN"/>
        </w:rPr>
      </w:pPr>
    </w:p>
    <w:p>
      <w:pPr>
        <w:pStyle w:val="2"/>
        <w:rPr>
          <w:rFonts w:hint="eastAsia" w:ascii="宋体" w:hAnsi="宋体" w:cs="宋体"/>
          <w:color w:val="auto"/>
          <w:kern w:val="0"/>
          <w:sz w:val="24"/>
          <w:lang w:val="zh-CN"/>
        </w:rPr>
      </w:pPr>
    </w:p>
    <w:p>
      <w:pPr>
        <w:rPr>
          <w:rFonts w:hint="eastAsia" w:ascii="宋体" w:hAnsi="宋体" w:cs="宋体"/>
          <w:color w:val="auto"/>
          <w:kern w:val="0"/>
          <w:sz w:val="24"/>
          <w:lang w:val="zh-CN"/>
        </w:rPr>
      </w:pPr>
    </w:p>
    <w:p>
      <w:pPr>
        <w:pStyle w:val="2"/>
        <w:rPr>
          <w:rFonts w:hint="eastAsia"/>
          <w:color w:val="auto"/>
          <w:lang w:val="zh-CN"/>
        </w:rPr>
      </w:pPr>
    </w:p>
    <w:p>
      <w:pPr>
        <w:rPr>
          <w:rFonts w:hint="eastAsia"/>
          <w:color w:val="auto"/>
          <w:lang w:val="zh-CN"/>
        </w:rPr>
      </w:pPr>
    </w:p>
    <w:p>
      <w:pPr>
        <w:pStyle w:val="2"/>
        <w:ind w:firstLine="3840" w:firstLineChars="1600"/>
        <w:rPr>
          <w:rFonts w:hint="eastAsia" w:ascii="宋体" w:hAnsi="宋体" w:cs="宋体"/>
          <w:b w:val="0"/>
          <w:bCs w:val="0"/>
          <w:color w:val="auto"/>
          <w:kern w:val="0"/>
          <w:sz w:val="24"/>
          <w:lang w:val="zh-CN"/>
        </w:rPr>
      </w:pPr>
      <w:r>
        <w:rPr>
          <w:rFonts w:hint="eastAsia" w:ascii="宋体" w:hAnsi="宋体" w:cs="宋体"/>
          <w:b w:val="0"/>
          <w:bCs w:val="0"/>
          <w:color w:val="auto"/>
          <w:kern w:val="0"/>
          <w:sz w:val="24"/>
          <w:lang w:val="zh-CN"/>
        </w:rPr>
        <w:t>供应商名称（盖公章）：</w:t>
      </w:r>
    </w:p>
    <w:p>
      <w:pPr>
        <w:pStyle w:val="2"/>
        <w:ind w:firstLine="6000" w:firstLineChars="2500"/>
        <w:rPr>
          <w:rFonts w:hint="eastAsia" w:ascii="宋体" w:hAnsi="宋体" w:cs="宋体"/>
          <w:b w:val="0"/>
          <w:bCs w:val="0"/>
          <w:color w:val="auto"/>
          <w:kern w:val="0"/>
          <w:sz w:val="24"/>
          <w:lang w:val="zh-CN"/>
        </w:rPr>
      </w:pPr>
      <w:r>
        <w:rPr>
          <w:rFonts w:hint="eastAsia" w:ascii="宋体" w:hAnsi="宋体" w:cs="宋体"/>
          <w:b w:val="0"/>
          <w:bCs w:val="0"/>
          <w:color w:val="auto"/>
          <w:kern w:val="0"/>
          <w:sz w:val="24"/>
          <w:lang w:val="zh-CN"/>
        </w:rPr>
        <w:t>日期：  年  月   日</w:t>
      </w:r>
    </w:p>
    <w:p>
      <w:pPr>
        <w:autoSpaceDE w:val="0"/>
        <w:autoSpaceDN w:val="0"/>
        <w:spacing w:line="360" w:lineRule="auto"/>
        <w:ind w:firstLine="6480" w:firstLineChars="2700"/>
        <w:rPr>
          <w:rFonts w:hint="eastAsia" w:ascii="仿宋_GB2312" w:hAnsi="仿宋" w:eastAsia="仿宋_GB2312" w:cs="仿宋_GB2312"/>
          <w:color w:val="auto"/>
          <w:kern w:val="0"/>
          <w:sz w:val="24"/>
          <w:lang w:val="zh-CN"/>
        </w:rPr>
      </w:pPr>
    </w:p>
    <w:p>
      <w:pPr>
        <w:autoSpaceDE w:val="0"/>
        <w:autoSpaceDN w:val="0"/>
        <w:spacing w:line="360" w:lineRule="auto"/>
        <w:ind w:firstLine="8132" w:firstLineChars="2700"/>
        <w:rPr>
          <w:rFonts w:ascii="仿宋_GB2312" w:hAnsi="仿宋" w:eastAsia="仿宋_GB2312" w:cs="仿宋_GB2312"/>
          <w:b/>
          <w:bCs/>
          <w:color w:val="auto"/>
          <w:sz w:val="24"/>
        </w:rPr>
      </w:pPr>
      <w:r>
        <w:rPr>
          <w:rFonts w:hint="eastAsia" w:ascii="仿宋" w:hAnsi="仿宋" w:eastAsia="仿宋" w:cs="仿宋_GB2312"/>
          <w:b/>
          <w:color w:val="auto"/>
          <w:sz w:val="30"/>
          <w:szCs w:val="30"/>
        </w:rPr>
        <w:br w:type="page"/>
      </w:r>
    </w:p>
    <w:p>
      <w:pPr>
        <w:pStyle w:val="3"/>
        <w:jc w:val="center"/>
        <w:rPr>
          <w:rFonts w:hint="eastAsia" w:ascii="宋体" w:hAnsi="宋体"/>
          <w:color w:val="auto"/>
        </w:rPr>
      </w:pPr>
      <w:bookmarkStart w:id="191" w:name="_Toc12611"/>
      <w:bookmarkStart w:id="192" w:name="_Toc80205941"/>
      <w:bookmarkStart w:id="193" w:name="_Toc80886945"/>
      <w:bookmarkStart w:id="194" w:name="_Toc31035"/>
      <w:r>
        <w:rPr>
          <w:rFonts w:hint="eastAsia" w:ascii="宋体" w:hAnsi="宋体"/>
          <w:color w:val="auto"/>
        </w:rPr>
        <w:t>第三节 报价文件格式</w:t>
      </w:r>
      <w:bookmarkEnd w:id="191"/>
      <w:bookmarkEnd w:id="192"/>
      <w:bookmarkEnd w:id="193"/>
      <w:bookmarkEnd w:id="194"/>
    </w:p>
    <w:p>
      <w:pPr>
        <w:pStyle w:val="23"/>
        <w:rPr>
          <w:rFonts w:hint="eastAsia"/>
          <w:color w:val="auto"/>
          <w:lang w:val="zh-CN"/>
        </w:rPr>
      </w:pPr>
      <w:r>
        <w:rPr>
          <w:rFonts w:hint="eastAsia"/>
          <w:color w:val="auto"/>
          <w:sz w:val="24"/>
        </w:rPr>
        <w:t xml:space="preserve">  </w:t>
      </w:r>
      <w:r>
        <w:rPr>
          <w:rFonts w:hint="eastAsia" w:ascii="宋体" w:hAnsi="宋体" w:cs="宋体"/>
          <w:b/>
          <w:bCs/>
          <w:color w:val="auto"/>
          <w:sz w:val="28"/>
          <w:szCs w:val="28"/>
        </w:rPr>
        <w:t>1.报价文件封面的格式</w:t>
      </w:r>
      <w:r>
        <w:rPr>
          <w:rFonts w:hint="eastAsia" w:ascii="宋体" w:hAnsi="宋体" w:cs="宋体"/>
          <w:b/>
          <w:color w:val="auto"/>
          <w:sz w:val="28"/>
          <w:szCs w:val="28"/>
        </w:rPr>
        <w:t>（参照此格式自拟）</w:t>
      </w:r>
      <w:r>
        <w:rPr>
          <w:rFonts w:hint="eastAsia" w:ascii="宋体" w:hAnsi="宋体" w:cs="宋体"/>
          <w:b/>
          <w:bCs/>
          <w:color w:val="auto"/>
          <w:sz w:val="28"/>
          <w:szCs w:val="28"/>
        </w:rPr>
        <w:t>：</w:t>
      </w:r>
    </w:p>
    <w:p>
      <w:pPr>
        <w:snapToGrid w:val="0"/>
        <w:spacing w:before="120" w:beforeLines="50" w:after="50"/>
        <w:rPr>
          <w:rFonts w:hint="eastAsia"/>
          <w:color w:val="auto"/>
          <w:sz w:val="24"/>
        </w:rPr>
      </w:pPr>
      <w:r>
        <w:rPr>
          <w:rFonts w:hint="eastAsia"/>
          <w:color w:val="auto"/>
          <w:sz w:val="24"/>
        </w:rPr>
        <w:t xml:space="preserve">                                             </w:t>
      </w:r>
    </w:p>
    <w:p>
      <w:pPr>
        <w:snapToGrid w:val="0"/>
        <w:spacing w:before="120" w:beforeLines="50" w:after="50"/>
        <w:ind w:firstLine="6720" w:firstLineChars="3200"/>
        <w:rPr>
          <w:rFonts w:hint="eastAsia"/>
          <w:bCs/>
          <w:color w:val="auto"/>
          <w:sz w:val="32"/>
          <w:szCs w:val="20"/>
        </w:rPr>
      </w:pPr>
      <w:r>
        <w:rPr>
          <w:rFonts w:hint="eastAsia"/>
          <w:bCs/>
          <w:color w:val="auto"/>
        </w:rPr>
        <w:t>全流程电子文件</w:t>
      </w:r>
    </w:p>
    <w:p>
      <w:pPr>
        <w:snapToGrid w:val="0"/>
        <w:spacing w:before="120" w:beforeLines="50" w:after="50"/>
        <w:rPr>
          <w:rFonts w:hint="eastAsia"/>
          <w:color w:val="auto"/>
          <w:sz w:val="24"/>
          <w:szCs w:val="20"/>
        </w:rPr>
      </w:pPr>
    </w:p>
    <w:p>
      <w:pPr>
        <w:snapToGrid w:val="0"/>
        <w:spacing w:before="120" w:beforeLines="50" w:after="50"/>
        <w:rPr>
          <w:rFonts w:hint="eastAsia"/>
          <w:color w:val="auto"/>
          <w:sz w:val="24"/>
          <w:szCs w:val="20"/>
        </w:rPr>
      </w:pPr>
    </w:p>
    <w:p>
      <w:pPr>
        <w:snapToGrid w:val="0"/>
        <w:spacing w:before="120" w:beforeLines="50" w:after="50"/>
        <w:rPr>
          <w:rFonts w:hint="eastAsia"/>
          <w:color w:val="auto"/>
          <w:sz w:val="24"/>
          <w:szCs w:val="20"/>
        </w:rPr>
      </w:pPr>
    </w:p>
    <w:p>
      <w:pPr>
        <w:snapToGrid w:val="0"/>
        <w:spacing w:before="120" w:beforeLines="50" w:after="50"/>
        <w:jc w:val="center"/>
        <w:rPr>
          <w:rFonts w:hint="eastAsia" w:ascii="仿宋" w:hAnsi="仿宋" w:eastAsia="仿宋" w:cs="仿宋"/>
          <w:bCs/>
          <w:color w:val="auto"/>
          <w:sz w:val="44"/>
          <w:szCs w:val="44"/>
        </w:rPr>
      </w:pPr>
      <w:r>
        <w:rPr>
          <w:rFonts w:hint="eastAsia" w:ascii="仿宋" w:hAnsi="仿宋" w:eastAsia="仿宋" w:cs="仿宋"/>
          <w:bCs/>
          <w:color w:val="auto"/>
          <w:sz w:val="44"/>
          <w:szCs w:val="44"/>
        </w:rPr>
        <w:t xml:space="preserve">报 </w:t>
      </w:r>
      <w:r>
        <w:rPr>
          <w:rFonts w:ascii="仿宋" w:hAnsi="仿宋" w:eastAsia="仿宋" w:cs="仿宋"/>
          <w:bCs/>
          <w:color w:val="auto"/>
          <w:sz w:val="44"/>
          <w:szCs w:val="44"/>
        </w:rPr>
        <w:t xml:space="preserve"> </w:t>
      </w:r>
      <w:r>
        <w:rPr>
          <w:rFonts w:hint="eastAsia" w:ascii="仿宋" w:hAnsi="仿宋" w:eastAsia="仿宋" w:cs="仿宋"/>
          <w:bCs/>
          <w:color w:val="auto"/>
          <w:sz w:val="44"/>
          <w:szCs w:val="44"/>
        </w:rPr>
        <w:t>价  文  件</w:t>
      </w:r>
    </w:p>
    <w:p>
      <w:pPr>
        <w:snapToGrid w:val="0"/>
        <w:spacing w:before="120" w:beforeLines="50" w:after="50"/>
        <w:rPr>
          <w:rFonts w:hint="eastAsia"/>
          <w:bCs/>
          <w:color w:val="auto"/>
          <w:sz w:val="24"/>
          <w:szCs w:val="20"/>
        </w:rPr>
      </w:pPr>
    </w:p>
    <w:p>
      <w:pPr>
        <w:snapToGrid w:val="0"/>
        <w:spacing w:before="120" w:beforeLines="50" w:after="50"/>
        <w:rPr>
          <w:rFonts w:hint="eastAsia"/>
          <w:bCs/>
          <w:color w:val="auto"/>
          <w:sz w:val="24"/>
          <w:szCs w:val="20"/>
        </w:rPr>
      </w:pPr>
    </w:p>
    <w:p>
      <w:pPr>
        <w:snapToGrid w:val="0"/>
        <w:spacing w:before="120" w:beforeLines="50" w:after="50"/>
        <w:rPr>
          <w:rFonts w:hint="eastAsia"/>
          <w:bCs/>
          <w:color w:val="auto"/>
          <w:sz w:val="24"/>
          <w:szCs w:val="20"/>
        </w:rPr>
      </w:pPr>
    </w:p>
    <w:p>
      <w:pPr>
        <w:snapToGrid w:val="0"/>
        <w:spacing w:before="120" w:beforeLines="50" w:after="50"/>
        <w:rPr>
          <w:rFonts w:hint="eastAsia"/>
          <w:bCs/>
          <w:color w:val="auto"/>
          <w:sz w:val="24"/>
          <w:szCs w:val="20"/>
        </w:rPr>
      </w:pPr>
    </w:p>
    <w:p>
      <w:pPr>
        <w:snapToGrid w:val="0"/>
        <w:spacing w:before="120" w:beforeLines="50" w:after="50"/>
        <w:rPr>
          <w:rFonts w:hint="eastAsia"/>
          <w:bCs/>
          <w:color w:val="auto"/>
          <w:sz w:val="24"/>
          <w:szCs w:val="20"/>
        </w:rPr>
      </w:pPr>
    </w:p>
    <w:p>
      <w:pPr>
        <w:snapToGrid w:val="0"/>
        <w:spacing w:before="120" w:beforeLines="50" w:after="50"/>
        <w:ind w:firstLine="640" w:firstLineChars="200"/>
        <w:rPr>
          <w:rFonts w:hint="eastAsia" w:cs="仿宋_GB2312"/>
          <w:bCs/>
          <w:color w:val="auto"/>
          <w:sz w:val="32"/>
          <w:szCs w:val="32"/>
        </w:rPr>
      </w:pPr>
      <w:r>
        <w:rPr>
          <w:rFonts w:hint="eastAsia" w:cs="仿宋_GB2312"/>
          <w:bCs/>
          <w:color w:val="auto"/>
          <w:sz w:val="32"/>
          <w:szCs w:val="32"/>
        </w:rPr>
        <w:t>项目名称：</w:t>
      </w:r>
    </w:p>
    <w:p>
      <w:pPr>
        <w:snapToGrid w:val="0"/>
        <w:spacing w:before="120" w:beforeLines="50" w:after="50"/>
        <w:ind w:firstLine="720" w:firstLineChars="225"/>
        <w:rPr>
          <w:rFonts w:hint="eastAsia" w:cs="仿宋_GB2312"/>
          <w:bCs/>
          <w:color w:val="auto"/>
          <w:sz w:val="32"/>
          <w:szCs w:val="32"/>
        </w:rPr>
      </w:pPr>
    </w:p>
    <w:p>
      <w:pPr>
        <w:snapToGrid w:val="0"/>
        <w:spacing w:before="120" w:beforeLines="50" w:after="50"/>
        <w:ind w:firstLine="640" w:firstLineChars="200"/>
        <w:rPr>
          <w:rFonts w:hint="eastAsia" w:cs="仿宋_GB2312"/>
          <w:bCs/>
          <w:color w:val="auto"/>
          <w:sz w:val="32"/>
          <w:szCs w:val="32"/>
        </w:rPr>
      </w:pPr>
      <w:r>
        <w:rPr>
          <w:rFonts w:hint="eastAsia" w:cs="仿宋_GB2312"/>
          <w:bCs/>
          <w:color w:val="auto"/>
          <w:sz w:val="32"/>
          <w:szCs w:val="32"/>
        </w:rPr>
        <w:t>项目编号：</w:t>
      </w:r>
    </w:p>
    <w:p>
      <w:pPr>
        <w:snapToGrid w:val="0"/>
        <w:spacing w:before="120" w:beforeLines="50" w:after="50"/>
        <w:ind w:firstLine="720" w:firstLineChars="225"/>
        <w:rPr>
          <w:rFonts w:hint="eastAsia" w:cs="仿宋_GB2312"/>
          <w:bCs/>
          <w:color w:val="auto"/>
          <w:sz w:val="32"/>
          <w:szCs w:val="32"/>
        </w:rPr>
      </w:pPr>
      <w:r>
        <w:rPr>
          <w:rFonts w:hint="eastAsia" w:cs="仿宋_GB2312"/>
          <w:bCs/>
          <w:color w:val="auto"/>
          <w:sz w:val="32"/>
          <w:szCs w:val="32"/>
        </w:rPr>
        <w:t xml:space="preserve"> </w:t>
      </w:r>
    </w:p>
    <w:p>
      <w:pPr>
        <w:snapToGrid w:val="0"/>
        <w:spacing w:before="120" w:beforeLines="50" w:after="50"/>
        <w:ind w:firstLine="640" w:firstLineChars="200"/>
        <w:rPr>
          <w:rFonts w:hint="eastAsia" w:cs="仿宋_GB2312"/>
          <w:bCs/>
          <w:color w:val="auto"/>
          <w:sz w:val="32"/>
          <w:szCs w:val="32"/>
        </w:rPr>
      </w:pPr>
      <w:r>
        <w:rPr>
          <w:rFonts w:hint="eastAsia" w:cs="仿宋_GB2312"/>
          <w:bCs/>
          <w:color w:val="auto"/>
          <w:sz w:val="32"/>
          <w:szCs w:val="32"/>
        </w:rPr>
        <w:t>所竞分标（如有则填写，无分标时填写“无”或者留空）：</w:t>
      </w:r>
    </w:p>
    <w:p>
      <w:pPr>
        <w:snapToGrid w:val="0"/>
        <w:spacing w:before="120" w:beforeLines="50" w:after="50"/>
        <w:ind w:firstLine="720" w:firstLineChars="225"/>
        <w:rPr>
          <w:rFonts w:hint="eastAsia" w:cs="仿宋_GB2312"/>
          <w:bCs/>
          <w:color w:val="auto"/>
          <w:sz w:val="32"/>
          <w:szCs w:val="32"/>
        </w:rPr>
      </w:pPr>
    </w:p>
    <w:p>
      <w:pPr>
        <w:pStyle w:val="7"/>
        <w:snapToGrid w:val="0"/>
        <w:spacing w:before="50" w:after="50"/>
        <w:ind w:firstLine="640" w:firstLineChars="200"/>
        <w:rPr>
          <w:rFonts w:hint="eastAsia" w:cs="仿宋_GB2312"/>
          <w:bCs/>
          <w:color w:val="auto"/>
          <w:sz w:val="32"/>
          <w:szCs w:val="32"/>
        </w:rPr>
      </w:pPr>
      <w:r>
        <w:rPr>
          <w:rFonts w:hint="eastAsia" w:cs="仿宋_GB2312"/>
          <w:bCs/>
          <w:color w:val="auto"/>
          <w:sz w:val="32"/>
          <w:szCs w:val="32"/>
        </w:rPr>
        <w:t>供应商名称：</w:t>
      </w:r>
    </w:p>
    <w:p>
      <w:pPr>
        <w:pStyle w:val="7"/>
        <w:snapToGrid w:val="0"/>
        <w:spacing w:before="50" w:after="50"/>
        <w:ind w:firstLine="720" w:firstLineChars="225"/>
        <w:rPr>
          <w:rFonts w:hint="eastAsia" w:cs="仿宋_GB2312"/>
          <w:bCs/>
          <w:color w:val="auto"/>
          <w:sz w:val="32"/>
          <w:szCs w:val="32"/>
        </w:rPr>
      </w:pPr>
    </w:p>
    <w:p>
      <w:pPr>
        <w:pStyle w:val="7"/>
        <w:snapToGrid w:val="0"/>
        <w:spacing w:before="50" w:after="50"/>
        <w:ind w:firstLine="720" w:firstLineChars="225"/>
        <w:rPr>
          <w:rFonts w:hint="eastAsia" w:cs="仿宋_GB2312"/>
          <w:bCs/>
          <w:color w:val="auto"/>
          <w:sz w:val="32"/>
          <w:szCs w:val="32"/>
        </w:rPr>
      </w:pPr>
    </w:p>
    <w:p>
      <w:pPr>
        <w:pStyle w:val="7"/>
        <w:snapToGrid w:val="0"/>
        <w:spacing w:before="50" w:after="50"/>
        <w:ind w:firstLine="1280" w:firstLineChars="400"/>
        <w:rPr>
          <w:rFonts w:hint="eastAsia" w:cs="仿宋_GB2312"/>
          <w:bCs/>
          <w:color w:val="auto"/>
          <w:sz w:val="32"/>
          <w:szCs w:val="32"/>
        </w:rPr>
      </w:pPr>
    </w:p>
    <w:p>
      <w:pPr>
        <w:snapToGrid w:val="0"/>
        <w:spacing w:before="120" w:beforeLines="50" w:after="50"/>
        <w:jc w:val="center"/>
        <w:rPr>
          <w:rFonts w:hint="eastAsia" w:cs="仿宋_GB2312"/>
          <w:color w:val="auto"/>
          <w:sz w:val="32"/>
          <w:szCs w:val="32"/>
        </w:rPr>
      </w:pPr>
      <w:r>
        <w:rPr>
          <w:rFonts w:hint="eastAsia" w:cs="仿宋_GB2312"/>
          <w:color w:val="auto"/>
          <w:sz w:val="32"/>
          <w:szCs w:val="32"/>
        </w:rPr>
        <w:t>年    月    日</w:t>
      </w:r>
    </w:p>
    <w:p>
      <w:pPr>
        <w:snapToGrid w:val="0"/>
        <w:spacing w:before="120" w:beforeLines="50" w:after="50" w:line="360" w:lineRule="auto"/>
        <w:jc w:val="left"/>
        <w:rPr>
          <w:rFonts w:hint="eastAsia" w:ascii="宋体" w:hAnsi="宋体" w:cs="宋体"/>
          <w:color w:val="auto"/>
          <w:sz w:val="28"/>
          <w:szCs w:val="28"/>
        </w:rPr>
      </w:pPr>
      <w:r>
        <w:rPr>
          <w:color w:val="auto"/>
          <w:sz w:val="24"/>
        </w:rPr>
        <w:br w:type="page"/>
      </w:r>
      <w:r>
        <w:rPr>
          <w:rFonts w:hint="eastAsia" w:ascii="宋体" w:hAnsi="宋体" w:cs="宋体"/>
          <w:b/>
          <w:color w:val="auto"/>
          <w:sz w:val="28"/>
          <w:szCs w:val="28"/>
        </w:rPr>
        <w:t>2.</w:t>
      </w:r>
      <w:r>
        <w:rPr>
          <w:rFonts w:hint="eastAsia" w:ascii="宋体" w:hAnsi="宋体" w:cs="宋体"/>
          <w:b/>
          <w:bCs/>
          <w:color w:val="auto"/>
          <w:sz w:val="28"/>
          <w:szCs w:val="28"/>
        </w:rPr>
        <w:t>报价文件目录</w:t>
      </w:r>
    </w:p>
    <w:p>
      <w:pPr>
        <w:snapToGrid w:val="0"/>
        <w:spacing w:before="50" w:after="120" w:afterLines="50" w:line="360" w:lineRule="auto"/>
        <w:jc w:val="left"/>
        <w:rPr>
          <w:rFonts w:hint="eastAsia" w:ascii="宋体" w:hAnsi="宋体" w:cs="宋体"/>
          <w:b/>
          <w:color w:val="auto"/>
          <w:sz w:val="28"/>
          <w:szCs w:val="28"/>
        </w:rPr>
      </w:pPr>
      <w:r>
        <w:rPr>
          <w:rFonts w:hint="eastAsia" w:ascii="宋体" w:hAnsi="宋体" w:cs="宋体"/>
          <w:color w:val="auto"/>
          <w:sz w:val="28"/>
          <w:szCs w:val="28"/>
        </w:rPr>
        <w:t>根据竞争性磋商文件规定及供应商提供的材料自行编写目录</w:t>
      </w:r>
      <w:r>
        <w:rPr>
          <w:rFonts w:hint="eastAsia" w:ascii="宋体" w:hAnsi="宋体" w:cs="宋体"/>
          <w:color w:val="auto"/>
          <w:kern w:val="0"/>
          <w:sz w:val="28"/>
          <w:szCs w:val="28"/>
        </w:rPr>
        <w:t>（部分格式后附）</w:t>
      </w:r>
      <w:r>
        <w:rPr>
          <w:rFonts w:hint="eastAsia" w:ascii="宋体" w:hAnsi="宋体" w:cs="宋体"/>
          <w:color w:val="auto"/>
          <w:sz w:val="28"/>
          <w:szCs w:val="28"/>
        </w:rPr>
        <w:t>。</w:t>
      </w:r>
    </w:p>
    <w:p>
      <w:pPr>
        <w:spacing w:line="360" w:lineRule="auto"/>
        <w:rPr>
          <w:rFonts w:hint="eastAsia" w:ascii="仿宋_GB2312" w:hAnsi="仿宋" w:eastAsia="仿宋_GB2312" w:cs="仿宋_GB2312"/>
          <w:color w:val="auto"/>
          <w:sz w:val="24"/>
        </w:rPr>
      </w:pPr>
    </w:p>
    <w:p>
      <w:pPr>
        <w:snapToGrid w:val="0"/>
        <w:spacing w:before="120" w:beforeLines="50" w:after="50" w:line="360" w:lineRule="auto"/>
        <w:ind w:left="142" w:firstLine="640" w:firstLineChars="200"/>
        <w:jc w:val="left"/>
        <w:rPr>
          <w:rFonts w:hint="eastAsia" w:ascii="仿宋_GB2312" w:hAnsi="仿宋_GB2312" w:eastAsia="仿宋_GB2312" w:cs="仿宋_GB2312"/>
          <w:color w:val="auto"/>
          <w:sz w:val="32"/>
          <w:szCs w:val="32"/>
        </w:rPr>
      </w:pPr>
    </w:p>
    <w:p>
      <w:pPr>
        <w:snapToGrid w:val="0"/>
        <w:spacing w:before="120" w:beforeLines="50" w:after="50" w:line="360" w:lineRule="auto"/>
        <w:jc w:val="left"/>
        <w:rPr>
          <w:rFonts w:ascii="Calibri" w:cs="仿宋_GB2312"/>
          <w:color w:val="auto"/>
          <w:sz w:val="24"/>
        </w:rPr>
      </w:pPr>
      <w:r>
        <w:rPr>
          <w:rFonts w:ascii="Calibri" w:cs="仿宋_GB2312"/>
          <w:color w:val="auto"/>
          <w:sz w:val="24"/>
        </w:rPr>
        <w:br w:type="page"/>
      </w:r>
      <w:r>
        <w:rPr>
          <w:rFonts w:hint="eastAsia" w:ascii="宋体" w:hAnsi="宋体" w:cs="宋体"/>
          <w:b/>
          <w:color w:val="auto"/>
          <w:sz w:val="28"/>
          <w:szCs w:val="28"/>
        </w:rPr>
        <w:t>3.</w:t>
      </w:r>
      <w:r>
        <w:rPr>
          <w:rFonts w:hint="eastAsia" w:ascii="宋体" w:hAnsi="宋体" w:cs="宋体"/>
          <w:b/>
          <w:color w:val="auto"/>
          <w:sz w:val="28"/>
          <w:szCs w:val="28"/>
          <w:lang w:val="zh-CN"/>
        </w:rPr>
        <w:t>响应函的格式：</w:t>
      </w:r>
    </w:p>
    <w:p>
      <w:pPr>
        <w:spacing w:line="500" w:lineRule="exact"/>
        <w:jc w:val="center"/>
        <w:rPr>
          <w:b/>
          <w:bCs/>
          <w:color w:val="auto"/>
          <w:kern w:val="0"/>
          <w:sz w:val="30"/>
          <w:szCs w:val="30"/>
        </w:rPr>
      </w:pPr>
      <w:r>
        <w:rPr>
          <w:rFonts w:hint="eastAsia"/>
          <w:b/>
          <w:bCs/>
          <w:color w:val="auto"/>
          <w:kern w:val="0"/>
          <w:sz w:val="30"/>
          <w:szCs w:val="30"/>
        </w:rPr>
        <w:t>响应函</w:t>
      </w:r>
    </w:p>
    <w:p>
      <w:pPr>
        <w:spacing w:line="460" w:lineRule="exact"/>
        <w:rPr>
          <w:color w:val="auto"/>
          <w:kern w:val="0"/>
          <w:sz w:val="24"/>
        </w:rPr>
      </w:pPr>
    </w:p>
    <w:p>
      <w:pPr>
        <w:spacing w:line="460" w:lineRule="exact"/>
        <w:rPr>
          <w:rFonts w:hint="eastAsia" w:ascii="宋体" w:hAnsi="宋体" w:cs="宋体"/>
          <w:color w:val="auto"/>
          <w:kern w:val="0"/>
          <w:sz w:val="24"/>
        </w:rPr>
      </w:pPr>
      <w:r>
        <w:rPr>
          <w:rFonts w:hint="eastAsia" w:ascii="宋体" w:hAnsi="宋体" w:cs="宋体"/>
          <w:color w:val="auto"/>
          <w:kern w:val="0"/>
          <w:sz w:val="24"/>
        </w:rPr>
        <w:t>致：</w:t>
      </w:r>
      <w:r>
        <w:rPr>
          <w:rFonts w:hint="eastAsia" w:ascii="宋体" w:hAnsi="宋体" w:cs="宋体"/>
          <w:color w:val="auto"/>
          <w:kern w:val="0"/>
          <w:sz w:val="24"/>
          <w:u w:val="single"/>
        </w:rPr>
        <w:t xml:space="preserve">                      </w:t>
      </w:r>
      <w:r>
        <w:rPr>
          <w:rFonts w:hint="eastAsia" w:ascii="宋体" w:hAnsi="宋体" w:cs="宋体"/>
          <w:color w:val="auto"/>
          <w:kern w:val="0"/>
          <w:sz w:val="24"/>
        </w:rPr>
        <w:t>（采购代理机构名称）</w:t>
      </w:r>
    </w:p>
    <w:p>
      <w:pPr>
        <w:spacing w:line="460" w:lineRule="exact"/>
        <w:ind w:firstLine="480" w:firstLineChars="200"/>
        <w:rPr>
          <w:rFonts w:hint="eastAsia" w:ascii="宋体" w:hAnsi="宋体" w:cs="宋体"/>
          <w:color w:val="auto"/>
          <w:kern w:val="0"/>
          <w:sz w:val="24"/>
        </w:rPr>
      </w:pPr>
    </w:p>
    <w:p>
      <w:pPr>
        <w:spacing w:line="460" w:lineRule="exact"/>
        <w:ind w:firstLine="480" w:firstLineChars="200"/>
        <w:rPr>
          <w:rFonts w:hint="eastAsia" w:ascii="宋体" w:hAnsi="宋体" w:cs="宋体"/>
          <w:color w:val="auto"/>
          <w:kern w:val="0"/>
          <w:sz w:val="24"/>
        </w:rPr>
      </w:pPr>
      <w:r>
        <w:rPr>
          <w:rFonts w:hint="eastAsia" w:ascii="宋体" w:hAnsi="宋体" w:cs="宋体"/>
          <w:color w:val="auto"/>
          <w:kern w:val="0"/>
          <w:sz w:val="24"/>
        </w:rPr>
        <w:t>我方已仔细阅读了贵方组织的</w:t>
      </w:r>
      <w:r>
        <w:rPr>
          <w:rFonts w:hint="eastAsia" w:ascii="宋体" w:hAnsi="宋体" w:cs="宋体"/>
          <w:color w:val="auto"/>
          <w:kern w:val="0"/>
          <w:sz w:val="24"/>
          <w:u w:val="single"/>
        </w:rPr>
        <w:t xml:space="preserve">                </w:t>
      </w:r>
      <w:r>
        <w:rPr>
          <w:rFonts w:hint="eastAsia" w:ascii="宋体" w:hAnsi="宋体" w:cs="宋体"/>
          <w:color w:val="auto"/>
          <w:kern w:val="0"/>
          <w:sz w:val="24"/>
        </w:rPr>
        <w:t>项目（项目编号：</w:t>
      </w:r>
      <w:r>
        <w:rPr>
          <w:rFonts w:hint="eastAsia" w:ascii="宋体" w:hAnsi="宋体" w:cs="宋体"/>
          <w:color w:val="auto"/>
          <w:kern w:val="0"/>
          <w:sz w:val="24"/>
          <w:u w:val="single"/>
        </w:rPr>
        <w:t xml:space="preserve">             </w:t>
      </w:r>
      <w:r>
        <w:rPr>
          <w:rFonts w:hint="eastAsia" w:ascii="宋体" w:hAnsi="宋体" w:cs="宋体"/>
          <w:color w:val="auto"/>
          <w:kern w:val="0"/>
          <w:sz w:val="24"/>
        </w:rPr>
        <w:t xml:space="preserve">）的竞争性磋商文件的全部内容，现正式递交下述文件参加贵方组织的本次政府采购活动： </w:t>
      </w:r>
    </w:p>
    <w:p>
      <w:pPr>
        <w:spacing w:line="460" w:lineRule="exact"/>
        <w:ind w:firstLine="480" w:firstLineChars="200"/>
        <w:rPr>
          <w:rFonts w:hint="eastAsia" w:ascii="宋体" w:hAnsi="宋体" w:cs="宋体"/>
          <w:color w:val="auto"/>
          <w:kern w:val="0"/>
          <w:sz w:val="24"/>
        </w:rPr>
      </w:pPr>
      <w:r>
        <w:rPr>
          <w:rFonts w:hint="eastAsia" w:ascii="宋体" w:hAnsi="宋体" w:cs="宋体"/>
          <w:color w:val="auto"/>
          <w:kern w:val="0"/>
          <w:sz w:val="24"/>
        </w:rPr>
        <w:t>一、首次报价文件电子版（包含按“第三章 供应商须知”提交的全部文件）；</w:t>
      </w:r>
    </w:p>
    <w:p>
      <w:pPr>
        <w:spacing w:line="460" w:lineRule="exact"/>
        <w:ind w:firstLine="480" w:firstLineChars="200"/>
        <w:rPr>
          <w:rFonts w:hint="eastAsia" w:ascii="宋体" w:hAnsi="宋体" w:cs="宋体"/>
          <w:color w:val="auto"/>
          <w:kern w:val="0"/>
          <w:sz w:val="24"/>
        </w:rPr>
      </w:pPr>
      <w:r>
        <w:rPr>
          <w:rFonts w:hint="eastAsia" w:ascii="宋体" w:hAnsi="宋体" w:cs="宋体"/>
          <w:color w:val="auto"/>
          <w:kern w:val="0"/>
          <w:sz w:val="24"/>
        </w:rPr>
        <w:t>二、技术文件电子版（包含按“第三章 供应商须知”提交的全部文件）；商务文件电子版（包含按“第三章 供应商须知”提交的全部文件）；</w:t>
      </w:r>
    </w:p>
    <w:p>
      <w:pPr>
        <w:spacing w:line="460" w:lineRule="exact"/>
        <w:ind w:firstLine="480" w:firstLineChars="200"/>
        <w:rPr>
          <w:rFonts w:hint="eastAsia" w:ascii="宋体" w:hAnsi="宋体" w:cs="宋体"/>
          <w:color w:val="auto"/>
          <w:kern w:val="0"/>
          <w:sz w:val="24"/>
        </w:rPr>
      </w:pPr>
      <w:r>
        <w:rPr>
          <w:rFonts w:hint="eastAsia" w:ascii="宋体" w:hAnsi="宋体" w:cs="宋体"/>
          <w:color w:val="auto"/>
          <w:kern w:val="0"/>
          <w:sz w:val="24"/>
        </w:rPr>
        <w:t>三、资格证明文件电子版（包含按“第三章供应商须知”提交的全部文件）。</w:t>
      </w:r>
    </w:p>
    <w:p>
      <w:pPr>
        <w:spacing w:line="460" w:lineRule="exact"/>
        <w:ind w:firstLine="480" w:firstLineChars="200"/>
        <w:rPr>
          <w:rFonts w:hint="eastAsia" w:ascii="宋体" w:hAnsi="宋体" w:cs="宋体"/>
          <w:color w:val="auto"/>
          <w:kern w:val="0"/>
          <w:sz w:val="24"/>
        </w:rPr>
      </w:pPr>
      <w:r>
        <w:rPr>
          <w:rFonts w:hint="eastAsia" w:ascii="宋体" w:hAnsi="宋体" w:cs="宋体"/>
          <w:color w:val="auto"/>
          <w:kern w:val="0"/>
          <w:sz w:val="24"/>
        </w:rPr>
        <w:t>据此函，</w:t>
      </w:r>
      <w:r>
        <w:rPr>
          <w:rFonts w:hint="eastAsia" w:ascii="宋体" w:hAnsi="宋体" w:cs="宋体"/>
          <w:color w:val="auto"/>
          <w:kern w:val="0"/>
          <w:sz w:val="24"/>
          <w:lang w:val="en-US" w:eastAsia="zh-CN"/>
        </w:rPr>
        <w:t>我方</w:t>
      </w:r>
      <w:r>
        <w:rPr>
          <w:rFonts w:hint="eastAsia" w:ascii="宋体" w:hAnsi="宋体" w:cs="宋体"/>
          <w:color w:val="auto"/>
          <w:kern w:val="0"/>
          <w:sz w:val="24"/>
        </w:rPr>
        <w:t>兹宣布：</w:t>
      </w:r>
    </w:p>
    <w:p>
      <w:pPr>
        <w:spacing w:line="460" w:lineRule="exact"/>
        <w:ind w:firstLine="482"/>
        <w:rPr>
          <w:rFonts w:hint="eastAsia" w:ascii="宋体" w:hAnsi="宋体" w:cs="宋体"/>
          <w:color w:val="auto"/>
          <w:kern w:val="0"/>
          <w:sz w:val="24"/>
        </w:rPr>
      </w:pPr>
      <w:r>
        <w:rPr>
          <w:rFonts w:hint="eastAsia" w:ascii="宋体" w:hAnsi="宋体" w:cs="宋体"/>
          <w:color w:val="auto"/>
          <w:kern w:val="0"/>
          <w:sz w:val="24"/>
        </w:rPr>
        <w:t>1、我方愿意以磋商时</w:t>
      </w:r>
      <w:r>
        <w:rPr>
          <w:rFonts w:hint="eastAsia" w:hAnsi="宋体" w:cs="宋体"/>
          <w:color w:val="auto"/>
          <w:sz w:val="24"/>
        </w:rPr>
        <w:t>提交的最后报价表中的竞标总</w:t>
      </w:r>
      <w:r>
        <w:rPr>
          <w:rFonts w:hint="eastAsia" w:ascii="宋体" w:hAnsi="宋体" w:cs="宋体"/>
          <w:color w:val="auto"/>
          <w:sz w:val="24"/>
        </w:rPr>
        <w:t>报价</w:t>
      </w:r>
      <w:r>
        <w:rPr>
          <w:rFonts w:hint="eastAsia" w:hAnsi="宋体" w:cs="宋体"/>
          <w:color w:val="auto"/>
          <w:sz w:val="24"/>
        </w:rPr>
        <w:t>，在承诺的</w:t>
      </w:r>
      <w:r>
        <w:rPr>
          <w:rFonts w:hint="eastAsia" w:ascii="宋体" w:hAnsi="宋体" w:cs="宋体"/>
          <w:color w:val="auto"/>
          <w:kern w:val="0"/>
          <w:sz w:val="24"/>
        </w:rPr>
        <w:t>服务期限</w:t>
      </w:r>
      <w:r>
        <w:rPr>
          <w:rFonts w:hint="eastAsia" w:hAnsi="宋体" w:cs="宋体"/>
          <w:color w:val="auto"/>
          <w:sz w:val="24"/>
        </w:rPr>
        <w:t>内</w:t>
      </w:r>
      <w:r>
        <w:rPr>
          <w:rFonts w:hint="eastAsia" w:ascii="宋体" w:hAnsi="宋体" w:cs="宋体"/>
          <w:color w:val="auto"/>
          <w:kern w:val="0"/>
          <w:sz w:val="24"/>
        </w:rPr>
        <w:t>提供本项目竞争性磋商文件第二章“采购需求”中相应的采购内容</w:t>
      </w:r>
      <w:r>
        <w:rPr>
          <w:rFonts w:hint="eastAsia" w:hAnsi="宋体" w:cs="宋体"/>
          <w:color w:val="auto"/>
          <w:sz w:val="24"/>
        </w:rPr>
        <w:t>，具体详见最后报价表</w:t>
      </w:r>
      <w:r>
        <w:rPr>
          <w:rFonts w:hint="eastAsia" w:ascii="宋体" w:hAnsi="宋体" w:cs="宋体"/>
          <w:color w:val="auto"/>
          <w:kern w:val="0"/>
          <w:sz w:val="24"/>
        </w:rPr>
        <w:t>。</w:t>
      </w:r>
    </w:p>
    <w:p>
      <w:pPr>
        <w:spacing w:line="460" w:lineRule="exact"/>
        <w:ind w:firstLine="482"/>
        <w:rPr>
          <w:rFonts w:hint="eastAsia" w:ascii="宋体" w:hAnsi="宋体" w:cs="宋体"/>
          <w:color w:val="auto"/>
          <w:kern w:val="0"/>
          <w:sz w:val="24"/>
        </w:rPr>
      </w:pPr>
      <w:r>
        <w:rPr>
          <w:rFonts w:hint="eastAsia" w:ascii="宋体" w:hAnsi="宋体" w:cs="宋体"/>
          <w:color w:val="auto"/>
          <w:kern w:val="0"/>
          <w:sz w:val="24"/>
        </w:rPr>
        <w:t>2、我方同意自本项目竞争性磋商文件采购公告规定的提交响应文件截止时间起遵循本响应函，并承诺在“第三章 供应商须知”规定的竞标有效期内不修改、撤销响应文件。</w:t>
      </w:r>
    </w:p>
    <w:p>
      <w:pPr>
        <w:spacing w:line="460" w:lineRule="exact"/>
        <w:ind w:firstLine="482"/>
        <w:rPr>
          <w:rFonts w:hint="eastAsia" w:ascii="宋体" w:hAnsi="宋体" w:cs="宋体"/>
          <w:color w:val="auto"/>
          <w:kern w:val="0"/>
          <w:sz w:val="24"/>
        </w:rPr>
      </w:pPr>
      <w:r>
        <w:rPr>
          <w:rFonts w:hint="eastAsia" w:ascii="宋体" w:hAnsi="宋体" w:cs="宋体"/>
          <w:color w:val="auto"/>
          <w:kern w:val="0"/>
          <w:sz w:val="24"/>
        </w:rPr>
        <w:t>3、我方在此声明，所递交的响应文件及有关资料内容完整、真实和准确。</w:t>
      </w:r>
    </w:p>
    <w:p>
      <w:pPr>
        <w:spacing w:line="460" w:lineRule="exact"/>
        <w:ind w:firstLine="482"/>
        <w:rPr>
          <w:rFonts w:hint="eastAsia" w:ascii="宋体" w:hAnsi="宋体" w:cs="宋体"/>
          <w:color w:val="auto"/>
          <w:kern w:val="0"/>
          <w:sz w:val="24"/>
        </w:rPr>
      </w:pPr>
      <w:r>
        <w:rPr>
          <w:rFonts w:hint="eastAsia" w:ascii="宋体" w:hAnsi="宋体" w:cs="宋体"/>
          <w:color w:val="auto"/>
          <w:kern w:val="0"/>
          <w:sz w:val="24"/>
        </w:rPr>
        <w:t>4、如本项目采购内容涉及须符合国家强制规定的，我方承诺我方本次竞标均符合国家有关强制规定。</w:t>
      </w:r>
    </w:p>
    <w:p>
      <w:pPr>
        <w:spacing w:line="460" w:lineRule="exact"/>
        <w:ind w:firstLine="482"/>
        <w:rPr>
          <w:rFonts w:hint="eastAsia" w:ascii="宋体" w:hAnsi="宋体" w:cs="宋体"/>
          <w:color w:val="auto"/>
          <w:kern w:val="0"/>
          <w:sz w:val="24"/>
        </w:rPr>
      </w:pPr>
      <w:r>
        <w:rPr>
          <w:rFonts w:hint="eastAsia" w:ascii="宋体" w:hAnsi="宋体" w:cs="宋体"/>
          <w:color w:val="auto"/>
          <w:kern w:val="0"/>
          <w:sz w:val="24"/>
        </w:rPr>
        <w:t>5、如我方成交，我方承诺在收到成交通知书后，在成交通知书规定的期限内，根据竞争性磋商文件、我方的响应文件及有关澄清承诺书的要求按第六章“合同文本”与采购人订立书面合同，并按照合同约定承担完成合同的责任和义务。</w:t>
      </w:r>
    </w:p>
    <w:p>
      <w:pPr>
        <w:spacing w:line="460" w:lineRule="exact"/>
        <w:ind w:firstLine="482"/>
        <w:rPr>
          <w:rFonts w:hint="eastAsia" w:ascii="宋体" w:hAnsi="宋体" w:cs="宋体"/>
          <w:color w:val="auto"/>
          <w:kern w:val="0"/>
          <w:sz w:val="24"/>
        </w:rPr>
      </w:pPr>
      <w:r>
        <w:rPr>
          <w:rFonts w:hint="eastAsia" w:ascii="宋体" w:hAnsi="宋体" w:cs="宋体"/>
          <w:color w:val="auto"/>
          <w:kern w:val="0"/>
          <w:sz w:val="24"/>
          <w:lang w:val="en-US" w:eastAsia="zh-CN"/>
        </w:rPr>
        <w:t>6</w:t>
      </w:r>
      <w:r>
        <w:rPr>
          <w:rFonts w:hint="eastAsia" w:ascii="宋体" w:hAnsi="宋体" w:cs="宋体"/>
          <w:color w:val="auto"/>
          <w:kern w:val="0"/>
          <w:sz w:val="24"/>
        </w:rPr>
        <w:t>、我方已详细审核竞争性磋商文件，我方知道必须放弃提出含糊不清或误解问题的权利。</w:t>
      </w:r>
    </w:p>
    <w:p>
      <w:pPr>
        <w:spacing w:line="460" w:lineRule="exact"/>
        <w:ind w:firstLine="482"/>
        <w:rPr>
          <w:rFonts w:hint="eastAsia" w:ascii="宋体" w:hAnsi="宋体" w:cs="宋体"/>
          <w:color w:val="auto"/>
          <w:kern w:val="0"/>
          <w:sz w:val="24"/>
        </w:rPr>
      </w:pPr>
      <w:r>
        <w:rPr>
          <w:rFonts w:hint="eastAsia" w:ascii="宋体" w:hAnsi="宋体" w:cs="宋体"/>
          <w:color w:val="auto"/>
          <w:kern w:val="0"/>
          <w:sz w:val="24"/>
          <w:lang w:val="en-US" w:eastAsia="zh-CN"/>
        </w:rPr>
        <w:t>7</w:t>
      </w:r>
      <w:r>
        <w:rPr>
          <w:rFonts w:hint="eastAsia" w:ascii="宋体" w:hAnsi="宋体" w:cs="宋体"/>
          <w:color w:val="auto"/>
          <w:kern w:val="0"/>
          <w:sz w:val="24"/>
        </w:rPr>
        <w:t>、我方承诺满足竞争性磋商文件第六章“合同文本”的条款，承担完成合同的责任和义务。</w:t>
      </w:r>
    </w:p>
    <w:p>
      <w:pPr>
        <w:spacing w:line="460" w:lineRule="exact"/>
        <w:ind w:firstLine="482"/>
        <w:rPr>
          <w:rFonts w:hint="eastAsia" w:ascii="宋体" w:hAnsi="宋体" w:cs="宋体"/>
          <w:color w:val="auto"/>
          <w:kern w:val="0"/>
          <w:sz w:val="24"/>
        </w:rPr>
      </w:pPr>
      <w:r>
        <w:rPr>
          <w:rFonts w:hint="eastAsia" w:ascii="宋体" w:hAnsi="宋体" w:cs="宋体"/>
          <w:color w:val="auto"/>
          <w:kern w:val="0"/>
          <w:sz w:val="24"/>
          <w:lang w:val="en-US" w:eastAsia="zh-CN"/>
        </w:rPr>
        <w:t>8</w:t>
      </w:r>
      <w:r>
        <w:rPr>
          <w:rFonts w:hint="eastAsia" w:ascii="宋体" w:hAnsi="宋体" w:cs="宋体"/>
          <w:color w:val="auto"/>
          <w:kern w:val="0"/>
          <w:sz w:val="24"/>
        </w:rPr>
        <w:t>、我方同意应贵方要求提供与本竞标有关的任何数据或资料。若贵方需要，我方愿意提供我方作出的一切承诺的证明材料。</w:t>
      </w:r>
    </w:p>
    <w:p>
      <w:pPr>
        <w:spacing w:line="460" w:lineRule="exact"/>
        <w:ind w:firstLine="482"/>
        <w:rPr>
          <w:rFonts w:hint="eastAsia" w:ascii="宋体" w:hAnsi="宋体" w:cs="宋体"/>
          <w:color w:val="auto"/>
          <w:kern w:val="0"/>
          <w:sz w:val="24"/>
        </w:rPr>
      </w:pPr>
      <w:r>
        <w:rPr>
          <w:rFonts w:hint="eastAsia" w:ascii="宋体" w:hAnsi="宋体" w:cs="宋体"/>
          <w:color w:val="auto"/>
          <w:kern w:val="0"/>
          <w:sz w:val="24"/>
          <w:lang w:val="en-US" w:eastAsia="zh-CN"/>
        </w:rPr>
        <w:t>9</w:t>
      </w:r>
      <w:r>
        <w:rPr>
          <w:rFonts w:hint="eastAsia" w:ascii="宋体" w:hAnsi="宋体" w:cs="宋体"/>
          <w:color w:val="auto"/>
          <w:kern w:val="0"/>
          <w:sz w:val="24"/>
        </w:rPr>
        <w:t>、我方完全理解贵方不一定接受响应报价最低的供应商为成交供应商的行为。</w:t>
      </w:r>
    </w:p>
    <w:p>
      <w:pPr>
        <w:spacing w:line="460" w:lineRule="exact"/>
        <w:ind w:firstLine="482"/>
        <w:rPr>
          <w:rFonts w:hint="eastAsia"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0</w:t>
      </w:r>
      <w:r>
        <w:rPr>
          <w:rFonts w:hint="eastAsia" w:ascii="宋体" w:hAnsi="宋体" w:cs="宋体"/>
          <w:color w:val="auto"/>
          <w:kern w:val="0"/>
          <w:sz w:val="24"/>
        </w:rPr>
        <w:t>、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pPr>
        <w:numPr>
          <w:ilvl w:val="0"/>
          <w:numId w:val="3"/>
        </w:numPr>
        <w:tabs>
          <w:tab w:val="left" w:pos="945"/>
        </w:tabs>
        <w:spacing w:line="460" w:lineRule="exact"/>
        <w:rPr>
          <w:rFonts w:hint="eastAsia" w:ascii="宋体" w:hAnsi="宋体" w:cs="宋体"/>
          <w:color w:val="auto"/>
          <w:kern w:val="0"/>
          <w:sz w:val="24"/>
        </w:rPr>
      </w:pPr>
      <w:r>
        <w:rPr>
          <w:rFonts w:hint="eastAsia" w:ascii="宋体" w:hAnsi="宋体" w:cs="宋体"/>
          <w:color w:val="auto"/>
          <w:kern w:val="0"/>
          <w:sz w:val="24"/>
        </w:rPr>
        <w:t>提供虚假材料谋取中标、成交的；</w:t>
      </w:r>
    </w:p>
    <w:p>
      <w:pPr>
        <w:numPr>
          <w:ilvl w:val="0"/>
          <w:numId w:val="3"/>
        </w:numPr>
        <w:tabs>
          <w:tab w:val="left" w:pos="945"/>
        </w:tabs>
        <w:spacing w:line="460" w:lineRule="exact"/>
        <w:rPr>
          <w:rFonts w:hint="eastAsia" w:ascii="宋体" w:hAnsi="宋体" w:cs="宋体"/>
          <w:color w:val="auto"/>
          <w:kern w:val="0"/>
          <w:sz w:val="24"/>
        </w:rPr>
      </w:pPr>
      <w:r>
        <w:rPr>
          <w:rFonts w:hint="eastAsia" w:ascii="宋体" w:hAnsi="宋体" w:cs="宋体"/>
          <w:color w:val="auto"/>
          <w:kern w:val="0"/>
          <w:sz w:val="24"/>
        </w:rPr>
        <w:t>采取不正当手段诋毁、排挤其他供应商的；</w:t>
      </w:r>
    </w:p>
    <w:p>
      <w:pPr>
        <w:numPr>
          <w:ilvl w:val="0"/>
          <w:numId w:val="3"/>
        </w:numPr>
        <w:tabs>
          <w:tab w:val="left" w:pos="945"/>
        </w:tabs>
        <w:spacing w:line="460" w:lineRule="exact"/>
        <w:rPr>
          <w:rFonts w:hint="eastAsia" w:ascii="宋体" w:hAnsi="宋体" w:cs="宋体"/>
          <w:color w:val="auto"/>
          <w:kern w:val="0"/>
          <w:sz w:val="24"/>
        </w:rPr>
      </w:pPr>
      <w:r>
        <w:rPr>
          <w:rFonts w:hint="eastAsia" w:ascii="宋体" w:hAnsi="宋体" w:cs="宋体"/>
          <w:color w:val="auto"/>
          <w:kern w:val="0"/>
          <w:sz w:val="24"/>
        </w:rPr>
        <w:t>与采购人、其他供应商或者采购代理机构恶意串通的；</w:t>
      </w:r>
    </w:p>
    <w:p>
      <w:pPr>
        <w:numPr>
          <w:ilvl w:val="0"/>
          <w:numId w:val="3"/>
        </w:numPr>
        <w:tabs>
          <w:tab w:val="left" w:pos="945"/>
        </w:tabs>
        <w:spacing w:line="460" w:lineRule="exact"/>
        <w:rPr>
          <w:rFonts w:hint="eastAsia" w:ascii="宋体" w:hAnsi="宋体" w:cs="宋体"/>
          <w:color w:val="auto"/>
          <w:kern w:val="0"/>
          <w:sz w:val="24"/>
        </w:rPr>
      </w:pPr>
      <w:r>
        <w:rPr>
          <w:rFonts w:hint="eastAsia" w:ascii="宋体" w:hAnsi="宋体" w:cs="宋体"/>
          <w:color w:val="auto"/>
          <w:kern w:val="0"/>
          <w:sz w:val="24"/>
        </w:rPr>
        <w:t>向采购人、采购代理机构行贿或者提供其他不正当利益的；</w:t>
      </w:r>
    </w:p>
    <w:p>
      <w:pPr>
        <w:numPr>
          <w:ilvl w:val="0"/>
          <w:numId w:val="3"/>
        </w:numPr>
        <w:tabs>
          <w:tab w:val="left" w:pos="945"/>
        </w:tabs>
        <w:spacing w:line="460" w:lineRule="exact"/>
        <w:rPr>
          <w:rFonts w:hint="eastAsia" w:ascii="宋体" w:hAnsi="宋体" w:cs="宋体"/>
          <w:color w:val="auto"/>
          <w:kern w:val="0"/>
          <w:sz w:val="24"/>
        </w:rPr>
      </w:pPr>
      <w:r>
        <w:rPr>
          <w:rFonts w:hint="eastAsia" w:ascii="宋体" w:hAnsi="宋体" w:cs="宋体"/>
          <w:color w:val="auto"/>
          <w:kern w:val="0"/>
          <w:sz w:val="24"/>
        </w:rPr>
        <w:t>在采购过程中与采购人进行协商磋商的；</w:t>
      </w:r>
    </w:p>
    <w:p>
      <w:pPr>
        <w:numPr>
          <w:ilvl w:val="0"/>
          <w:numId w:val="3"/>
        </w:numPr>
        <w:tabs>
          <w:tab w:val="left" w:pos="945"/>
        </w:tabs>
        <w:spacing w:line="460" w:lineRule="exact"/>
        <w:rPr>
          <w:rFonts w:hint="eastAsia" w:ascii="宋体" w:hAnsi="宋体" w:cs="宋体"/>
          <w:color w:val="auto"/>
          <w:kern w:val="0"/>
          <w:sz w:val="24"/>
        </w:rPr>
      </w:pPr>
      <w:r>
        <w:rPr>
          <w:rFonts w:hint="eastAsia" w:ascii="宋体" w:hAnsi="宋体" w:cs="宋体"/>
          <w:color w:val="auto"/>
          <w:kern w:val="0"/>
          <w:sz w:val="24"/>
        </w:rPr>
        <w:t>拒绝有关部门监督检查或提供虚假情况的。</w:t>
      </w:r>
    </w:p>
    <w:p>
      <w:pPr>
        <w:spacing w:line="460" w:lineRule="exact"/>
        <w:ind w:firstLine="420"/>
        <w:rPr>
          <w:rFonts w:hint="eastAsia" w:ascii="宋体" w:hAnsi="宋体" w:cs="宋体"/>
          <w:b/>
          <w:bCs/>
          <w:color w:val="auto"/>
          <w:kern w:val="0"/>
          <w:sz w:val="24"/>
        </w:rPr>
      </w:pPr>
      <w:r>
        <w:rPr>
          <w:rFonts w:hint="eastAsia" w:ascii="宋体" w:hAnsi="宋体" w:cs="宋体"/>
          <w:b/>
          <w:bCs/>
          <w:color w:val="auto"/>
          <w:kern w:val="0"/>
          <w:sz w:val="24"/>
        </w:rPr>
        <w:t>1</w:t>
      </w:r>
      <w:r>
        <w:rPr>
          <w:rFonts w:hint="eastAsia" w:ascii="宋体" w:hAnsi="宋体" w:cs="宋体"/>
          <w:b/>
          <w:bCs/>
          <w:color w:val="auto"/>
          <w:kern w:val="0"/>
          <w:sz w:val="24"/>
          <w:lang w:val="en-US" w:eastAsia="zh-CN"/>
        </w:rPr>
        <w:t>1</w:t>
      </w:r>
      <w:r>
        <w:rPr>
          <w:rFonts w:hint="eastAsia" w:ascii="宋体" w:hAnsi="宋体" w:cs="宋体"/>
          <w:b/>
          <w:bCs/>
          <w:color w:val="auto"/>
          <w:kern w:val="0"/>
          <w:sz w:val="24"/>
          <w:lang w:eastAsia="zh-CN"/>
        </w:rPr>
        <w:t>、</w:t>
      </w:r>
      <w:r>
        <w:rPr>
          <w:rFonts w:hint="eastAsia" w:ascii="宋体" w:hAnsi="宋体" w:cs="宋体"/>
          <w:b/>
          <w:bCs/>
          <w:color w:val="auto"/>
          <w:kern w:val="0"/>
          <w:sz w:val="24"/>
        </w:rPr>
        <w:t>以上事项如有虚假或者隐瞒，我方愿意承担一切后果，并不再寻求任何旨在减轻或者免除法律责任的辩解。</w:t>
      </w:r>
    </w:p>
    <w:p>
      <w:pPr>
        <w:spacing w:line="460" w:lineRule="exact"/>
        <w:ind w:firstLine="420"/>
        <w:rPr>
          <w:rFonts w:hint="eastAsia" w:ascii="宋体" w:hAnsi="宋体" w:cs="宋体"/>
          <w:b/>
          <w:bCs/>
          <w:color w:val="auto"/>
          <w:kern w:val="0"/>
          <w:sz w:val="24"/>
        </w:rPr>
      </w:pPr>
      <w:r>
        <w:rPr>
          <w:rFonts w:hint="eastAsia" w:ascii="宋体" w:hAnsi="宋体" w:cs="宋体"/>
          <w:b/>
          <w:bCs/>
          <w:color w:val="auto"/>
          <w:kern w:val="0"/>
          <w:sz w:val="24"/>
          <w:lang w:val="en-US" w:eastAsia="zh-CN"/>
        </w:rPr>
        <w:t>12、</w:t>
      </w:r>
      <w:r>
        <w:rPr>
          <w:rFonts w:hint="eastAsia" w:ascii="宋体" w:hAnsi="宋体" w:cs="宋体"/>
          <w:b/>
          <w:bCs/>
          <w:color w:val="auto"/>
          <w:kern w:val="0"/>
          <w:sz w:val="24"/>
        </w:rPr>
        <w:t xml:space="preserve">与本磋商有关的一切正式往来信函请寄： </w:t>
      </w:r>
    </w:p>
    <w:p>
      <w:pPr>
        <w:spacing w:line="460" w:lineRule="exact"/>
        <w:ind w:firstLine="420"/>
        <w:rPr>
          <w:rFonts w:hint="eastAsia" w:ascii="宋体" w:hAnsi="宋体" w:cs="宋体"/>
          <w:color w:val="auto"/>
          <w:kern w:val="0"/>
          <w:sz w:val="24"/>
        </w:rPr>
      </w:pPr>
      <w:r>
        <w:rPr>
          <w:rFonts w:hint="eastAsia" w:ascii="宋体" w:hAnsi="宋体" w:cs="宋体"/>
          <w:color w:val="auto"/>
          <w:kern w:val="0"/>
          <w:sz w:val="24"/>
        </w:rPr>
        <w:t>地址：</w:t>
      </w:r>
      <w:r>
        <w:rPr>
          <w:rFonts w:hint="eastAsia" w:ascii="宋体" w:hAnsi="宋体" w:cs="宋体"/>
          <w:color w:val="auto"/>
          <w:kern w:val="0"/>
          <w:sz w:val="24"/>
          <w:u w:val="single"/>
        </w:rPr>
        <w:t xml:space="preserve">                                                        </w:t>
      </w:r>
      <w:r>
        <w:rPr>
          <w:rFonts w:hint="eastAsia" w:ascii="宋体" w:hAnsi="宋体" w:cs="宋体"/>
          <w:color w:val="auto"/>
          <w:kern w:val="0"/>
          <w:sz w:val="24"/>
        </w:rPr>
        <w:t xml:space="preserve"> </w:t>
      </w:r>
    </w:p>
    <w:p>
      <w:pPr>
        <w:spacing w:line="460" w:lineRule="exact"/>
        <w:ind w:firstLine="420"/>
        <w:rPr>
          <w:rFonts w:hint="eastAsia" w:ascii="宋体" w:hAnsi="宋体" w:cs="宋体"/>
          <w:color w:val="auto"/>
          <w:kern w:val="0"/>
          <w:sz w:val="24"/>
          <w:u w:val="single"/>
        </w:rPr>
      </w:pPr>
      <w:r>
        <w:rPr>
          <w:rFonts w:hint="eastAsia" w:ascii="宋体" w:hAnsi="宋体" w:cs="宋体"/>
          <w:color w:val="auto"/>
          <w:kern w:val="0"/>
          <w:sz w:val="24"/>
        </w:rPr>
        <w:t>电话：</w:t>
      </w:r>
      <w:r>
        <w:rPr>
          <w:rFonts w:hint="eastAsia" w:ascii="宋体" w:hAnsi="宋体" w:cs="宋体"/>
          <w:color w:val="auto"/>
          <w:kern w:val="0"/>
          <w:sz w:val="24"/>
          <w:u w:val="single"/>
        </w:rPr>
        <w:t xml:space="preserve">                                      　　　　　　　　　</w:t>
      </w:r>
    </w:p>
    <w:p>
      <w:pPr>
        <w:spacing w:line="460" w:lineRule="exact"/>
        <w:ind w:firstLine="420"/>
        <w:rPr>
          <w:rFonts w:hint="eastAsia" w:ascii="宋体" w:hAnsi="宋体" w:cs="宋体"/>
          <w:color w:val="auto"/>
          <w:kern w:val="0"/>
          <w:sz w:val="24"/>
          <w:u w:val="single"/>
        </w:rPr>
      </w:pPr>
      <w:r>
        <w:rPr>
          <w:rFonts w:hint="eastAsia" w:ascii="宋体" w:hAnsi="宋体" w:cs="宋体"/>
          <w:color w:val="auto"/>
          <w:kern w:val="0"/>
          <w:sz w:val="24"/>
        </w:rPr>
        <w:t>传真：</w:t>
      </w:r>
      <w:r>
        <w:rPr>
          <w:rFonts w:hint="eastAsia" w:ascii="宋体" w:hAnsi="宋体" w:cs="宋体"/>
          <w:color w:val="auto"/>
          <w:kern w:val="0"/>
          <w:sz w:val="24"/>
          <w:u w:val="single"/>
        </w:rPr>
        <w:t>　　　　　　　　　　　　　　　　　　　　　　　　　　　　</w:t>
      </w:r>
    </w:p>
    <w:p>
      <w:pPr>
        <w:spacing w:line="460" w:lineRule="exact"/>
        <w:ind w:firstLine="420"/>
        <w:rPr>
          <w:rFonts w:hint="eastAsia" w:ascii="宋体" w:hAnsi="宋体" w:cs="宋体"/>
          <w:color w:val="auto"/>
          <w:sz w:val="24"/>
        </w:rPr>
      </w:pPr>
      <w:r>
        <w:rPr>
          <w:rFonts w:hint="eastAsia" w:ascii="宋体" w:hAnsi="宋体" w:cs="宋体"/>
          <w:color w:val="auto"/>
          <w:kern w:val="0"/>
          <w:sz w:val="24"/>
        </w:rPr>
        <w:t>电子邮箱：</w:t>
      </w:r>
      <w:r>
        <w:rPr>
          <w:rFonts w:hint="eastAsia" w:ascii="宋体" w:hAnsi="宋体" w:cs="宋体"/>
          <w:color w:val="auto"/>
          <w:kern w:val="0"/>
          <w:sz w:val="24"/>
          <w:u w:val="single"/>
        </w:rPr>
        <w:t>　　　　　　　　　　　　　　　　　　　　　　　　　　</w:t>
      </w:r>
    </w:p>
    <w:p>
      <w:pPr>
        <w:spacing w:line="460" w:lineRule="exact"/>
        <w:ind w:firstLine="420"/>
        <w:rPr>
          <w:rFonts w:hint="eastAsia" w:ascii="宋体" w:hAnsi="宋体" w:cs="宋体"/>
          <w:color w:val="auto"/>
          <w:kern w:val="0"/>
          <w:sz w:val="24"/>
          <w:u w:val="single"/>
        </w:rPr>
      </w:pPr>
      <w:r>
        <w:rPr>
          <w:rFonts w:hint="eastAsia" w:ascii="宋体" w:hAnsi="宋体" w:cs="宋体"/>
          <w:color w:val="auto"/>
          <w:kern w:val="0"/>
          <w:sz w:val="24"/>
        </w:rPr>
        <w:t>邮政编码：</w:t>
      </w:r>
      <w:r>
        <w:rPr>
          <w:rFonts w:hint="eastAsia" w:ascii="宋体" w:hAnsi="宋体" w:cs="宋体"/>
          <w:color w:val="auto"/>
          <w:kern w:val="0"/>
          <w:sz w:val="24"/>
          <w:u w:val="single"/>
        </w:rPr>
        <w:t xml:space="preserve">                                                    </w:t>
      </w:r>
    </w:p>
    <w:p>
      <w:pPr>
        <w:spacing w:line="460" w:lineRule="exact"/>
        <w:ind w:firstLine="420"/>
        <w:rPr>
          <w:rFonts w:hint="eastAsia" w:ascii="宋体" w:hAnsi="宋体" w:cs="宋体"/>
          <w:color w:val="auto"/>
          <w:kern w:val="0"/>
          <w:sz w:val="24"/>
          <w:u w:val="single"/>
        </w:rPr>
      </w:pPr>
      <w:r>
        <w:rPr>
          <w:rFonts w:hint="eastAsia" w:ascii="宋体" w:hAnsi="宋体" w:cs="宋体"/>
          <w:color w:val="auto"/>
          <w:kern w:val="0"/>
          <w:sz w:val="24"/>
        </w:rPr>
        <w:t>开户名称：</w:t>
      </w:r>
      <w:r>
        <w:rPr>
          <w:rFonts w:hint="eastAsia" w:ascii="宋体" w:hAnsi="宋体" w:cs="宋体"/>
          <w:color w:val="auto"/>
          <w:kern w:val="0"/>
          <w:sz w:val="24"/>
          <w:u w:val="single"/>
        </w:rPr>
        <w:t xml:space="preserve">                                                    </w:t>
      </w:r>
    </w:p>
    <w:p>
      <w:pPr>
        <w:spacing w:line="460" w:lineRule="exact"/>
        <w:ind w:firstLine="420"/>
        <w:rPr>
          <w:rFonts w:hint="eastAsia" w:ascii="宋体" w:hAnsi="宋体" w:cs="宋体"/>
          <w:color w:val="auto"/>
          <w:kern w:val="0"/>
          <w:sz w:val="24"/>
          <w:u w:val="single"/>
        </w:rPr>
      </w:pPr>
      <w:r>
        <w:rPr>
          <w:rFonts w:hint="eastAsia" w:ascii="宋体" w:hAnsi="宋体" w:cs="宋体"/>
          <w:color w:val="auto"/>
          <w:kern w:val="0"/>
          <w:sz w:val="24"/>
        </w:rPr>
        <w:t>开户银行：</w:t>
      </w:r>
      <w:r>
        <w:rPr>
          <w:rFonts w:hint="eastAsia" w:ascii="宋体" w:hAnsi="宋体" w:cs="宋体"/>
          <w:color w:val="auto"/>
          <w:kern w:val="0"/>
          <w:sz w:val="24"/>
          <w:u w:val="single"/>
        </w:rPr>
        <w:t xml:space="preserve">                                                    </w:t>
      </w:r>
    </w:p>
    <w:p>
      <w:pPr>
        <w:spacing w:line="460" w:lineRule="exact"/>
        <w:ind w:firstLine="420"/>
        <w:rPr>
          <w:rFonts w:hint="eastAsia" w:ascii="宋体" w:hAnsi="宋体" w:cs="宋体"/>
          <w:color w:val="auto"/>
          <w:kern w:val="0"/>
          <w:sz w:val="24"/>
          <w:u w:val="single"/>
        </w:rPr>
      </w:pPr>
      <w:r>
        <w:rPr>
          <w:rFonts w:hint="eastAsia" w:ascii="宋体" w:hAnsi="宋体" w:cs="宋体"/>
          <w:color w:val="auto"/>
          <w:kern w:val="0"/>
          <w:sz w:val="24"/>
        </w:rPr>
        <w:t>银行账号：</w:t>
      </w:r>
      <w:r>
        <w:rPr>
          <w:rFonts w:hint="eastAsia" w:ascii="宋体" w:hAnsi="宋体" w:cs="宋体"/>
          <w:color w:val="auto"/>
          <w:kern w:val="0"/>
          <w:sz w:val="24"/>
          <w:u w:val="single"/>
        </w:rPr>
        <w:t xml:space="preserve">                                                    </w:t>
      </w:r>
    </w:p>
    <w:p>
      <w:pPr>
        <w:pStyle w:val="18"/>
        <w:tabs>
          <w:tab w:val="left" w:pos="939"/>
        </w:tabs>
        <w:spacing w:line="460" w:lineRule="exact"/>
        <w:ind w:left="141" w:leftChars="67" w:firstLine="360" w:firstLineChars="150"/>
        <w:rPr>
          <w:rFonts w:hint="eastAsia" w:ascii="宋体" w:hAnsi="宋体" w:cs="宋体"/>
          <w:color w:val="auto"/>
          <w:sz w:val="24"/>
        </w:rPr>
      </w:pPr>
      <w:r>
        <w:rPr>
          <w:rFonts w:hint="eastAsia" w:ascii="宋体" w:hAnsi="宋体" w:cs="宋体"/>
          <w:color w:val="auto"/>
          <w:sz w:val="24"/>
        </w:rPr>
        <w:t>特此承诺。</w:t>
      </w:r>
    </w:p>
    <w:p>
      <w:pPr>
        <w:spacing w:line="360" w:lineRule="auto"/>
        <w:contextualSpacing/>
        <w:jc w:val="left"/>
        <w:rPr>
          <w:rFonts w:hint="eastAsia" w:ascii="宋体" w:hAnsi="宋体" w:cs="宋体"/>
          <w:color w:val="auto"/>
          <w:szCs w:val="21"/>
        </w:rPr>
      </w:pPr>
    </w:p>
    <w:p>
      <w:pPr>
        <w:autoSpaceDE w:val="0"/>
        <w:autoSpaceDN w:val="0"/>
        <w:spacing w:line="360" w:lineRule="auto"/>
        <w:ind w:left="4335" w:leftChars="1950" w:hanging="240" w:hangingChars="100"/>
        <w:rPr>
          <w:rFonts w:hint="eastAsia" w:ascii="宋体" w:hAnsi="宋体" w:cs="宋体"/>
          <w:color w:val="auto"/>
          <w:kern w:val="0"/>
          <w:sz w:val="24"/>
        </w:rPr>
      </w:pPr>
      <w:r>
        <w:rPr>
          <w:rFonts w:hint="eastAsia" w:ascii="宋体" w:hAnsi="宋体" w:cs="宋体"/>
          <w:color w:val="auto"/>
          <w:kern w:val="0"/>
          <w:sz w:val="24"/>
        </w:rPr>
        <w:t>供应商名称（盖公章）：</w:t>
      </w:r>
    </w:p>
    <w:p>
      <w:pPr>
        <w:autoSpaceDE w:val="0"/>
        <w:autoSpaceDN w:val="0"/>
        <w:spacing w:line="360" w:lineRule="auto"/>
        <w:ind w:firstLine="6480" w:firstLineChars="2700"/>
        <w:rPr>
          <w:rFonts w:hint="eastAsia" w:ascii="宋体" w:hAnsi="宋体" w:cs="宋体"/>
          <w:color w:val="auto"/>
          <w:kern w:val="0"/>
          <w:sz w:val="24"/>
          <w:lang w:val="zh-CN"/>
        </w:rPr>
      </w:pPr>
      <w:r>
        <w:rPr>
          <w:rFonts w:hint="eastAsia" w:ascii="宋体" w:hAnsi="宋体" w:cs="宋体"/>
          <w:color w:val="auto"/>
          <w:kern w:val="0"/>
          <w:sz w:val="24"/>
          <w:lang w:val="zh-CN"/>
        </w:rPr>
        <w:t>日期：  年  月   日</w:t>
      </w:r>
    </w:p>
    <w:p>
      <w:pPr>
        <w:spacing w:line="500" w:lineRule="exact"/>
        <w:rPr>
          <w:rFonts w:hint="eastAsia" w:ascii="宋体" w:hAnsi="宋体" w:cs="宋体"/>
          <w:b/>
          <w:color w:val="auto"/>
          <w:sz w:val="28"/>
          <w:szCs w:val="28"/>
        </w:rPr>
      </w:pPr>
    </w:p>
    <w:p>
      <w:pPr>
        <w:spacing w:line="500" w:lineRule="exact"/>
        <w:rPr>
          <w:rFonts w:hint="eastAsia" w:ascii="仿宋" w:hAnsi="仿宋" w:eastAsia="仿宋" w:cs="仿宋_GB2312"/>
          <w:b/>
          <w:color w:val="auto"/>
          <w:sz w:val="30"/>
          <w:szCs w:val="30"/>
          <w:lang w:val="zh-CN"/>
        </w:rPr>
      </w:pPr>
      <w:r>
        <w:rPr>
          <w:rFonts w:hint="eastAsia" w:ascii="宋体" w:hAnsi="宋体" w:cs="宋体"/>
          <w:b/>
          <w:color w:val="auto"/>
          <w:sz w:val="28"/>
          <w:szCs w:val="28"/>
        </w:rPr>
        <w:br w:type="page"/>
      </w:r>
      <w:r>
        <w:rPr>
          <w:rFonts w:hint="eastAsia" w:ascii="宋体" w:hAnsi="宋体" w:cs="宋体"/>
          <w:b/>
          <w:color w:val="auto"/>
          <w:sz w:val="28"/>
          <w:szCs w:val="28"/>
        </w:rPr>
        <w:t>4.</w:t>
      </w:r>
      <w:r>
        <w:rPr>
          <w:rFonts w:hint="eastAsia" w:ascii="宋体" w:hAnsi="宋体" w:cs="宋体"/>
          <w:b/>
          <w:color w:val="auto"/>
          <w:sz w:val="28"/>
          <w:szCs w:val="28"/>
          <w:lang w:val="zh-CN"/>
        </w:rPr>
        <w:t>响应报价表的格式：</w:t>
      </w:r>
      <w:r>
        <w:rPr>
          <w:rFonts w:hint="eastAsia" w:ascii="仿宋" w:hAnsi="仿宋" w:eastAsia="仿宋" w:cs="仿宋_GB2312"/>
          <w:b/>
          <w:color w:val="auto"/>
          <w:sz w:val="30"/>
          <w:szCs w:val="30"/>
          <w:lang w:val="zh-CN"/>
        </w:rPr>
        <w:t xml:space="preserve"> </w:t>
      </w:r>
    </w:p>
    <w:p>
      <w:pPr>
        <w:spacing w:line="520" w:lineRule="exact"/>
        <w:jc w:val="center"/>
        <w:rPr>
          <w:rFonts w:hint="eastAsia"/>
          <w:b/>
          <w:bCs/>
          <w:color w:val="auto"/>
          <w:sz w:val="32"/>
          <w:szCs w:val="32"/>
        </w:rPr>
      </w:pPr>
      <w:r>
        <w:rPr>
          <w:rFonts w:hint="eastAsia"/>
          <w:b/>
          <w:bCs/>
          <w:color w:val="auto"/>
          <w:sz w:val="32"/>
          <w:szCs w:val="32"/>
        </w:rPr>
        <w:t>响应报价表</w:t>
      </w:r>
    </w:p>
    <w:p>
      <w:pPr>
        <w:snapToGrid w:val="0"/>
        <w:spacing w:before="50" w:after="50" w:line="360" w:lineRule="auto"/>
        <w:rPr>
          <w:rFonts w:hint="eastAsia" w:ascii="宋体" w:hAnsi="宋体" w:cs="宋体"/>
          <w:color w:val="auto"/>
          <w:sz w:val="24"/>
        </w:rPr>
      </w:pPr>
      <w:r>
        <w:rPr>
          <w:rFonts w:hint="eastAsia" w:ascii="宋体" w:hAnsi="宋体" w:cs="宋体"/>
          <w:color w:val="auto"/>
          <w:sz w:val="24"/>
        </w:rPr>
        <w:t>项目名称：</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p>
    <w:p>
      <w:pPr>
        <w:snapToGrid w:val="0"/>
        <w:spacing w:before="50" w:after="50" w:line="360" w:lineRule="auto"/>
        <w:rPr>
          <w:rFonts w:hint="eastAsia" w:ascii="宋体" w:hAnsi="宋体" w:cs="宋体"/>
          <w:color w:val="auto"/>
          <w:sz w:val="24"/>
        </w:rPr>
      </w:pPr>
      <w:r>
        <w:rPr>
          <w:rFonts w:hint="eastAsia" w:ascii="宋体" w:hAnsi="宋体" w:cs="宋体"/>
          <w:color w:val="auto"/>
          <w:sz w:val="24"/>
        </w:rPr>
        <w:t>项目编号：</w:t>
      </w:r>
      <w:r>
        <w:rPr>
          <w:rFonts w:hint="eastAsia" w:ascii="宋体" w:hAnsi="宋体" w:cs="宋体"/>
          <w:color w:val="auto"/>
          <w:sz w:val="24"/>
          <w:u w:val="single"/>
        </w:rPr>
        <w:t xml:space="preserve">            </w:t>
      </w:r>
    </w:p>
    <w:p>
      <w:pPr>
        <w:spacing w:line="360" w:lineRule="auto"/>
        <w:contextualSpacing/>
        <w:rPr>
          <w:rFonts w:hint="eastAsia" w:ascii="宋体" w:hAnsi="宋体" w:cs="宋体"/>
          <w:color w:val="auto"/>
          <w:sz w:val="24"/>
        </w:rPr>
      </w:pPr>
      <w:r>
        <w:rPr>
          <w:rFonts w:hint="eastAsia" w:ascii="宋体" w:hAnsi="宋体" w:cs="宋体"/>
          <w:color w:val="auto"/>
          <w:sz w:val="24"/>
        </w:rPr>
        <w:t>所竞分标（如有则填写，无分标时填写“无”或者留空）：</w:t>
      </w:r>
      <w:r>
        <w:rPr>
          <w:rFonts w:hint="eastAsia" w:ascii="宋体" w:hAnsi="宋体" w:cs="宋体"/>
          <w:color w:val="auto"/>
          <w:sz w:val="24"/>
          <w:u w:val="single"/>
        </w:rPr>
        <w:t xml:space="preserve">                  </w:t>
      </w:r>
      <w:r>
        <w:rPr>
          <w:rFonts w:hint="eastAsia" w:ascii="宋体" w:hAnsi="宋体" w:cs="宋体"/>
          <w:color w:val="auto"/>
          <w:sz w:val="24"/>
        </w:rPr>
        <w:t xml:space="preserve"> </w:t>
      </w:r>
    </w:p>
    <w:tbl>
      <w:tblPr>
        <w:tblStyle w:val="32"/>
        <w:tblW w:w="97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2065"/>
        <w:gridCol w:w="2299"/>
        <w:gridCol w:w="1064"/>
        <w:gridCol w:w="2485"/>
        <w:gridCol w:w="1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jc w:val="center"/>
        </w:trPr>
        <w:tc>
          <w:tcPr>
            <w:tcW w:w="71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color w:val="auto"/>
                <w:sz w:val="24"/>
              </w:rPr>
            </w:pPr>
            <w:r>
              <w:rPr>
                <w:rFonts w:hint="eastAsia" w:ascii="宋体" w:hAnsi="宋体" w:cs="宋体"/>
                <w:color w:val="auto"/>
                <w:sz w:val="24"/>
              </w:rPr>
              <w:t>序号</w:t>
            </w:r>
          </w:p>
        </w:tc>
        <w:tc>
          <w:tcPr>
            <w:tcW w:w="20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auto"/>
                <w:sz w:val="24"/>
              </w:rPr>
            </w:pPr>
            <w:r>
              <w:rPr>
                <w:rFonts w:hint="eastAsia" w:ascii="宋体" w:hAnsi="宋体" w:cs="宋体"/>
                <w:color w:val="auto"/>
                <w:sz w:val="24"/>
              </w:rPr>
              <w:t>标的名称</w:t>
            </w:r>
          </w:p>
        </w:tc>
        <w:tc>
          <w:tcPr>
            <w:tcW w:w="229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auto"/>
                <w:sz w:val="24"/>
              </w:rPr>
            </w:pPr>
            <w:r>
              <w:rPr>
                <w:rFonts w:hint="eastAsia" w:ascii="宋体" w:hAnsi="宋体" w:cs="宋体"/>
                <w:color w:val="auto"/>
                <w:sz w:val="24"/>
              </w:rPr>
              <w:t>服务内容</w:t>
            </w:r>
          </w:p>
        </w:tc>
        <w:tc>
          <w:tcPr>
            <w:tcW w:w="106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4"/>
              </w:rPr>
            </w:pPr>
            <w:r>
              <w:rPr>
                <w:rFonts w:hint="eastAsia" w:ascii="宋体" w:hAnsi="宋体" w:eastAsia="宋体" w:cs="宋体"/>
                <w:color w:val="auto"/>
                <w:sz w:val="24"/>
              </w:rPr>
              <w:t>数量及单位</w:t>
            </w:r>
          </w:p>
        </w:tc>
        <w:tc>
          <w:tcPr>
            <w:tcW w:w="24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4"/>
              </w:rPr>
            </w:pPr>
            <w:r>
              <w:rPr>
                <w:rFonts w:hint="eastAsia" w:ascii="宋体" w:hAnsi="宋体" w:eastAsia="宋体" w:cs="宋体"/>
                <w:color w:val="auto"/>
                <w:sz w:val="24"/>
              </w:rPr>
              <w:t>总报价(</w:t>
            </w:r>
            <w:r>
              <w:rPr>
                <w:rFonts w:hint="eastAsia" w:ascii="宋体" w:hAnsi="宋体" w:eastAsia="宋体" w:cs="宋体"/>
                <w:color w:val="auto"/>
                <w:sz w:val="24"/>
                <w:lang w:val="en-US" w:eastAsia="zh-CN"/>
              </w:rPr>
              <w:t>元</w:t>
            </w:r>
            <w:r>
              <w:rPr>
                <w:rFonts w:hint="eastAsia" w:ascii="宋体" w:hAnsi="宋体" w:eastAsia="宋体" w:cs="宋体"/>
                <w:color w:val="auto"/>
                <w:sz w:val="24"/>
              </w:rPr>
              <w:t>)</w:t>
            </w:r>
          </w:p>
        </w:tc>
        <w:tc>
          <w:tcPr>
            <w:tcW w:w="11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auto"/>
                <w:sz w:val="24"/>
              </w:rPr>
            </w:pPr>
            <w:r>
              <w:rPr>
                <w:rFonts w:hint="eastAsia" w:ascii="宋体" w:hAnsi="宋体" w:cs="宋体"/>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9" w:hRule="atLeast"/>
          <w:jc w:val="center"/>
        </w:trPr>
        <w:tc>
          <w:tcPr>
            <w:tcW w:w="71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auto"/>
                <w:sz w:val="24"/>
              </w:rPr>
            </w:pPr>
            <w:r>
              <w:rPr>
                <w:rFonts w:hint="eastAsia" w:ascii="宋体" w:hAnsi="宋体" w:cs="宋体"/>
                <w:color w:val="auto"/>
                <w:sz w:val="24"/>
              </w:rPr>
              <w:t>1</w:t>
            </w:r>
          </w:p>
        </w:tc>
        <w:tc>
          <w:tcPr>
            <w:tcW w:w="20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4"/>
              </w:rPr>
            </w:pPr>
          </w:p>
        </w:tc>
        <w:tc>
          <w:tcPr>
            <w:tcW w:w="2299"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4"/>
                <w:lang w:val="en-US" w:eastAsia="zh-CN"/>
              </w:rPr>
            </w:pPr>
            <w:r>
              <w:rPr>
                <w:rFonts w:hint="eastAsia" w:ascii="宋体" w:hAnsi="宋体" w:eastAsia="宋体" w:cs="宋体"/>
                <w:color w:val="auto"/>
                <w:sz w:val="24"/>
                <w:lang w:val="en-US" w:eastAsia="zh-CN"/>
              </w:rPr>
              <w:t>按</w:t>
            </w:r>
            <w:r>
              <w:rPr>
                <w:rFonts w:hint="eastAsia" w:ascii="宋体" w:hAnsi="宋体" w:eastAsia="宋体" w:cs="宋体"/>
                <w:color w:val="auto"/>
                <w:sz w:val="24"/>
              </w:rPr>
              <w:t>服务需求偏离表</w:t>
            </w:r>
            <w:r>
              <w:rPr>
                <w:rFonts w:hint="eastAsia" w:ascii="宋体" w:hAnsi="宋体" w:eastAsia="宋体" w:cs="宋体"/>
                <w:color w:val="auto"/>
                <w:sz w:val="24"/>
                <w:lang w:val="en-US" w:eastAsia="zh-CN"/>
              </w:rPr>
              <w:t>中</w:t>
            </w:r>
            <w:r>
              <w:rPr>
                <w:rFonts w:hint="eastAsia" w:ascii="宋体" w:hAnsi="宋体" w:eastAsia="宋体" w:cs="宋体"/>
                <w:color w:val="auto"/>
                <w:sz w:val="24"/>
              </w:rPr>
              <w:t>响应文件响应的</w:t>
            </w:r>
            <w:r>
              <w:rPr>
                <w:rFonts w:hint="eastAsia" w:ascii="宋体" w:hAnsi="宋体" w:eastAsia="宋体" w:cs="宋体"/>
                <w:color w:val="auto"/>
                <w:sz w:val="24"/>
                <w:lang w:eastAsia="zh-CN"/>
              </w:rPr>
              <w:t>技术要求</w:t>
            </w:r>
            <w:r>
              <w:rPr>
                <w:rFonts w:hint="eastAsia" w:ascii="宋体" w:hAnsi="宋体" w:eastAsia="宋体" w:cs="宋体"/>
                <w:color w:val="auto"/>
                <w:sz w:val="24"/>
                <w:lang w:val="en-US" w:eastAsia="zh-CN"/>
              </w:rPr>
              <w:t>提供服务</w:t>
            </w:r>
          </w:p>
        </w:tc>
        <w:tc>
          <w:tcPr>
            <w:tcW w:w="1064"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4"/>
                <w:lang w:val="en-US" w:eastAsia="zh-CN"/>
              </w:rPr>
            </w:pPr>
            <w:r>
              <w:rPr>
                <w:rFonts w:hint="eastAsia" w:ascii="宋体" w:hAnsi="宋体" w:eastAsia="宋体" w:cs="宋体"/>
                <w:color w:val="auto"/>
                <w:sz w:val="24"/>
                <w:lang w:val="en-US" w:eastAsia="zh-CN"/>
              </w:rPr>
              <w:t>1项</w:t>
            </w:r>
          </w:p>
        </w:tc>
        <w:tc>
          <w:tcPr>
            <w:tcW w:w="2485"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hint="eastAsia" w:ascii="宋体" w:hAnsi="宋体" w:cs="宋体"/>
                <w:color w:val="auto"/>
                <w:sz w:val="24"/>
              </w:rPr>
            </w:pPr>
            <w:r>
              <w:rPr>
                <w:rFonts w:hint="eastAsia" w:ascii="宋体" w:hAnsi="宋体" w:cs="宋体"/>
                <w:color w:val="auto"/>
                <w:sz w:val="24"/>
                <w:szCs w:val="32"/>
                <w:u w:val="single"/>
              </w:rPr>
              <w:t xml:space="preserve">¥           </w:t>
            </w:r>
          </w:p>
        </w:tc>
        <w:tc>
          <w:tcPr>
            <w:tcW w:w="110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9" w:hRule="atLeast"/>
          <w:jc w:val="center"/>
        </w:trPr>
        <w:tc>
          <w:tcPr>
            <w:tcW w:w="71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4"/>
                <w:lang w:val="en-US" w:eastAsia="zh-CN"/>
              </w:rPr>
            </w:pPr>
            <w:r>
              <w:rPr>
                <w:rFonts w:hint="eastAsia" w:ascii="宋体" w:hAnsi="宋体" w:cs="宋体"/>
                <w:color w:val="auto"/>
                <w:sz w:val="24"/>
                <w:lang w:val="en-US" w:eastAsia="zh-CN"/>
              </w:rPr>
              <w:t>2</w:t>
            </w:r>
          </w:p>
        </w:tc>
        <w:tc>
          <w:tcPr>
            <w:tcW w:w="20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4"/>
                <w:lang w:val="en-US" w:eastAsia="zh-CN"/>
              </w:rPr>
            </w:pPr>
            <w:r>
              <w:rPr>
                <w:rFonts w:hint="eastAsia" w:ascii="宋体" w:hAnsi="宋体" w:cs="宋体"/>
                <w:color w:val="auto"/>
                <w:sz w:val="24"/>
                <w:lang w:val="en-US" w:eastAsia="zh-CN"/>
              </w:rPr>
              <w:t>……</w:t>
            </w:r>
          </w:p>
        </w:tc>
        <w:tc>
          <w:tcPr>
            <w:tcW w:w="229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4"/>
                <w:lang w:val="en-US" w:eastAsia="zh-CN"/>
              </w:rPr>
            </w:pPr>
          </w:p>
        </w:tc>
        <w:tc>
          <w:tcPr>
            <w:tcW w:w="106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4"/>
                <w:lang w:val="en-US" w:eastAsia="zh-CN"/>
              </w:rPr>
            </w:pPr>
          </w:p>
        </w:tc>
        <w:tc>
          <w:tcPr>
            <w:tcW w:w="2485"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hint="eastAsia" w:ascii="宋体" w:hAnsi="宋体" w:cs="宋体"/>
                <w:color w:val="auto"/>
                <w:sz w:val="24"/>
                <w:szCs w:val="32"/>
                <w:u w:val="single"/>
              </w:rPr>
            </w:pPr>
          </w:p>
        </w:tc>
        <w:tc>
          <w:tcPr>
            <w:tcW w:w="110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9733" w:type="dxa"/>
            <w:gridSpan w:val="6"/>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服务期限：</w:t>
            </w:r>
          </w:p>
        </w:tc>
      </w:tr>
    </w:tbl>
    <w:p>
      <w:pPr>
        <w:snapToGrid w:val="0"/>
        <w:spacing w:before="50" w:after="50" w:line="360" w:lineRule="auto"/>
        <w:ind w:firstLine="480" w:firstLineChars="200"/>
        <w:jc w:val="left"/>
        <w:rPr>
          <w:rFonts w:hint="eastAsia" w:ascii="宋体" w:hAnsi="宋体" w:cs="宋体"/>
          <w:color w:val="auto"/>
          <w:kern w:val="0"/>
          <w:sz w:val="24"/>
          <w:szCs w:val="24"/>
          <w:lang w:val="zh-CN"/>
        </w:rPr>
      </w:pPr>
      <w:r>
        <w:rPr>
          <w:rFonts w:hint="eastAsia" w:ascii="宋体" w:hAnsi="宋体" w:cs="宋体"/>
          <w:color w:val="auto"/>
          <w:kern w:val="0"/>
          <w:sz w:val="24"/>
          <w:szCs w:val="24"/>
          <w:lang w:val="zh-CN"/>
        </w:rPr>
        <w:t xml:space="preserve">注： </w:t>
      </w:r>
    </w:p>
    <w:p>
      <w:pPr>
        <w:snapToGrid w:val="0"/>
        <w:spacing w:before="50" w:after="50" w:line="360" w:lineRule="auto"/>
        <w:ind w:firstLine="480" w:firstLineChars="200"/>
        <w:jc w:val="left"/>
        <w:rPr>
          <w:rFonts w:hint="eastAsia" w:ascii="宋体" w:hAnsi="宋体" w:cs="宋体"/>
          <w:color w:val="auto"/>
          <w:kern w:val="0"/>
          <w:sz w:val="24"/>
          <w:lang w:val="zh-CN"/>
        </w:rPr>
      </w:pPr>
      <w:r>
        <w:rPr>
          <w:rFonts w:hint="eastAsia" w:ascii="宋体" w:hAnsi="宋体" w:cs="宋体"/>
          <w:color w:val="auto"/>
          <w:kern w:val="0"/>
          <w:sz w:val="24"/>
          <w:lang w:val="zh-CN"/>
        </w:rPr>
        <w:t>1、供应商需按本表格式填写，不得自行更改，也不得留空（</w:t>
      </w:r>
      <w:r>
        <w:rPr>
          <w:rFonts w:hint="eastAsia" w:ascii="宋体" w:hAnsi="宋体" w:cs="宋体"/>
          <w:color w:val="auto"/>
          <w:sz w:val="24"/>
        </w:rPr>
        <w:t>备注除外</w:t>
      </w:r>
      <w:r>
        <w:rPr>
          <w:rFonts w:hint="eastAsia" w:ascii="宋体" w:hAnsi="宋体" w:cs="宋体"/>
          <w:color w:val="auto"/>
          <w:kern w:val="0"/>
          <w:sz w:val="24"/>
          <w:lang w:val="zh-CN"/>
        </w:rPr>
        <w:t>）, 如有多分标，按分标分别提供响应报价表，</w:t>
      </w:r>
      <w:r>
        <w:rPr>
          <w:rFonts w:hint="eastAsia" w:ascii="宋体" w:hAnsi="宋体" w:cs="宋体"/>
          <w:b/>
          <w:color w:val="auto"/>
          <w:kern w:val="0"/>
          <w:sz w:val="24"/>
          <w:lang w:val="zh-CN"/>
        </w:rPr>
        <w:t>否则其响应按无效响应处理。</w:t>
      </w:r>
    </w:p>
    <w:p>
      <w:pPr>
        <w:snapToGrid w:val="0"/>
        <w:spacing w:before="50" w:after="50" w:line="360" w:lineRule="auto"/>
        <w:ind w:firstLine="480" w:firstLineChars="200"/>
        <w:jc w:val="left"/>
        <w:rPr>
          <w:rFonts w:hint="eastAsia" w:ascii="宋体" w:hAnsi="宋体" w:cs="宋体"/>
          <w:b/>
          <w:color w:val="auto"/>
          <w:kern w:val="0"/>
          <w:sz w:val="24"/>
          <w:lang w:val="zh-CN"/>
        </w:rPr>
      </w:pPr>
      <w:r>
        <w:rPr>
          <w:rFonts w:hint="eastAsia" w:ascii="宋体" w:hAnsi="宋体" w:cs="宋体"/>
          <w:color w:val="auto"/>
          <w:kern w:val="0"/>
          <w:sz w:val="24"/>
          <w:lang w:val="zh-CN"/>
        </w:rPr>
        <w:t>2、如为联合体响应的，“供应商名称”处必须列明联合体各方名称，并标注联合体牵头人名称，且盖章处须加盖联合体各方公章，</w:t>
      </w:r>
      <w:r>
        <w:rPr>
          <w:rFonts w:hint="eastAsia" w:ascii="宋体" w:hAnsi="宋体" w:cs="宋体"/>
          <w:b/>
          <w:color w:val="auto"/>
          <w:kern w:val="0"/>
          <w:sz w:val="24"/>
          <w:lang w:val="zh-CN"/>
        </w:rPr>
        <w:t>否则其响应按无效响应处理。</w:t>
      </w:r>
    </w:p>
    <w:p>
      <w:pPr>
        <w:snapToGrid w:val="0"/>
        <w:spacing w:before="50" w:after="50" w:line="360" w:lineRule="auto"/>
        <w:ind w:firstLine="480" w:firstLineChars="200"/>
        <w:jc w:val="left"/>
        <w:rPr>
          <w:rFonts w:hint="eastAsia" w:ascii="宋体" w:hAnsi="宋体" w:cs="宋体"/>
          <w:b/>
          <w:color w:val="auto"/>
          <w:kern w:val="0"/>
          <w:sz w:val="24"/>
          <w:lang w:val="zh-CN"/>
        </w:rPr>
      </w:pPr>
      <w:r>
        <w:rPr>
          <w:rFonts w:hint="eastAsia" w:ascii="宋体" w:hAnsi="宋体" w:cs="宋体"/>
          <w:color w:val="auto"/>
          <w:kern w:val="0"/>
          <w:sz w:val="24"/>
          <w:lang w:val="zh-CN"/>
        </w:rPr>
        <w:t>3、</w:t>
      </w:r>
      <w:r>
        <w:rPr>
          <w:rFonts w:hint="eastAsia" w:ascii="宋体" w:hAnsi="宋体" w:cs="宋体"/>
          <w:color w:val="auto"/>
          <w:kern w:val="0"/>
          <w:sz w:val="24"/>
        </w:rPr>
        <w:t>请</w:t>
      </w:r>
      <w:r>
        <w:rPr>
          <w:rFonts w:hint="eastAsia" w:ascii="宋体" w:hAnsi="宋体" w:cs="宋体"/>
          <w:color w:val="auto"/>
          <w:sz w:val="24"/>
        </w:rPr>
        <w:t>根据所竞</w:t>
      </w:r>
      <w:r>
        <w:rPr>
          <w:rFonts w:hint="eastAsia" w:hAnsi="宋体" w:cs="宋体"/>
          <w:color w:val="auto"/>
          <w:sz w:val="24"/>
        </w:rPr>
        <w:t>服务内容</w:t>
      </w:r>
      <w:r>
        <w:rPr>
          <w:rFonts w:hint="eastAsia" w:ascii="宋体" w:hAnsi="宋体" w:cs="宋体"/>
          <w:color w:val="auto"/>
          <w:sz w:val="24"/>
        </w:rPr>
        <w:t>，逐条对应本项目竞争性磋商文件“第二章 采购需求”中“</w:t>
      </w:r>
      <w:r>
        <w:rPr>
          <w:rFonts w:hint="eastAsia" w:ascii="宋体" w:hAnsi="宋体" w:cs="宋体"/>
          <w:color w:val="auto"/>
          <w:sz w:val="24"/>
          <w:lang w:eastAsia="zh-CN"/>
        </w:rPr>
        <w:t>技术要求</w:t>
      </w:r>
      <w:r>
        <w:rPr>
          <w:rFonts w:hint="eastAsia" w:ascii="宋体" w:hAnsi="宋体" w:cs="宋体"/>
          <w:color w:val="auto"/>
          <w:sz w:val="24"/>
        </w:rPr>
        <w:t>”的</w:t>
      </w:r>
      <w:r>
        <w:rPr>
          <w:rFonts w:hint="eastAsia" w:hAnsi="宋体" w:cs="宋体"/>
          <w:color w:val="auto"/>
          <w:sz w:val="24"/>
        </w:rPr>
        <w:t>内容</w:t>
      </w:r>
      <w:r>
        <w:rPr>
          <w:rFonts w:hint="eastAsia" w:ascii="宋体" w:hAnsi="宋体" w:cs="宋体"/>
          <w:color w:val="auto"/>
          <w:sz w:val="24"/>
        </w:rPr>
        <w:t>详细填写相应的具体内容。</w:t>
      </w:r>
    </w:p>
    <w:p>
      <w:pPr>
        <w:snapToGrid w:val="0"/>
        <w:spacing w:line="360" w:lineRule="auto"/>
        <w:ind w:firstLine="480" w:firstLineChars="200"/>
        <w:jc w:val="left"/>
        <w:rPr>
          <w:rFonts w:hint="eastAsia" w:ascii="宋体" w:hAnsi="宋体" w:cs="宋体"/>
          <w:color w:val="auto"/>
          <w:kern w:val="0"/>
          <w:sz w:val="24"/>
          <w:lang w:val="zh-CN"/>
        </w:rPr>
      </w:pPr>
      <w:r>
        <w:rPr>
          <w:rFonts w:hint="eastAsia" w:ascii="宋体" w:hAnsi="宋体" w:cs="宋体"/>
          <w:color w:val="auto"/>
          <w:kern w:val="0"/>
          <w:sz w:val="24"/>
          <w:lang w:val="zh-CN"/>
        </w:rPr>
        <w:t>4、特别提示：采购代理机构将对项目名称和项目编号，成交供应商名称、地址和成交金额，主要成交标的的名称、服务范围、服务要求、服务时间、服务标准等予以公示。</w:t>
      </w:r>
    </w:p>
    <w:p>
      <w:pPr>
        <w:snapToGrid w:val="0"/>
        <w:spacing w:line="360" w:lineRule="auto"/>
        <w:ind w:firstLine="480" w:firstLineChars="200"/>
        <w:jc w:val="left"/>
        <w:rPr>
          <w:rFonts w:hint="eastAsia" w:ascii="宋体" w:hAnsi="宋体" w:cs="宋体"/>
          <w:color w:val="auto"/>
          <w:kern w:val="0"/>
          <w:sz w:val="24"/>
          <w:lang w:val="zh-CN"/>
        </w:rPr>
      </w:pPr>
      <w:r>
        <w:rPr>
          <w:rFonts w:hint="eastAsia" w:ascii="宋体" w:hAnsi="宋体" w:cs="宋体"/>
          <w:color w:val="auto"/>
          <w:kern w:val="0"/>
          <w:sz w:val="24"/>
          <w:lang w:val="zh-CN"/>
        </w:rPr>
        <w:t>5、符合采购文件中列明的可享受中小企业扶持政策的供应商，请填写中小企业声明函。</w:t>
      </w:r>
    </w:p>
    <w:p>
      <w:pPr>
        <w:snapToGrid w:val="0"/>
        <w:spacing w:line="360" w:lineRule="auto"/>
        <w:ind w:firstLine="480" w:firstLineChars="200"/>
        <w:jc w:val="left"/>
        <w:rPr>
          <w:rFonts w:hint="eastAsia" w:ascii="宋体" w:hAnsi="宋体" w:cs="宋体"/>
          <w:color w:val="auto"/>
          <w:kern w:val="0"/>
          <w:sz w:val="24"/>
          <w:lang w:val="zh-CN"/>
        </w:rPr>
      </w:pPr>
      <w:r>
        <w:rPr>
          <w:rFonts w:hint="eastAsia" w:ascii="宋体" w:hAnsi="宋体" w:cs="宋体"/>
          <w:color w:val="auto"/>
          <w:kern w:val="0"/>
          <w:sz w:val="24"/>
        </w:rPr>
        <w:t>6、</w:t>
      </w:r>
      <w:r>
        <w:rPr>
          <w:rFonts w:hint="eastAsia" w:ascii="宋体" w:hAnsi="宋体" w:cs="宋体"/>
          <w:color w:val="auto"/>
          <w:kern w:val="0"/>
          <w:sz w:val="24"/>
          <w:lang w:val="zh-CN"/>
        </w:rPr>
        <w:t>供应商提供的中小企业声明函内容不实的，属于提供虚假材料谋取中标、成交，依照《中华人民共和国政府采购法》等国家有关规定追究相应责任。</w:t>
      </w:r>
    </w:p>
    <w:p>
      <w:pPr>
        <w:autoSpaceDE w:val="0"/>
        <w:autoSpaceDN w:val="0"/>
        <w:spacing w:line="360" w:lineRule="auto"/>
        <w:ind w:firstLine="4560" w:firstLineChars="1900"/>
        <w:rPr>
          <w:rFonts w:hint="eastAsia" w:ascii="宋体" w:hAnsi="宋体" w:cs="宋体"/>
          <w:color w:val="auto"/>
          <w:kern w:val="0"/>
          <w:sz w:val="24"/>
        </w:rPr>
      </w:pPr>
    </w:p>
    <w:p>
      <w:pPr>
        <w:autoSpaceDE w:val="0"/>
        <w:autoSpaceDN w:val="0"/>
        <w:spacing w:line="360" w:lineRule="auto"/>
        <w:ind w:firstLine="4560" w:firstLineChars="1900"/>
        <w:rPr>
          <w:rFonts w:hint="eastAsia" w:ascii="宋体" w:hAnsi="宋体" w:cs="宋体"/>
          <w:color w:val="auto"/>
          <w:kern w:val="0"/>
          <w:sz w:val="24"/>
        </w:rPr>
      </w:pPr>
      <w:r>
        <w:rPr>
          <w:rFonts w:hint="eastAsia" w:ascii="宋体" w:hAnsi="宋体" w:cs="宋体"/>
          <w:color w:val="auto"/>
          <w:kern w:val="0"/>
          <w:sz w:val="24"/>
        </w:rPr>
        <w:t>供应商名称（盖公章）：</w:t>
      </w:r>
    </w:p>
    <w:p>
      <w:pPr>
        <w:spacing w:line="500" w:lineRule="exact"/>
        <w:ind w:firstLine="6360" w:firstLineChars="2650"/>
        <w:rPr>
          <w:rFonts w:hint="eastAsia" w:ascii="宋体" w:hAnsi="宋体" w:cs="宋体"/>
          <w:color w:val="auto"/>
          <w:kern w:val="0"/>
          <w:sz w:val="24"/>
          <w:szCs w:val="21"/>
          <w:lang w:val="zh-CN"/>
        </w:rPr>
      </w:pPr>
      <w:r>
        <w:rPr>
          <w:rFonts w:hint="eastAsia" w:ascii="宋体" w:hAnsi="宋体" w:cs="宋体"/>
          <w:color w:val="auto"/>
          <w:kern w:val="0"/>
          <w:sz w:val="24"/>
          <w:szCs w:val="21"/>
          <w:lang w:val="zh-CN"/>
        </w:rPr>
        <w:t>日期：  年  月   日</w:t>
      </w:r>
    </w:p>
    <w:p>
      <w:pPr>
        <w:spacing w:line="500" w:lineRule="exact"/>
        <w:rPr>
          <w:rFonts w:hint="eastAsia" w:ascii="仿宋" w:hAnsi="仿宋" w:eastAsia="仿宋" w:cs="仿宋_GB2312"/>
          <w:b/>
          <w:color w:val="auto"/>
          <w:sz w:val="30"/>
          <w:szCs w:val="30"/>
          <w:lang w:val="zh-CN"/>
        </w:rPr>
      </w:pPr>
      <w:r>
        <w:rPr>
          <w:rFonts w:hint="eastAsia" w:ascii="宋体" w:hAnsi="宋体" w:cs="宋体"/>
          <w:color w:val="auto"/>
          <w:kern w:val="0"/>
          <w:sz w:val="24"/>
          <w:szCs w:val="21"/>
          <w:lang w:val="zh-CN"/>
        </w:rPr>
        <w:br w:type="page"/>
      </w:r>
      <w:r>
        <w:rPr>
          <w:rFonts w:hint="eastAsia" w:ascii="宋体" w:hAnsi="宋体" w:cs="宋体"/>
          <w:b/>
          <w:color w:val="auto"/>
          <w:sz w:val="28"/>
          <w:szCs w:val="28"/>
        </w:rPr>
        <w:t>5.</w:t>
      </w:r>
      <w:r>
        <w:rPr>
          <w:rFonts w:hint="eastAsia" w:ascii="宋体" w:hAnsi="宋体" w:cs="宋体"/>
          <w:b/>
          <w:color w:val="auto"/>
          <w:sz w:val="28"/>
          <w:szCs w:val="28"/>
          <w:lang w:val="zh-CN"/>
        </w:rPr>
        <w:t>最后报价表的格式：</w:t>
      </w:r>
      <w:r>
        <w:rPr>
          <w:rFonts w:hint="eastAsia" w:ascii="仿宋" w:hAnsi="仿宋" w:eastAsia="仿宋" w:cs="仿宋_GB2312"/>
          <w:b/>
          <w:color w:val="auto"/>
          <w:sz w:val="30"/>
          <w:szCs w:val="30"/>
          <w:lang w:val="zh-CN"/>
        </w:rPr>
        <w:t xml:space="preserve"> </w:t>
      </w:r>
    </w:p>
    <w:p>
      <w:pPr>
        <w:spacing w:line="520" w:lineRule="exact"/>
        <w:ind w:firstLine="420" w:firstLineChars="200"/>
        <w:rPr>
          <w:rFonts w:hint="eastAsia" w:ascii="Calibri" w:hAnsi="Calibri"/>
          <w:color w:val="auto"/>
        </w:rPr>
      </w:pPr>
    </w:p>
    <w:p>
      <w:pPr>
        <w:spacing w:line="520" w:lineRule="exact"/>
        <w:jc w:val="center"/>
        <w:rPr>
          <w:rFonts w:hint="eastAsia"/>
          <w:b/>
          <w:bCs/>
          <w:color w:val="auto"/>
          <w:sz w:val="32"/>
          <w:szCs w:val="32"/>
        </w:rPr>
      </w:pPr>
      <w:r>
        <w:rPr>
          <w:rFonts w:hint="eastAsia"/>
          <w:b/>
          <w:bCs/>
          <w:color w:val="auto"/>
          <w:sz w:val="32"/>
          <w:szCs w:val="32"/>
        </w:rPr>
        <w:t>最后报价表</w:t>
      </w:r>
    </w:p>
    <w:p>
      <w:pPr>
        <w:snapToGrid w:val="0"/>
        <w:spacing w:before="50" w:after="50" w:line="360" w:lineRule="auto"/>
        <w:rPr>
          <w:rFonts w:hint="eastAsia" w:ascii="宋体" w:hAnsi="宋体" w:cs="宋体"/>
          <w:color w:val="auto"/>
          <w:sz w:val="24"/>
        </w:rPr>
      </w:pPr>
      <w:r>
        <w:rPr>
          <w:rFonts w:hint="eastAsia" w:ascii="宋体" w:hAnsi="宋体" w:cs="宋体"/>
          <w:color w:val="auto"/>
          <w:sz w:val="24"/>
        </w:rPr>
        <w:t>项目名称：</w:t>
      </w:r>
      <w:r>
        <w:rPr>
          <w:rFonts w:hint="eastAsia" w:ascii="宋体" w:hAnsi="宋体" w:cs="宋体"/>
          <w:color w:val="auto"/>
          <w:sz w:val="24"/>
          <w:u w:val="single"/>
        </w:rPr>
        <w:t xml:space="preserve">           </w:t>
      </w:r>
    </w:p>
    <w:p>
      <w:pPr>
        <w:snapToGrid w:val="0"/>
        <w:spacing w:before="50" w:after="50" w:line="360" w:lineRule="auto"/>
        <w:rPr>
          <w:rFonts w:hint="eastAsia" w:ascii="宋体" w:hAnsi="宋体" w:cs="宋体"/>
          <w:color w:val="auto"/>
          <w:sz w:val="24"/>
        </w:rPr>
      </w:pPr>
      <w:r>
        <w:rPr>
          <w:rFonts w:hint="eastAsia" w:ascii="宋体" w:hAnsi="宋体" w:cs="宋体"/>
          <w:color w:val="auto"/>
          <w:sz w:val="24"/>
        </w:rPr>
        <w:t>项目编号：</w:t>
      </w:r>
      <w:r>
        <w:rPr>
          <w:rFonts w:hint="eastAsia" w:ascii="宋体" w:hAnsi="宋体" w:cs="宋体"/>
          <w:color w:val="auto"/>
          <w:sz w:val="24"/>
          <w:u w:val="single"/>
        </w:rPr>
        <w:t xml:space="preserve">           </w:t>
      </w:r>
    </w:p>
    <w:p>
      <w:pPr>
        <w:spacing w:line="360" w:lineRule="auto"/>
        <w:contextualSpacing/>
        <w:rPr>
          <w:rFonts w:hint="eastAsia" w:ascii="宋体" w:hAnsi="宋体" w:eastAsia="宋体" w:cs="宋体"/>
          <w:color w:val="auto"/>
          <w:sz w:val="24"/>
        </w:rPr>
      </w:pPr>
      <w:r>
        <w:rPr>
          <w:rFonts w:hint="eastAsia" w:ascii="宋体" w:hAnsi="宋体" w:cs="宋体"/>
          <w:color w:val="auto"/>
          <w:sz w:val="24"/>
        </w:rPr>
        <w:t>所竞分标（如有则填写，无分标时填写“无”或者留空）：</w:t>
      </w:r>
      <w:r>
        <w:rPr>
          <w:rFonts w:hint="eastAsia" w:ascii="宋体" w:hAnsi="宋体" w:cs="宋体"/>
          <w:color w:val="auto"/>
          <w:sz w:val="24"/>
          <w:u w:val="single"/>
        </w:rPr>
        <w:t xml:space="preserve">                  </w:t>
      </w:r>
      <w:r>
        <w:rPr>
          <w:rFonts w:hint="eastAsia" w:ascii="宋体" w:hAnsi="宋体" w:cs="宋体"/>
          <w:color w:val="auto"/>
          <w:sz w:val="24"/>
        </w:rPr>
        <w:t xml:space="preserve">  </w:t>
      </w:r>
    </w:p>
    <w:tbl>
      <w:tblPr>
        <w:tblStyle w:val="32"/>
        <w:tblW w:w="97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2065"/>
        <w:gridCol w:w="2299"/>
        <w:gridCol w:w="1492"/>
        <w:gridCol w:w="2057"/>
        <w:gridCol w:w="1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jc w:val="center"/>
        </w:trPr>
        <w:tc>
          <w:tcPr>
            <w:tcW w:w="71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24"/>
              </w:rPr>
            </w:pPr>
            <w:r>
              <w:rPr>
                <w:rFonts w:hint="eastAsia" w:ascii="宋体" w:hAnsi="宋体" w:eastAsia="宋体" w:cs="宋体"/>
                <w:color w:val="auto"/>
                <w:sz w:val="24"/>
              </w:rPr>
              <w:t>序号</w:t>
            </w:r>
          </w:p>
        </w:tc>
        <w:tc>
          <w:tcPr>
            <w:tcW w:w="20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4"/>
              </w:rPr>
            </w:pPr>
            <w:r>
              <w:rPr>
                <w:rFonts w:hint="eastAsia" w:ascii="宋体" w:hAnsi="宋体" w:eastAsia="宋体" w:cs="宋体"/>
                <w:color w:val="auto"/>
                <w:sz w:val="24"/>
              </w:rPr>
              <w:t>标的名称</w:t>
            </w:r>
          </w:p>
        </w:tc>
        <w:tc>
          <w:tcPr>
            <w:tcW w:w="229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4"/>
              </w:rPr>
            </w:pPr>
            <w:r>
              <w:rPr>
                <w:rFonts w:hint="eastAsia" w:ascii="宋体" w:hAnsi="宋体" w:eastAsia="宋体" w:cs="宋体"/>
                <w:color w:val="auto"/>
                <w:sz w:val="24"/>
              </w:rPr>
              <w:t>服务内容</w:t>
            </w:r>
          </w:p>
        </w:tc>
        <w:tc>
          <w:tcPr>
            <w:tcW w:w="1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4"/>
              </w:rPr>
            </w:pPr>
            <w:r>
              <w:rPr>
                <w:rFonts w:hint="eastAsia" w:ascii="宋体" w:hAnsi="宋体" w:eastAsia="宋体" w:cs="宋体"/>
                <w:color w:val="auto"/>
                <w:sz w:val="24"/>
              </w:rPr>
              <w:t>数量及单位</w:t>
            </w:r>
          </w:p>
        </w:tc>
        <w:tc>
          <w:tcPr>
            <w:tcW w:w="205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4"/>
              </w:rPr>
            </w:pPr>
            <w:r>
              <w:rPr>
                <w:rFonts w:hint="eastAsia" w:ascii="宋体" w:hAnsi="宋体" w:eastAsia="宋体" w:cs="宋体"/>
                <w:color w:val="auto"/>
                <w:sz w:val="24"/>
              </w:rPr>
              <w:t>总报价(</w:t>
            </w:r>
            <w:r>
              <w:rPr>
                <w:rFonts w:hint="eastAsia" w:ascii="宋体" w:hAnsi="宋体" w:eastAsia="宋体" w:cs="宋体"/>
                <w:color w:val="auto"/>
                <w:sz w:val="24"/>
                <w:lang w:val="en-US" w:eastAsia="zh-CN"/>
              </w:rPr>
              <w:t>元</w:t>
            </w:r>
            <w:r>
              <w:rPr>
                <w:rFonts w:hint="eastAsia" w:ascii="宋体" w:hAnsi="宋体" w:eastAsia="宋体" w:cs="宋体"/>
                <w:color w:val="auto"/>
                <w:sz w:val="24"/>
              </w:rPr>
              <w:t>)</w:t>
            </w:r>
          </w:p>
        </w:tc>
        <w:tc>
          <w:tcPr>
            <w:tcW w:w="11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4"/>
              </w:rPr>
            </w:pPr>
            <w:r>
              <w:rPr>
                <w:rFonts w:hint="eastAsia" w:ascii="宋体" w:hAnsi="宋体" w:eastAsia="宋体" w:cs="宋体"/>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9" w:hRule="atLeast"/>
          <w:jc w:val="center"/>
        </w:trPr>
        <w:tc>
          <w:tcPr>
            <w:tcW w:w="71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4"/>
              </w:rPr>
            </w:pPr>
            <w:r>
              <w:rPr>
                <w:rFonts w:hint="eastAsia" w:ascii="宋体" w:hAnsi="宋体" w:eastAsia="宋体" w:cs="宋体"/>
                <w:color w:val="auto"/>
                <w:sz w:val="24"/>
              </w:rPr>
              <w:t>1</w:t>
            </w:r>
          </w:p>
        </w:tc>
        <w:tc>
          <w:tcPr>
            <w:tcW w:w="20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4"/>
              </w:rPr>
            </w:pPr>
          </w:p>
        </w:tc>
        <w:tc>
          <w:tcPr>
            <w:tcW w:w="2299"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4"/>
                <w:lang w:val="en-US" w:eastAsia="zh-CN"/>
              </w:rPr>
            </w:pPr>
            <w:r>
              <w:rPr>
                <w:rFonts w:hint="eastAsia" w:ascii="宋体" w:hAnsi="宋体" w:eastAsia="宋体" w:cs="宋体"/>
                <w:color w:val="auto"/>
                <w:sz w:val="24"/>
                <w:lang w:val="en-US" w:eastAsia="zh-CN"/>
              </w:rPr>
              <w:t>按</w:t>
            </w:r>
            <w:r>
              <w:rPr>
                <w:rFonts w:hint="eastAsia" w:ascii="宋体" w:hAnsi="宋体" w:eastAsia="宋体" w:cs="宋体"/>
                <w:color w:val="auto"/>
                <w:sz w:val="24"/>
              </w:rPr>
              <w:t>服务需求偏离表</w:t>
            </w:r>
            <w:r>
              <w:rPr>
                <w:rFonts w:hint="eastAsia" w:ascii="宋体" w:hAnsi="宋体" w:eastAsia="宋体" w:cs="宋体"/>
                <w:color w:val="auto"/>
                <w:sz w:val="24"/>
                <w:lang w:val="en-US" w:eastAsia="zh-CN"/>
              </w:rPr>
              <w:t>中</w:t>
            </w:r>
            <w:r>
              <w:rPr>
                <w:rFonts w:hint="eastAsia" w:ascii="宋体" w:hAnsi="宋体" w:eastAsia="宋体" w:cs="宋体"/>
                <w:color w:val="auto"/>
                <w:sz w:val="24"/>
              </w:rPr>
              <w:t>响应文件响应的</w:t>
            </w:r>
            <w:r>
              <w:rPr>
                <w:rFonts w:hint="eastAsia" w:ascii="宋体" w:hAnsi="宋体" w:eastAsia="宋体" w:cs="宋体"/>
                <w:color w:val="auto"/>
                <w:sz w:val="24"/>
                <w:lang w:eastAsia="zh-CN"/>
              </w:rPr>
              <w:t>技术要求</w:t>
            </w:r>
            <w:r>
              <w:rPr>
                <w:rFonts w:hint="eastAsia" w:ascii="宋体" w:hAnsi="宋体" w:eastAsia="宋体" w:cs="宋体"/>
                <w:color w:val="auto"/>
                <w:sz w:val="24"/>
                <w:lang w:val="en-US" w:eastAsia="zh-CN"/>
              </w:rPr>
              <w:t>提供服务</w:t>
            </w:r>
          </w:p>
        </w:tc>
        <w:tc>
          <w:tcPr>
            <w:tcW w:w="1492"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4"/>
                <w:lang w:val="en-US" w:eastAsia="zh-CN"/>
              </w:rPr>
            </w:pPr>
            <w:r>
              <w:rPr>
                <w:rFonts w:hint="eastAsia" w:ascii="宋体" w:hAnsi="宋体" w:eastAsia="宋体" w:cs="宋体"/>
                <w:color w:val="auto"/>
                <w:sz w:val="24"/>
                <w:lang w:val="en-US" w:eastAsia="zh-CN"/>
              </w:rPr>
              <w:t>1项</w:t>
            </w:r>
          </w:p>
        </w:tc>
        <w:tc>
          <w:tcPr>
            <w:tcW w:w="2057" w:type="dxa"/>
            <w:tcBorders>
              <w:top w:val="single" w:color="auto" w:sz="4" w:space="0"/>
              <w:left w:val="single" w:color="auto" w:sz="4" w:space="0"/>
              <w:bottom w:val="single" w:color="auto" w:sz="4" w:space="0"/>
              <w:right w:val="single" w:color="auto" w:sz="4" w:space="0"/>
            </w:tcBorders>
            <w:vAlign w:val="center"/>
          </w:tcPr>
          <w:p>
            <w:pPr>
              <w:ind w:firstLine="240" w:firstLineChars="100"/>
              <w:rPr>
                <w:rFonts w:hint="eastAsia" w:ascii="宋体" w:hAnsi="宋体" w:eastAsia="宋体" w:cs="宋体"/>
                <w:color w:val="auto"/>
                <w:sz w:val="24"/>
              </w:rPr>
            </w:pPr>
            <w:r>
              <w:rPr>
                <w:rFonts w:hint="eastAsia" w:ascii="宋体" w:hAnsi="宋体" w:cs="宋体"/>
                <w:color w:val="auto"/>
                <w:sz w:val="24"/>
                <w:szCs w:val="32"/>
                <w:u w:val="single"/>
              </w:rPr>
              <w:t xml:space="preserve">¥           </w:t>
            </w:r>
          </w:p>
        </w:tc>
        <w:tc>
          <w:tcPr>
            <w:tcW w:w="110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9" w:hRule="atLeast"/>
          <w:jc w:val="center"/>
        </w:trPr>
        <w:tc>
          <w:tcPr>
            <w:tcW w:w="71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4"/>
                <w:lang w:val="en-US" w:eastAsia="zh-CN"/>
              </w:rPr>
            </w:pPr>
            <w:r>
              <w:rPr>
                <w:rFonts w:hint="eastAsia" w:ascii="宋体" w:hAnsi="宋体" w:cs="宋体"/>
                <w:color w:val="auto"/>
                <w:sz w:val="24"/>
                <w:lang w:val="en-US" w:eastAsia="zh-CN"/>
              </w:rPr>
              <w:t>2</w:t>
            </w:r>
          </w:p>
        </w:tc>
        <w:tc>
          <w:tcPr>
            <w:tcW w:w="20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4"/>
              </w:rPr>
            </w:pPr>
            <w:r>
              <w:rPr>
                <w:rFonts w:hint="eastAsia" w:ascii="宋体" w:hAnsi="宋体" w:eastAsia="宋体" w:cs="宋体"/>
                <w:color w:val="auto"/>
                <w:sz w:val="24"/>
              </w:rPr>
              <w:t>……</w:t>
            </w:r>
          </w:p>
        </w:tc>
        <w:tc>
          <w:tcPr>
            <w:tcW w:w="229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4"/>
                <w:lang w:val="en-US" w:eastAsia="zh-CN"/>
              </w:rPr>
            </w:pPr>
          </w:p>
        </w:tc>
        <w:tc>
          <w:tcPr>
            <w:tcW w:w="1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4"/>
                <w:lang w:val="en-US" w:eastAsia="zh-CN"/>
              </w:rPr>
            </w:pPr>
          </w:p>
        </w:tc>
        <w:tc>
          <w:tcPr>
            <w:tcW w:w="2057" w:type="dxa"/>
            <w:tcBorders>
              <w:top w:val="single" w:color="auto" w:sz="4" w:space="0"/>
              <w:left w:val="single" w:color="auto" w:sz="4" w:space="0"/>
              <w:bottom w:val="single" w:color="auto" w:sz="4" w:space="0"/>
              <w:right w:val="single" w:color="auto" w:sz="4" w:space="0"/>
            </w:tcBorders>
            <w:vAlign w:val="center"/>
          </w:tcPr>
          <w:p>
            <w:pPr>
              <w:ind w:firstLine="240" w:firstLineChars="100"/>
              <w:rPr>
                <w:rFonts w:hint="eastAsia" w:ascii="宋体" w:hAnsi="宋体" w:cs="宋体"/>
                <w:color w:val="auto"/>
                <w:sz w:val="24"/>
                <w:szCs w:val="32"/>
                <w:u w:val="single"/>
              </w:rPr>
            </w:pPr>
          </w:p>
        </w:tc>
        <w:tc>
          <w:tcPr>
            <w:tcW w:w="110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9733" w:type="dxa"/>
            <w:gridSpan w:val="6"/>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服务期限：</w:t>
            </w:r>
          </w:p>
        </w:tc>
      </w:tr>
    </w:tbl>
    <w:p>
      <w:pPr>
        <w:rPr>
          <w:rFonts w:hint="eastAsia"/>
          <w:color w:val="auto"/>
        </w:rPr>
      </w:pPr>
    </w:p>
    <w:p>
      <w:pPr>
        <w:spacing w:line="360" w:lineRule="auto"/>
        <w:contextualSpacing/>
        <w:rPr>
          <w:rFonts w:hint="eastAsia" w:ascii="宋体" w:hAnsi="宋体" w:cs="宋体"/>
          <w:color w:val="auto"/>
          <w:sz w:val="24"/>
          <w:u w:val="single"/>
        </w:rPr>
      </w:pPr>
      <w:r>
        <w:rPr>
          <w:rFonts w:hint="eastAsia" w:ascii="宋体" w:hAnsi="宋体" w:cs="宋体"/>
          <w:color w:val="auto"/>
          <w:sz w:val="24"/>
        </w:rPr>
        <w:t xml:space="preserve">                </w:t>
      </w:r>
    </w:p>
    <w:p>
      <w:pPr>
        <w:autoSpaceDE w:val="0"/>
        <w:autoSpaceDN w:val="0"/>
        <w:spacing w:line="360" w:lineRule="auto"/>
        <w:ind w:firstLine="4560" w:firstLineChars="1900"/>
        <w:rPr>
          <w:rFonts w:hint="eastAsia" w:ascii="宋体" w:hAnsi="宋体" w:cs="宋体"/>
          <w:color w:val="auto"/>
          <w:kern w:val="0"/>
          <w:sz w:val="24"/>
        </w:rPr>
      </w:pPr>
    </w:p>
    <w:p>
      <w:pPr>
        <w:autoSpaceDE w:val="0"/>
        <w:autoSpaceDN w:val="0"/>
        <w:spacing w:line="360" w:lineRule="auto"/>
        <w:ind w:firstLine="4560" w:firstLineChars="1900"/>
        <w:rPr>
          <w:rFonts w:hint="eastAsia" w:ascii="宋体" w:hAnsi="宋体" w:cs="宋体"/>
          <w:color w:val="auto"/>
          <w:kern w:val="0"/>
          <w:sz w:val="24"/>
        </w:rPr>
      </w:pPr>
      <w:r>
        <w:rPr>
          <w:rFonts w:hint="eastAsia" w:ascii="宋体" w:hAnsi="宋体" w:cs="宋体"/>
          <w:color w:val="auto"/>
          <w:kern w:val="0"/>
          <w:sz w:val="24"/>
        </w:rPr>
        <w:t>供应商名称（盖公章）：</w:t>
      </w:r>
    </w:p>
    <w:p>
      <w:pPr>
        <w:spacing w:line="500" w:lineRule="exact"/>
        <w:ind w:firstLine="6360" w:firstLineChars="2650"/>
        <w:rPr>
          <w:rFonts w:hint="eastAsia" w:ascii="宋体" w:hAnsi="宋体" w:cs="宋体"/>
          <w:color w:val="auto"/>
          <w:sz w:val="24"/>
          <w:lang w:val="zh-CN"/>
        </w:rPr>
        <w:sectPr>
          <w:pgSz w:w="11911" w:h="16838"/>
          <w:pgMar w:top="1134" w:right="1134" w:bottom="1134" w:left="1134" w:header="720" w:footer="720" w:gutter="0"/>
          <w:cols w:space="720" w:num="1"/>
        </w:sectPr>
      </w:pPr>
      <w:r>
        <w:rPr>
          <w:rFonts w:hint="eastAsia" w:ascii="宋体" w:hAnsi="宋体" w:cs="宋体"/>
          <w:color w:val="auto"/>
          <w:kern w:val="0"/>
          <w:sz w:val="24"/>
          <w:szCs w:val="21"/>
          <w:lang w:val="zh-CN"/>
        </w:rPr>
        <w:t>日期：</w:t>
      </w:r>
      <w:r>
        <w:rPr>
          <w:rFonts w:hint="eastAsia" w:ascii="宋体" w:hAnsi="宋体" w:cs="宋体"/>
          <w:color w:val="auto"/>
          <w:kern w:val="0"/>
          <w:sz w:val="24"/>
          <w:szCs w:val="21"/>
        </w:rPr>
        <w:t xml:space="preserve">    </w:t>
      </w:r>
      <w:r>
        <w:rPr>
          <w:rFonts w:hint="eastAsia" w:ascii="宋体" w:hAnsi="宋体" w:cs="宋体"/>
          <w:color w:val="auto"/>
          <w:kern w:val="0"/>
          <w:sz w:val="24"/>
          <w:szCs w:val="21"/>
          <w:lang w:val="zh-CN"/>
        </w:rPr>
        <w:t>年</w:t>
      </w:r>
      <w:r>
        <w:rPr>
          <w:rFonts w:hint="eastAsia" w:ascii="宋体" w:hAnsi="宋体" w:cs="宋体"/>
          <w:color w:val="auto"/>
          <w:kern w:val="0"/>
          <w:sz w:val="24"/>
          <w:szCs w:val="21"/>
        </w:rPr>
        <w:t xml:space="preserve">    </w:t>
      </w:r>
      <w:r>
        <w:rPr>
          <w:rFonts w:hint="eastAsia" w:ascii="宋体" w:hAnsi="宋体" w:cs="宋体"/>
          <w:color w:val="auto"/>
          <w:kern w:val="0"/>
          <w:sz w:val="24"/>
          <w:szCs w:val="21"/>
          <w:lang w:val="zh-CN"/>
        </w:rPr>
        <w:t>月</w:t>
      </w:r>
      <w:r>
        <w:rPr>
          <w:rFonts w:hint="eastAsia" w:ascii="宋体" w:hAnsi="宋体" w:cs="宋体"/>
          <w:color w:val="auto"/>
          <w:kern w:val="0"/>
          <w:sz w:val="24"/>
          <w:szCs w:val="21"/>
        </w:rPr>
        <w:t xml:space="preserve">    </w:t>
      </w:r>
      <w:r>
        <w:rPr>
          <w:rFonts w:hint="eastAsia" w:ascii="宋体" w:hAnsi="宋体" w:cs="宋体"/>
          <w:color w:val="auto"/>
          <w:kern w:val="0"/>
          <w:sz w:val="24"/>
          <w:szCs w:val="21"/>
          <w:lang w:val="zh-CN"/>
        </w:rPr>
        <w:t>日</w:t>
      </w:r>
    </w:p>
    <w:p>
      <w:pPr>
        <w:pStyle w:val="3"/>
        <w:jc w:val="center"/>
        <w:rPr>
          <w:rFonts w:ascii="宋体" w:hAnsi="宋体"/>
          <w:b w:val="0"/>
          <w:color w:val="auto"/>
        </w:rPr>
      </w:pPr>
      <w:bookmarkStart w:id="195" w:name="_Toc80886946"/>
      <w:bookmarkStart w:id="196" w:name="_Toc18482"/>
      <w:bookmarkStart w:id="197" w:name="_Toc13936"/>
      <w:bookmarkStart w:id="198" w:name="_Toc80205942"/>
      <w:r>
        <w:rPr>
          <w:rFonts w:hint="eastAsia" w:ascii="宋体" w:hAnsi="宋体"/>
          <w:color w:val="auto"/>
        </w:rPr>
        <w:t>第四节 其他文书、文件格式</w:t>
      </w:r>
      <w:bookmarkEnd w:id="195"/>
      <w:bookmarkEnd w:id="196"/>
      <w:bookmarkEnd w:id="197"/>
      <w:bookmarkEnd w:id="198"/>
    </w:p>
    <w:p>
      <w:pPr>
        <w:spacing w:line="500" w:lineRule="exact"/>
        <w:rPr>
          <w:rFonts w:hint="eastAsia" w:ascii="宋体" w:hAnsi="宋体" w:cs="宋体"/>
          <w:b/>
          <w:color w:val="auto"/>
          <w:sz w:val="30"/>
          <w:szCs w:val="30"/>
          <w:lang w:val="zh-CN"/>
        </w:rPr>
      </w:pPr>
      <w:r>
        <w:rPr>
          <w:rFonts w:hint="eastAsia" w:ascii="宋体" w:hAnsi="宋体" w:cs="宋体"/>
          <w:b/>
          <w:color w:val="auto"/>
          <w:sz w:val="30"/>
          <w:szCs w:val="30"/>
        </w:rPr>
        <w:t>1.</w:t>
      </w:r>
      <w:r>
        <w:rPr>
          <w:rFonts w:hint="eastAsia" w:ascii="宋体" w:hAnsi="宋体" w:cs="宋体"/>
          <w:b/>
          <w:color w:val="auto"/>
          <w:sz w:val="30"/>
          <w:szCs w:val="30"/>
          <w:lang w:val="zh-CN"/>
        </w:rPr>
        <w:t>中小企业声明函的格式：</w:t>
      </w:r>
    </w:p>
    <w:p>
      <w:pPr>
        <w:pStyle w:val="23"/>
        <w:rPr>
          <w:rFonts w:hint="eastAsia" w:ascii="宋体" w:hAnsi="宋体" w:cs="宋体"/>
          <w:color w:val="auto"/>
        </w:rPr>
      </w:pPr>
    </w:p>
    <w:p>
      <w:pPr>
        <w:spacing w:line="300" w:lineRule="auto"/>
        <w:ind w:firstLine="3520" w:firstLineChars="800"/>
        <w:rPr>
          <w:rFonts w:hint="eastAsia" w:ascii="宋体" w:hAnsi="宋体" w:cs="宋体"/>
          <w:color w:val="auto"/>
          <w:sz w:val="44"/>
          <w:szCs w:val="44"/>
        </w:rPr>
      </w:pPr>
      <w:r>
        <w:rPr>
          <w:rFonts w:hint="eastAsia" w:ascii="宋体" w:hAnsi="宋体" w:cs="宋体"/>
          <w:color w:val="auto"/>
          <w:sz w:val="44"/>
          <w:szCs w:val="44"/>
        </w:rPr>
        <w:t>中小企业声明函</w:t>
      </w:r>
    </w:p>
    <w:p>
      <w:pPr>
        <w:pStyle w:val="15"/>
        <w:spacing w:after="0" w:line="360" w:lineRule="auto"/>
        <w:ind w:left="-426" w:right="142" w:firstLine="640"/>
        <w:contextualSpacing/>
        <w:rPr>
          <w:rFonts w:hint="eastAsia" w:ascii="宋体" w:hAnsi="宋体" w:cs="宋体"/>
          <w:color w:val="auto"/>
          <w:sz w:val="24"/>
        </w:rPr>
      </w:pPr>
    </w:p>
    <w:p>
      <w:pPr>
        <w:pStyle w:val="15"/>
        <w:spacing w:after="0" w:line="360" w:lineRule="auto"/>
        <w:ind w:left="-426" w:right="142" w:firstLine="640"/>
        <w:contextualSpacing/>
        <w:rPr>
          <w:rFonts w:hint="eastAsia" w:ascii="宋体" w:hAnsi="宋体" w:cs="宋体"/>
          <w:color w:val="auto"/>
          <w:sz w:val="24"/>
        </w:rPr>
      </w:pPr>
      <w:r>
        <w:rPr>
          <w:rFonts w:hint="eastAsia" w:ascii="宋体" w:hAnsi="宋体" w:cs="宋体"/>
          <w:color w:val="auto"/>
          <w:sz w:val="24"/>
        </w:rPr>
        <w:t>本公司（联合体）郑重声明，根据《政府采购促进中小企业发展管理办法》（财库﹝2020﹞46号）的规定，本公司（联合体）参加</w:t>
      </w:r>
      <w:r>
        <w:rPr>
          <w:rFonts w:hint="eastAsia" w:ascii="宋体" w:hAnsi="宋体" w:cs="宋体"/>
          <w:i/>
          <w:iCs/>
          <w:color w:val="auto"/>
          <w:sz w:val="24"/>
          <w:u w:val="single"/>
        </w:rPr>
        <w:t>（单位名称）</w:t>
      </w:r>
      <w:r>
        <w:rPr>
          <w:rFonts w:hint="eastAsia" w:ascii="宋体" w:hAnsi="宋体" w:cs="宋体"/>
          <w:color w:val="auto"/>
          <w:sz w:val="24"/>
        </w:rPr>
        <w:t>的</w:t>
      </w:r>
      <w:r>
        <w:rPr>
          <w:rFonts w:hint="eastAsia" w:ascii="宋体" w:hAnsi="宋体" w:cs="宋体"/>
          <w:i/>
          <w:iCs/>
          <w:color w:val="auto"/>
          <w:sz w:val="24"/>
          <w:u w:val="single"/>
        </w:rPr>
        <w:t>（项目名称）</w:t>
      </w:r>
      <w:r>
        <w:rPr>
          <w:rFonts w:hint="eastAsia" w:ascii="宋体" w:hAnsi="宋体" w:cs="宋体"/>
          <w:color w:val="auto"/>
          <w:sz w:val="24"/>
        </w:rPr>
        <w:t>采购活动，</w:t>
      </w:r>
      <w:r>
        <w:rPr>
          <w:rFonts w:hint="eastAsia" w:ascii="宋体" w:hAnsi="宋体" w:cs="宋体"/>
          <w:color w:val="auto"/>
          <w:kern w:val="0"/>
          <w:sz w:val="24"/>
        </w:rPr>
        <w:t>服务全部由符合政策要求的中小企业承接</w:t>
      </w:r>
      <w:r>
        <w:rPr>
          <w:rFonts w:hint="eastAsia" w:ascii="宋体" w:hAnsi="宋体" w:cs="宋体"/>
          <w:color w:val="auto"/>
          <w:sz w:val="24"/>
        </w:rPr>
        <w:t>。相关企业（含联合体中的</w:t>
      </w:r>
      <w:r>
        <w:rPr>
          <w:rFonts w:hint="eastAsia" w:ascii="宋体" w:hAnsi="宋体" w:cs="宋体"/>
          <w:color w:val="auto"/>
          <w:kern w:val="0"/>
          <w:sz w:val="24"/>
        </w:rPr>
        <w:t>中小</w:t>
      </w:r>
      <w:r>
        <w:rPr>
          <w:rFonts w:hint="eastAsia" w:ascii="宋体" w:hAnsi="宋体" w:cs="宋体"/>
          <w:color w:val="auto"/>
          <w:sz w:val="24"/>
        </w:rPr>
        <w:t>企业、签订分包意向协议的中小企业）的具体情况如下：</w:t>
      </w:r>
    </w:p>
    <w:p>
      <w:pPr>
        <w:tabs>
          <w:tab w:val="left" w:pos="1384"/>
          <w:tab w:val="left" w:pos="4562"/>
          <w:tab w:val="left" w:pos="6803"/>
        </w:tabs>
        <w:spacing w:line="360" w:lineRule="auto"/>
        <w:ind w:left="-426" w:right="-58" w:firstLine="655"/>
        <w:contextualSpacing/>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sz w:val="24"/>
          <w:u w:val="single"/>
        </w:rPr>
        <w:t>（</w:t>
      </w:r>
      <w:r>
        <w:rPr>
          <w:rFonts w:hint="eastAsia" w:ascii="宋体" w:hAnsi="宋体" w:cs="宋体"/>
          <w:i/>
          <w:iCs/>
          <w:color w:val="auto"/>
          <w:sz w:val="24"/>
          <w:u w:val="single"/>
        </w:rPr>
        <w:t>标的名称</w:t>
      </w:r>
      <w:r>
        <w:rPr>
          <w:rFonts w:hint="eastAsia" w:ascii="宋体" w:hAnsi="宋体" w:cs="宋体"/>
          <w:color w:val="auto"/>
          <w:sz w:val="24"/>
          <w:u w:val="single"/>
        </w:rPr>
        <w:t>）</w:t>
      </w:r>
      <w:r>
        <w:rPr>
          <w:rFonts w:hint="eastAsia" w:ascii="宋体" w:hAnsi="宋体" w:cs="宋体"/>
          <w:color w:val="auto"/>
          <w:sz w:val="24"/>
        </w:rPr>
        <w:t>，属于</w:t>
      </w:r>
      <w:r>
        <w:rPr>
          <w:rFonts w:hint="eastAsia" w:ascii="宋体" w:hAnsi="宋体" w:cs="宋体"/>
          <w:color w:val="auto"/>
          <w:sz w:val="24"/>
          <w:u w:val="single"/>
        </w:rPr>
        <w:t>（</w:t>
      </w:r>
      <w:r>
        <w:rPr>
          <w:rFonts w:hint="eastAsia" w:ascii="宋体" w:hAnsi="宋体" w:cs="宋体"/>
          <w:i/>
          <w:iCs/>
          <w:color w:val="auto"/>
          <w:sz w:val="24"/>
          <w:u w:val="single"/>
        </w:rPr>
        <w:t>采购文件中明确的所属行业</w:t>
      </w:r>
      <w:r>
        <w:rPr>
          <w:rFonts w:hint="eastAsia" w:ascii="宋体" w:hAnsi="宋体" w:cs="宋体"/>
          <w:color w:val="auto"/>
          <w:sz w:val="24"/>
          <w:u w:val="single"/>
        </w:rPr>
        <w:t>）</w:t>
      </w:r>
      <w:r>
        <w:rPr>
          <w:rFonts w:hint="eastAsia" w:ascii="宋体" w:hAnsi="宋体" w:cs="宋体"/>
          <w:color w:val="auto"/>
          <w:sz w:val="24"/>
        </w:rPr>
        <w:t>；</w:t>
      </w:r>
      <w:r>
        <w:rPr>
          <w:rFonts w:hint="eastAsia" w:ascii="宋体" w:hAnsi="宋体" w:cs="宋体"/>
          <w:color w:val="auto"/>
          <w:kern w:val="0"/>
          <w:sz w:val="24"/>
        </w:rPr>
        <w:t>承建（承接）企业</w:t>
      </w:r>
      <w:r>
        <w:rPr>
          <w:rFonts w:hint="eastAsia" w:ascii="宋体" w:hAnsi="宋体" w:cs="宋体"/>
          <w:color w:val="auto"/>
          <w:sz w:val="24"/>
        </w:rPr>
        <w:t>为</w:t>
      </w:r>
      <w:r>
        <w:rPr>
          <w:rFonts w:hint="eastAsia" w:ascii="宋体" w:hAnsi="宋体" w:cs="宋体"/>
          <w:color w:val="auto"/>
          <w:sz w:val="24"/>
          <w:u w:val="single"/>
        </w:rPr>
        <w:t>（</w:t>
      </w:r>
      <w:r>
        <w:rPr>
          <w:rFonts w:hint="eastAsia" w:ascii="宋体" w:hAnsi="宋体" w:cs="宋体"/>
          <w:i/>
          <w:iCs/>
          <w:color w:val="auto"/>
          <w:sz w:val="24"/>
          <w:u w:val="single"/>
        </w:rPr>
        <w:t>企业名称</w:t>
      </w:r>
      <w:r>
        <w:rPr>
          <w:rFonts w:hint="eastAsia" w:ascii="宋体" w:hAnsi="宋体" w:cs="宋体"/>
          <w:color w:val="auto"/>
          <w:sz w:val="24"/>
          <w:u w:val="single"/>
        </w:rPr>
        <w:t>）</w:t>
      </w:r>
      <w:r>
        <w:rPr>
          <w:rFonts w:hint="eastAsia" w:ascii="宋体" w:hAnsi="宋体" w:cs="宋体"/>
          <w:color w:val="auto"/>
          <w:sz w:val="24"/>
        </w:rPr>
        <w:t>，从业人员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w:t>
      </w:r>
      <w:r>
        <w:rPr>
          <w:rFonts w:hint="eastAsia" w:ascii="宋体" w:hAnsi="宋体" w:cs="宋体"/>
          <w:i/>
          <w:iCs/>
          <w:color w:val="auto"/>
          <w:sz w:val="24"/>
          <w:u w:val="single"/>
        </w:rPr>
        <w:t>中型企业、小型企业、微型企业</w:t>
      </w:r>
      <w:r>
        <w:rPr>
          <w:rFonts w:hint="eastAsia" w:ascii="宋体" w:hAnsi="宋体" w:cs="宋体"/>
          <w:color w:val="auto"/>
          <w:sz w:val="24"/>
          <w:u w:val="single"/>
        </w:rPr>
        <w:t>）</w:t>
      </w:r>
      <w:r>
        <w:rPr>
          <w:rFonts w:hint="eastAsia" w:ascii="宋体" w:hAnsi="宋体" w:cs="宋体"/>
          <w:color w:val="auto"/>
          <w:sz w:val="24"/>
        </w:rPr>
        <w:t>；</w:t>
      </w:r>
    </w:p>
    <w:p>
      <w:pPr>
        <w:tabs>
          <w:tab w:val="left" w:pos="1065"/>
          <w:tab w:val="left" w:pos="6477"/>
        </w:tabs>
        <w:spacing w:line="360" w:lineRule="auto"/>
        <w:ind w:left="-426" w:right="-58" w:firstLine="655"/>
        <w:contextualSpacing/>
        <w:rPr>
          <w:rFonts w:hint="eastAsia" w:ascii="宋体" w:hAnsi="宋体" w:cs="宋体"/>
          <w:color w:val="auto"/>
          <w:sz w:val="24"/>
        </w:rPr>
      </w:pPr>
      <w:r>
        <w:rPr>
          <w:rFonts w:hint="eastAsia" w:ascii="宋体" w:hAnsi="宋体" w:cs="宋体"/>
          <w:color w:val="auto"/>
          <w:sz w:val="24"/>
        </w:rPr>
        <w:t>2.</w:t>
      </w:r>
      <w:r>
        <w:rPr>
          <w:rFonts w:hint="eastAsia" w:ascii="宋体" w:hAnsi="宋体" w:cs="宋体"/>
          <w:color w:val="auto"/>
          <w:sz w:val="24"/>
          <w:u w:val="single"/>
        </w:rPr>
        <w:t>（</w:t>
      </w:r>
      <w:r>
        <w:rPr>
          <w:rFonts w:hint="eastAsia" w:ascii="宋体" w:hAnsi="宋体" w:cs="宋体"/>
          <w:i/>
          <w:iCs/>
          <w:color w:val="auto"/>
          <w:sz w:val="24"/>
          <w:u w:val="single"/>
        </w:rPr>
        <w:t>标的名称</w:t>
      </w:r>
      <w:r>
        <w:rPr>
          <w:rFonts w:hint="eastAsia" w:ascii="宋体" w:hAnsi="宋体" w:cs="宋体"/>
          <w:color w:val="auto"/>
          <w:sz w:val="24"/>
          <w:u w:val="single"/>
        </w:rPr>
        <w:t>）</w:t>
      </w:r>
      <w:r>
        <w:rPr>
          <w:rFonts w:hint="eastAsia" w:ascii="宋体" w:hAnsi="宋体" w:cs="宋体"/>
          <w:color w:val="auto"/>
          <w:sz w:val="24"/>
        </w:rPr>
        <w:t>，属于</w:t>
      </w:r>
      <w:r>
        <w:rPr>
          <w:rFonts w:hint="eastAsia" w:ascii="宋体" w:hAnsi="宋体" w:cs="宋体"/>
          <w:color w:val="auto"/>
          <w:sz w:val="24"/>
          <w:u w:val="single"/>
        </w:rPr>
        <w:t>（</w:t>
      </w:r>
      <w:r>
        <w:rPr>
          <w:rFonts w:hint="eastAsia" w:ascii="宋体" w:hAnsi="宋体" w:cs="宋体"/>
          <w:i/>
          <w:iCs/>
          <w:color w:val="auto"/>
          <w:sz w:val="24"/>
          <w:u w:val="single"/>
        </w:rPr>
        <w:t>采购文件中明确的所属行业</w:t>
      </w:r>
      <w:r>
        <w:rPr>
          <w:rFonts w:hint="eastAsia" w:ascii="宋体" w:hAnsi="宋体" w:cs="宋体"/>
          <w:color w:val="auto"/>
          <w:sz w:val="24"/>
          <w:u w:val="single"/>
        </w:rPr>
        <w:t>）</w:t>
      </w:r>
      <w:r>
        <w:rPr>
          <w:rFonts w:hint="eastAsia" w:ascii="宋体" w:hAnsi="宋体" w:cs="宋体"/>
          <w:color w:val="auto"/>
          <w:sz w:val="24"/>
        </w:rPr>
        <w:t>；</w:t>
      </w:r>
      <w:r>
        <w:rPr>
          <w:rFonts w:hint="eastAsia" w:ascii="宋体" w:hAnsi="宋体" w:cs="宋体"/>
          <w:color w:val="auto"/>
          <w:kern w:val="0"/>
          <w:sz w:val="24"/>
        </w:rPr>
        <w:t>承建（承接）企业</w:t>
      </w:r>
      <w:r>
        <w:rPr>
          <w:rFonts w:hint="eastAsia" w:ascii="宋体" w:hAnsi="宋体" w:cs="宋体"/>
          <w:color w:val="auto"/>
          <w:sz w:val="24"/>
        </w:rPr>
        <w:t>为</w:t>
      </w:r>
      <w:r>
        <w:rPr>
          <w:rFonts w:hint="eastAsia" w:ascii="宋体" w:hAnsi="宋体" w:cs="宋体"/>
          <w:color w:val="auto"/>
          <w:sz w:val="24"/>
          <w:u w:val="single"/>
        </w:rPr>
        <w:t>（</w:t>
      </w:r>
      <w:r>
        <w:rPr>
          <w:rFonts w:hint="eastAsia" w:ascii="宋体" w:hAnsi="宋体" w:cs="宋体"/>
          <w:i/>
          <w:iCs/>
          <w:color w:val="auto"/>
          <w:sz w:val="24"/>
          <w:u w:val="single"/>
        </w:rPr>
        <w:t>企业名称</w:t>
      </w:r>
      <w:r>
        <w:rPr>
          <w:rFonts w:hint="eastAsia" w:ascii="宋体" w:hAnsi="宋体" w:cs="宋体"/>
          <w:color w:val="auto"/>
          <w:sz w:val="24"/>
          <w:u w:val="single"/>
        </w:rPr>
        <w:t>）</w:t>
      </w:r>
      <w:r>
        <w:rPr>
          <w:rFonts w:hint="eastAsia" w:ascii="宋体" w:hAnsi="宋体" w:cs="宋体"/>
          <w:color w:val="auto"/>
          <w:sz w:val="24"/>
        </w:rPr>
        <w:t>，从业人员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w:t>
      </w:r>
      <w:r>
        <w:rPr>
          <w:rFonts w:hint="eastAsia" w:ascii="宋体" w:hAnsi="宋体" w:cs="宋体"/>
          <w:i/>
          <w:iCs/>
          <w:color w:val="auto"/>
          <w:sz w:val="24"/>
          <w:u w:val="single"/>
        </w:rPr>
        <w:t>中型企业、小型企业、微型企业</w:t>
      </w:r>
      <w:r>
        <w:rPr>
          <w:rFonts w:hint="eastAsia" w:ascii="宋体" w:hAnsi="宋体" w:cs="宋体"/>
          <w:color w:val="auto"/>
          <w:sz w:val="24"/>
          <w:u w:val="single"/>
        </w:rPr>
        <w:t>）</w:t>
      </w:r>
      <w:r>
        <w:rPr>
          <w:rFonts w:hint="eastAsia" w:ascii="宋体" w:hAnsi="宋体" w:cs="宋体"/>
          <w:color w:val="auto"/>
          <w:sz w:val="24"/>
        </w:rPr>
        <w:t>；</w:t>
      </w:r>
    </w:p>
    <w:p>
      <w:pPr>
        <w:pStyle w:val="15"/>
        <w:spacing w:after="0" w:line="360" w:lineRule="auto"/>
        <w:ind w:left="142" w:right="142"/>
        <w:contextualSpacing/>
        <w:rPr>
          <w:rFonts w:hint="eastAsia" w:ascii="宋体" w:hAnsi="宋体" w:cs="宋体"/>
          <w:color w:val="auto"/>
          <w:sz w:val="24"/>
        </w:rPr>
      </w:pPr>
      <w:r>
        <w:rPr>
          <w:rFonts w:hint="eastAsia" w:ascii="宋体" w:hAnsi="宋体" w:cs="宋体"/>
          <w:color w:val="auto"/>
          <w:sz w:val="24"/>
        </w:rPr>
        <w:t xml:space="preserve">…… </w:t>
      </w:r>
    </w:p>
    <w:p>
      <w:pPr>
        <w:pStyle w:val="15"/>
        <w:spacing w:after="0" w:line="360" w:lineRule="auto"/>
        <w:ind w:left="-405" w:leftChars="-193" w:right="142" w:firstLine="453" w:firstLineChars="189"/>
        <w:contextualSpacing/>
        <w:rPr>
          <w:rFonts w:hint="eastAsia" w:ascii="宋体" w:hAnsi="宋体" w:cs="宋体"/>
          <w:color w:val="auto"/>
          <w:sz w:val="24"/>
        </w:rPr>
      </w:pPr>
      <w:r>
        <w:rPr>
          <w:rFonts w:hint="eastAsia" w:ascii="宋体" w:hAnsi="宋体" w:cs="宋体"/>
          <w:color w:val="auto"/>
          <w:sz w:val="24"/>
        </w:rPr>
        <w:t>以上企业，不属于大企业的分支机构，不存在控股股东为大企业的情形，也不存在与大企业的负责人为同一人的情形。</w:t>
      </w:r>
    </w:p>
    <w:p>
      <w:pPr>
        <w:pStyle w:val="15"/>
        <w:spacing w:after="0" w:line="360" w:lineRule="auto"/>
        <w:ind w:left="-426" w:right="142" w:firstLine="567"/>
        <w:contextualSpacing/>
        <w:rPr>
          <w:rFonts w:hint="eastAsia" w:ascii="宋体" w:hAnsi="宋体" w:cs="宋体"/>
          <w:color w:val="auto"/>
          <w:sz w:val="24"/>
        </w:rPr>
      </w:pPr>
      <w:r>
        <w:rPr>
          <w:rFonts w:hint="eastAsia" w:ascii="宋体" w:hAnsi="宋体" w:cs="宋体"/>
          <w:color w:val="auto"/>
          <w:sz w:val="24"/>
        </w:rPr>
        <w:t>本企业对上述声明内容的真实性负责。如有虚假，将依法承担相应责任。</w:t>
      </w:r>
    </w:p>
    <w:p>
      <w:pPr>
        <w:pStyle w:val="15"/>
        <w:spacing w:after="0" w:line="360" w:lineRule="auto"/>
        <w:ind w:left="3960" w:right="1808"/>
        <w:contextualSpacing/>
        <w:rPr>
          <w:rFonts w:hint="eastAsia" w:ascii="宋体" w:hAnsi="宋体" w:cs="宋体"/>
          <w:color w:val="auto"/>
          <w:sz w:val="24"/>
        </w:rPr>
      </w:pPr>
    </w:p>
    <w:p>
      <w:pPr>
        <w:autoSpaceDE w:val="0"/>
        <w:autoSpaceDN w:val="0"/>
        <w:spacing w:line="360" w:lineRule="auto"/>
        <w:ind w:left="4335" w:leftChars="1950" w:hanging="240" w:hangingChars="100"/>
        <w:rPr>
          <w:rFonts w:hint="eastAsia" w:ascii="宋体" w:hAnsi="宋体" w:cs="宋体"/>
          <w:color w:val="auto"/>
          <w:kern w:val="0"/>
          <w:sz w:val="24"/>
        </w:rPr>
      </w:pPr>
      <w:r>
        <w:rPr>
          <w:rFonts w:hint="eastAsia" w:ascii="宋体" w:hAnsi="宋体" w:cs="宋体"/>
          <w:color w:val="auto"/>
          <w:kern w:val="0"/>
          <w:sz w:val="24"/>
        </w:rPr>
        <w:t>供应商名称（盖公章）：</w:t>
      </w:r>
    </w:p>
    <w:p>
      <w:pPr>
        <w:autoSpaceDE w:val="0"/>
        <w:autoSpaceDN w:val="0"/>
        <w:spacing w:line="360" w:lineRule="auto"/>
        <w:ind w:firstLine="6480" w:firstLineChars="2700"/>
        <w:rPr>
          <w:rFonts w:hint="eastAsia" w:ascii="宋体" w:hAnsi="宋体" w:cs="宋体"/>
          <w:color w:val="auto"/>
          <w:kern w:val="0"/>
          <w:sz w:val="24"/>
          <w:lang w:val="zh-CN"/>
        </w:rPr>
      </w:pPr>
      <w:r>
        <w:rPr>
          <w:rFonts w:hint="eastAsia" w:ascii="宋体" w:hAnsi="宋体" w:cs="宋体"/>
          <w:color w:val="auto"/>
          <w:kern w:val="0"/>
          <w:sz w:val="24"/>
          <w:lang w:val="zh-CN"/>
        </w:rPr>
        <w:t>日期：  年  月   日</w:t>
      </w:r>
    </w:p>
    <w:p>
      <w:pPr>
        <w:pStyle w:val="15"/>
        <w:spacing w:after="0" w:line="360" w:lineRule="auto"/>
        <w:ind w:left="3960" w:right="1808"/>
        <w:contextualSpacing/>
        <w:rPr>
          <w:rFonts w:hint="eastAsia" w:ascii="宋体" w:hAnsi="宋体" w:cs="宋体"/>
          <w:color w:val="auto"/>
        </w:rPr>
      </w:pPr>
    </w:p>
    <w:p>
      <w:pPr>
        <w:spacing w:line="360" w:lineRule="auto"/>
        <w:ind w:firstLine="480" w:firstLineChars="200"/>
        <w:contextualSpacing/>
        <w:jc w:val="left"/>
        <w:rPr>
          <w:rFonts w:hint="eastAsia" w:ascii="宋体" w:hAnsi="宋体" w:cs="宋体"/>
          <w:color w:val="auto"/>
          <w:kern w:val="0"/>
          <w:sz w:val="24"/>
        </w:rPr>
      </w:pPr>
      <w:r>
        <w:rPr>
          <w:rFonts w:hint="eastAsia" w:ascii="宋体" w:hAnsi="宋体" w:cs="宋体"/>
          <w:color w:val="auto"/>
          <w:sz w:val="24"/>
        </w:rPr>
        <w:t>注：享受《政府采购促进中小企业发展管理办法》（财库〔2020〕46号）规定的中小企业扶持政策的，采购人或者采购代理机构应当随成交结果公开成交供应商的《</w:t>
      </w:r>
      <w:r>
        <w:rPr>
          <w:rFonts w:hint="eastAsia" w:ascii="宋体" w:hAnsi="宋体" w:cs="宋体"/>
          <w:color w:val="auto"/>
          <w:sz w:val="24"/>
          <w:lang w:val="en-US" w:eastAsia="zh-CN"/>
        </w:rPr>
        <w:t>中小</w:t>
      </w:r>
      <w:r>
        <w:rPr>
          <w:rFonts w:hint="eastAsia" w:ascii="宋体" w:hAnsi="宋体" w:cs="宋体"/>
          <w:color w:val="auto"/>
          <w:sz w:val="24"/>
        </w:rPr>
        <w:t>企业声明函》，接受社会监督。从业人员、营业收入、资产总额填报上一年度数据，无上一年度数据的新成立企业可不填报。</w:t>
      </w:r>
    </w:p>
    <w:p>
      <w:pPr>
        <w:snapToGrid w:val="0"/>
        <w:spacing w:before="120" w:beforeLines="50" w:after="50" w:line="360" w:lineRule="auto"/>
        <w:outlineLvl w:val="1"/>
        <w:rPr>
          <w:rFonts w:hint="eastAsia" w:ascii="宋体" w:hAnsi="宋体" w:cs="宋体"/>
          <w:b/>
          <w:bCs/>
          <w:color w:val="auto"/>
          <w:sz w:val="32"/>
          <w:szCs w:val="32"/>
        </w:rPr>
        <w:sectPr>
          <w:pgSz w:w="11911" w:h="16838"/>
          <w:pgMar w:top="1134" w:right="1134" w:bottom="1134" w:left="1134" w:header="720" w:footer="720" w:gutter="0"/>
          <w:cols w:space="720" w:num="1"/>
        </w:sectPr>
      </w:pPr>
    </w:p>
    <w:p>
      <w:pPr>
        <w:spacing w:line="520" w:lineRule="exact"/>
        <w:rPr>
          <w:rFonts w:hint="eastAsia" w:hAnsi="宋体" w:cs="宋体"/>
          <w:b/>
          <w:color w:val="auto"/>
          <w:sz w:val="28"/>
          <w:szCs w:val="28"/>
        </w:rPr>
      </w:pPr>
      <w:r>
        <w:rPr>
          <w:rFonts w:hint="eastAsia" w:ascii="宋体" w:hAnsi="宋体" w:cs="宋体"/>
          <w:b/>
          <w:color w:val="auto"/>
          <w:sz w:val="28"/>
          <w:szCs w:val="28"/>
        </w:rPr>
        <w:t>2.</w:t>
      </w:r>
      <w:r>
        <w:rPr>
          <w:rFonts w:hint="eastAsia" w:hAnsi="宋体" w:cs="宋体"/>
          <w:b/>
          <w:color w:val="auto"/>
          <w:sz w:val="28"/>
          <w:szCs w:val="28"/>
        </w:rPr>
        <w:t>残疾人福利性单位声明函的格式：</w:t>
      </w:r>
    </w:p>
    <w:p>
      <w:pPr>
        <w:pStyle w:val="23"/>
        <w:rPr>
          <w:color w:val="auto"/>
        </w:rPr>
      </w:pPr>
    </w:p>
    <w:p>
      <w:pPr>
        <w:spacing w:line="520" w:lineRule="exact"/>
        <w:jc w:val="center"/>
        <w:rPr>
          <w:rFonts w:hint="eastAsia" w:ascii="仿宋" w:hAnsi="仿宋" w:eastAsia="仿宋" w:cs="仿宋"/>
          <w:color w:val="auto"/>
          <w:sz w:val="44"/>
          <w:szCs w:val="44"/>
        </w:rPr>
      </w:pPr>
    </w:p>
    <w:p>
      <w:pPr>
        <w:spacing w:line="520" w:lineRule="exact"/>
        <w:jc w:val="center"/>
        <w:rPr>
          <w:rFonts w:hint="eastAsia" w:ascii="仿宋" w:hAnsi="仿宋" w:eastAsia="仿宋" w:cs="仿宋"/>
          <w:color w:val="auto"/>
          <w:sz w:val="44"/>
          <w:szCs w:val="44"/>
        </w:rPr>
      </w:pPr>
    </w:p>
    <w:p>
      <w:pPr>
        <w:spacing w:line="520" w:lineRule="exact"/>
        <w:jc w:val="center"/>
        <w:rPr>
          <w:rFonts w:hint="eastAsia" w:ascii="宋体" w:hAnsi="宋体" w:cs="宋体"/>
          <w:b/>
          <w:bCs/>
          <w:color w:val="auto"/>
          <w:sz w:val="36"/>
          <w:szCs w:val="36"/>
        </w:rPr>
      </w:pPr>
      <w:r>
        <w:rPr>
          <w:rFonts w:hint="eastAsia" w:ascii="宋体" w:hAnsi="宋体" w:cs="宋体"/>
          <w:b/>
          <w:bCs/>
          <w:color w:val="auto"/>
          <w:sz w:val="36"/>
          <w:szCs w:val="36"/>
        </w:rPr>
        <w:t>残疾人福利性单位声明函</w:t>
      </w:r>
    </w:p>
    <w:p>
      <w:pPr>
        <w:spacing w:line="520" w:lineRule="exact"/>
        <w:rPr>
          <w:rFonts w:hint="eastAsia" w:ascii="宋体" w:hAnsi="宋体" w:cs="宋体"/>
          <w:color w:val="auto"/>
          <w:sz w:val="32"/>
          <w:szCs w:val="32"/>
        </w:rPr>
      </w:pPr>
    </w:p>
    <w:p>
      <w:pPr>
        <w:spacing w:line="360" w:lineRule="auto"/>
        <w:ind w:firstLine="480" w:firstLineChars="200"/>
        <w:contextualSpacing/>
        <w:rPr>
          <w:rFonts w:hint="eastAsia" w:ascii="宋体" w:hAnsi="宋体" w:cs="宋体"/>
          <w:color w:val="auto"/>
          <w:sz w:val="24"/>
        </w:rPr>
      </w:pPr>
    </w:p>
    <w:p>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宋体"/>
          <w:color w:val="auto"/>
          <w:sz w:val="24"/>
          <w:u w:val="single"/>
        </w:rPr>
        <w:t xml:space="preserve">        </w:t>
      </w:r>
      <w:r>
        <w:rPr>
          <w:rFonts w:hint="eastAsia" w:ascii="宋体" w:hAnsi="宋体" w:cs="宋体"/>
          <w:color w:val="auto"/>
          <w:sz w:val="24"/>
        </w:rPr>
        <w:t>单位的</w:t>
      </w:r>
      <w:r>
        <w:rPr>
          <w:rFonts w:hint="eastAsia" w:ascii="宋体" w:hAnsi="宋体" w:cs="宋体"/>
          <w:color w:val="auto"/>
          <w:sz w:val="24"/>
          <w:u w:val="single"/>
        </w:rPr>
        <w:t xml:space="preserve">           </w:t>
      </w:r>
      <w:r>
        <w:rPr>
          <w:rFonts w:hint="eastAsia" w:ascii="宋体" w:hAnsi="宋体" w:cs="宋体"/>
          <w:color w:val="auto"/>
          <w:sz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本单位对上述声明的真实性负责。如有虚假，将依法承担相应责任。</w:t>
      </w:r>
    </w:p>
    <w:p>
      <w:pPr>
        <w:spacing w:line="360" w:lineRule="auto"/>
        <w:contextualSpacing/>
        <w:rPr>
          <w:rFonts w:hint="eastAsia" w:ascii="宋体" w:hAnsi="宋体" w:cs="宋体"/>
          <w:color w:val="auto"/>
          <w:sz w:val="24"/>
        </w:rPr>
      </w:pPr>
    </w:p>
    <w:p>
      <w:pPr>
        <w:spacing w:line="360" w:lineRule="auto"/>
        <w:contextualSpacing/>
        <w:rPr>
          <w:rFonts w:hint="eastAsia" w:ascii="宋体" w:hAnsi="宋体" w:cs="宋体"/>
          <w:color w:val="auto"/>
          <w:sz w:val="24"/>
        </w:rPr>
      </w:pPr>
    </w:p>
    <w:p>
      <w:pPr>
        <w:spacing w:line="360" w:lineRule="auto"/>
        <w:contextualSpacing/>
        <w:rPr>
          <w:rFonts w:hint="eastAsia" w:ascii="宋体" w:hAnsi="宋体" w:cs="宋体"/>
          <w:color w:val="auto"/>
          <w:sz w:val="24"/>
        </w:rPr>
      </w:pPr>
    </w:p>
    <w:p>
      <w:pPr>
        <w:spacing w:line="360" w:lineRule="auto"/>
        <w:ind w:firstLine="2400" w:firstLineChars="1000"/>
        <w:contextualSpacing/>
        <w:rPr>
          <w:rFonts w:hint="eastAsia" w:ascii="宋体" w:hAnsi="宋体" w:cs="宋体"/>
          <w:color w:val="auto"/>
          <w:sz w:val="24"/>
        </w:rPr>
      </w:pPr>
      <w:r>
        <w:rPr>
          <w:rFonts w:hint="eastAsia" w:ascii="宋体" w:hAnsi="宋体" w:cs="宋体"/>
          <w:color w:val="auto"/>
          <w:sz w:val="24"/>
        </w:rPr>
        <w:t>供应商名称（盖公章）：</w:t>
      </w:r>
    </w:p>
    <w:p>
      <w:pPr>
        <w:spacing w:line="360" w:lineRule="auto"/>
        <w:ind w:firstLine="4320" w:firstLineChars="1800"/>
        <w:contextualSpacing/>
        <w:rPr>
          <w:rFonts w:hint="eastAsia" w:ascii="宋体" w:hAnsi="宋体" w:cs="宋体"/>
          <w:color w:val="auto"/>
          <w:sz w:val="24"/>
        </w:rPr>
      </w:pPr>
      <w:r>
        <w:rPr>
          <w:rFonts w:hint="eastAsia" w:ascii="宋体" w:hAnsi="宋体" w:cs="宋体"/>
          <w:color w:val="auto"/>
          <w:sz w:val="24"/>
        </w:rPr>
        <w:t>日  期：     年   月   日</w:t>
      </w:r>
    </w:p>
    <w:p>
      <w:pPr>
        <w:spacing w:line="360" w:lineRule="auto"/>
        <w:contextualSpacing/>
        <w:rPr>
          <w:rFonts w:hint="eastAsia" w:ascii="宋体" w:hAnsi="宋体" w:cs="宋体"/>
          <w:color w:val="auto"/>
          <w:sz w:val="24"/>
        </w:rPr>
      </w:pPr>
    </w:p>
    <w:p>
      <w:pPr>
        <w:spacing w:line="360" w:lineRule="auto"/>
        <w:contextualSpacing/>
        <w:rPr>
          <w:rFonts w:hint="eastAsia" w:ascii="宋体" w:hAnsi="宋体" w:cs="宋体"/>
          <w:color w:val="auto"/>
          <w:sz w:val="24"/>
        </w:rPr>
      </w:pPr>
    </w:p>
    <w:p>
      <w:pPr>
        <w:spacing w:line="360" w:lineRule="auto"/>
        <w:contextualSpacing/>
        <w:rPr>
          <w:rFonts w:hint="eastAsia" w:ascii="宋体" w:hAnsi="宋体" w:cs="宋体"/>
          <w:color w:val="auto"/>
          <w:sz w:val="24"/>
        </w:rPr>
      </w:pPr>
    </w:p>
    <w:p>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注：请根据自己的真实情况出具《残疾人福利性单位声明函》。依法享受中小企业扶持政策的，采购人或者采购代理机构在公告成交结果时，同时公告其《残疾人福利性单位声明函》，接受社会监督。</w:t>
      </w:r>
    </w:p>
    <w:p>
      <w:pPr>
        <w:widowControl/>
        <w:shd w:val="clear" w:color="auto" w:fill="FFFFFF"/>
        <w:spacing w:line="480" w:lineRule="atLeast"/>
        <w:rPr>
          <w:rFonts w:hint="eastAsia" w:ascii="宋体" w:hAnsi="宋体" w:cs="宋体"/>
          <w:color w:val="auto"/>
          <w:kern w:val="0"/>
          <w:sz w:val="28"/>
          <w:szCs w:val="28"/>
        </w:rPr>
      </w:pPr>
      <w:r>
        <w:rPr>
          <w:rFonts w:hint="eastAsia" w:ascii="宋体" w:hAnsi="宋体" w:cs="宋体"/>
          <w:color w:val="auto"/>
          <w:sz w:val="24"/>
        </w:rPr>
        <w:br w:type="page"/>
      </w:r>
      <w:r>
        <w:rPr>
          <w:rFonts w:hint="eastAsia" w:ascii="宋体" w:hAnsi="宋体" w:cs="宋体"/>
          <w:color w:val="auto"/>
          <w:sz w:val="28"/>
          <w:szCs w:val="28"/>
        </w:rPr>
        <w:t>3.</w:t>
      </w:r>
      <w:r>
        <w:rPr>
          <w:rFonts w:hint="eastAsia" w:ascii="宋体" w:hAnsi="宋体" w:cs="宋体"/>
          <w:color w:val="auto"/>
          <w:kern w:val="0"/>
          <w:sz w:val="28"/>
          <w:szCs w:val="28"/>
        </w:rPr>
        <w:t>广西壮族自治区政府采购项目合同验收书的格式：</w:t>
      </w:r>
    </w:p>
    <w:p>
      <w:pPr>
        <w:spacing w:line="360" w:lineRule="auto"/>
        <w:ind w:firstLine="480" w:firstLineChars="200"/>
        <w:contextualSpacing/>
        <w:rPr>
          <w:rFonts w:cs="仿宋_GB2312"/>
          <w:color w:val="auto"/>
          <w:sz w:val="24"/>
        </w:rPr>
      </w:pPr>
    </w:p>
    <w:p>
      <w:pPr>
        <w:widowControl/>
        <w:shd w:val="clear" w:color="auto" w:fill="FFFFFF"/>
        <w:spacing w:line="480" w:lineRule="atLeast"/>
        <w:jc w:val="center"/>
        <w:rPr>
          <w:rFonts w:hint="eastAsia" w:ascii="仿宋" w:hAnsi="仿宋" w:eastAsia="仿宋" w:cs="宋体"/>
          <w:color w:val="auto"/>
          <w:kern w:val="0"/>
          <w:sz w:val="32"/>
          <w:szCs w:val="32"/>
        </w:rPr>
      </w:pPr>
      <w:r>
        <w:rPr>
          <w:rFonts w:hint="eastAsia" w:ascii="宋体" w:hAnsi="宋体" w:cs="宋体"/>
          <w:b/>
          <w:bCs/>
          <w:color w:val="auto"/>
          <w:kern w:val="0"/>
          <w:sz w:val="32"/>
          <w:szCs w:val="32"/>
        </w:rPr>
        <w:t>广西壮族自治区政府采购项目合同验收书</w:t>
      </w:r>
    </w:p>
    <w:p>
      <w:pPr>
        <w:widowControl/>
        <w:shd w:val="clear" w:color="auto" w:fill="FFFFFF"/>
        <w:spacing w:line="480" w:lineRule="atLeast"/>
        <w:jc w:val="center"/>
        <w:rPr>
          <w:rFonts w:hint="eastAsia" w:ascii="仿宋" w:hAnsi="仿宋" w:eastAsia="仿宋" w:cs="宋体"/>
          <w:color w:val="auto"/>
          <w:kern w:val="0"/>
          <w:sz w:val="32"/>
          <w:szCs w:val="32"/>
        </w:rPr>
      </w:pPr>
    </w:p>
    <w:p>
      <w:pPr>
        <w:widowControl/>
        <w:shd w:val="clear" w:color="auto" w:fill="FFFFFF"/>
        <w:snapToGrid w:val="0"/>
        <w:spacing w:line="320" w:lineRule="atLeast"/>
        <w:ind w:firstLine="480"/>
        <w:jc w:val="left"/>
        <w:rPr>
          <w:rFonts w:hint="eastAsia" w:ascii="宋体" w:hAnsi="宋体" w:cs="宋体"/>
          <w:color w:val="auto"/>
          <w:kern w:val="0"/>
          <w:sz w:val="24"/>
        </w:rPr>
      </w:pPr>
      <w:r>
        <w:rPr>
          <w:rFonts w:hint="eastAsia" w:ascii="宋体" w:hAnsi="宋体" w:cs="宋体"/>
          <w:color w:val="auto"/>
          <w:kern w:val="0"/>
          <w:sz w:val="24"/>
        </w:rPr>
        <w:t>根据政府采购项目（</w:t>
      </w:r>
      <w:r>
        <w:rPr>
          <w:rFonts w:hint="eastAsia" w:ascii="宋体" w:hAnsi="宋体" w:cs="宋体"/>
          <w:color w:val="auto"/>
          <w:kern w:val="0"/>
          <w:sz w:val="24"/>
          <w:u w:val="single"/>
        </w:rPr>
        <w:t>采购合同编号：</w:t>
      </w:r>
      <w:r>
        <w:rPr>
          <w:rFonts w:hint="eastAsia" w:ascii="宋体" w:hAnsi="宋体" w:cs="宋体"/>
          <w:color w:val="auto"/>
          <w:kern w:val="0"/>
          <w:sz w:val="24"/>
          <w:u w:val="single"/>
        </w:rPr>
        <w:softHyphen/>
      </w:r>
      <w:r>
        <w:rPr>
          <w:rFonts w:hint="eastAsia" w:ascii="宋体" w:hAnsi="宋体" w:cs="宋体"/>
          <w:color w:val="auto"/>
          <w:kern w:val="0"/>
          <w:sz w:val="24"/>
          <w:u w:val="single"/>
        </w:rPr>
        <w:t xml:space="preserve"> </w:t>
      </w:r>
      <w:r>
        <w:rPr>
          <w:rFonts w:hint="eastAsia" w:ascii="宋体" w:hAnsi="宋体" w:cs="宋体"/>
          <w:color w:val="auto"/>
          <w:kern w:val="0"/>
          <w:sz w:val="24"/>
        </w:rPr>
        <w:t>）的约定，我单位对（</w:t>
      </w:r>
      <w:r>
        <w:rPr>
          <w:rFonts w:hint="eastAsia" w:ascii="宋体" w:hAnsi="宋体" w:cs="宋体"/>
          <w:color w:val="auto"/>
          <w:kern w:val="0"/>
          <w:sz w:val="24"/>
          <w:u w:val="single"/>
        </w:rPr>
        <w:t xml:space="preserve"> 项目名称 </w:t>
      </w:r>
      <w:r>
        <w:rPr>
          <w:rFonts w:hint="eastAsia" w:ascii="宋体" w:hAnsi="宋体" w:cs="宋体"/>
          <w:color w:val="auto"/>
          <w:kern w:val="0"/>
          <w:sz w:val="24"/>
        </w:rPr>
        <w:t>） 政府采购项目成交供应商（</w:t>
      </w:r>
      <w:r>
        <w:rPr>
          <w:rFonts w:hint="eastAsia" w:ascii="宋体" w:hAnsi="宋体" w:cs="宋体"/>
          <w:color w:val="auto"/>
          <w:kern w:val="0"/>
          <w:sz w:val="24"/>
          <w:u w:val="single"/>
        </w:rPr>
        <w:t xml:space="preserve"> 公司名称 </w:t>
      </w:r>
      <w:r>
        <w:rPr>
          <w:rFonts w:hint="eastAsia" w:ascii="宋体" w:hAnsi="宋体" w:cs="宋体"/>
          <w:color w:val="auto"/>
          <w:kern w:val="0"/>
          <w:sz w:val="24"/>
        </w:rPr>
        <w:t>） 提供的货物（或者工程、服务）进行了验收，验收情况如下：</w:t>
      </w:r>
    </w:p>
    <w:tbl>
      <w:tblPr>
        <w:tblStyle w:val="32"/>
        <w:tblW w:w="8445" w:type="dxa"/>
        <w:jc w:val="center"/>
        <w:tblLayout w:type="fixed"/>
        <w:tblCellMar>
          <w:top w:w="0" w:type="dxa"/>
          <w:left w:w="0" w:type="dxa"/>
          <w:bottom w:w="0" w:type="dxa"/>
          <w:right w:w="0" w:type="dxa"/>
        </w:tblCellMar>
      </w:tblPr>
      <w:tblGrid>
        <w:gridCol w:w="804"/>
        <w:gridCol w:w="825"/>
        <w:gridCol w:w="1623"/>
        <w:gridCol w:w="798"/>
        <w:gridCol w:w="102"/>
        <w:gridCol w:w="2002"/>
        <w:gridCol w:w="178"/>
        <w:gridCol w:w="685"/>
        <w:gridCol w:w="1428"/>
      </w:tblGrid>
      <w:tr>
        <w:tblPrEx>
          <w:tblCellMar>
            <w:top w:w="0" w:type="dxa"/>
            <w:left w:w="0" w:type="dxa"/>
            <w:bottom w:w="0" w:type="dxa"/>
            <w:right w:w="0" w:type="dxa"/>
          </w:tblCellMar>
        </w:tblPrEx>
        <w:trPr>
          <w:trHeight w:val="497" w:hRule="atLeast"/>
          <w:jc w:val="center"/>
        </w:trPr>
        <w:tc>
          <w:tcPr>
            <w:tcW w:w="3252" w:type="dxa"/>
            <w:gridSpan w:val="3"/>
            <w:tcBorders>
              <w:top w:val="single" w:color="auto" w:sz="8" w:space="0"/>
              <w:left w:val="single" w:color="auto" w:sz="8" w:space="0"/>
              <w:bottom w:val="single" w:color="auto" w:sz="8" w:space="0"/>
              <w:right w:val="single" w:color="auto" w:sz="8" w:space="0"/>
            </w:tcBorders>
            <w:vAlign w:val="center"/>
          </w:tcPr>
          <w:p>
            <w:pPr>
              <w:widowControl/>
              <w:snapToGrid w:val="0"/>
              <w:spacing w:before="100" w:beforeAutospacing="1" w:after="100" w:afterAutospacing="1" w:line="320" w:lineRule="atLeast"/>
              <w:ind w:firstLine="5"/>
              <w:jc w:val="center"/>
              <w:rPr>
                <w:rFonts w:ascii="Verdana" w:hAnsi="Verdana" w:cs="宋体"/>
                <w:color w:val="auto"/>
                <w:kern w:val="0"/>
                <w:szCs w:val="21"/>
              </w:rPr>
            </w:pPr>
            <w:r>
              <w:rPr>
                <w:rFonts w:ascii="Verdana" w:hAnsi="Verdana" w:cs="宋体"/>
                <w:color w:val="auto"/>
                <w:kern w:val="0"/>
                <w:szCs w:val="21"/>
              </w:rPr>
              <w:t>验收方式：</w:t>
            </w:r>
          </w:p>
        </w:tc>
        <w:tc>
          <w:tcPr>
            <w:tcW w:w="5193" w:type="dxa"/>
            <w:gridSpan w:val="6"/>
            <w:tcBorders>
              <w:top w:val="single" w:color="auto" w:sz="8" w:space="0"/>
              <w:left w:val="nil"/>
              <w:bottom w:val="single" w:color="auto" w:sz="8" w:space="0"/>
              <w:right w:val="single" w:color="auto" w:sz="8" w:space="0"/>
            </w:tcBorders>
            <w:vAlign w:val="center"/>
          </w:tcPr>
          <w:p>
            <w:pPr>
              <w:widowControl/>
              <w:snapToGrid w:val="0"/>
              <w:spacing w:before="100" w:beforeAutospacing="1" w:after="100" w:afterAutospacing="1" w:line="320" w:lineRule="atLeast"/>
              <w:jc w:val="center"/>
              <w:rPr>
                <w:rFonts w:ascii="Verdana" w:hAnsi="Verdana" w:cs="宋体"/>
                <w:color w:val="auto"/>
                <w:kern w:val="0"/>
                <w:szCs w:val="21"/>
              </w:rPr>
            </w:pPr>
            <w:r>
              <w:rPr>
                <w:rFonts w:hint="eastAsia" w:ascii="宋体" w:hAnsi="宋体" w:cs="宋体"/>
                <w:color w:val="auto"/>
                <w:kern w:val="0"/>
                <w:szCs w:val="21"/>
              </w:rPr>
              <w:t>□</w:t>
            </w:r>
            <w:r>
              <w:rPr>
                <w:rFonts w:ascii="Verdana" w:hAnsi="Verdana" w:cs="宋体"/>
                <w:color w:val="auto"/>
                <w:kern w:val="0"/>
                <w:szCs w:val="21"/>
              </w:rPr>
              <w:t xml:space="preserve">自行验收 </w:t>
            </w:r>
            <w:r>
              <w:rPr>
                <w:rFonts w:hint="eastAsia" w:ascii="宋体" w:hAnsi="宋体" w:cs="宋体"/>
                <w:color w:val="auto"/>
                <w:kern w:val="0"/>
                <w:szCs w:val="21"/>
              </w:rPr>
              <w:t>□</w:t>
            </w:r>
            <w:r>
              <w:rPr>
                <w:rFonts w:ascii="Verdana" w:hAnsi="Verdana" w:cs="宋体"/>
                <w:color w:val="auto"/>
                <w:kern w:val="0"/>
                <w:szCs w:val="21"/>
              </w:rPr>
              <w:t>委托验收</w:t>
            </w:r>
          </w:p>
        </w:tc>
      </w:tr>
      <w:tr>
        <w:tblPrEx>
          <w:tblCellMar>
            <w:top w:w="0" w:type="dxa"/>
            <w:left w:w="0" w:type="dxa"/>
            <w:bottom w:w="0" w:type="dxa"/>
            <w:right w:w="0" w:type="dxa"/>
          </w:tblCellMar>
        </w:tblPrEx>
        <w:trPr>
          <w:trHeight w:val="622" w:hRule="atLeast"/>
          <w:jc w:val="center"/>
        </w:trPr>
        <w:tc>
          <w:tcPr>
            <w:tcW w:w="804" w:type="dxa"/>
            <w:tcBorders>
              <w:top w:val="nil"/>
              <w:left w:val="single" w:color="auto" w:sz="8" w:space="0"/>
              <w:bottom w:val="single" w:color="auto" w:sz="8" w:space="0"/>
              <w:right w:val="single" w:color="auto" w:sz="8" w:space="0"/>
            </w:tcBorders>
            <w:vAlign w:val="center"/>
          </w:tcPr>
          <w:p>
            <w:pPr>
              <w:widowControl/>
              <w:snapToGrid w:val="0"/>
              <w:spacing w:before="100" w:beforeAutospacing="1" w:after="100" w:afterAutospacing="1" w:line="320" w:lineRule="atLeast"/>
              <w:ind w:firstLine="2"/>
              <w:jc w:val="center"/>
              <w:rPr>
                <w:rFonts w:ascii="Verdana" w:hAnsi="Verdana" w:cs="宋体"/>
                <w:color w:val="auto"/>
                <w:kern w:val="0"/>
                <w:szCs w:val="21"/>
              </w:rPr>
            </w:pPr>
            <w:r>
              <w:rPr>
                <w:rFonts w:ascii="Verdana" w:hAnsi="Verdana" w:cs="宋体"/>
                <w:color w:val="auto"/>
                <w:kern w:val="0"/>
                <w:szCs w:val="21"/>
              </w:rPr>
              <w:t>序号</w:t>
            </w:r>
          </w:p>
        </w:tc>
        <w:tc>
          <w:tcPr>
            <w:tcW w:w="2448" w:type="dxa"/>
            <w:gridSpan w:val="2"/>
            <w:tcBorders>
              <w:top w:val="nil"/>
              <w:left w:val="nil"/>
              <w:bottom w:val="single" w:color="auto" w:sz="8" w:space="0"/>
              <w:right w:val="single" w:color="auto" w:sz="8" w:space="0"/>
            </w:tcBorders>
            <w:vAlign w:val="center"/>
          </w:tcPr>
          <w:p>
            <w:pPr>
              <w:widowControl/>
              <w:snapToGrid w:val="0"/>
              <w:spacing w:before="100" w:beforeAutospacing="1" w:after="100" w:afterAutospacing="1" w:line="320" w:lineRule="atLeast"/>
              <w:ind w:firstLine="2"/>
              <w:jc w:val="center"/>
              <w:rPr>
                <w:rFonts w:ascii="Verdana" w:hAnsi="Verdana" w:cs="宋体"/>
                <w:color w:val="auto"/>
                <w:kern w:val="0"/>
                <w:szCs w:val="21"/>
              </w:rPr>
            </w:pPr>
            <w:r>
              <w:rPr>
                <w:rFonts w:ascii="Verdana" w:hAnsi="Verdana" w:cs="宋体"/>
                <w:color w:val="auto"/>
                <w:kern w:val="0"/>
                <w:szCs w:val="21"/>
              </w:rPr>
              <w:t>名称</w:t>
            </w:r>
          </w:p>
        </w:tc>
        <w:tc>
          <w:tcPr>
            <w:tcW w:w="2902" w:type="dxa"/>
            <w:gridSpan w:val="3"/>
            <w:tcBorders>
              <w:top w:val="nil"/>
              <w:left w:val="nil"/>
              <w:bottom w:val="single" w:color="auto" w:sz="8" w:space="0"/>
              <w:right w:val="single" w:color="auto" w:sz="8" w:space="0"/>
            </w:tcBorders>
            <w:vAlign w:val="center"/>
          </w:tcPr>
          <w:p>
            <w:pPr>
              <w:widowControl/>
              <w:snapToGrid w:val="0"/>
              <w:spacing w:before="100" w:beforeAutospacing="1" w:after="100" w:afterAutospacing="1" w:line="320" w:lineRule="atLeast"/>
              <w:ind w:firstLine="2"/>
              <w:jc w:val="center"/>
              <w:rPr>
                <w:rFonts w:ascii="Verdana" w:hAnsi="Verdana" w:cs="宋体"/>
                <w:color w:val="auto"/>
                <w:kern w:val="0"/>
                <w:szCs w:val="21"/>
              </w:rPr>
            </w:pPr>
            <w:r>
              <w:rPr>
                <w:rFonts w:ascii="Verdana" w:hAnsi="Verdana" w:cs="宋体"/>
                <w:color w:val="auto"/>
                <w:kern w:val="0"/>
                <w:szCs w:val="21"/>
              </w:rPr>
              <w:t>货物型号规格、标准及配置等（或者服务内容、标准）</w:t>
            </w:r>
          </w:p>
        </w:tc>
        <w:tc>
          <w:tcPr>
            <w:tcW w:w="863" w:type="dxa"/>
            <w:gridSpan w:val="2"/>
            <w:tcBorders>
              <w:top w:val="nil"/>
              <w:left w:val="nil"/>
              <w:bottom w:val="single" w:color="auto" w:sz="8" w:space="0"/>
              <w:right w:val="single" w:color="auto" w:sz="8" w:space="0"/>
            </w:tcBorders>
            <w:vAlign w:val="center"/>
          </w:tcPr>
          <w:p>
            <w:pPr>
              <w:widowControl/>
              <w:snapToGrid w:val="0"/>
              <w:spacing w:before="100" w:beforeAutospacing="1" w:after="100" w:afterAutospacing="1" w:line="320" w:lineRule="atLeast"/>
              <w:jc w:val="center"/>
              <w:rPr>
                <w:rFonts w:ascii="Verdana" w:hAnsi="Verdana" w:cs="宋体"/>
                <w:color w:val="auto"/>
                <w:kern w:val="0"/>
                <w:szCs w:val="21"/>
              </w:rPr>
            </w:pPr>
            <w:r>
              <w:rPr>
                <w:rFonts w:ascii="Verdana" w:hAnsi="Verdana" w:cs="宋体"/>
                <w:color w:val="auto"/>
                <w:kern w:val="0"/>
                <w:szCs w:val="21"/>
              </w:rPr>
              <w:t>数量</w:t>
            </w:r>
          </w:p>
        </w:tc>
        <w:tc>
          <w:tcPr>
            <w:tcW w:w="1428" w:type="dxa"/>
            <w:tcBorders>
              <w:top w:val="nil"/>
              <w:left w:val="nil"/>
              <w:bottom w:val="single" w:color="auto" w:sz="8" w:space="0"/>
              <w:right w:val="single" w:color="auto" w:sz="8" w:space="0"/>
            </w:tcBorders>
            <w:vAlign w:val="center"/>
          </w:tcPr>
          <w:p>
            <w:pPr>
              <w:widowControl/>
              <w:snapToGrid w:val="0"/>
              <w:spacing w:before="100" w:beforeAutospacing="1" w:after="100" w:afterAutospacing="1" w:line="320" w:lineRule="atLeast"/>
              <w:ind w:firstLine="2"/>
              <w:jc w:val="center"/>
              <w:rPr>
                <w:rFonts w:ascii="Verdana" w:hAnsi="Verdana" w:cs="宋体"/>
                <w:color w:val="auto"/>
                <w:kern w:val="0"/>
                <w:szCs w:val="21"/>
              </w:rPr>
            </w:pPr>
            <w:r>
              <w:rPr>
                <w:rFonts w:ascii="Verdana" w:hAnsi="Verdana" w:cs="宋体"/>
                <w:color w:val="auto"/>
                <w:kern w:val="0"/>
                <w:szCs w:val="21"/>
              </w:rPr>
              <w:t>金额</w:t>
            </w:r>
          </w:p>
        </w:tc>
      </w:tr>
      <w:tr>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rPr>
            </w:pPr>
          </w:p>
        </w:tc>
        <w:tc>
          <w:tcPr>
            <w:tcW w:w="2448"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rPr>
            </w:pPr>
          </w:p>
        </w:tc>
        <w:tc>
          <w:tcPr>
            <w:tcW w:w="2902" w:type="dxa"/>
            <w:gridSpan w:val="3"/>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rPr>
            </w:pPr>
          </w:p>
        </w:tc>
        <w:tc>
          <w:tcPr>
            <w:tcW w:w="863"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rPr>
            </w:pPr>
          </w:p>
        </w:tc>
        <w:tc>
          <w:tcPr>
            <w:tcW w:w="1428" w:type="dxa"/>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rPr>
            </w:pPr>
          </w:p>
        </w:tc>
      </w:tr>
      <w:tr>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rPr>
            </w:pPr>
          </w:p>
        </w:tc>
        <w:tc>
          <w:tcPr>
            <w:tcW w:w="2448"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rPr>
            </w:pPr>
          </w:p>
        </w:tc>
        <w:tc>
          <w:tcPr>
            <w:tcW w:w="2902" w:type="dxa"/>
            <w:gridSpan w:val="3"/>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rPr>
            </w:pPr>
          </w:p>
        </w:tc>
        <w:tc>
          <w:tcPr>
            <w:tcW w:w="863"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rPr>
            </w:pPr>
          </w:p>
        </w:tc>
        <w:tc>
          <w:tcPr>
            <w:tcW w:w="1428" w:type="dxa"/>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rPr>
            </w:pPr>
          </w:p>
        </w:tc>
      </w:tr>
      <w:tr>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rPr>
            </w:pPr>
          </w:p>
        </w:tc>
        <w:tc>
          <w:tcPr>
            <w:tcW w:w="2448"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rPr>
            </w:pPr>
          </w:p>
        </w:tc>
        <w:tc>
          <w:tcPr>
            <w:tcW w:w="2902" w:type="dxa"/>
            <w:gridSpan w:val="3"/>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rPr>
            </w:pPr>
          </w:p>
        </w:tc>
        <w:tc>
          <w:tcPr>
            <w:tcW w:w="863"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rPr>
            </w:pPr>
          </w:p>
        </w:tc>
        <w:tc>
          <w:tcPr>
            <w:tcW w:w="1428" w:type="dxa"/>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rPr>
            </w:pPr>
          </w:p>
        </w:tc>
      </w:tr>
      <w:tr>
        <w:tblPrEx>
          <w:tblCellMar>
            <w:top w:w="0" w:type="dxa"/>
            <w:left w:w="0" w:type="dxa"/>
            <w:bottom w:w="0" w:type="dxa"/>
            <w:right w:w="0" w:type="dxa"/>
          </w:tblCellMar>
        </w:tblPrEx>
        <w:trPr>
          <w:trHeight w:val="487" w:hRule="atLeast"/>
          <w:jc w:val="center"/>
        </w:trPr>
        <w:tc>
          <w:tcPr>
            <w:tcW w:w="6154" w:type="dxa"/>
            <w:gridSpan w:val="6"/>
            <w:tcBorders>
              <w:top w:val="nil"/>
              <w:left w:val="single" w:color="auto" w:sz="8" w:space="0"/>
              <w:bottom w:val="single" w:color="auto" w:sz="8" w:space="0"/>
              <w:right w:val="single" w:color="auto" w:sz="8" w:space="0"/>
            </w:tcBorders>
            <w:vAlign w:val="center"/>
          </w:tcPr>
          <w:p>
            <w:pPr>
              <w:widowControl/>
              <w:snapToGrid w:val="0"/>
              <w:spacing w:before="100" w:beforeAutospacing="1" w:after="100" w:afterAutospacing="1" w:line="320" w:lineRule="atLeast"/>
              <w:ind w:firstLine="5"/>
              <w:jc w:val="center"/>
              <w:rPr>
                <w:rFonts w:ascii="Verdana" w:hAnsi="Verdana" w:cs="宋体"/>
                <w:color w:val="auto"/>
                <w:kern w:val="0"/>
                <w:szCs w:val="21"/>
              </w:rPr>
            </w:pPr>
            <w:r>
              <w:rPr>
                <w:rFonts w:ascii="Verdana" w:hAnsi="Verdana" w:cs="宋体"/>
                <w:color w:val="auto"/>
                <w:kern w:val="0"/>
                <w:szCs w:val="21"/>
              </w:rPr>
              <w:t>合 计</w:t>
            </w:r>
          </w:p>
        </w:tc>
        <w:tc>
          <w:tcPr>
            <w:tcW w:w="863"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rPr>
            </w:pPr>
          </w:p>
        </w:tc>
        <w:tc>
          <w:tcPr>
            <w:tcW w:w="1428" w:type="dxa"/>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rPr>
            </w:pPr>
          </w:p>
        </w:tc>
      </w:tr>
      <w:tr>
        <w:tblPrEx>
          <w:tblCellMar>
            <w:top w:w="0" w:type="dxa"/>
            <w:left w:w="0" w:type="dxa"/>
            <w:bottom w:w="0" w:type="dxa"/>
            <w:right w:w="0" w:type="dxa"/>
          </w:tblCellMar>
        </w:tblPrEx>
        <w:trPr>
          <w:trHeight w:val="641" w:hRule="atLeast"/>
          <w:jc w:val="center"/>
        </w:trPr>
        <w:tc>
          <w:tcPr>
            <w:tcW w:w="8445" w:type="dxa"/>
            <w:gridSpan w:val="9"/>
            <w:tcBorders>
              <w:top w:val="nil"/>
              <w:left w:val="single" w:color="auto" w:sz="8" w:space="0"/>
              <w:bottom w:val="single" w:color="auto" w:sz="8" w:space="0"/>
              <w:right w:val="single" w:color="auto" w:sz="8" w:space="0"/>
            </w:tcBorders>
            <w:vAlign w:val="center"/>
          </w:tcPr>
          <w:p>
            <w:pPr>
              <w:widowControl/>
              <w:snapToGrid w:val="0"/>
              <w:spacing w:before="100" w:beforeAutospacing="1" w:after="100" w:afterAutospacing="1" w:line="320" w:lineRule="atLeast"/>
              <w:ind w:firstLine="210" w:firstLineChars="100"/>
              <w:jc w:val="left"/>
              <w:rPr>
                <w:rFonts w:ascii="Verdana" w:hAnsi="Verdana" w:cs="宋体"/>
                <w:color w:val="auto"/>
                <w:kern w:val="0"/>
                <w:szCs w:val="21"/>
              </w:rPr>
            </w:pPr>
            <w:r>
              <w:rPr>
                <w:rFonts w:ascii="Verdana" w:hAnsi="Verdana" w:cs="宋体"/>
                <w:color w:val="auto"/>
                <w:kern w:val="0"/>
                <w:szCs w:val="21"/>
              </w:rPr>
              <w:t xml:space="preserve">合计大写金额： </w:t>
            </w:r>
            <w:r>
              <w:rPr>
                <w:rFonts w:hint="eastAsia" w:ascii="Verdana" w:hAnsi="Verdana" w:cs="宋体"/>
                <w:color w:val="auto"/>
                <w:kern w:val="0"/>
                <w:szCs w:val="21"/>
              </w:rPr>
              <w:t xml:space="preserve"> </w:t>
            </w:r>
            <w:r>
              <w:rPr>
                <w:rFonts w:ascii="Verdana" w:hAnsi="Verdana" w:cs="宋体"/>
                <w:color w:val="auto"/>
                <w:kern w:val="0"/>
                <w:szCs w:val="21"/>
              </w:rPr>
              <w:t xml:space="preserve">仟 </w:t>
            </w:r>
            <w:r>
              <w:rPr>
                <w:rFonts w:hint="eastAsia" w:ascii="Verdana" w:hAnsi="Verdana" w:cs="宋体"/>
                <w:color w:val="auto"/>
                <w:kern w:val="0"/>
                <w:szCs w:val="21"/>
              </w:rPr>
              <w:t xml:space="preserve"> </w:t>
            </w:r>
            <w:r>
              <w:rPr>
                <w:rFonts w:ascii="Verdana" w:hAnsi="Verdana" w:cs="宋体"/>
                <w:color w:val="auto"/>
                <w:kern w:val="0"/>
                <w:szCs w:val="21"/>
              </w:rPr>
              <w:t xml:space="preserve">佰 </w:t>
            </w:r>
            <w:r>
              <w:rPr>
                <w:rFonts w:hint="eastAsia" w:ascii="Verdana" w:hAnsi="Verdana" w:cs="宋体"/>
                <w:color w:val="auto"/>
                <w:kern w:val="0"/>
                <w:szCs w:val="21"/>
              </w:rPr>
              <w:t xml:space="preserve"> </w:t>
            </w:r>
            <w:r>
              <w:rPr>
                <w:rFonts w:ascii="Verdana" w:hAnsi="Verdana" w:cs="宋体"/>
                <w:color w:val="auto"/>
                <w:kern w:val="0"/>
                <w:szCs w:val="21"/>
              </w:rPr>
              <w:t xml:space="preserve">拾 </w:t>
            </w:r>
            <w:r>
              <w:rPr>
                <w:rFonts w:hint="eastAsia" w:ascii="Verdana" w:hAnsi="Verdana" w:cs="宋体"/>
                <w:color w:val="auto"/>
                <w:kern w:val="0"/>
                <w:szCs w:val="21"/>
              </w:rPr>
              <w:t xml:space="preserve"> </w:t>
            </w:r>
            <w:r>
              <w:rPr>
                <w:rFonts w:ascii="Verdana" w:hAnsi="Verdana" w:cs="宋体"/>
                <w:color w:val="auto"/>
                <w:kern w:val="0"/>
                <w:szCs w:val="21"/>
              </w:rPr>
              <w:t xml:space="preserve">万 </w:t>
            </w:r>
            <w:r>
              <w:rPr>
                <w:rFonts w:hint="eastAsia" w:ascii="Verdana" w:hAnsi="Verdana" w:cs="宋体"/>
                <w:color w:val="auto"/>
                <w:kern w:val="0"/>
                <w:szCs w:val="21"/>
              </w:rPr>
              <w:t xml:space="preserve"> </w:t>
            </w:r>
            <w:r>
              <w:rPr>
                <w:rFonts w:ascii="Verdana" w:hAnsi="Verdana" w:cs="宋体"/>
                <w:color w:val="auto"/>
                <w:kern w:val="0"/>
                <w:szCs w:val="21"/>
              </w:rPr>
              <w:t xml:space="preserve">仟 </w:t>
            </w:r>
            <w:r>
              <w:rPr>
                <w:rFonts w:hint="eastAsia" w:ascii="Verdana" w:hAnsi="Verdana" w:cs="宋体"/>
                <w:color w:val="auto"/>
                <w:kern w:val="0"/>
                <w:szCs w:val="21"/>
              </w:rPr>
              <w:t xml:space="preserve"> </w:t>
            </w:r>
            <w:r>
              <w:rPr>
                <w:rFonts w:ascii="Verdana" w:hAnsi="Verdana" w:cs="宋体"/>
                <w:color w:val="auto"/>
                <w:kern w:val="0"/>
                <w:szCs w:val="21"/>
              </w:rPr>
              <w:t xml:space="preserve">佰 </w:t>
            </w:r>
            <w:r>
              <w:rPr>
                <w:rFonts w:hint="eastAsia" w:ascii="Verdana" w:hAnsi="Verdana" w:cs="宋体"/>
                <w:color w:val="auto"/>
                <w:kern w:val="0"/>
                <w:szCs w:val="21"/>
              </w:rPr>
              <w:t xml:space="preserve"> </w:t>
            </w:r>
            <w:r>
              <w:rPr>
                <w:rFonts w:ascii="Verdana" w:hAnsi="Verdana" w:cs="宋体"/>
                <w:color w:val="auto"/>
                <w:kern w:val="0"/>
                <w:szCs w:val="21"/>
              </w:rPr>
              <w:t xml:space="preserve">拾 </w:t>
            </w:r>
            <w:r>
              <w:rPr>
                <w:rFonts w:hint="eastAsia" w:ascii="Verdana" w:hAnsi="Verdana" w:cs="宋体"/>
                <w:color w:val="auto"/>
                <w:kern w:val="0"/>
                <w:szCs w:val="21"/>
              </w:rPr>
              <w:t xml:space="preserve"> </w:t>
            </w:r>
            <w:r>
              <w:rPr>
                <w:rFonts w:ascii="Verdana" w:hAnsi="Verdana" w:cs="宋体"/>
                <w:color w:val="auto"/>
                <w:kern w:val="0"/>
                <w:szCs w:val="21"/>
              </w:rPr>
              <w:t>元</w:t>
            </w:r>
          </w:p>
        </w:tc>
      </w:tr>
      <w:tr>
        <w:tblPrEx>
          <w:tblCellMar>
            <w:top w:w="0" w:type="dxa"/>
            <w:left w:w="0" w:type="dxa"/>
            <w:bottom w:w="0" w:type="dxa"/>
            <w:right w:w="0" w:type="dxa"/>
          </w:tblCellMar>
        </w:tblPrEx>
        <w:trPr>
          <w:trHeight w:val="641" w:hRule="atLeast"/>
          <w:jc w:val="center"/>
        </w:trPr>
        <w:tc>
          <w:tcPr>
            <w:tcW w:w="1629" w:type="dxa"/>
            <w:gridSpan w:val="2"/>
            <w:tcBorders>
              <w:top w:val="nil"/>
              <w:left w:val="single" w:color="auto" w:sz="8" w:space="0"/>
              <w:bottom w:val="single" w:color="auto" w:sz="8" w:space="0"/>
              <w:right w:val="single" w:color="auto" w:sz="8" w:space="0"/>
            </w:tcBorders>
            <w:vAlign w:val="center"/>
          </w:tcPr>
          <w:p>
            <w:pPr>
              <w:widowControl/>
              <w:snapToGrid w:val="0"/>
              <w:spacing w:before="100" w:beforeAutospacing="1" w:after="100" w:afterAutospacing="1" w:line="320" w:lineRule="atLeast"/>
              <w:ind w:firstLine="2"/>
              <w:jc w:val="center"/>
              <w:rPr>
                <w:rFonts w:ascii="Verdana" w:hAnsi="Verdana" w:cs="宋体"/>
                <w:color w:val="auto"/>
                <w:kern w:val="0"/>
                <w:szCs w:val="21"/>
              </w:rPr>
            </w:pPr>
            <w:r>
              <w:rPr>
                <w:rFonts w:ascii="Verdana" w:hAnsi="Verdana" w:cs="宋体"/>
                <w:color w:val="auto"/>
                <w:kern w:val="0"/>
                <w:szCs w:val="21"/>
              </w:rPr>
              <w:t>实际供货日期</w:t>
            </w:r>
          </w:p>
        </w:tc>
        <w:tc>
          <w:tcPr>
            <w:tcW w:w="2421"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rPr>
            </w:pPr>
          </w:p>
        </w:tc>
        <w:tc>
          <w:tcPr>
            <w:tcW w:w="2282" w:type="dxa"/>
            <w:gridSpan w:val="3"/>
            <w:tcBorders>
              <w:top w:val="nil"/>
              <w:left w:val="nil"/>
              <w:bottom w:val="single" w:color="auto" w:sz="8" w:space="0"/>
              <w:right w:val="single" w:color="auto" w:sz="8" w:space="0"/>
            </w:tcBorders>
            <w:vAlign w:val="center"/>
          </w:tcPr>
          <w:p>
            <w:pPr>
              <w:widowControl/>
              <w:snapToGrid w:val="0"/>
              <w:spacing w:before="100" w:beforeAutospacing="1" w:after="100" w:afterAutospacing="1" w:line="320" w:lineRule="atLeast"/>
              <w:ind w:firstLine="46"/>
              <w:jc w:val="center"/>
              <w:rPr>
                <w:rFonts w:ascii="Verdana" w:hAnsi="Verdana" w:cs="宋体"/>
                <w:color w:val="auto"/>
                <w:kern w:val="0"/>
                <w:szCs w:val="21"/>
              </w:rPr>
            </w:pPr>
            <w:r>
              <w:rPr>
                <w:rFonts w:ascii="Verdana" w:hAnsi="Verdana" w:cs="宋体"/>
                <w:color w:val="auto"/>
                <w:kern w:val="0"/>
                <w:szCs w:val="21"/>
              </w:rPr>
              <w:t>合同交货验收日期</w:t>
            </w:r>
          </w:p>
        </w:tc>
        <w:tc>
          <w:tcPr>
            <w:tcW w:w="2113"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rPr>
            </w:pPr>
          </w:p>
        </w:tc>
      </w:tr>
      <w:tr>
        <w:tblPrEx>
          <w:tblCellMar>
            <w:top w:w="0" w:type="dxa"/>
            <w:left w:w="0" w:type="dxa"/>
            <w:bottom w:w="0" w:type="dxa"/>
            <w:right w:w="0" w:type="dxa"/>
          </w:tblCellMar>
        </w:tblPrEx>
        <w:trPr>
          <w:trHeight w:val="693" w:hRule="atLeast"/>
          <w:jc w:val="center"/>
        </w:trPr>
        <w:tc>
          <w:tcPr>
            <w:tcW w:w="1629"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spacing w:before="100" w:beforeAutospacing="1" w:after="100" w:afterAutospacing="1" w:line="320" w:lineRule="atLeast"/>
              <w:jc w:val="left"/>
              <w:rPr>
                <w:rFonts w:ascii="Verdana" w:hAnsi="Verdana" w:cs="宋体"/>
                <w:color w:val="auto"/>
                <w:kern w:val="0"/>
                <w:szCs w:val="21"/>
              </w:rPr>
            </w:pPr>
            <w:r>
              <w:rPr>
                <w:rFonts w:ascii="Verdana" w:hAnsi="Verdana" w:cs="宋体"/>
                <w:color w:val="auto"/>
                <w:kern w:val="0"/>
                <w:szCs w:val="21"/>
              </w:rPr>
              <w:t>验收具体内容</w:t>
            </w:r>
          </w:p>
        </w:tc>
        <w:tc>
          <w:tcPr>
            <w:tcW w:w="6816" w:type="dxa"/>
            <w:gridSpan w:val="7"/>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napToGrid w:val="0"/>
              <w:spacing w:before="100" w:beforeAutospacing="1" w:after="100" w:afterAutospacing="1" w:line="320" w:lineRule="atLeast"/>
              <w:jc w:val="left"/>
              <w:rPr>
                <w:rFonts w:ascii="Verdana" w:hAnsi="Verdana" w:cs="宋体"/>
                <w:color w:val="auto"/>
                <w:kern w:val="0"/>
                <w:szCs w:val="21"/>
              </w:rPr>
            </w:pPr>
            <w:r>
              <w:rPr>
                <w:rFonts w:ascii="Verdana" w:hAnsi="Verdana" w:cs="宋体"/>
                <w:color w:val="auto"/>
                <w:kern w:val="0"/>
                <w:szCs w:val="21"/>
              </w:rPr>
              <w:t>（应按采购合同、磋商文件、竞标响应文件及验收方案等进行验收；并核对成交供应商在安装调试等方面是否违反合同约定或者服务规范要求、提供的质量保证证明材料是否齐全、应有的配件及附件是否达到合同约定等。可附件)</w:t>
            </w:r>
          </w:p>
        </w:tc>
      </w:tr>
      <w:tr>
        <w:tblPrEx>
          <w:tblCellMar>
            <w:top w:w="0" w:type="dxa"/>
            <w:left w:w="0" w:type="dxa"/>
            <w:bottom w:w="0" w:type="dxa"/>
            <w:right w:w="0" w:type="dxa"/>
          </w:tblCellMar>
        </w:tblPrEx>
        <w:trPr>
          <w:trHeight w:val="1281" w:hRule="atLeast"/>
          <w:jc w:val="center"/>
        </w:trPr>
        <w:tc>
          <w:tcPr>
            <w:tcW w:w="1629" w:type="dxa"/>
            <w:gridSpan w:val="2"/>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20" w:lineRule="atLeast"/>
              <w:jc w:val="left"/>
              <w:rPr>
                <w:rFonts w:ascii="Verdana" w:hAnsi="Verdana" w:cs="宋体"/>
                <w:color w:val="auto"/>
                <w:kern w:val="0"/>
                <w:szCs w:val="21"/>
              </w:rPr>
            </w:pPr>
            <w:r>
              <w:rPr>
                <w:rFonts w:ascii="Verdana" w:hAnsi="Verdana" w:cs="宋体"/>
                <w:color w:val="auto"/>
                <w:kern w:val="0"/>
                <w:szCs w:val="21"/>
              </w:rPr>
              <w:t>验收小组意见</w:t>
            </w:r>
          </w:p>
        </w:tc>
        <w:tc>
          <w:tcPr>
            <w:tcW w:w="6816" w:type="dxa"/>
            <w:gridSpan w:val="7"/>
            <w:tcBorders>
              <w:top w:val="nil"/>
              <w:left w:val="nil"/>
              <w:bottom w:val="single" w:color="auto" w:sz="8" w:space="0"/>
              <w:right w:val="single" w:color="auto" w:sz="8" w:space="0"/>
            </w:tcBorders>
            <w:vAlign w:val="center"/>
          </w:tcPr>
          <w:p>
            <w:pPr>
              <w:widowControl/>
              <w:spacing w:before="100" w:beforeAutospacing="1" w:after="100" w:afterAutospacing="1" w:line="320" w:lineRule="atLeast"/>
              <w:ind w:firstLine="210" w:firstLineChars="100"/>
              <w:jc w:val="left"/>
              <w:rPr>
                <w:rFonts w:ascii="Verdana" w:hAnsi="Verdana" w:cs="宋体"/>
                <w:color w:val="auto"/>
                <w:kern w:val="0"/>
                <w:szCs w:val="21"/>
              </w:rPr>
            </w:pPr>
            <w:r>
              <w:rPr>
                <w:rFonts w:ascii="Verdana" w:hAnsi="Verdana" w:cs="宋体"/>
                <w:color w:val="auto"/>
                <w:kern w:val="0"/>
                <w:szCs w:val="21"/>
              </w:rPr>
              <w:t>验收结论性意见：</w:t>
            </w:r>
          </w:p>
        </w:tc>
      </w:tr>
      <w:tr>
        <w:tblPrEx>
          <w:tblCellMar>
            <w:top w:w="0" w:type="dxa"/>
            <w:left w:w="0" w:type="dxa"/>
            <w:bottom w:w="0" w:type="dxa"/>
            <w:right w:w="0" w:type="dxa"/>
          </w:tblCellMar>
        </w:tblPrEx>
        <w:trPr>
          <w:trHeight w:val="607" w:hRule="atLeast"/>
          <w:jc w:val="center"/>
        </w:trPr>
        <w:tc>
          <w:tcPr>
            <w:tcW w:w="1629" w:type="dxa"/>
            <w:gridSpan w:val="2"/>
            <w:vMerge w:val="continue"/>
            <w:tcBorders>
              <w:top w:val="nil"/>
              <w:left w:val="single" w:color="auto" w:sz="8" w:space="0"/>
              <w:bottom w:val="single" w:color="auto" w:sz="8" w:space="0"/>
              <w:right w:val="single" w:color="auto" w:sz="8" w:space="0"/>
            </w:tcBorders>
            <w:vAlign w:val="center"/>
          </w:tcPr>
          <w:p>
            <w:pPr>
              <w:widowControl/>
              <w:jc w:val="left"/>
              <w:rPr>
                <w:rFonts w:ascii="Verdana" w:hAnsi="Verdana" w:cs="宋体"/>
                <w:color w:val="auto"/>
                <w:kern w:val="0"/>
                <w:szCs w:val="21"/>
              </w:rPr>
            </w:pPr>
          </w:p>
        </w:tc>
        <w:tc>
          <w:tcPr>
            <w:tcW w:w="6816" w:type="dxa"/>
            <w:gridSpan w:val="7"/>
            <w:tcBorders>
              <w:top w:val="nil"/>
              <w:left w:val="nil"/>
              <w:bottom w:val="single" w:color="auto" w:sz="8" w:space="0"/>
              <w:right w:val="single" w:color="auto" w:sz="8" w:space="0"/>
            </w:tcBorders>
            <w:vAlign w:val="center"/>
          </w:tcPr>
          <w:p>
            <w:pPr>
              <w:widowControl/>
              <w:spacing w:before="100" w:beforeAutospacing="1" w:after="100" w:afterAutospacing="1" w:line="320" w:lineRule="atLeast"/>
              <w:ind w:firstLine="210" w:firstLineChars="100"/>
              <w:jc w:val="left"/>
              <w:rPr>
                <w:rFonts w:ascii="Verdana" w:hAnsi="Verdana" w:cs="宋体"/>
                <w:color w:val="auto"/>
                <w:kern w:val="0"/>
                <w:szCs w:val="21"/>
              </w:rPr>
            </w:pPr>
            <w:r>
              <w:rPr>
                <w:rFonts w:ascii="Verdana" w:hAnsi="Verdana" w:cs="宋体"/>
                <w:color w:val="auto"/>
                <w:kern w:val="0"/>
                <w:szCs w:val="21"/>
              </w:rPr>
              <w:t>有异议的意见和说明理由：</w:t>
            </w:r>
          </w:p>
          <w:p>
            <w:pPr>
              <w:widowControl/>
              <w:spacing w:before="100" w:beforeAutospacing="1" w:after="100" w:afterAutospacing="1" w:line="320" w:lineRule="atLeast"/>
              <w:ind w:firstLine="210" w:firstLineChars="100"/>
              <w:jc w:val="left"/>
              <w:rPr>
                <w:rFonts w:ascii="Verdana" w:hAnsi="Verdana" w:cs="宋体"/>
                <w:color w:val="auto"/>
                <w:kern w:val="0"/>
                <w:szCs w:val="21"/>
              </w:rPr>
            </w:pPr>
            <w:r>
              <w:rPr>
                <w:rFonts w:ascii="Verdana" w:hAnsi="Verdana" w:cs="宋体"/>
                <w:color w:val="auto"/>
                <w:kern w:val="0"/>
                <w:szCs w:val="21"/>
              </w:rPr>
              <w:t>签字：</w:t>
            </w:r>
          </w:p>
        </w:tc>
      </w:tr>
      <w:tr>
        <w:tblPrEx>
          <w:tblCellMar>
            <w:top w:w="0" w:type="dxa"/>
            <w:left w:w="0" w:type="dxa"/>
            <w:bottom w:w="0" w:type="dxa"/>
            <w:right w:w="0" w:type="dxa"/>
          </w:tblCellMar>
        </w:tblPrEx>
        <w:trPr>
          <w:trHeight w:val="507"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20" w:lineRule="atLeast"/>
              <w:jc w:val="left"/>
              <w:rPr>
                <w:rFonts w:ascii="Verdana" w:hAnsi="Verdana" w:cs="宋体"/>
                <w:color w:val="auto"/>
                <w:kern w:val="0"/>
                <w:szCs w:val="21"/>
              </w:rPr>
            </w:pPr>
            <w:r>
              <w:rPr>
                <w:rFonts w:ascii="Verdana" w:hAnsi="Verdana" w:cs="宋体"/>
                <w:color w:val="auto"/>
                <w:kern w:val="0"/>
                <w:szCs w:val="21"/>
              </w:rPr>
              <w:t>验收小组成员签字：</w:t>
            </w:r>
          </w:p>
        </w:tc>
      </w:tr>
      <w:tr>
        <w:tblPrEx>
          <w:tblCellMar>
            <w:top w:w="0" w:type="dxa"/>
            <w:left w:w="0" w:type="dxa"/>
            <w:bottom w:w="0" w:type="dxa"/>
            <w:right w:w="0" w:type="dxa"/>
          </w:tblCellMar>
        </w:tblPrEx>
        <w:trPr>
          <w:trHeight w:val="736"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20" w:lineRule="atLeast"/>
              <w:jc w:val="left"/>
              <w:rPr>
                <w:rFonts w:ascii="Verdana" w:hAnsi="Verdana" w:cs="宋体"/>
                <w:color w:val="auto"/>
                <w:kern w:val="0"/>
                <w:szCs w:val="21"/>
              </w:rPr>
            </w:pPr>
            <w:r>
              <w:rPr>
                <w:rFonts w:ascii="Verdana" w:hAnsi="Verdana" w:cs="宋体"/>
                <w:color w:val="auto"/>
                <w:kern w:val="0"/>
                <w:szCs w:val="21"/>
              </w:rPr>
              <w:t>监督人员或者</w:t>
            </w:r>
            <w:r>
              <w:rPr>
                <w:rFonts w:hint="eastAsia" w:ascii="Verdana" w:hAnsi="Verdana" w:cs="宋体"/>
                <w:color w:val="auto"/>
                <w:kern w:val="0"/>
                <w:szCs w:val="21"/>
              </w:rPr>
              <w:t>其他</w:t>
            </w:r>
            <w:r>
              <w:rPr>
                <w:rFonts w:ascii="Verdana" w:hAnsi="Verdana" w:cs="宋体"/>
                <w:color w:val="auto"/>
                <w:kern w:val="0"/>
                <w:szCs w:val="21"/>
              </w:rPr>
              <w:t>相关人员签字：</w:t>
            </w:r>
          </w:p>
          <w:p>
            <w:pPr>
              <w:widowControl/>
              <w:spacing w:before="100" w:beforeAutospacing="1" w:after="100" w:afterAutospacing="1" w:line="320" w:lineRule="atLeast"/>
              <w:ind w:firstLine="74"/>
              <w:jc w:val="left"/>
              <w:rPr>
                <w:rFonts w:ascii="Verdana" w:hAnsi="Verdana" w:cs="宋体"/>
                <w:color w:val="auto"/>
                <w:kern w:val="0"/>
                <w:szCs w:val="21"/>
              </w:rPr>
            </w:pPr>
            <w:r>
              <w:rPr>
                <w:rFonts w:ascii="Verdana" w:hAnsi="Verdana" w:cs="宋体"/>
                <w:color w:val="auto"/>
                <w:kern w:val="0"/>
                <w:szCs w:val="21"/>
              </w:rPr>
              <w:t>或者受邀机构的意见（盖章）：</w:t>
            </w:r>
          </w:p>
        </w:tc>
      </w:tr>
      <w:tr>
        <w:tblPrEx>
          <w:tblCellMar>
            <w:top w:w="0" w:type="dxa"/>
            <w:left w:w="0" w:type="dxa"/>
            <w:bottom w:w="0" w:type="dxa"/>
            <w:right w:w="0" w:type="dxa"/>
          </w:tblCellMar>
        </w:tblPrEx>
        <w:trPr>
          <w:trHeight w:val="758" w:hRule="atLeast"/>
          <w:jc w:val="center"/>
        </w:trPr>
        <w:tc>
          <w:tcPr>
            <w:tcW w:w="4152" w:type="dxa"/>
            <w:gridSpan w:val="5"/>
            <w:tcBorders>
              <w:top w:val="nil"/>
              <w:left w:val="single" w:color="auto" w:sz="8" w:space="0"/>
              <w:bottom w:val="single" w:color="auto" w:sz="8" w:space="0"/>
              <w:right w:val="nil"/>
            </w:tcBorders>
            <w:tcMar>
              <w:top w:w="0" w:type="dxa"/>
              <w:left w:w="108" w:type="dxa"/>
              <w:bottom w:w="0" w:type="dxa"/>
              <w:right w:w="108" w:type="dxa"/>
            </w:tcMar>
            <w:vAlign w:val="center"/>
          </w:tcPr>
          <w:p>
            <w:pPr>
              <w:widowControl/>
              <w:spacing w:before="100" w:beforeAutospacing="1" w:after="100" w:afterAutospacing="1" w:line="320" w:lineRule="atLeast"/>
              <w:jc w:val="left"/>
              <w:rPr>
                <w:rFonts w:ascii="Verdana" w:hAnsi="Verdana" w:cs="宋体"/>
                <w:color w:val="auto"/>
                <w:kern w:val="0"/>
                <w:szCs w:val="21"/>
              </w:rPr>
            </w:pPr>
            <w:r>
              <w:rPr>
                <w:rFonts w:ascii="Verdana" w:hAnsi="Verdana" w:cs="宋体"/>
                <w:color w:val="auto"/>
                <w:kern w:val="0"/>
                <w:szCs w:val="21"/>
              </w:rPr>
              <w:t>成交供应商负责人签字或者盖章：</w:t>
            </w:r>
          </w:p>
          <w:p>
            <w:pPr>
              <w:widowControl/>
              <w:spacing w:before="100" w:beforeAutospacing="1" w:after="100" w:afterAutospacing="1" w:line="320" w:lineRule="atLeast"/>
              <w:jc w:val="left"/>
              <w:rPr>
                <w:rFonts w:ascii="Verdana" w:hAnsi="Verdana" w:cs="宋体"/>
                <w:color w:val="auto"/>
                <w:kern w:val="0"/>
                <w:szCs w:val="21"/>
              </w:rPr>
            </w:pPr>
          </w:p>
          <w:p>
            <w:pPr>
              <w:widowControl/>
              <w:spacing w:before="100" w:beforeAutospacing="1" w:after="100" w:afterAutospacing="1" w:line="320" w:lineRule="atLeast"/>
              <w:jc w:val="left"/>
              <w:rPr>
                <w:rFonts w:ascii="Verdana" w:hAnsi="Verdana" w:cs="宋体"/>
                <w:color w:val="auto"/>
                <w:kern w:val="0"/>
                <w:szCs w:val="21"/>
              </w:rPr>
            </w:pPr>
            <w:r>
              <w:rPr>
                <w:rFonts w:ascii="Verdana" w:hAnsi="Verdana" w:cs="宋体"/>
                <w:color w:val="auto"/>
                <w:kern w:val="0"/>
                <w:szCs w:val="21"/>
              </w:rPr>
              <w:t>联系电话：</w:t>
            </w:r>
            <w:r>
              <w:rPr>
                <w:rFonts w:hint="eastAsia" w:ascii="Verdana" w:hAnsi="Verdana" w:cs="宋体"/>
                <w:color w:val="auto"/>
                <w:kern w:val="0"/>
                <w:szCs w:val="21"/>
              </w:rPr>
              <w:t xml:space="preserve">               </w:t>
            </w:r>
            <w:r>
              <w:rPr>
                <w:rFonts w:ascii="Verdana" w:hAnsi="Verdana" w:cs="宋体"/>
                <w:color w:val="auto"/>
                <w:kern w:val="0"/>
                <w:szCs w:val="21"/>
              </w:rPr>
              <w:t xml:space="preserve"> 年</w:t>
            </w:r>
            <w:r>
              <w:rPr>
                <w:rFonts w:hint="eastAsia" w:ascii="Verdana" w:hAnsi="Verdana" w:cs="宋体"/>
                <w:color w:val="auto"/>
                <w:kern w:val="0"/>
                <w:szCs w:val="21"/>
              </w:rPr>
              <w:t xml:space="preserve"> </w:t>
            </w:r>
            <w:r>
              <w:rPr>
                <w:rFonts w:ascii="Verdana" w:hAnsi="Verdana" w:cs="宋体"/>
                <w:color w:val="auto"/>
                <w:kern w:val="0"/>
                <w:szCs w:val="21"/>
              </w:rPr>
              <w:t xml:space="preserve"> 月 </w:t>
            </w:r>
            <w:r>
              <w:rPr>
                <w:rFonts w:hint="eastAsia" w:ascii="Verdana" w:hAnsi="Verdana" w:cs="宋体"/>
                <w:color w:val="auto"/>
                <w:kern w:val="0"/>
                <w:szCs w:val="21"/>
              </w:rPr>
              <w:t xml:space="preserve"> </w:t>
            </w:r>
            <w:r>
              <w:rPr>
                <w:rFonts w:ascii="Verdana" w:hAnsi="Verdana" w:cs="宋体"/>
                <w:color w:val="auto"/>
                <w:kern w:val="0"/>
                <w:szCs w:val="21"/>
              </w:rPr>
              <w:t>日</w:t>
            </w:r>
          </w:p>
        </w:tc>
        <w:tc>
          <w:tcPr>
            <w:tcW w:w="4293" w:type="dxa"/>
            <w:gridSpan w:val="4"/>
            <w:tcBorders>
              <w:top w:val="nil"/>
              <w:left w:val="nil"/>
              <w:bottom w:val="single" w:color="auto" w:sz="8" w:space="0"/>
              <w:right w:val="single" w:color="auto" w:sz="8" w:space="0"/>
            </w:tcBorders>
            <w:vAlign w:val="center"/>
          </w:tcPr>
          <w:p>
            <w:pPr>
              <w:widowControl/>
              <w:spacing w:before="100" w:beforeAutospacing="1" w:after="100" w:afterAutospacing="1" w:line="320" w:lineRule="atLeast"/>
              <w:ind w:firstLine="210" w:firstLineChars="100"/>
              <w:jc w:val="left"/>
              <w:rPr>
                <w:rFonts w:ascii="Verdana" w:hAnsi="Verdana" w:cs="宋体"/>
                <w:color w:val="auto"/>
                <w:kern w:val="0"/>
                <w:szCs w:val="21"/>
              </w:rPr>
            </w:pPr>
            <w:r>
              <w:rPr>
                <w:rFonts w:ascii="Verdana" w:hAnsi="Verdana" w:cs="宋体"/>
                <w:color w:val="auto"/>
                <w:kern w:val="0"/>
                <w:szCs w:val="21"/>
              </w:rPr>
              <w:t>采购人或者受托机构的意见（盖章）：</w:t>
            </w:r>
          </w:p>
          <w:p>
            <w:pPr>
              <w:widowControl/>
              <w:spacing w:before="100" w:beforeAutospacing="1" w:after="100" w:afterAutospacing="1" w:line="320" w:lineRule="atLeast"/>
              <w:ind w:firstLine="210" w:firstLineChars="100"/>
              <w:jc w:val="left"/>
              <w:rPr>
                <w:rFonts w:ascii="Verdana" w:hAnsi="Verdana" w:cs="宋体"/>
                <w:color w:val="auto"/>
                <w:kern w:val="0"/>
                <w:szCs w:val="21"/>
              </w:rPr>
            </w:pPr>
          </w:p>
          <w:p>
            <w:pPr>
              <w:widowControl/>
              <w:spacing w:before="100" w:beforeAutospacing="1" w:after="100" w:afterAutospacing="1" w:line="320" w:lineRule="atLeast"/>
              <w:ind w:firstLine="210" w:firstLineChars="100"/>
              <w:jc w:val="left"/>
              <w:rPr>
                <w:rFonts w:ascii="Verdana" w:hAnsi="Verdana" w:cs="宋体"/>
                <w:color w:val="auto"/>
                <w:kern w:val="0"/>
                <w:szCs w:val="21"/>
              </w:rPr>
            </w:pPr>
            <w:r>
              <w:rPr>
                <w:rFonts w:ascii="Verdana" w:hAnsi="Verdana" w:cs="宋体"/>
                <w:color w:val="auto"/>
                <w:kern w:val="0"/>
                <w:szCs w:val="21"/>
              </w:rPr>
              <w:t>联系电话：</w:t>
            </w:r>
            <w:r>
              <w:rPr>
                <w:rFonts w:hint="eastAsia" w:ascii="Verdana" w:hAnsi="Verdana" w:cs="宋体"/>
                <w:color w:val="auto"/>
                <w:kern w:val="0"/>
                <w:szCs w:val="21"/>
              </w:rPr>
              <w:t xml:space="preserve">                  </w:t>
            </w:r>
            <w:r>
              <w:rPr>
                <w:rFonts w:ascii="Verdana" w:hAnsi="Verdana" w:cs="宋体"/>
                <w:color w:val="auto"/>
                <w:kern w:val="0"/>
                <w:szCs w:val="21"/>
              </w:rPr>
              <w:t>年</w:t>
            </w:r>
            <w:r>
              <w:rPr>
                <w:rFonts w:hint="eastAsia" w:ascii="Verdana" w:hAnsi="Verdana" w:cs="宋体"/>
                <w:color w:val="auto"/>
                <w:kern w:val="0"/>
                <w:szCs w:val="21"/>
              </w:rPr>
              <w:t xml:space="preserve"> </w:t>
            </w:r>
            <w:r>
              <w:rPr>
                <w:rFonts w:ascii="Verdana" w:hAnsi="Verdana" w:cs="宋体"/>
                <w:color w:val="auto"/>
                <w:kern w:val="0"/>
                <w:szCs w:val="21"/>
              </w:rPr>
              <w:t xml:space="preserve"> 月</w:t>
            </w:r>
            <w:r>
              <w:rPr>
                <w:rFonts w:hint="eastAsia" w:ascii="Verdana" w:hAnsi="Verdana" w:cs="宋体"/>
                <w:color w:val="auto"/>
                <w:kern w:val="0"/>
                <w:szCs w:val="21"/>
              </w:rPr>
              <w:t xml:space="preserve"> </w:t>
            </w:r>
            <w:r>
              <w:rPr>
                <w:rFonts w:ascii="Verdana" w:hAnsi="Verdana" w:cs="宋体"/>
                <w:color w:val="auto"/>
                <w:kern w:val="0"/>
                <w:szCs w:val="21"/>
              </w:rPr>
              <w:t xml:space="preserve"> 日</w:t>
            </w:r>
          </w:p>
        </w:tc>
      </w:tr>
    </w:tbl>
    <w:p>
      <w:pPr>
        <w:shd w:val="clear" w:color="auto" w:fill="FFFFFF"/>
        <w:spacing w:line="360" w:lineRule="auto"/>
        <w:ind w:firstLine="2730" w:firstLineChars="1300"/>
        <w:jc w:val="left"/>
        <w:rPr>
          <w:color w:val="auto"/>
          <w:sz w:val="24"/>
        </w:rPr>
      </w:pPr>
      <w:r>
        <w:rPr>
          <w:rFonts w:hAnsi="宋体"/>
          <w:color w:val="auto"/>
        </w:rPr>
        <w:br w:type="page"/>
      </w:r>
    </w:p>
    <w:p>
      <w:pPr>
        <w:pStyle w:val="2"/>
        <w:jc w:val="center"/>
        <w:rPr>
          <w:rFonts w:hint="eastAsia"/>
          <w:b w:val="0"/>
          <w:bCs w:val="0"/>
          <w:color w:val="auto"/>
        </w:rPr>
      </w:pPr>
      <w:bookmarkStart w:id="199" w:name="_Toc18676"/>
      <w:bookmarkStart w:id="200" w:name="_Toc24786"/>
      <w:bookmarkStart w:id="201" w:name="_Toc15161"/>
      <w:bookmarkStart w:id="202" w:name="_Toc15154"/>
      <w:bookmarkStart w:id="203" w:name="_Toc9343"/>
      <w:bookmarkStart w:id="204" w:name="_Toc80886947"/>
      <w:bookmarkStart w:id="205" w:name="_Toc4005"/>
      <w:bookmarkStart w:id="206" w:name="_Toc12748"/>
    </w:p>
    <w:p>
      <w:pPr>
        <w:pStyle w:val="2"/>
        <w:jc w:val="center"/>
        <w:rPr>
          <w:rFonts w:hint="eastAsia"/>
          <w:b w:val="0"/>
          <w:bCs w:val="0"/>
          <w:color w:val="auto"/>
        </w:rPr>
      </w:pPr>
    </w:p>
    <w:p>
      <w:pPr>
        <w:pStyle w:val="2"/>
        <w:jc w:val="center"/>
        <w:rPr>
          <w:rFonts w:hint="eastAsia"/>
          <w:b w:val="0"/>
          <w:bCs w:val="0"/>
          <w:color w:val="auto"/>
        </w:rPr>
      </w:pPr>
    </w:p>
    <w:p>
      <w:pPr>
        <w:pStyle w:val="2"/>
        <w:jc w:val="center"/>
        <w:rPr>
          <w:rFonts w:hint="eastAsia"/>
          <w:b w:val="0"/>
          <w:bCs w:val="0"/>
          <w:color w:val="auto"/>
        </w:rPr>
      </w:pPr>
      <w:r>
        <w:rPr>
          <w:rFonts w:hint="eastAsia"/>
          <w:b w:val="0"/>
          <w:bCs w:val="0"/>
          <w:color w:val="auto"/>
        </w:rPr>
        <w:t xml:space="preserve">第六章 </w:t>
      </w:r>
      <w:r>
        <w:rPr>
          <w:b w:val="0"/>
          <w:bCs w:val="0"/>
          <w:color w:val="auto"/>
        </w:rPr>
        <w:t xml:space="preserve"> </w:t>
      </w:r>
      <w:r>
        <w:rPr>
          <w:rFonts w:hint="eastAsia"/>
          <w:b w:val="0"/>
          <w:bCs w:val="0"/>
          <w:color w:val="auto"/>
        </w:rPr>
        <w:t>合同文本</w:t>
      </w:r>
      <w:bookmarkEnd w:id="199"/>
      <w:bookmarkEnd w:id="200"/>
      <w:bookmarkEnd w:id="201"/>
      <w:bookmarkEnd w:id="202"/>
      <w:bookmarkEnd w:id="203"/>
      <w:bookmarkEnd w:id="204"/>
      <w:bookmarkEnd w:id="205"/>
    </w:p>
    <w:p>
      <w:pPr>
        <w:snapToGrid w:val="0"/>
        <w:rPr>
          <w:rFonts w:hint="eastAsia" w:ascii="宋体" w:hAnsi="宋体" w:cs="宋体"/>
          <w:b/>
          <w:bCs/>
          <w:color w:val="auto"/>
          <w:sz w:val="32"/>
          <w:szCs w:val="32"/>
        </w:rPr>
      </w:pPr>
      <w:r>
        <w:rPr>
          <w:b/>
          <w:bCs/>
          <w:color w:val="auto"/>
        </w:rPr>
        <w:br w:type="page"/>
      </w:r>
      <w:bookmarkEnd w:id="206"/>
    </w:p>
    <w:p>
      <w:pPr>
        <w:snapToGrid w:val="0"/>
        <w:spacing w:line="480" w:lineRule="exact"/>
        <w:jc w:val="center"/>
        <w:rPr>
          <w:rFonts w:hint="eastAsia" w:ascii="宋体" w:hAnsi="宋体" w:eastAsia="宋体" w:cs="Times New Roman"/>
          <w:b/>
          <w:bCs/>
          <w:color w:val="auto"/>
          <w:sz w:val="32"/>
          <w:szCs w:val="32"/>
        </w:rPr>
      </w:pPr>
    </w:p>
    <w:p>
      <w:pPr>
        <w:snapToGrid w:val="0"/>
        <w:spacing w:line="480" w:lineRule="exact"/>
        <w:jc w:val="center"/>
        <w:rPr>
          <w:rFonts w:hint="eastAsia" w:ascii="宋体" w:hAnsi="宋体" w:eastAsia="宋体" w:cs="Times New Roman"/>
          <w:b/>
          <w:bCs/>
          <w:color w:val="auto"/>
          <w:sz w:val="32"/>
          <w:szCs w:val="32"/>
        </w:rPr>
      </w:pPr>
      <w:r>
        <w:rPr>
          <w:rFonts w:hint="eastAsia" w:ascii="宋体" w:hAnsi="宋体" w:eastAsia="宋体" w:cs="Times New Roman"/>
          <w:b/>
          <w:bCs/>
          <w:color w:val="auto"/>
          <w:sz w:val="32"/>
          <w:szCs w:val="32"/>
        </w:rPr>
        <w:t>《广西壮族自治区政府采购合同》</w:t>
      </w:r>
    </w:p>
    <w:p>
      <w:pPr>
        <w:snapToGrid w:val="0"/>
        <w:spacing w:line="480" w:lineRule="exact"/>
        <w:ind w:right="480" w:firstLine="5250" w:firstLineChars="2500"/>
        <w:rPr>
          <w:rFonts w:hint="eastAsia" w:ascii="宋体" w:hAnsi="宋体" w:eastAsia="宋体" w:cs="Times New Roman"/>
          <w:bCs/>
          <w:color w:val="auto"/>
          <w:szCs w:val="21"/>
        </w:rPr>
      </w:pPr>
    </w:p>
    <w:p>
      <w:pPr>
        <w:spacing w:line="500" w:lineRule="exact"/>
        <w:ind w:right="800"/>
        <w:rPr>
          <w:rFonts w:ascii="宋体" w:hAnsi="宋体" w:eastAsia="宋体" w:cs="宋体"/>
          <w:bCs/>
          <w:color w:val="auto"/>
          <w:szCs w:val="21"/>
          <w:u w:val="single"/>
        </w:rPr>
      </w:pPr>
      <w:r>
        <w:rPr>
          <w:rFonts w:hint="eastAsia" w:ascii="宋体" w:hAnsi="宋体" w:eastAsia="宋体" w:cs="宋体"/>
          <w:color w:val="auto"/>
          <w:szCs w:val="21"/>
        </w:rPr>
        <w:t>采购计划号：</w:t>
      </w:r>
      <w:r>
        <w:rPr>
          <w:rFonts w:hint="eastAsia" w:ascii="宋体" w:hAnsi="宋体" w:eastAsia="宋体" w:cs="宋体"/>
          <w:color w:val="auto"/>
          <w:szCs w:val="21"/>
          <w:u w:val="single"/>
        </w:rPr>
        <w:t xml:space="preserve"> </w:t>
      </w:r>
      <w:r>
        <w:rPr>
          <w:rFonts w:ascii="宋体" w:hAnsi="宋体" w:eastAsia="宋体" w:cs="宋体"/>
          <w:color w:val="auto"/>
          <w:szCs w:val="21"/>
          <w:u w:val="single"/>
        </w:rPr>
        <w:t xml:space="preserve">                        </w:t>
      </w:r>
      <w:r>
        <w:rPr>
          <w:rFonts w:ascii="宋体" w:hAnsi="宋体" w:eastAsia="宋体" w:cs="宋体"/>
          <w:color w:val="auto"/>
          <w:szCs w:val="21"/>
        </w:rPr>
        <w:t xml:space="preserve">   </w:t>
      </w:r>
      <w:r>
        <w:rPr>
          <w:rFonts w:hint="eastAsia" w:ascii="宋体" w:hAnsi="宋体" w:eastAsia="宋体" w:cs="宋体"/>
          <w:bCs/>
          <w:color w:val="auto"/>
          <w:szCs w:val="21"/>
        </w:rPr>
        <w:t>合同编号：</w:t>
      </w:r>
      <w:r>
        <w:rPr>
          <w:rFonts w:ascii="宋体" w:hAnsi="宋体" w:eastAsia="宋体" w:cs="宋体"/>
          <w:color w:val="auto"/>
          <w:szCs w:val="21"/>
          <w:u w:val="single"/>
        </w:rPr>
        <w:t xml:space="preserve">                </w:t>
      </w:r>
      <w:r>
        <w:rPr>
          <w:rFonts w:hint="eastAsia" w:ascii="宋体" w:hAnsi="宋体" w:eastAsia="宋体" w:cs="宋体"/>
          <w:color w:val="auto"/>
          <w:szCs w:val="21"/>
          <w:u w:val="single"/>
        </w:rPr>
        <w:t xml:space="preserve">  </w:t>
      </w:r>
    </w:p>
    <w:p>
      <w:pPr>
        <w:spacing w:line="500" w:lineRule="exact"/>
        <w:rPr>
          <w:rFonts w:ascii="宋体" w:hAnsi="宋体" w:eastAsia="宋体" w:cs="宋体"/>
          <w:color w:val="auto"/>
          <w:szCs w:val="21"/>
          <w:u w:val="single"/>
        </w:rPr>
      </w:pPr>
      <w:r>
        <w:rPr>
          <w:rFonts w:hint="eastAsia" w:ascii="宋体" w:hAnsi="宋体" w:eastAsia="宋体" w:cs="宋体"/>
          <w:color w:val="auto"/>
          <w:szCs w:val="21"/>
        </w:rPr>
        <w:t>采购人（甲方）：</w:t>
      </w:r>
      <w:r>
        <w:rPr>
          <w:rFonts w:hint="eastAsia" w:ascii="宋体" w:hAnsi="宋体" w:eastAsia="宋体" w:cs="宋体"/>
          <w:color w:val="auto"/>
          <w:szCs w:val="21"/>
          <w:u w:val="single"/>
        </w:rPr>
        <w:t xml:space="preserve"> </w:t>
      </w:r>
      <w:r>
        <w:rPr>
          <w:rFonts w:ascii="宋体" w:hAnsi="宋体" w:eastAsia="宋体" w:cs="宋体"/>
          <w:color w:val="auto"/>
          <w:szCs w:val="21"/>
          <w:u w:val="single"/>
        </w:rPr>
        <w:t xml:space="preserve">                 </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 xml:space="preserve">   </w:t>
      </w:r>
      <w:r>
        <w:rPr>
          <w:rFonts w:hint="eastAsia" w:ascii="宋体" w:hAnsi="宋体" w:cs="宋体"/>
          <w:color w:val="auto"/>
          <w:szCs w:val="21"/>
          <w:lang w:val="en-US" w:eastAsia="zh-CN"/>
        </w:rPr>
        <w:t>成交</w:t>
      </w:r>
      <w:r>
        <w:rPr>
          <w:rFonts w:hint="eastAsia" w:ascii="宋体" w:hAnsi="宋体" w:eastAsia="宋体" w:cs="宋体"/>
          <w:color w:val="auto"/>
          <w:szCs w:val="21"/>
        </w:rPr>
        <w:t>供应商（乙方）：</w:t>
      </w:r>
      <w:r>
        <w:rPr>
          <w:rFonts w:ascii="宋体" w:hAnsi="宋体" w:eastAsia="宋体" w:cs="宋体"/>
          <w:color w:val="auto"/>
          <w:szCs w:val="21"/>
          <w:u w:val="single"/>
        </w:rPr>
        <w:t xml:space="preserve">                </w:t>
      </w:r>
    </w:p>
    <w:p>
      <w:pPr>
        <w:spacing w:line="500" w:lineRule="exact"/>
        <w:rPr>
          <w:rFonts w:hint="eastAsia" w:ascii="宋体" w:hAnsi="宋体" w:eastAsia="宋体" w:cs="宋体"/>
          <w:color w:val="auto"/>
          <w:szCs w:val="21"/>
          <w:u w:val="single"/>
        </w:rPr>
      </w:pPr>
      <w:r>
        <w:rPr>
          <w:rFonts w:hint="eastAsia" w:ascii="宋体" w:hAnsi="宋体" w:eastAsia="宋体" w:cs="宋体"/>
          <w:color w:val="auto"/>
          <w:szCs w:val="21"/>
        </w:rPr>
        <w:t>项目名称：</w:t>
      </w:r>
      <w:r>
        <w:rPr>
          <w:rFonts w:ascii="宋体" w:hAnsi="宋体" w:eastAsia="宋体" w:cs="宋体"/>
          <w:color w:val="auto"/>
          <w:szCs w:val="21"/>
          <w:u w:val="single"/>
        </w:rPr>
        <w:t xml:space="preserve">                       </w:t>
      </w:r>
      <w:r>
        <w:rPr>
          <w:rFonts w:hint="eastAsia" w:ascii="宋体" w:hAnsi="宋体" w:eastAsia="宋体" w:cs="宋体"/>
          <w:color w:val="auto"/>
          <w:szCs w:val="21"/>
          <w:u w:val="single"/>
        </w:rPr>
        <w:t xml:space="preserve">  </w:t>
      </w:r>
      <w:r>
        <w:rPr>
          <w:rFonts w:ascii="宋体" w:hAnsi="宋体" w:eastAsia="宋体" w:cs="宋体"/>
          <w:color w:val="auto"/>
          <w:szCs w:val="21"/>
          <w:u w:val="single"/>
        </w:rPr>
        <w:t xml:space="preserve">  </w:t>
      </w:r>
      <w:r>
        <w:rPr>
          <w:rFonts w:ascii="宋体" w:hAnsi="宋体" w:eastAsia="宋体" w:cs="宋体"/>
          <w:color w:val="auto"/>
          <w:szCs w:val="21"/>
        </w:rPr>
        <w:t xml:space="preserve">   </w:t>
      </w:r>
      <w:r>
        <w:rPr>
          <w:rFonts w:hint="eastAsia" w:ascii="宋体" w:hAnsi="宋体" w:eastAsia="宋体" w:cs="宋体"/>
          <w:color w:val="auto"/>
          <w:szCs w:val="21"/>
        </w:rPr>
        <w:t>项目编号：</w:t>
      </w:r>
      <w:r>
        <w:rPr>
          <w:rFonts w:ascii="宋体" w:hAnsi="宋体" w:eastAsia="宋体" w:cs="宋体"/>
          <w:color w:val="auto"/>
          <w:szCs w:val="21"/>
          <w:u w:val="single"/>
        </w:rPr>
        <w:t xml:space="preserve">                          </w:t>
      </w:r>
    </w:p>
    <w:p>
      <w:pPr>
        <w:spacing w:line="500" w:lineRule="exact"/>
        <w:rPr>
          <w:rFonts w:hint="eastAsia" w:ascii="宋体" w:hAnsi="宋体" w:eastAsia="宋体" w:cs="宋体"/>
          <w:color w:val="auto"/>
          <w:szCs w:val="21"/>
          <w:u w:val="single"/>
        </w:rPr>
      </w:pPr>
      <w:r>
        <w:rPr>
          <w:rFonts w:hint="eastAsia" w:ascii="宋体" w:hAnsi="宋体" w:eastAsia="宋体" w:cs="宋体"/>
          <w:color w:val="auto"/>
          <w:szCs w:val="21"/>
        </w:rPr>
        <w:t>签订地点：</w:t>
      </w:r>
      <w:r>
        <w:rPr>
          <w:rFonts w:hint="eastAsia" w:ascii="宋体" w:hAnsi="宋体" w:eastAsia="宋体" w:cs="宋体"/>
          <w:color w:val="auto"/>
          <w:szCs w:val="21"/>
          <w:u w:val="single"/>
        </w:rPr>
        <w:t xml:space="preserve"> </w:t>
      </w:r>
      <w:r>
        <w:rPr>
          <w:rFonts w:ascii="宋体" w:hAnsi="宋体" w:eastAsia="宋体" w:cs="宋体"/>
          <w:color w:val="auto"/>
          <w:szCs w:val="21"/>
          <w:u w:val="single"/>
        </w:rPr>
        <w:t xml:space="preserve">                    </w:t>
      </w:r>
      <w:r>
        <w:rPr>
          <w:rFonts w:hint="eastAsia" w:ascii="宋体" w:hAnsi="宋体" w:eastAsia="宋体" w:cs="宋体"/>
          <w:color w:val="auto"/>
          <w:szCs w:val="21"/>
          <w:u w:val="single"/>
        </w:rPr>
        <w:t xml:space="preserve">  </w:t>
      </w:r>
      <w:r>
        <w:rPr>
          <w:rFonts w:ascii="宋体" w:hAnsi="宋体" w:eastAsia="宋体" w:cs="宋体"/>
          <w:color w:val="auto"/>
          <w:szCs w:val="21"/>
          <w:u w:val="single"/>
        </w:rPr>
        <w:t xml:space="preserve">   </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 xml:space="preserve">   签订时间：</w:t>
      </w:r>
      <w:r>
        <w:rPr>
          <w:rFonts w:hint="eastAsia" w:ascii="宋体" w:hAnsi="宋体" w:eastAsia="宋体" w:cs="宋体"/>
          <w:color w:val="auto"/>
          <w:szCs w:val="21"/>
          <w:u w:val="single"/>
        </w:rPr>
        <w:t xml:space="preserve">        </w:t>
      </w:r>
      <w:r>
        <w:rPr>
          <w:rFonts w:ascii="宋体" w:hAnsi="宋体" w:eastAsia="宋体" w:cs="宋体"/>
          <w:color w:val="auto"/>
          <w:szCs w:val="21"/>
          <w:u w:val="single"/>
        </w:rPr>
        <w:t xml:space="preserve">           </w:t>
      </w:r>
      <w:r>
        <w:rPr>
          <w:rFonts w:hint="eastAsia" w:ascii="宋体" w:hAnsi="宋体" w:eastAsia="宋体" w:cs="宋体"/>
          <w:color w:val="auto"/>
          <w:szCs w:val="21"/>
          <w:u w:val="single"/>
        </w:rPr>
        <w:t xml:space="preserve">   </w:t>
      </w:r>
      <w:r>
        <w:rPr>
          <w:rFonts w:hint="eastAsia" w:ascii="宋体" w:hAnsi="宋体" w:cs="宋体"/>
          <w:color w:val="auto"/>
          <w:szCs w:val="21"/>
          <w:u w:val="single"/>
          <w:lang w:val="en-US" w:eastAsia="zh-CN"/>
        </w:rPr>
        <w:t xml:space="preserve">  </w:t>
      </w:r>
      <w:r>
        <w:rPr>
          <w:rFonts w:hint="eastAsia" w:ascii="宋体" w:hAnsi="宋体" w:eastAsia="宋体" w:cs="宋体"/>
          <w:color w:val="auto"/>
          <w:szCs w:val="21"/>
          <w:u w:val="single"/>
        </w:rPr>
        <w:t xml:space="preserve">  </w:t>
      </w:r>
    </w:p>
    <w:p>
      <w:pPr>
        <w:spacing w:line="500" w:lineRule="exact"/>
        <w:rPr>
          <w:rFonts w:ascii="宋体" w:hAnsi="宋体" w:eastAsia="宋体" w:cs="宋体"/>
          <w:color w:val="auto"/>
          <w:szCs w:val="21"/>
        </w:rPr>
      </w:pPr>
      <w:r>
        <w:rPr>
          <w:rFonts w:hint="eastAsia" w:ascii="宋体" w:hAnsi="宋体" w:eastAsia="宋体" w:cs="宋体"/>
          <w:color w:val="auto"/>
          <w:szCs w:val="21"/>
        </w:rPr>
        <w:t>本合同为中小企业预留合同：</w:t>
      </w:r>
      <w:r>
        <w:rPr>
          <w:rFonts w:hint="eastAsia" w:ascii="宋体" w:hAnsi="宋体" w:eastAsia="宋体" w:cs="宋体"/>
          <w:color w:val="auto"/>
          <w:szCs w:val="21"/>
          <w:u w:val="single"/>
        </w:rPr>
        <w:t>（是）</w:t>
      </w:r>
      <w:r>
        <w:rPr>
          <w:rFonts w:hint="eastAsia" w:ascii="宋体" w:hAnsi="宋体" w:eastAsia="宋体" w:cs="宋体"/>
          <w:color w:val="auto"/>
          <w:szCs w:val="21"/>
        </w:rPr>
        <w:t>。</w:t>
      </w:r>
    </w:p>
    <w:p>
      <w:pPr>
        <w:spacing w:line="5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根据《中华人民共和国政府采购法》《中华人民共和国民法典》等法律、法规规定，按照采购</w:t>
      </w:r>
      <w:r>
        <w:rPr>
          <w:rFonts w:hint="eastAsia" w:ascii="宋体" w:hAnsi="宋体" w:eastAsia="宋体" w:cs="Times New Roman"/>
          <w:color w:val="auto"/>
          <w:szCs w:val="21"/>
        </w:rPr>
        <w:t>文件规定条款和乙方响应文件及其承诺，甲乙双方签订本合同。</w:t>
      </w:r>
    </w:p>
    <w:p>
      <w:pPr>
        <w:spacing w:line="500" w:lineRule="exact"/>
        <w:ind w:firstLine="422" w:firstLineChars="200"/>
        <w:rPr>
          <w:rFonts w:hint="eastAsia" w:ascii="宋体" w:hAnsi="宋体" w:eastAsia="宋体" w:cs="宋体"/>
          <w:b/>
          <w:color w:val="auto"/>
          <w:szCs w:val="21"/>
        </w:rPr>
      </w:pPr>
      <w:r>
        <w:rPr>
          <w:rFonts w:hint="eastAsia" w:ascii="宋体" w:hAnsi="宋体" w:eastAsia="宋体" w:cs="宋体"/>
          <w:b/>
          <w:color w:val="auto"/>
          <w:szCs w:val="21"/>
        </w:rPr>
        <w:t>第一条　合同标的</w:t>
      </w:r>
    </w:p>
    <w:p>
      <w:pPr>
        <w:spacing w:line="5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项目一览表</w:t>
      </w:r>
    </w:p>
    <w:tbl>
      <w:tblPr>
        <w:tblStyle w:val="32"/>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
        <w:gridCol w:w="1360"/>
        <w:gridCol w:w="1984"/>
        <w:gridCol w:w="968"/>
        <w:gridCol w:w="3664"/>
        <w:gridCol w:w="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99"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ascii="宋体" w:hAnsi="宋体" w:eastAsia="宋体" w:cs="宋体"/>
                <w:color w:val="auto"/>
                <w:szCs w:val="21"/>
              </w:rPr>
            </w:pPr>
            <w:r>
              <w:rPr>
                <w:rFonts w:hint="eastAsia" w:ascii="宋体" w:hAnsi="宋体" w:cs="宋体"/>
                <w:color w:val="auto"/>
                <w:szCs w:val="21"/>
                <w:lang w:val="en-US" w:eastAsia="zh-CN"/>
              </w:rPr>
              <w:t>序号</w:t>
            </w:r>
          </w:p>
        </w:tc>
        <w:tc>
          <w:tcPr>
            <w:tcW w:w="1360" w:type="dxa"/>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ascii="宋体" w:hAnsi="宋体" w:eastAsia="宋体" w:cs="宋体"/>
                <w:color w:val="auto"/>
                <w:szCs w:val="21"/>
              </w:rPr>
            </w:pPr>
            <w:r>
              <w:rPr>
                <w:rFonts w:hint="eastAsia" w:ascii="宋体" w:hAnsi="宋体" w:eastAsia="宋体" w:cs="宋体"/>
                <w:color w:val="auto"/>
                <w:szCs w:val="21"/>
              </w:rPr>
              <w:t>名称</w:t>
            </w:r>
          </w:p>
        </w:tc>
        <w:tc>
          <w:tcPr>
            <w:tcW w:w="1984" w:type="dxa"/>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ascii="宋体" w:hAnsi="宋体" w:eastAsia="宋体" w:cs="宋体"/>
                <w:color w:val="auto"/>
                <w:szCs w:val="21"/>
              </w:rPr>
            </w:pPr>
            <w:r>
              <w:rPr>
                <w:rFonts w:hint="eastAsia" w:ascii="宋体" w:hAnsi="宋体" w:eastAsia="宋体" w:cs="宋体"/>
                <w:color w:val="auto"/>
                <w:szCs w:val="21"/>
              </w:rPr>
              <w:t>服务内容</w:t>
            </w:r>
          </w:p>
        </w:tc>
        <w:tc>
          <w:tcPr>
            <w:tcW w:w="968" w:type="dxa"/>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ascii="宋体" w:hAnsi="宋体" w:eastAsia="宋体" w:cs="宋体"/>
                <w:color w:val="auto"/>
                <w:szCs w:val="21"/>
              </w:rPr>
            </w:pPr>
            <w:r>
              <w:rPr>
                <w:rFonts w:hint="eastAsia" w:ascii="宋体" w:hAnsi="宋体" w:eastAsia="宋体" w:cs="宋体"/>
                <w:color w:val="auto"/>
                <w:szCs w:val="21"/>
              </w:rPr>
              <w:t>数量</w:t>
            </w:r>
          </w:p>
        </w:tc>
        <w:tc>
          <w:tcPr>
            <w:tcW w:w="3664" w:type="dxa"/>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合同总金额（元）</w:t>
            </w: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jc w:val="center"/>
        </w:trPr>
        <w:tc>
          <w:tcPr>
            <w:tcW w:w="499" w:type="dxa"/>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w:t>
            </w:r>
          </w:p>
        </w:tc>
        <w:tc>
          <w:tcPr>
            <w:tcW w:w="1360"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color w:val="auto"/>
                <w:szCs w:val="21"/>
              </w:rPr>
            </w:pPr>
          </w:p>
        </w:tc>
        <w:tc>
          <w:tcPr>
            <w:tcW w:w="1984"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color w:val="auto"/>
                <w:szCs w:val="21"/>
              </w:rPr>
            </w:pPr>
            <w:r>
              <w:rPr>
                <w:rFonts w:hint="eastAsia" w:ascii="宋体" w:hAnsi="宋体" w:eastAsia="宋体" w:cs="宋体"/>
                <w:color w:val="auto"/>
                <w:szCs w:val="21"/>
                <w:lang w:val="en-US" w:eastAsia="zh-CN"/>
              </w:rPr>
              <w:t>按</w:t>
            </w:r>
            <w:r>
              <w:rPr>
                <w:rFonts w:hint="eastAsia" w:ascii="宋体" w:hAnsi="宋体" w:eastAsia="宋体" w:cs="宋体"/>
                <w:color w:val="auto"/>
                <w:szCs w:val="21"/>
              </w:rPr>
              <w:t>服务需求偏离表</w:t>
            </w:r>
            <w:r>
              <w:rPr>
                <w:rFonts w:hint="eastAsia" w:ascii="宋体" w:hAnsi="宋体" w:eastAsia="宋体" w:cs="宋体"/>
                <w:color w:val="auto"/>
                <w:szCs w:val="21"/>
                <w:lang w:val="en-US" w:eastAsia="zh-CN"/>
              </w:rPr>
              <w:t>中</w:t>
            </w:r>
            <w:r>
              <w:rPr>
                <w:rFonts w:hint="eastAsia" w:ascii="宋体" w:hAnsi="宋体" w:eastAsia="宋体" w:cs="宋体"/>
                <w:color w:val="auto"/>
                <w:szCs w:val="21"/>
              </w:rPr>
              <w:t>响应文件响应的</w:t>
            </w:r>
            <w:r>
              <w:rPr>
                <w:rFonts w:hint="eastAsia" w:ascii="宋体" w:hAnsi="宋体" w:eastAsia="宋体" w:cs="宋体"/>
                <w:color w:val="auto"/>
                <w:szCs w:val="21"/>
                <w:lang w:eastAsia="zh-CN"/>
              </w:rPr>
              <w:t>技术要求</w:t>
            </w:r>
            <w:r>
              <w:rPr>
                <w:rFonts w:hint="eastAsia" w:ascii="宋体" w:hAnsi="宋体" w:eastAsia="宋体" w:cs="宋体"/>
                <w:color w:val="auto"/>
                <w:szCs w:val="21"/>
                <w:lang w:val="en-US" w:eastAsia="zh-CN"/>
              </w:rPr>
              <w:t>提供服务</w:t>
            </w:r>
          </w:p>
        </w:tc>
        <w:tc>
          <w:tcPr>
            <w:tcW w:w="968" w:type="dxa"/>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hint="eastAsia" w:ascii="宋体" w:hAnsi="宋体" w:eastAsia="宋体" w:cs="宋体"/>
                <w:color w:val="auto"/>
                <w:szCs w:val="21"/>
              </w:rPr>
            </w:pPr>
            <w:r>
              <w:rPr>
                <w:rFonts w:hint="eastAsia" w:ascii="宋体" w:hAnsi="宋体" w:eastAsia="宋体" w:cs="宋体"/>
                <w:color w:val="auto"/>
                <w:szCs w:val="21"/>
                <w:lang w:val="en-US" w:eastAsia="zh-CN"/>
              </w:rPr>
              <w:t>1项</w:t>
            </w:r>
          </w:p>
        </w:tc>
        <w:tc>
          <w:tcPr>
            <w:tcW w:w="3664" w:type="dxa"/>
            <w:tcBorders>
              <w:top w:val="single" w:color="auto" w:sz="4" w:space="0"/>
              <w:left w:val="single" w:color="auto" w:sz="4" w:space="0"/>
              <w:bottom w:val="single" w:color="auto" w:sz="4" w:space="0"/>
              <w:right w:val="single" w:color="auto" w:sz="4" w:space="0"/>
            </w:tcBorders>
            <w:noWrap w:val="0"/>
            <w:vAlign w:val="center"/>
          </w:tcPr>
          <w:p>
            <w:pPr>
              <w:spacing w:line="500" w:lineRule="exact"/>
              <w:jc w:val="both"/>
              <w:rPr>
                <w:rFonts w:hint="eastAsia" w:ascii="宋体" w:hAnsi="宋体" w:eastAsia="宋体" w:cs="宋体"/>
                <w:color w:val="auto"/>
                <w:sz w:val="21"/>
                <w:szCs w:val="21"/>
                <w:u w:val="single"/>
              </w:rPr>
            </w:pPr>
            <w:r>
              <w:rPr>
                <w:rFonts w:hint="eastAsia" w:ascii="宋体" w:hAnsi="宋体" w:eastAsia="宋体" w:cs="宋体"/>
                <w:color w:val="auto"/>
                <w:sz w:val="21"/>
                <w:szCs w:val="21"/>
              </w:rPr>
              <w:t>（大写）</w:t>
            </w:r>
            <w:r>
              <w:rPr>
                <w:rFonts w:hint="eastAsia" w:ascii="宋体" w:hAnsi="宋体" w:eastAsia="宋体" w:cs="宋体"/>
                <w:color w:val="auto"/>
                <w:sz w:val="21"/>
                <w:szCs w:val="21"/>
                <w:u w:val="single"/>
              </w:rPr>
              <w:t xml:space="preserve">人民币           </w:t>
            </w:r>
          </w:p>
          <w:p>
            <w:pPr>
              <w:spacing w:line="500" w:lineRule="exact"/>
              <w:jc w:val="both"/>
              <w:rPr>
                <w:rFonts w:hint="default" w:ascii="宋体" w:hAnsi="宋体" w:eastAsia="宋体" w:cs="宋体"/>
                <w:color w:val="auto"/>
                <w:szCs w:val="21"/>
                <w:lang w:val="en-US" w:eastAsia="zh-CN"/>
              </w:rPr>
            </w:pPr>
            <w:r>
              <w:rPr>
                <w:rFonts w:hint="eastAsia" w:ascii="宋体" w:hAnsi="宋体" w:eastAsia="宋体" w:cs="宋体"/>
                <w:color w:val="auto"/>
                <w:sz w:val="21"/>
                <w:szCs w:val="21"/>
              </w:rPr>
              <w:t>（小写）¥</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lang w:val="en-US" w:eastAsia="zh-CN"/>
              </w:rPr>
              <w:t xml:space="preserve">      </w:t>
            </w:r>
            <w:r>
              <w:rPr>
                <w:rFonts w:hint="eastAsia" w:ascii="宋体" w:hAnsi="宋体"/>
                <w:color w:val="auto"/>
                <w:sz w:val="24"/>
                <w:szCs w:val="24"/>
                <w:u w:val="single"/>
              </w:rPr>
              <w:t xml:space="preserve">   </w:t>
            </w: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hint="eastAsia" w:ascii="宋体" w:hAnsi="宋体" w:eastAsia="宋体" w:cs="宋体"/>
                <w:color w:val="auto"/>
                <w:szCs w:val="21"/>
              </w:rPr>
            </w:pPr>
          </w:p>
        </w:tc>
      </w:tr>
    </w:tbl>
    <w:p>
      <w:pPr>
        <w:spacing w:line="500" w:lineRule="exact"/>
        <w:ind w:firstLine="422" w:firstLineChars="200"/>
        <w:rPr>
          <w:rFonts w:hint="eastAsia" w:ascii="宋体" w:hAnsi="宋体" w:eastAsia="宋体" w:cs="宋体"/>
          <w:b/>
          <w:color w:val="auto"/>
          <w:szCs w:val="21"/>
        </w:rPr>
      </w:pPr>
      <w:r>
        <w:rPr>
          <w:rFonts w:hint="eastAsia" w:ascii="宋体" w:hAnsi="宋体" w:eastAsia="宋体" w:cs="宋体"/>
          <w:b/>
          <w:color w:val="auto"/>
          <w:szCs w:val="21"/>
        </w:rPr>
        <w:t>第二条　质量保证</w:t>
      </w:r>
    </w:p>
    <w:p>
      <w:pPr>
        <w:snapToGrid w:val="0"/>
        <w:spacing w:line="5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乙方所提供的服务及服务内容必须与响应文件承诺相一致，有国家强制性标准的，还必须符合国家强制性标准的规定，没有国家强制性标准但有其他强制性标准的，必须符合其他强制性标准的规定。</w:t>
      </w:r>
    </w:p>
    <w:p>
      <w:pPr>
        <w:snapToGrid w:val="0"/>
        <w:spacing w:line="5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乙方需配合甲方做好绩效考核。</w:t>
      </w:r>
    </w:p>
    <w:p>
      <w:pPr>
        <w:spacing w:line="500" w:lineRule="exact"/>
        <w:ind w:firstLine="422" w:firstLineChars="200"/>
        <w:rPr>
          <w:rFonts w:hint="eastAsia" w:ascii="宋体" w:hAnsi="宋体" w:eastAsia="宋体" w:cs="宋体"/>
          <w:color w:val="auto"/>
          <w:szCs w:val="21"/>
        </w:rPr>
      </w:pPr>
      <w:r>
        <w:rPr>
          <w:rFonts w:hint="eastAsia" w:ascii="宋体" w:hAnsi="宋体" w:eastAsia="宋体" w:cs="宋体"/>
          <w:b/>
          <w:color w:val="auto"/>
          <w:szCs w:val="21"/>
        </w:rPr>
        <w:t>第三条　权利保证</w:t>
      </w:r>
    </w:p>
    <w:p>
      <w:pPr>
        <w:spacing w:line="5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1</w:t>
      </w:r>
      <w:r>
        <w:rPr>
          <w:rFonts w:hint="eastAsia" w:ascii="宋体" w:hAnsi="宋体" w:cs="宋体"/>
          <w:color w:val="auto"/>
          <w:szCs w:val="21"/>
          <w:lang w:val="en-US" w:eastAsia="zh-CN"/>
        </w:rPr>
        <w:t>.</w:t>
      </w:r>
      <w:r>
        <w:rPr>
          <w:rFonts w:hint="eastAsia" w:ascii="宋体" w:hAnsi="宋体" w:eastAsia="宋体" w:cs="宋体"/>
          <w:color w:val="auto"/>
          <w:szCs w:val="21"/>
        </w:rPr>
        <w:t>乙方应保证所提供服务在使用时不会侵犯任何第三方的专利权、商标权、工业设计权等知识产权及其他合法权利，且所有权、处分权等没有受到任何限制。乙方应在提供服务前进行详细的知识产权审查，确保所提供服务的合法性和合规性。如乙方违反上述保证，应向甲方支付相当于合同金额20%的违约金，如该违约金不足以弥补甲方因此遭受的损失，乙方还应赔偿甲方因此遭受的全部损失。</w:t>
      </w:r>
    </w:p>
    <w:p>
      <w:pPr>
        <w:spacing w:line="5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2</w:t>
      </w:r>
      <w:r>
        <w:rPr>
          <w:rFonts w:hint="eastAsia" w:ascii="宋体" w:hAnsi="宋体" w:cs="宋体"/>
          <w:color w:val="auto"/>
          <w:szCs w:val="21"/>
          <w:lang w:val="en-US" w:eastAsia="zh-CN"/>
        </w:rPr>
        <w:t>.</w:t>
      </w:r>
      <w:r>
        <w:rPr>
          <w:rFonts w:hint="eastAsia" w:ascii="宋体" w:hAnsi="宋体" w:eastAsia="宋体" w:cs="宋体"/>
          <w:color w:val="auto"/>
          <w:szCs w:val="21"/>
        </w:rPr>
        <w:t>没有甲方事先书面同意，乙方不得将由甲方提供的有关合同或者任何合同条文、规格、计划、图纸、样品或者资料提供给与履行本合同无关的任何其他人。即使向履行本合同有关的人员提供，也应注意保密并限于履行合同的必需范围。乙方的保密义务持续有效，不因为本合同履行终止、解除或者无效而解除。如乙方违反保密义务，应承担全部责任，包括但不限于直接损失、间接损失、律师费、财产保全保函费、鉴定费等。</w:t>
      </w:r>
    </w:p>
    <w:p>
      <w:pPr>
        <w:spacing w:line="500" w:lineRule="exact"/>
        <w:ind w:firstLine="422" w:firstLineChars="200"/>
        <w:rPr>
          <w:rFonts w:hint="default" w:ascii="宋体" w:hAnsi="宋体" w:eastAsia="宋体" w:cs="宋体"/>
          <w:color w:val="auto"/>
          <w:szCs w:val="21"/>
          <w:lang w:val="en-US" w:eastAsia="zh-CN"/>
        </w:rPr>
      </w:pPr>
      <w:r>
        <w:rPr>
          <w:rFonts w:hint="eastAsia" w:ascii="宋体" w:hAnsi="宋体" w:eastAsia="宋体" w:cs="宋体"/>
          <w:b/>
          <w:color w:val="auto"/>
          <w:szCs w:val="21"/>
        </w:rPr>
        <w:t>第四条　成果交付</w:t>
      </w:r>
      <w:r>
        <w:rPr>
          <w:rFonts w:hint="eastAsia" w:ascii="宋体" w:hAnsi="宋体" w:cs="宋体"/>
          <w:b/>
          <w:color w:val="auto"/>
          <w:szCs w:val="21"/>
          <w:lang w:val="en-US" w:eastAsia="zh-CN"/>
        </w:rPr>
        <w:t>和验收</w:t>
      </w:r>
    </w:p>
    <w:p>
      <w:pPr>
        <w:spacing w:line="5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1</w:t>
      </w:r>
      <w:r>
        <w:rPr>
          <w:rFonts w:hint="eastAsia" w:ascii="宋体" w:hAnsi="宋体" w:cs="宋体"/>
          <w:color w:val="auto"/>
          <w:szCs w:val="21"/>
          <w:lang w:val="en-US" w:eastAsia="zh-CN"/>
        </w:rPr>
        <w:t>.</w:t>
      </w:r>
      <w:r>
        <w:rPr>
          <w:rFonts w:hint="eastAsia" w:ascii="宋体" w:hAnsi="宋体" w:eastAsia="宋体" w:cs="Times New Roman"/>
          <w:color w:val="auto"/>
          <w:szCs w:val="21"/>
        </w:rPr>
        <w:t>合同履约期限</w:t>
      </w:r>
      <w:r>
        <w:rPr>
          <w:rFonts w:hint="eastAsia" w:ascii="宋体" w:hAnsi="宋体" w:eastAsia="宋体" w:cs="宋体"/>
          <w:color w:val="auto"/>
          <w:szCs w:val="21"/>
        </w:rPr>
        <w:t>：</w:t>
      </w:r>
      <w:r>
        <w:rPr>
          <w:rFonts w:hint="eastAsia" w:ascii="宋体" w:hAnsi="宋体" w:cs="宋体"/>
          <w:b w:val="0"/>
          <w:bCs w:val="0"/>
          <w:color w:val="auto"/>
          <w:szCs w:val="21"/>
          <w:u w:val="single"/>
          <w:lang w:val="en-US" w:eastAsia="zh-CN"/>
        </w:rPr>
        <w:t xml:space="preserve">           </w:t>
      </w:r>
      <w:r>
        <w:rPr>
          <w:rFonts w:hint="eastAsia" w:ascii="宋体" w:hAnsi="宋体" w:eastAsia="宋体" w:cs="宋体"/>
          <w:color w:val="auto"/>
          <w:szCs w:val="21"/>
        </w:rPr>
        <w:t>。</w:t>
      </w:r>
    </w:p>
    <w:p>
      <w:pPr>
        <w:spacing w:line="500" w:lineRule="exact"/>
        <w:ind w:firstLine="630" w:firstLineChars="300"/>
        <w:rPr>
          <w:rFonts w:hint="eastAsia" w:ascii="宋体" w:hAnsi="宋体" w:eastAsia="宋体" w:cs="宋体"/>
          <w:color w:val="auto"/>
          <w:szCs w:val="21"/>
        </w:rPr>
      </w:pPr>
      <w:r>
        <w:rPr>
          <w:rFonts w:hint="eastAsia" w:ascii="宋体" w:hAnsi="宋体" w:eastAsia="宋体" w:cs="Times New Roman"/>
          <w:color w:val="auto"/>
          <w:szCs w:val="21"/>
        </w:rPr>
        <w:t>服务地点</w:t>
      </w:r>
      <w:r>
        <w:rPr>
          <w:rFonts w:hint="eastAsia" w:ascii="宋体" w:hAnsi="宋体" w:eastAsia="宋体" w:cs="宋体"/>
          <w:color w:val="auto"/>
          <w:szCs w:val="21"/>
        </w:rPr>
        <w:t>：</w:t>
      </w:r>
      <w:r>
        <w:rPr>
          <w:rFonts w:hint="eastAsia" w:ascii="宋体" w:hAnsi="宋体" w:cs="宋体"/>
          <w:color w:val="auto"/>
          <w:szCs w:val="21"/>
          <w:u w:val="single"/>
          <w:lang w:val="en-US" w:eastAsia="zh-CN"/>
        </w:rPr>
        <w:t xml:space="preserve">                </w:t>
      </w:r>
      <w:r>
        <w:rPr>
          <w:rFonts w:hint="eastAsia" w:ascii="宋体" w:hAnsi="宋体" w:eastAsia="宋体" w:cs="宋体"/>
          <w:color w:val="auto"/>
          <w:szCs w:val="21"/>
        </w:rPr>
        <w:t>。</w:t>
      </w:r>
    </w:p>
    <w:p>
      <w:pPr>
        <w:spacing w:line="5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2</w:t>
      </w:r>
      <w:r>
        <w:rPr>
          <w:rFonts w:hint="eastAsia" w:ascii="宋体" w:hAnsi="宋体" w:cs="宋体"/>
          <w:color w:val="auto"/>
          <w:szCs w:val="21"/>
          <w:lang w:val="en-US" w:eastAsia="zh-CN"/>
        </w:rPr>
        <w:t>.</w:t>
      </w:r>
      <w:r>
        <w:rPr>
          <w:rFonts w:hint="eastAsia" w:ascii="宋体" w:hAnsi="宋体" w:eastAsia="宋体" w:cs="宋体"/>
          <w:color w:val="auto"/>
          <w:szCs w:val="21"/>
        </w:rPr>
        <w:t>乙方应按响应文件的承诺向甲方提供相应的服务，并提供所服务内容的相关技术资料。</w:t>
      </w:r>
    </w:p>
    <w:p>
      <w:pPr>
        <w:spacing w:line="500" w:lineRule="exact"/>
        <w:ind w:firstLine="420" w:firstLineChars="200"/>
        <w:rPr>
          <w:rFonts w:hint="eastAsia" w:ascii="宋体" w:hAnsi="宋体" w:eastAsia="宋体" w:cs="宋体"/>
          <w:color w:val="auto"/>
          <w:szCs w:val="21"/>
          <w:lang w:eastAsia="zh-CN"/>
        </w:rPr>
      </w:pPr>
      <w:r>
        <w:rPr>
          <w:rFonts w:hint="eastAsia" w:ascii="宋体" w:hAnsi="宋体" w:eastAsia="宋体" w:cs="宋体"/>
          <w:color w:val="auto"/>
          <w:szCs w:val="21"/>
        </w:rPr>
        <w:t>3</w:t>
      </w:r>
      <w:r>
        <w:rPr>
          <w:rFonts w:hint="eastAsia" w:ascii="宋体" w:hAnsi="宋体" w:cs="宋体"/>
          <w:color w:val="auto"/>
          <w:szCs w:val="21"/>
          <w:lang w:val="en-US" w:eastAsia="zh-CN"/>
        </w:rPr>
        <w:t>.</w:t>
      </w:r>
      <w:r>
        <w:rPr>
          <w:rFonts w:hint="eastAsia" w:ascii="宋体" w:hAnsi="宋体" w:eastAsia="宋体" w:cs="宋体"/>
          <w:color w:val="auto"/>
          <w:szCs w:val="21"/>
        </w:rPr>
        <w:t>乙方提供不符合响应文件和本合同规定的服务成果，甲方有权拒绝接受，并要求乙方在接到甲方通知后的3个工作日内重新提供符合要求的服务，并支付相当于合同金额20%的违约金。若乙方未能在规定时间内完成补救措施，甲方有权解除合同并要求乙方赔偿因此造成的全部损失</w:t>
      </w:r>
      <w:r>
        <w:rPr>
          <w:rFonts w:hint="eastAsia" w:ascii="宋体" w:hAnsi="宋体" w:cs="宋体"/>
          <w:color w:val="auto"/>
          <w:szCs w:val="21"/>
          <w:lang w:eastAsia="zh-CN"/>
        </w:rPr>
        <w:t>。</w:t>
      </w:r>
    </w:p>
    <w:p>
      <w:pPr>
        <w:spacing w:line="500" w:lineRule="exact"/>
        <w:ind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4.甲方对乙方提交的服务依据采购文件上的服务要求和国家有关质量标准进行现场初步验收，符合采购文件技术要求的，给与验收，初步验收不合格的不予验收。甲方应当在乙方服务成果提交后七个工作日内进行验收。</w:t>
      </w:r>
    </w:p>
    <w:p>
      <w:pPr>
        <w:spacing w:line="500" w:lineRule="exact"/>
        <w:ind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5.乙方提交服务成果前应对提交的服务成果作出全面检查和对验收文件进行整理，并列出清单，作为甲方验收和使用的技术条件依据，检验的结果应随服务成果交给甲方。</w:t>
      </w:r>
    </w:p>
    <w:p>
      <w:pPr>
        <w:spacing w:line="500" w:lineRule="exact"/>
        <w:ind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6.对技术复杂的服务，甲方应请国家认可的专业检测机构参与初步验收及最终验收，并由其出具质量检测报告。</w:t>
      </w:r>
    </w:p>
    <w:p>
      <w:pPr>
        <w:spacing w:line="500" w:lineRule="exact"/>
        <w:ind w:firstLine="420" w:firstLineChars="200"/>
        <w:rPr>
          <w:rFonts w:hint="eastAsia" w:ascii="宋体" w:hAnsi="宋体" w:eastAsia="宋体" w:cs="宋体"/>
          <w:color w:val="auto"/>
          <w:szCs w:val="21"/>
        </w:rPr>
      </w:pPr>
      <w:r>
        <w:rPr>
          <w:rFonts w:hint="eastAsia" w:ascii="宋体" w:hAnsi="宋体" w:cs="宋体"/>
          <w:color w:val="auto"/>
          <w:szCs w:val="21"/>
          <w:lang w:val="en-US" w:eastAsia="zh-CN"/>
        </w:rPr>
        <w:t>7.验收时乙方必须在现场，验收完毕后作出验收结果报告；验收费用由乙方负责</w:t>
      </w:r>
      <w:r>
        <w:rPr>
          <w:rFonts w:hint="eastAsia" w:ascii="宋体" w:hAnsi="宋体" w:eastAsia="宋体" w:cs="宋体"/>
          <w:color w:val="auto"/>
          <w:szCs w:val="21"/>
        </w:rPr>
        <w:t>。</w:t>
      </w:r>
    </w:p>
    <w:p>
      <w:pPr>
        <w:spacing w:line="500" w:lineRule="exact"/>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 xml:space="preserve">第五条  </w:t>
      </w:r>
      <w:r>
        <w:rPr>
          <w:rFonts w:hint="eastAsia" w:ascii="宋体" w:hAnsi="宋体" w:eastAsia="宋体" w:cs="宋体"/>
          <w:b/>
          <w:color w:val="auto"/>
          <w:szCs w:val="21"/>
        </w:rPr>
        <w:t>售后服务及培训</w:t>
      </w:r>
    </w:p>
    <w:p>
      <w:pPr>
        <w:spacing w:line="5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1</w:t>
      </w:r>
      <w:r>
        <w:rPr>
          <w:rFonts w:hint="eastAsia" w:ascii="宋体" w:hAnsi="宋体" w:cs="宋体"/>
          <w:color w:val="auto"/>
          <w:szCs w:val="21"/>
          <w:lang w:val="en-US" w:eastAsia="zh-CN"/>
        </w:rPr>
        <w:t>.</w:t>
      </w:r>
      <w:r>
        <w:rPr>
          <w:rFonts w:hint="eastAsia" w:ascii="宋体" w:hAnsi="宋体" w:eastAsia="宋体" w:cs="宋体"/>
          <w:color w:val="auto"/>
          <w:szCs w:val="21"/>
        </w:rPr>
        <w:t>乙方应按照国家有关法律法规和</w:t>
      </w:r>
      <w:r>
        <w:rPr>
          <w:rFonts w:hint="eastAsia" w:ascii="宋体" w:hAnsi="宋体" w:cs="宋体"/>
          <w:color w:val="auto"/>
          <w:szCs w:val="21"/>
          <w:lang w:val="en-US" w:eastAsia="zh-CN"/>
        </w:rPr>
        <w:t>乙方响应文件的服务承诺</w:t>
      </w:r>
      <w:r>
        <w:rPr>
          <w:rFonts w:hint="eastAsia" w:ascii="宋体" w:hAnsi="宋体" w:eastAsia="宋体" w:cs="宋体"/>
          <w:color w:val="auto"/>
          <w:szCs w:val="21"/>
        </w:rPr>
        <w:t>为甲方提供相应的售后服务。</w:t>
      </w:r>
    </w:p>
    <w:p>
      <w:pPr>
        <w:spacing w:line="5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2</w:t>
      </w:r>
      <w:r>
        <w:rPr>
          <w:rFonts w:hint="eastAsia" w:ascii="宋体" w:hAnsi="宋体" w:cs="宋体"/>
          <w:color w:val="auto"/>
          <w:szCs w:val="21"/>
          <w:lang w:val="en-US" w:eastAsia="zh-CN"/>
        </w:rPr>
        <w:t>.</w:t>
      </w:r>
      <w:r>
        <w:rPr>
          <w:rFonts w:hint="eastAsia" w:ascii="宋体" w:hAnsi="宋体" w:eastAsia="宋体" w:cs="宋体"/>
          <w:color w:val="auto"/>
          <w:szCs w:val="21"/>
        </w:rPr>
        <w:t>甲方应提供必要测试条件（如场地、电源、水源等）。</w:t>
      </w:r>
    </w:p>
    <w:p>
      <w:pPr>
        <w:spacing w:line="5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3</w:t>
      </w:r>
      <w:r>
        <w:rPr>
          <w:rFonts w:hint="eastAsia" w:ascii="宋体" w:hAnsi="宋体" w:cs="宋体"/>
          <w:color w:val="auto"/>
          <w:szCs w:val="21"/>
          <w:lang w:val="en-US" w:eastAsia="zh-CN"/>
        </w:rPr>
        <w:t>.</w:t>
      </w:r>
      <w:r>
        <w:rPr>
          <w:rFonts w:hint="eastAsia" w:ascii="宋体" w:hAnsi="宋体" w:eastAsia="宋体" w:cs="宋体"/>
          <w:color w:val="auto"/>
          <w:szCs w:val="21"/>
        </w:rPr>
        <w:t>乙方负责甲方有关人员的培训</w:t>
      </w:r>
      <w:r>
        <w:rPr>
          <w:rFonts w:hint="eastAsia" w:ascii="宋体" w:hAnsi="宋体" w:cs="宋体"/>
          <w:color w:val="auto"/>
          <w:szCs w:val="21"/>
          <w:lang w:eastAsia="zh-CN"/>
        </w:rPr>
        <w:t>（</w:t>
      </w:r>
      <w:r>
        <w:rPr>
          <w:rFonts w:hint="eastAsia" w:ascii="宋体" w:hAnsi="宋体" w:cs="宋体"/>
          <w:color w:val="auto"/>
          <w:szCs w:val="21"/>
          <w:lang w:val="en-US" w:eastAsia="zh-CN"/>
        </w:rPr>
        <w:t>如有</w:t>
      </w:r>
      <w:r>
        <w:rPr>
          <w:rFonts w:hint="eastAsia" w:ascii="宋体" w:hAnsi="宋体" w:cs="宋体"/>
          <w:color w:val="auto"/>
          <w:szCs w:val="21"/>
          <w:lang w:eastAsia="zh-CN"/>
        </w:rPr>
        <w:t>）</w:t>
      </w:r>
      <w:r>
        <w:rPr>
          <w:rFonts w:hint="eastAsia" w:ascii="宋体" w:hAnsi="宋体" w:eastAsia="宋体" w:cs="宋体"/>
          <w:color w:val="auto"/>
          <w:szCs w:val="21"/>
        </w:rPr>
        <w:t>。培训时间、地点：</w:t>
      </w:r>
      <w:r>
        <w:rPr>
          <w:rFonts w:hint="eastAsia" w:ascii="宋体" w:hAnsi="宋体" w:eastAsia="宋体" w:cs="宋体"/>
          <w:color w:val="auto"/>
          <w:szCs w:val="21"/>
          <w:u w:val="single"/>
        </w:rPr>
        <w:t xml:space="preserve">甲方指定时间及地点 </w:t>
      </w:r>
      <w:r>
        <w:rPr>
          <w:rFonts w:hint="eastAsia" w:ascii="宋体" w:hAnsi="宋体" w:eastAsia="宋体" w:cs="宋体"/>
          <w:color w:val="auto"/>
          <w:szCs w:val="21"/>
        </w:rPr>
        <w:t>。</w:t>
      </w:r>
    </w:p>
    <w:p>
      <w:pPr>
        <w:spacing w:line="500" w:lineRule="exact"/>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第六条  付款方式</w:t>
      </w:r>
    </w:p>
    <w:p>
      <w:pPr>
        <w:spacing w:line="500" w:lineRule="exact"/>
        <w:ind w:firstLine="420" w:firstLineChars="200"/>
        <w:rPr>
          <w:rFonts w:hint="default" w:ascii="宋体" w:hAnsi="宋体" w:eastAsia="宋体" w:cs="宋体"/>
          <w:bCs/>
          <w:color w:val="auto"/>
          <w:szCs w:val="21"/>
          <w:u w:val="single"/>
          <w:lang w:val="en-US"/>
        </w:rPr>
      </w:pPr>
      <w:r>
        <w:rPr>
          <w:rFonts w:hint="eastAsia" w:ascii="宋体" w:hAnsi="宋体" w:cs="宋体"/>
          <w:b w:val="0"/>
          <w:bCs w:val="0"/>
          <w:color w:val="auto"/>
          <w:szCs w:val="21"/>
          <w:u w:val="single"/>
          <w:lang w:val="en-US" w:eastAsia="zh-CN"/>
        </w:rPr>
        <w:t xml:space="preserve">                                                  </w:t>
      </w:r>
    </w:p>
    <w:p>
      <w:pPr>
        <w:spacing w:line="500" w:lineRule="exact"/>
        <w:ind w:firstLine="422" w:firstLineChars="200"/>
        <w:rPr>
          <w:rFonts w:hint="eastAsia" w:ascii="宋体" w:hAnsi="宋体" w:eastAsia="宋体" w:cs="宋体"/>
          <w:b/>
          <w:color w:val="auto"/>
          <w:szCs w:val="21"/>
        </w:rPr>
      </w:pPr>
      <w:r>
        <w:rPr>
          <w:rFonts w:hint="eastAsia" w:ascii="宋体" w:hAnsi="宋体" w:eastAsia="宋体" w:cs="宋体"/>
          <w:b/>
          <w:color w:val="auto"/>
          <w:szCs w:val="21"/>
        </w:rPr>
        <w:t>第七条  履约保证金</w:t>
      </w:r>
    </w:p>
    <w:p>
      <w:pPr>
        <w:spacing w:line="500" w:lineRule="exact"/>
        <w:ind w:firstLine="420" w:firstLineChars="200"/>
        <w:rPr>
          <w:rFonts w:ascii="宋体" w:hAnsi="宋体" w:eastAsia="宋体" w:cs="宋体"/>
          <w:bCs/>
          <w:color w:val="auto"/>
          <w:szCs w:val="21"/>
        </w:rPr>
      </w:pPr>
      <w:r>
        <w:rPr>
          <w:rFonts w:hint="eastAsia" w:ascii="宋体" w:hAnsi="宋体" w:eastAsia="宋体" w:cs="宋体"/>
          <w:bCs/>
          <w:color w:val="auto"/>
          <w:szCs w:val="21"/>
        </w:rPr>
        <w:t>本项目不收取履约保证金。</w:t>
      </w:r>
    </w:p>
    <w:p>
      <w:pPr>
        <w:spacing w:line="500" w:lineRule="exact"/>
        <w:ind w:firstLine="422" w:firstLineChars="200"/>
        <w:rPr>
          <w:rFonts w:hint="eastAsia" w:ascii="宋体" w:hAnsi="宋体" w:eastAsia="宋体" w:cs="宋体"/>
          <w:b/>
          <w:color w:val="auto"/>
          <w:szCs w:val="21"/>
        </w:rPr>
      </w:pPr>
      <w:r>
        <w:rPr>
          <w:rFonts w:hint="eastAsia" w:ascii="宋体" w:hAnsi="宋体" w:eastAsia="宋体" w:cs="宋体"/>
          <w:b/>
          <w:color w:val="auto"/>
          <w:szCs w:val="21"/>
        </w:rPr>
        <w:t>第八条  税费</w:t>
      </w:r>
    </w:p>
    <w:p>
      <w:pPr>
        <w:spacing w:line="500" w:lineRule="exact"/>
        <w:ind w:firstLine="420" w:firstLineChars="200"/>
        <w:rPr>
          <w:rFonts w:hint="eastAsia" w:ascii="宋体" w:hAnsi="宋体" w:eastAsia="宋体" w:cs="宋体"/>
          <w:bCs/>
          <w:color w:val="auto"/>
          <w:szCs w:val="21"/>
        </w:rPr>
      </w:pPr>
      <w:r>
        <w:rPr>
          <w:rFonts w:hint="eastAsia" w:ascii="宋体" w:hAnsi="宋体" w:eastAsia="宋体" w:cs="宋体"/>
          <w:bCs/>
          <w:color w:val="auto"/>
          <w:szCs w:val="21"/>
        </w:rPr>
        <w:t>本合同执行中相关的一切税费均由乙方负担，合同另有约定的除外。</w:t>
      </w:r>
    </w:p>
    <w:p>
      <w:pPr>
        <w:spacing w:line="500" w:lineRule="exact"/>
        <w:ind w:firstLine="422" w:firstLineChars="200"/>
        <w:rPr>
          <w:rFonts w:hint="eastAsia" w:ascii="宋体" w:hAnsi="宋体" w:eastAsia="宋体" w:cs="宋体"/>
          <w:b/>
          <w:color w:val="auto"/>
          <w:szCs w:val="21"/>
        </w:rPr>
      </w:pPr>
      <w:r>
        <w:rPr>
          <w:rFonts w:hint="eastAsia" w:ascii="宋体" w:hAnsi="宋体" w:eastAsia="宋体" w:cs="宋体"/>
          <w:b/>
          <w:color w:val="auto"/>
          <w:szCs w:val="21"/>
        </w:rPr>
        <w:t>第九条　违约责任</w:t>
      </w:r>
    </w:p>
    <w:p>
      <w:pPr>
        <w:spacing w:line="5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1</w:t>
      </w:r>
      <w:r>
        <w:rPr>
          <w:rFonts w:hint="eastAsia" w:ascii="宋体" w:hAnsi="宋体" w:cs="宋体"/>
          <w:color w:val="auto"/>
          <w:szCs w:val="21"/>
          <w:lang w:val="en-US" w:eastAsia="zh-CN"/>
        </w:rPr>
        <w:t>.</w:t>
      </w:r>
      <w:r>
        <w:rPr>
          <w:rFonts w:hint="eastAsia" w:ascii="宋体" w:hAnsi="宋体" w:eastAsia="宋体" w:cs="宋体"/>
          <w:color w:val="auto"/>
          <w:szCs w:val="21"/>
        </w:rPr>
        <w:t xml:space="preserve">除不可抗力原因外，乙方没有按照合同规定的时间提供服务或履行其他合同义务的，甲方可要求乙方支付违约金。每推迟一天按合同金额的3‰支付违约金，该违约金累计不超过合同金额的10%。 如乙方未能履行其他合同义务（如技术支持、售后服务等），甲方有权要求乙方支付合同金额20%的违约金。若乙方延迟超过3天，甲方有权解除合同并要求乙方赔偿因此造成的全部损失。                                    </w:t>
      </w:r>
    </w:p>
    <w:p>
      <w:pPr>
        <w:spacing w:line="5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2</w:t>
      </w:r>
      <w:r>
        <w:rPr>
          <w:rFonts w:hint="eastAsia" w:ascii="宋体" w:hAnsi="宋体" w:cs="宋体"/>
          <w:color w:val="auto"/>
          <w:szCs w:val="21"/>
          <w:lang w:val="en-US" w:eastAsia="zh-CN"/>
        </w:rPr>
        <w:t>.</w:t>
      </w:r>
      <w:r>
        <w:rPr>
          <w:rFonts w:hint="eastAsia" w:ascii="宋体" w:hAnsi="宋体" w:eastAsia="宋体" w:cs="宋体"/>
          <w:color w:val="auto"/>
          <w:szCs w:val="21"/>
        </w:rPr>
        <w:t>乙方提供的服务如侵犯了第三方合法权益而引发的任何纠纷或者诉讼，均由乙方负责交涉并承担全部责任。</w:t>
      </w:r>
    </w:p>
    <w:p>
      <w:pPr>
        <w:spacing w:line="5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3</w:t>
      </w:r>
      <w:r>
        <w:rPr>
          <w:rFonts w:hint="eastAsia" w:ascii="宋体" w:hAnsi="宋体" w:cs="宋体"/>
          <w:color w:val="auto"/>
          <w:szCs w:val="21"/>
          <w:lang w:val="en-US" w:eastAsia="zh-CN"/>
        </w:rPr>
        <w:t>.</w:t>
      </w:r>
      <w:r>
        <w:rPr>
          <w:rFonts w:hint="eastAsia" w:ascii="宋体" w:hAnsi="宋体" w:eastAsia="宋体" w:cs="宋体"/>
          <w:color w:val="auto"/>
          <w:szCs w:val="21"/>
        </w:rPr>
        <w:t>甲方延期付款的，每天向乙方偿付延期款额3‰滞纳金，但滞纳金累计不得超过延期款额5%。</w:t>
      </w:r>
    </w:p>
    <w:p>
      <w:pPr>
        <w:spacing w:line="500" w:lineRule="exact"/>
        <w:ind w:firstLine="422" w:firstLineChars="200"/>
        <w:rPr>
          <w:rFonts w:hint="eastAsia" w:ascii="宋体" w:hAnsi="宋体" w:eastAsia="宋体" w:cs="宋体"/>
          <w:b/>
          <w:color w:val="auto"/>
          <w:szCs w:val="21"/>
        </w:rPr>
      </w:pPr>
      <w:r>
        <w:rPr>
          <w:rFonts w:hint="eastAsia" w:ascii="宋体" w:hAnsi="宋体" w:eastAsia="宋体" w:cs="宋体"/>
          <w:b/>
          <w:color w:val="auto"/>
          <w:szCs w:val="21"/>
        </w:rPr>
        <w:t>第十条  不可抗力事件处理</w:t>
      </w:r>
    </w:p>
    <w:p>
      <w:pPr>
        <w:spacing w:line="500" w:lineRule="exact"/>
        <w:ind w:firstLine="420" w:firstLineChars="200"/>
        <w:rPr>
          <w:rFonts w:hint="eastAsia" w:ascii="宋体" w:hAnsi="宋体" w:eastAsia="宋体" w:cs="宋体"/>
          <w:bCs/>
          <w:color w:val="auto"/>
          <w:szCs w:val="21"/>
        </w:rPr>
      </w:pPr>
      <w:r>
        <w:rPr>
          <w:rFonts w:hint="eastAsia" w:ascii="宋体" w:hAnsi="宋体" w:eastAsia="宋体" w:cs="宋体"/>
          <w:bCs/>
          <w:color w:val="auto"/>
          <w:szCs w:val="21"/>
        </w:rPr>
        <w:t>1</w:t>
      </w:r>
      <w:r>
        <w:rPr>
          <w:rFonts w:hint="eastAsia" w:ascii="宋体" w:hAnsi="宋体" w:cs="宋体"/>
          <w:bCs/>
          <w:color w:val="auto"/>
          <w:szCs w:val="21"/>
          <w:lang w:val="en-US" w:eastAsia="zh-CN"/>
        </w:rPr>
        <w:t>.</w:t>
      </w:r>
      <w:r>
        <w:rPr>
          <w:rFonts w:hint="eastAsia" w:ascii="宋体" w:hAnsi="宋体" w:eastAsia="宋体" w:cs="宋体"/>
          <w:bCs/>
          <w:color w:val="auto"/>
          <w:szCs w:val="21"/>
        </w:rPr>
        <w:t>在合同有效期内，任何一方因不可抗力事件导致不能履行合同，则合同履行期可延长，其延长期与不可抗力影响期相同。</w:t>
      </w:r>
    </w:p>
    <w:p>
      <w:pPr>
        <w:spacing w:line="500" w:lineRule="exact"/>
        <w:ind w:firstLine="420" w:firstLineChars="200"/>
        <w:rPr>
          <w:rFonts w:hint="eastAsia" w:ascii="宋体" w:hAnsi="宋体" w:eastAsia="宋体" w:cs="宋体"/>
          <w:bCs/>
          <w:color w:val="auto"/>
          <w:szCs w:val="21"/>
        </w:rPr>
      </w:pPr>
      <w:r>
        <w:rPr>
          <w:rFonts w:hint="eastAsia" w:ascii="宋体" w:hAnsi="宋体" w:eastAsia="宋体" w:cs="宋体"/>
          <w:bCs/>
          <w:color w:val="auto"/>
          <w:szCs w:val="21"/>
        </w:rPr>
        <w:t>2</w:t>
      </w:r>
      <w:r>
        <w:rPr>
          <w:rFonts w:hint="eastAsia" w:ascii="宋体" w:hAnsi="宋体" w:cs="宋体"/>
          <w:bCs/>
          <w:color w:val="auto"/>
          <w:szCs w:val="21"/>
          <w:lang w:val="en-US" w:eastAsia="zh-CN"/>
        </w:rPr>
        <w:t>.</w:t>
      </w:r>
      <w:r>
        <w:rPr>
          <w:rFonts w:hint="eastAsia" w:ascii="宋体" w:hAnsi="宋体" w:eastAsia="宋体" w:cs="宋体"/>
          <w:bCs/>
          <w:color w:val="auto"/>
          <w:szCs w:val="21"/>
        </w:rPr>
        <w:t>不可抗力事件发生后，应立即通知对方，并寄送有关权威机构出具的证明。</w:t>
      </w:r>
    </w:p>
    <w:p>
      <w:pPr>
        <w:spacing w:line="500" w:lineRule="exact"/>
        <w:ind w:firstLine="420" w:firstLineChars="200"/>
        <w:rPr>
          <w:rFonts w:hint="eastAsia" w:ascii="宋体" w:hAnsi="宋体" w:eastAsia="宋体" w:cs="宋体"/>
          <w:bCs/>
          <w:color w:val="auto"/>
          <w:szCs w:val="21"/>
        </w:rPr>
      </w:pPr>
      <w:r>
        <w:rPr>
          <w:rFonts w:hint="eastAsia" w:ascii="宋体" w:hAnsi="宋体" w:eastAsia="宋体" w:cs="宋体"/>
          <w:bCs/>
          <w:color w:val="auto"/>
          <w:szCs w:val="21"/>
        </w:rPr>
        <w:t>3</w:t>
      </w:r>
      <w:r>
        <w:rPr>
          <w:rFonts w:hint="eastAsia" w:ascii="宋体" w:hAnsi="宋体" w:cs="宋体"/>
          <w:bCs/>
          <w:color w:val="auto"/>
          <w:szCs w:val="21"/>
          <w:lang w:val="en-US" w:eastAsia="zh-CN"/>
        </w:rPr>
        <w:t>.</w:t>
      </w:r>
      <w:r>
        <w:rPr>
          <w:rFonts w:hint="eastAsia" w:ascii="宋体" w:hAnsi="宋体" w:eastAsia="宋体" w:cs="宋体"/>
          <w:bCs/>
          <w:color w:val="auto"/>
          <w:szCs w:val="21"/>
        </w:rPr>
        <w:t>不可抗力事件延续一百二十天以上，双方应通过友好协商，确定是否继续履行合同。</w:t>
      </w:r>
    </w:p>
    <w:p>
      <w:pPr>
        <w:spacing w:line="500" w:lineRule="exact"/>
        <w:ind w:firstLine="422" w:firstLineChars="200"/>
        <w:rPr>
          <w:rFonts w:hint="eastAsia" w:ascii="宋体" w:hAnsi="宋体" w:eastAsia="宋体" w:cs="宋体"/>
          <w:color w:val="auto"/>
          <w:szCs w:val="21"/>
        </w:rPr>
      </w:pPr>
      <w:r>
        <w:rPr>
          <w:rFonts w:hint="eastAsia" w:ascii="宋体" w:hAnsi="宋体" w:eastAsia="宋体" w:cs="宋体"/>
          <w:b/>
          <w:color w:val="auto"/>
          <w:szCs w:val="21"/>
        </w:rPr>
        <w:t>第十一条  合同争议解决</w:t>
      </w:r>
    </w:p>
    <w:p>
      <w:pPr>
        <w:spacing w:line="500" w:lineRule="exact"/>
        <w:ind w:firstLine="420" w:firstLineChars="200"/>
        <w:rPr>
          <w:rFonts w:hint="eastAsia" w:ascii="宋体" w:hAnsi="宋体" w:eastAsia="宋体" w:cs="宋体"/>
          <w:bCs/>
          <w:color w:val="auto"/>
          <w:szCs w:val="21"/>
        </w:rPr>
      </w:pPr>
      <w:r>
        <w:rPr>
          <w:rFonts w:hint="eastAsia" w:ascii="宋体" w:hAnsi="宋体" w:eastAsia="宋体" w:cs="宋体"/>
          <w:bCs/>
          <w:color w:val="auto"/>
          <w:szCs w:val="21"/>
        </w:rPr>
        <w:t>1</w:t>
      </w:r>
      <w:r>
        <w:rPr>
          <w:rFonts w:hint="eastAsia" w:ascii="宋体" w:hAnsi="宋体" w:cs="宋体"/>
          <w:bCs/>
          <w:color w:val="auto"/>
          <w:szCs w:val="21"/>
          <w:lang w:val="en-US" w:eastAsia="zh-CN"/>
        </w:rPr>
        <w:t>.</w:t>
      </w:r>
      <w:r>
        <w:rPr>
          <w:rFonts w:hint="eastAsia" w:ascii="宋体" w:hAnsi="宋体" w:eastAsia="宋体" w:cs="宋体"/>
          <w:bCs/>
          <w:color w:val="auto"/>
          <w:szCs w:val="21"/>
        </w:rPr>
        <w:t>因服务质量问题发生争议的，应邀请国家认可的质量检测机构进行鉴定。服务符合标准的，鉴定费由甲方承担；服务不符合标准的，鉴定费由乙方承担。</w:t>
      </w:r>
    </w:p>
    <w:p>
      <w:pPr>
        <w:spacing w:line="500" w:lineRule="exact"/>
        <w:ind w:firstLine="420" w:firstLineChars="200"/>
        <w:rPr>
          <w:rFonts w:hint="eastAsia" w:ascii="宋体" w:hAnsi="宋体" w:eastAsia="宋体" w:cs="宋体"/>
          <w:bCs/>
          <w:color w:val="auto"/>
          <w:szCs w:val="21"/>
        </w:rPr>
      </w:pPr>
      <w:r>
        <w:rPr>
          <w:rFonts w:hint="eastAsia" w:ascii="宋体" w:hAnsi="宋体" w:eastAsia="宋体" w:cs="宋体"/>
          <w:bCs/>
          <w:color w:val="auto"/>
          <w:szCs w:val="21"/>
        </w:rPr>
        <w:t>2</w:t>
      </w:r>
      <w:r>
        <w:rPr>
          <w:rFonts w:hint="eastAsia" w:ascii="宋体" w:hAnsi="宋体" w:cs="宋体"/>
          <w:bCs/>
          <w:color w:val="auto"/>
          <w:szCs w:val="21"/>
          <w:lang w:val="en-US" w:eastAsia="zh-CN"/>
        </w:rPr>
        <w:t>.</w:t>
      </w:r>
      <w:r>
        <w:rPr>
          <w:rFonts w:hint="eastAsia" w:ascii="宋体" w:hAnsi="宋体" w:eastAsia="宋体" w:cs="宋体"/>
          <w:bCs/>
          <w:color w:val="auto"/>
          <w:szCs w:val="21"/>
        </w:rPr>
        <w:t>因履行本合同引起的或者与本合同有关的争议，甲乙双方应首先通过友好协商解决，如果协商不能解决，可向甲方所在地有管辖权的人民法院提起诉讼。</w:t>
      </w:r>
    </w:p>
    <w:p>
      <w:pPr>
        <w:spacing w:line="500" w:lineRule="exact"/>
        <w:ind w:firstLine="420" w:firstLineChars="200"/>
        <w:rPr>
          <w:rFonts w:hint="eastAsia" w:ascii="宋体" w:hAnsi="宋体" w:eastAsia="宋体" w:cs="宋体"/>
          <w:bCs/>
          <w:color w:val="auto"/>
          <w:szCs w:val="21"/>
        </w:rPr>
      </w:pPr>
      <w:r>
        <w:rPr>
          <w:rFonts w:hint="eastAsia" w:ascii="宋体" w:hAnsi="宋体" w:eastAsia="宋体" w:cs="宋体"/>
          <w:bCs/>
          <w:color w:val="auto"/>
          <w:szCs w:val="21"/>
        </w:rPr>
        <w:t>3</w:t>
      </w:r>
      <w:r>
        <w:rPr>
          <w:rFonts w:hint="eastAsia" w:ascii="宋体" w:hAnsi="宋体" w:cs="宋体"/>
          <w:bCs/>
          <w:color w:val="auto"/>
          <w:szCs w:val="21"/>
          <w:lang w:val="en-US" w:eastAsia="zh-CN"/>
        </w:rPr>
        <w:t>.</w:t>
      </w:r>
      <w:r>
        <w:rPr>
          <w:rFonts w:hint="eastAsia" w:ascii="宋体" w:hAnsi="宋体" w:eastAsia="宋体" w:cs="宋体"/>
          <w:bCs/>
          <w:color w:val="auto"/>
          <w:szCs w:val="21"/>
        </w:rPr>
        <w:t>诉讼期间，本合同继续履行。</w:t>
      </w:r>
    </w:p>
    <w:p>
      <w:pPr>
        <w:spacing w:line="500" w:lineRule="exact"/>
        <w:ind w:firstLine="422" w:firstLineChars="200"/>
        <w:rPr>
          <w:rFonts w:hint="eastAsia" w:ascii="宋体" w:hAnsi="宋体" w:eastAsia="宋体" w:cs="宋体"/>
          <w:b/>
          <w:color w:val="auto"/>
          <w:szCs w:val="21"/>
        </w:rPr>
      </w:pPr>
      <w:r>
        <w:rPr>
          <w:rFonts w:hint="eastAsia" w:ascii="宋体" w:hAnsi="宋体" w:eastAsia="宋体" w:cs="宋体"/>
          <w:b/>
          <w:color w:val="auto"/>
          <w:szCs w:val="21"/>
        </w:rPr>
        <w:t>第十二条  合同生效及其它　</w:t>
      </w:r>
    </w:p>
    <w:p>
      <w:pPr>
        <w:spacing w:line="500" w:lineRule="exact"/>
        <w:ind w:firstLine="420" w:firstLineChars="200"/>
        <w:rPr>
          <w:rFonts w:hint="eastAsia" w:ascii="宋体" w:hAnsi="宋体" w:eastAsia="宋体" w:cs="宋体"/>
          <w:bCs/>
          <w:color w:val="auto"/>
          <w:szCs w:val="21"/>
        </w:rPr>
      </w:pPr>
      <w:r>
        <w:rPr>
          <w:rFonts w:hint="eastAsia" w:ascii="宋体" w:hAnsi="宋体" w:eastAsia="宋体" w:cs="宋体"/>
          <w:bCs/>
          <w:color w:val="auto"/>
          <w:szCs w:val="21"/>
        </w:rPr>
        <w:t>1</w:t>
      </w:r>
      <w:r>
        <w:rPr>
          <w:rFonts w:hint="eastAsia" w:ascii="宋体" w:hAnsi="宋体" w:cs="宋体"/>
          <w:bCs/>
          <w:color w:val="auto"/>
          <w:szCs w:val="21"/>
          <w:lang w:val="en-US" w:eastAsia="zh-CN"/>
        </w:rPr>
        <w:t>.</w:t>
      </w:r>
      <w:r>
        <w:rPr>
          <w:rFonts w:hint="eastAsia" w:ascii="宋体" w:hAnsi="宋体" w:eastAsia="宋体" w:cs="宋体"/>
          <w:bCs/>
          <w:color w:val="auto"/>
          <w:szCs w:val="21"/>
        </w:rPr>
        <w:t>合同经双方法定代表人或授权代表签字并加盖单位公章后生效</w:t>
      </w:r>
      <w:r>
        <w:rPr>
          <w:rFonts w:hint="eastAsia" w:ascii="宋体" w:hAnsi="宋体" w:eastAsia="宋体" w:cs="宋体"/>
          <w:color w:val="auto"/>
          <w:szCs w:val="21"/>
        </w:rPr>
        <w:t>（委托代理人签字的需后附授权委托书，格式自拟）</w:t>
      </w:r>
      <w:r>
        <w:rPr>
          <w:rFonts w:hint="eastAsia" w:ascii="宋体" w:hAnsi="宋体" w:eastAsia="宋体" w:cs="宋体"/>
          <w:bCs/>
          <w:color w:val="auto"/>
          <w:szCs w:val="21"/>
        </w:rPr>
        <w:t>。</w:t>
      </w:r>
    </w:p>
    <w:p>
      <w:pPr>
        <w:spacing w:line="500" w:lineRule="exact"/>
        <w:ind w:firstLine="420" w:firstLineChars="200"/>
        <w:rPr>
          <w:rFonts w:hint="eastAsia" w:ascii="宋体" w:hAnsi="宋体" w:eastAsia="宋体" w:cs="宋体"/>
          <w:bCs/>
          <w:color w:val="auto"/>
          <w:szCs w:val="21"/>
        </w:rPr>
      </w:pPr>
      <w:r>
        <w:rPr>
          <w:rFonts w:hint="eastAsia" w:ascii="宋体" w:hAnsi="宋体" w:eastAsia="宋体" w:cs="宋体"/>
          <w:bCs/>
          <w:color w:val="auto"/>
          <w:szCs w:val="21"/>
        </w:rPr>
        <w:t>2</w:t>
      </w:r>
      <w:r>
        <w:rPr>
          <w:rFonts w:hint="eastAsia" w:ascii="宋体" w:hAnsi="宋体" w:cs="宋体"/>
          <w:bCs/>
          <w:color w:val="auto"/>
          <w:szCs w:val="21"/>
          <w:lang w:val="en-US" w:eastAsia="zh-CN"/>
        </w:rPr>
        <w:t>.</w:t>
      </w:r>
      <w:r>
        <w:rPr>
          <w:rFonts w:hint="eastAsia" w:ascii="宋体" w:hAnsi="宋体" w:eastAsia="宋体" w:cs="宋体"/>
          <w:bCs/>
          <w:color w:val="auto"/>
          <w:szCs w:val="21"/>
        </w:rPr>
        <w:t>合同执行中涉及采购资金和采购内容修改或补充的，须经财政部门审批，并签书面补充协议报财政部门备案，方可作为主合同不可分割的一部分。</w:t>
      </w:r>
    </w:p>
    <w:p>
      <w:pPr>
        <w:spacing w:line="500" w:lineRule="exact"/>
        <w:ind w:firstLine="420" w:firstLineChars="200"/>
        <w:rPr>
          <w:rFonts w:hint="eastAsia" w:ascii="宋体" w:hAnsi="宋体" w:eastAsia="宋体" w:cs="宋体"/>
          <w:bCs/>
          <w:color w:val="auto"/>
          <w:szCs w:val="21"/>
        </w:rPr>
      </w:pPr>
      <w:r>
        <w:rPr>
          <w:rFonts w:hint="eastAsia" w:ascii="宋体" w:hAnsi="宋体" w:eastAsia="宋体" w:cs="宋体"/>
          <w:bCs/>
          <w:color w:val="auto"/>
          <w:szCs w:val="21"/>
        </w:rPr>
        <w:t>3</w:t>
      </w:r>
      <w:r>
        <w:rPr>
          <w:rFonts w:hint="eastAsia" w:ascii="宋体" w:hAnsi="宋体" w:cs="宋体"/>
          <w:bCs/>
          <w:color w:val="auto"/>
          <w:szCs w:val="21"/>
          <w:lang w:val="en-US" w:eastAsia="zh-CN"/>
        </w:rPr>
        <w:t>.</w:t>
      </w:r>
      <w:r>
        <w:rPr>
          <w:rFonts w:hint="eastAsia" w:ascii="宋体" w:hAnsi="宋体" w:eastAsia="宋体" w:cs="宋体"/>
          <w:bCs/>
          <w:color w:val="auto"/>
          <w:szCs w:val="21"/>
        </w:rPr>
        <w:t>本合同未尽事宜，遵照《</w:t>
      </w:r>
      <w:r>
        <w:rPr>
          <w:rFonts w:hint="eastAsia" w:ascii="宋体" w:hAnsi="宋体" w:eastAsia="宋体" w:cs="宋体"/>
          <w:color w:val="auto"/>
          <w:szCs w:val="21"/>
        </w:rPr>
        <w:t>中华人民共和国民法典</w:t>
      </w:r>
      <w:r>
        <w:rPr>
          <w:rFonts w:hint="eastAsia" w:ascii="宋体" w:hAnsi="宋体" w:eastAsia="宋体" w:cs="宋体"/>
          <w:bCs/>
          <w:color w:val="auto"/>
          <w:szCs w:val="21"/>
        </w:rPr>
        <w:t>》有关条文执行。</w:t>
      </w:r>
    </w:p>
    <w:p>
      <w:pPr>
        <w:spacing w:line="500" w:lineRule="exact"/>
        <w:ind w:firstLine="422" w:firstLineChars="200"/>
        <w:rPr>
          <w:rFonts w:hint="eastAsia" w:ascii="宋体" w:hAnsi="宋体" w:eastAsia="宋体" w:cs="宋体"/>
          <w:b/>
          <w:color w:val="auto"/>
          <w:szCs w:val="21"/>
        </w:rPr>
      </w:pPr>
      <w:r>
        <w:rPr>
          <w:rFonts w:hint="eastAsia" w:ascii="宋体" w:hAnsi="宋体" w:eastAsia="宋体" w:cs="宋体"/>
          <w:b/>
          <w:color w:val="auto"/>
          <w:szCs w:val="21"/>
        </w:rPr>
        <w:t>第十三条  合同的变更、终止与转让</w:t>
      </w:r>
    </w:p>
    <w:p>
      <w:pPr>
        <w:spacing w:line="5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1</w:t>
      </w:r>
      <w:r>
        <w:rPr>
          <w:rFonts w:hint="eastAsia" w:ascii="宋体" w:hAnsi="宋体" w:cs="宋体"/>
          <w:color w:val="auto"/>
          <w:szCs w:val="21"/>
          <w:lang w:val="en-US" w:eastAsia="zh-CN"/>
        </w:rPr>
        <w:t>.</w:t>
      </w:r>
      <w:r>
        <w:rPr>
          <w:rFonts w:hint="eastAsia" w:ascii="宋体" w:hAnsi="宋体" w:eastAsia="宋体" w:cs="宋体"/>
          <w:color w:val="auto"/>
          <w:szCs w:val="21"/>
        </w:rPr>
        <w:t>除《中华人民共和国政府采购法》第五十条规定的情形外，本合同一经签订，甲乙双方不得擅自变更、中止或者终止。</w:t>
      </w:r>
    </w:p>
    <w:p>
      <w:pPr>
        <w:spacing w:line="500" w:lineRule="exact"/>
        <w:ind w:firstLine="420" w:firstLineChars="200"/>
        <w:rPr>
          <w:rFonts w:hint="eastAsia" w:ascii="宋体" w:hAnsi="宋体" w:eastAsia="宋体" w:cs="宋体"/>
          <w:bCs/>
          <w:color w:val="auto"/>
          <w:szCs w:val="21"/>
        </w:rPr>
      </w:pPr>
      <w:r>
        <w:rPr>
          <w:rFonts w:hint="eastAsia" w:ascii="宋体" w:hAnsi="宋体" w:eastAsia="宋体" w:cs="宋体"/>
          <w:color w:val="auto"/>
          <w:szCs w:val="21"/>
        </w:rPr>
        <w:t>2</w:t>
      </w:r>
      <w:r>
        <w:rPr>
          <w:rFonts w:hint="eastAsia" w:ascii="宋体" w:hAnsi="宋体" w:cs="宋体"/>
          <w:color w:val="auto"/>
          <w:szCs w:val="21"/>
          <w:lang w:val="en-US" w:eastAsia="zh-CN"/>
        </w:rPr>
        <w:t>.</w:t>
      </w:r>
      <w:r>
        <w:rPr>
          <w:rFonts w:hint="eastAsia" w:ascii="宋体" w:hAnsi="宋体" w:eastAsia="宋体" w:cs="宋体"/>
          <w:color w:val="auto"/>
          <w:szCs w:val="21"/>
        </w:rPr>
        <w:t>乙方不得擅自转让其应履行的合同义务。如乙方擅自转让其应履行的合同义务，甲方有权解除合同，有权要求乙方支付合同金额20%的违约金。</w:t>
      </w:r>
    </w:p>
    <w:p>
      <w:pPr>
        <w:spacing w:line="500" w:lineRule="exact"/>
        <w:ind w:firstLine="422" w:firstLineChars="200"/>
        <w:rPr>
          <w:rFonts w:hint="eastAsia" w:ascii="宋体" w:hAnsi="宋体" w:eastAsia="宋体" w:cs="宋体"/>
          <w:b/>
          <w:color w:val="auto"/>
          <w:szCs w:val="21"/>
        </w:rPr>
      </w:pPr>
      <w:r>
        <w:rPr>
          <w:rFonts w:hint="eastAsia" w:ascii="宋体" w:hAnsi="宋体" w:eastAsia="宋体" w:cs="宋体"/>
          <w:b/>
          <w:color w:val="auto"/>
          <w:szCs w:val="21"/>
        </w:rPr>
        <w:t>第十四条　签订本合同依据</w:t>
      </w:r>
    </w:p>
    <w:p>
      <w:pPr>
        <w:spacing w:line="5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1</w:t>
      </w:r>
      <w:r>
        <w:rPr>
          <w:rFonts w:hint="eastAsia" w:ascii="宋体" w:hAnsi="宋体" w:cs="宋体"/>
          <w:color w:val="auto"/>
          <w:szCs w:val="21"/>
          <w:lang w:val="en-US" w:eastAsia="zh-CN"/>
        </w:rPr>
        <w:t>.</w:t>
      </w:r>
      <w:r>
        <w:rPr>
          <w:rFonts w:hint="eastAsia" w:ascii="宋体" w:hAnsi="宋体" w:eastAsia="宋体" w:cs="宋体"/>
          <w:color w:val="auto"/>
          <w:szCs w:val="21"/>
        </w:rPr>
        <w:t>成交通知书；</w:t>
      </w:r>
    </w:p>
    <w:p>
      <w:pPr>
        <w:spacing w:line="5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2</w:t>
      </w:r>
      <w:r>
        <w:rPr>
          <w:rFonts w:hint="eastAsia" w:ascii="宋体" w:hAnsi="宋体" w:cs="宋体"/>
          <w:color w:val="auto"/>
          <w:szCs w:val="21"/>
          <w:lang w:val="en-US" w:eastAsia="zh-CN"/>
        </w:rPr>
        <w:t>.</w:t>
      </w:r>
      <w:r>
        <w:rPr>
          <w:rFonts w:hint="eastAsia" w:ascii="宋体" w:hAnsi="宋体" w:eastAsia="宋体" w:cs="宋体"/>
          <w:color w:val="auto"/>
          <w:szCs w:val="21"/>
        </w:rPr>
        <w:t>响应报价表及最</w:t>
      </w:r>
      <w:r>
        <w:rPr>
          <w:rFonts w:hint="eastAsia" w:ascii="宋体" w:hAnsi="宋体" w:cs="宋体"/>
          <w:color w:val="auto"/>
          <w:szCs w:val="21"/>
          <w:lang w:val="en-US" w:eastAsia="zh-CN"/>
        </w:rPr>
        <w:t>后</w:t>
      </w:r>
      <w:r>
        <w:rPr>
          <w:rFonts w:hint="eastAsia" w:ascii="宋体" w:hAnsi="宋体" w:eastAsia="宋体" w:cs="宋体"/>
          <w:color w:val="auto"/>
          <w:szCs w:val="21"/>
        </w:rPr>
        <w:t>报价表；</w:t>
      </w:r>
    </w:p>
    <w:p>
      <w:pPr>
        <w:spacing w:line="5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3</w:t>
      </w:r>
      <w:r>
        <w:rPr>
          <w:rFonts w:hint="eastAsia" w:ascii="宋体" w:hAnsi="宋体" w:cs="宋体"/>
          <w:color w:val="auto"/>
          <w:szCs w:val="21"/>
          <w:lang w:val="en-US" w:eastAsia="zh-CN"/>
        </w:rPr>
        <w:t>.</w:t>
      </w:r>
      <w:r>
        <w:rPr>
          <w:rFonts w:hint="eastAsia" w:ascii="宋体" w:hAnsi="宋体" w:eastAsia="宋体" w:cs="宋体"/>
          <w:color w:val="auto"/>
          <w:szCs w:val="21"/>
        </w:rPr>
        <w:t>商务条款偏离表和</w:t>
      </w:r>
      <w:r>
        <w:rPr>
          <w:rFonts w:hint="eastAsia" w:ascii="宋体" w:hAnsi="宋体" w:eastAsia="宋体" w:cs="宋体"/>
          <w:color w:val="auto"/>
          <w:szCs w:val="21"/>
          <w:lang w:val="en-US" w:eastAsia="zh-CN"/>
        </w:rPr>
        <w:t>服务</w:t>
      </w:r>
      <w:r>
        <w:rPr>
          <w:rFonts w:hint="eastAsia" w:ascii="宋体" w:hAnsi="宋体" w:eastAsia="宋体" w:cs="宋体"/>
          <w:color w:val="auto"/>
          <w:szCs w:val="21"/>
        </w:rPr>
        <w:t>需求偏离表；</w:t>
      </w:r>
    </w:p>
    <w:p>
      <w:pPr>
        <w:spacing w:line="5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4</w:t>
      </w:r>
      <w:r>
        <w:rPr>
          <w:rFonts w:hint="eastAsia" w:ascii="宋体" w:hAnsi="宋体" w:cs="宋体"/>
          <w:color w:val="auto"/>
          <w:szCs w:val="21"/>
          <w:lang w:val="en-US" w:eastAsia="zh-CN"/>
        </w:rPr>
        <w:t>.</w:t>
      </w:r>
      <w:bookmarkStart w:id="207" w:name="OLE_LINK26"/>
      <w:r>
        <w:rPr>
          <w:rFonts w:hint="eastAsia" w:ascii="宋体" w:hAnsi="宋体" w:cs="宋体"/>
          <w:color w:val="auto"/>
          <w:szCs w:val="21"/>
          <w:lang w:val="en-US" w:eastAsia="zh-CN"/>
        </w:rPr>
        <w:t>项目方案</w:t>
      </w:r>
      <w:bookmarkEnd w:id="207"/>
      <w:r>
        <w:rPr>
          <w:rFonts w:hint="eastAsia" w:ascii="宋体" w:hAnsi="宋体" w:cs="宋体"/>
          <w:color w:val="auto"/>
          <w:szCs w:val="21"/>
          <w:lang w:val="en-US" w:eastAsia="zh-CN"/>
        </w:rPr>
        <w:t>（如有）</w:t>
      </w:r>
      <w:r>
        <w:rPr>
          <w:rFonts w:hint="eastAsia" w:ascii="宋体" w:hAnsi="宋体" w:eastAsia="宋体" w:cs="宋体"/>
          <w:color w:val="auto"/>
          <w:szCs w:val="21"/>
        </w:rPr>
        <w:t>；</w:t>
      </w:r>
    </w:p>
    <w:p>
      <w:pPr>
        <w:spacing w:line="5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5</w:t>
      </w:r>
      <w:r>
        <w:rPr>
          <w:rFonts w:hint="eastAsia" w:ascii="宋体" w:hAnsi="宋体" w:cs="宋体"/>
          <w:color w:val="auto"/>
          <w:szCs w:val="21"/>
          <w:lang w:val="en-US" w:eastAsia="zh-CN"/>
        </w:rPr>
        <w:t>.</w:t>
      </w:r>
      <w:r>
        <w:rPr>
          <w:rFonts w:hint="eastAsia" w:ascii="宋体" w:hAnsi="宋体" w:eastAsia="宋体" w:cs="宋体"/>
          <w:color w:val="auto"/>
          <w:szCs w:val="21"/>
        </w:rPr>
        <w:t>响应文件中的其他相关文件。</w:t>
      </w:r>
    </w:p>
    <w:p>
      <w:pPr>
        <w:spacing w:line="5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6</w:t>
      </w:r>
      <w:r>
        <w:rPr>
          <w:rFonts w:hint="eastAsia" w:ascii="宋体" w:hAnsi="宋体" w:cs="宋体"/>
          <w:color w:val="auto"/>
          <w:szCs w:val="21"/>
          <w:lang w:val="en-US" w:eastAsia="zh-CN"/>
        </w:rPr>
        <w:t>.</w:t>
      </w:r>
      <w:r>
        <w:rPr>
          <w:rFonts w:hint="eastAsia" w:ascii="宋体" w:hAnsi="宋体" w:eastAsia="宋体" w:cs="宋体"/>
          <w:color w:val="auto"/>
          <w:szCs w:val="21"/>
        </w:rPr>
        <w:t>上述合同文件互相补充和解释。如果合同文件之间存在矛盾或者不一致之处，以上述文件的排列顺序在先者为准。</w:t>
      </w:r>
    </w:p>
    <w:p>
      <w:pPr>
        <w:spacing w:line="500" w:lineRule="exact"/>
        <w:ind w:firstLine="422" w:firstLineChars="200"/>
        <w:rPr>
          <w:rFonts w:hint="eastAsia" w:ascii="宋体" w:hAnsi="宋体" w:eastAsia="宋体" w:cs="宋体"/>
          <w:b/>
          <w:bCs w:val="0"/>
          <w:color w:val="auto"/>
          <w:szCs w:val="21"/>
        </w:rPr>
      </w:pPr>
      <w:r>
        <w:rPr>
          <w:rFonts w:hint="eastAsia" w:ascii="宋体" w:hAnsi="宋体" w:eastAsia="宋体" w:cs="宋体"/>
          <w:b/>
          <w:bCs w:val="0"/>
          <w:color w:val="auto"/>
          <w:szCs w:val="21"/>
        </w:rPr>
        <w:t>第十五条　本合同一式</w:t>
      </w:r>
      <w:r>
        <w:rPr>
          <w:rFonts w:hint="eastAsia" w:ascii="宋体" w:hAnsi="宋体" w:cs="宋体"/>
          <w:b/>
          <w:bCs w:val="0"/>
          <w:color w:val="auto"/>
          <w:szCs w:val="21"/>
          <w:lang w:val="en-US" w:eastAsia="zh-CN"/>
        </w:rPr>
        <w:t>五</w:t>
      </w:r>
      <w:r>
        <w:rPr>
          <w:rFonts w:hint="eastAsia" w:ascii="宋体" w:hAnsi="宋体" w:eastAsia="宋体" w:cs="宋体"/>
          <w:b/>
          <w:bCs w:val="0"/>
          <w:color w:val="auto"/>
          <w:szCs w:val="21"/>
        </w:rPr>
        <w:t>份，具有同等法律效力，甲乙双方各贰份、采购代理机构壹份。</w:t>
      </w:r>
    </w:p>
    <w:p>
      <w:pPr>
        <w:spacing w:line="5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本合同甲乙双方签字盖章后生效，自签订之日起七个工作日内，</w:t>
      </w:r>
      <w:r>
        <w:rPr>
          <w:rFonts w:hint="eastAsia" w:ascii="宋体" w:hAnsi="宋体" w:cs="宋体"/>
          <w:color w:val="auto"/>
          <w:szCs w:val="21"/>
          <w:lang w:val="en-US" w:eastAsia="zh-CN"/>
        </w:rPr>
        <w:t>采购人</w:t>
      </w:r>
      <w:r>
        <w:rPr>
          <w:rFonts w:hint="eastAsia" w:ascii="宋体" w:hAnsi="宋体" w:eastAsia="宋体" w:cs="宋体"/>
          <w:color w:val="auto"/>
          <w:szCs w:val="21"/>
        </w:rPr>
        <w:t>应当将合同副本报同级</w:t>
      </w:r>
      <w:bookmarkStart w:id="208" w:name="OLE_LINK25"/>
      <w:r>
        <w:rPr>
          <w:rFonts w:hint="eastAsia" w:ascii="宋体" w:hAnsi="宋体" w:eastAsia="宋体" w:cs="宋体"/>
          <w:color w:val="auto"/>
          <w:szCs w:val="21"/>
        </w:rPr>
        <w:t>财政部门</w:t>
      </w:r>
      <w:bookmarkEnd w:id="208"/>
      <w:r>
        <w:rPr>
          <w:rFonts w:hint="eastAsia" w:ascii="宋体" w:hAnsi="宋体" w:eastAsia="宋体" w:cs="宋体"/>
          <w:color w:val="auto"/>
          <w:szCs w:val="21"/>
        </w:rPr>
        <w:t>备案。</w:t>
      </w:r>
    </w:p>
    <w:p>
      <w:pPr>
        <w:spacing w:line="5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本合同自签订之日起2个工作日内，</w:t>
      </w:r>
      <w:r>
        <w:rPr>
          <w:rFonts w:hint="eastAsia" w:ascii="宋体" w:hAnsi="宋体" w:cs="宋体"/>
          <w:color w:val="auto"/>
          <w:szCs w:val="21"/>
          <w:lang w:val="en-US" w:eastAsia="zh-CN"/>
        </w:rPr>
        <w:t>采购人</w:t>
      </w:r>
      <w:r>
        <w:rPr>
          <w:rFonts w:hint="eastAsia" w:ascii="宋体" w:hAnsi="宋体" w:eastAsia="宋体" w:cs="宋体"/>
          <w:color w:val="auto"/>
          <w:szCs w:val="21"/>
        </w:rPr>
        <w:t>应当将采购合同在广西壮族自治区财政厅指定的媒体上公告。</w:t>
      </w:r>
    </w:p>
    <w:tbl>
      <w:tblPr>
        <w:tblStyle w:val="32"/>
        <w:tblW w:w="90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6"/>
        <w:gridCol w:w="4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jc w:val="center"/>
        </w:trPr>
        <w:tc>
          <w:tcPr>
            <w:tcW w:w="4516" w:type="dxa"/>
            <w:noWrap w:val="0"/>
            <w:vAlign w:val="center"/>
          </w:tcPr>
          <w:p>
            <w:pPr>
              <w:snapToGrid w:val="0"/>
              <w:spacing w:line="500" w:lineRule="exact"/>
              <w:rPr>
                <w:rFonts w:hint="eastAsia" w:ascii="宋体" w:hAnsi="宋体" w:eastAsia="宋体" w:cs="Times New Roman"/>
                <w:color w:val="auto"/>
                <w:szCs w:val="21"/>
              </w:rPr>
            </w:pPr>
            <w:r>
              <w:rPr>
                <w:rFonts w:hint="eastAsia" w:ascii="宋体" w:hAnsi="宋体" w:eastAsia="宋体" w:cs="Times New Roman"/>
                <w:color w:val="auto"/>
                <w:szCs w:val="21"/>
              </w:rPr>
              <w:t xml:space="preserve">甲方（章）           </w:t>
            </w:r>
          </w:p>
          <w:p>
            <w:pPr>
              <w:snapToGrid w:val="0"/>
              <w:spacing w:line="500" w:lineRule="exact"/>
              <w:ind w:firstLine="945" w:firstLineChars="450"/>
              <w:jc w:val="right"/>
              <w:rPr>
                <w:rFonts w:hint="eastAsia" w:ascii="宋体" w:hAnsi="宋体" w:eastAsia="宋体" w:cs="Times New Roman"/>
                <w:color w:val="auto"/>
                <w:szCs w:val="21"/>
              </w:rPr>
            </w:pPr>
            <w:r>
              <w:rPr>
                <w:rFonts w:hint="eastAsia" w:ascii="宋体" w:hAnsi="宋体" w:eastAsia="宋体" w:cs="Times New Roman"/>
                <w:color w:val="auto"/>
                <w:szCs w:val="21"/>
              </w:rPr>
              <w:t>年   月   日</w:t>
            </w:r>
          </w:p>
        </w:tc>
        <w:tc>
          <w:tcPr>
            <w:tcW w:w="4517" w:type="dxa"/>
            <w:noWrap w:val="0"/>
            <w:vAlign w:val="center"/>
          </w:tcPr>
          <w:p>
            <w:pPr>
              <w:snapToGrid w:val="0"/>
              <w:spacing w:line="500" w:lineRule="exact"/>
              <w:rPr>
                <w:rFonts w:hint="eastAsia" w:ascii="宋体" w:hAnsi="宋体" w:eastAsia="宋体" w:cs="Times New Roman"/>
                <w:color w:val="auto"/>
                <w:szCs w:val="21"/>
              </w:rPr>
            </w:pPr>
            <w:r>
              <w:rPr>
                <w:rFonts w:hint="eastAsia" w:ascii="宋体" w:hAnsi="宋体" w:eastAsia="宋体" w:cs="Times New Roman"/>
                <w:color w:val="auto"/>
                <w:szCs w:val="21"/>
              </w:rPr>
              <w:t xml:space="preserve">乙方（章）              </w:t>
            </w:r>
          </w:p>
          <w:p>
            <w:pPr>
              <w:snapToGrid w:val="0"/>
              <w:spacing w:line="500" w:lineRule="exact"/>
              <w:jc w:val="right"/>
              <w:rPr>
                <w:rFonts w:hint="eastAsia" w:ascii="宋体" w:hAnsi="宋体" w:eastAsia="宋体" w:cs="Times New Roman"/>
                <w:color w:val="auto"/>
                <w:szCs w:val="21"/>
              </w:rPr>
            </w:pPr>
            <w:r>
              <w:rPr>
                <w:rFonts w:hint="eastAsia" w:ascii="宋体" w:hAnsi="宋体" w:eastAsia="宋体" w:cs="Times New Roman"/>
                <w:color w:val="auto"/>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4516" w:type="dxa"/>
            <w:noWrap w:val="0"/>
            <w:vAlign w:val="center"/>
          </w:tcPr>
          <w:p>
            <w:pPr>
              <w:snapToGrid w:val="0"/>
              <w:spacing w:line="500" w:lineRule="exact"/>
              <w:rPr>
                <w:rFonts w:hint="eastAsia" w:ascii="宋体" w:hAnsi="宋体" w:eastAsia="宋体" w:cs="Times New Roman"/>
                <w:color w:val="auto"/>
                <w:szCs w:val="21"/>
              </w:rPr>
            </w:pPr>
            <w:r>
              <w:rPr>
                <w:rFonts w:hint="eastAsia" w:ascii="宋体" w:hAnsi="宋体" w:eastAsia="宋体" w:cs="Times New Roman"/>
                <w:color w:val="auto"/>
                <w:szCs w:val="21"/>
              </w:rPr>
              <w:t>单位地址：</w:t>
            </w:r>
          </w:p>
        </w:tc>
        <w:tc>
          <w:tcPr>
            <w:tcW w:w="4517" w:type="dxa"/>
            <w:noWrap w:val="0"/>
            <w:vAlign w:val="center"/>
          </w:tcPr>
          <w:p>
            <w:pPr>
              <w:snapToGrid w:val="0"/>
              <w:spacing w:line="500" w:lineRule="exact"/>
              <w:rPr>
                <w:rFonts w:hint="eastAsia" w:ascii="宋体" w:hAnsi="宋体" w:eastAsia="宋体" w:cs="Times New Roman"/>
                <w:color w:val="auto"/>
                <w:szCs w:val="21"/>
              </w:rPr>
            </w:pPr>
            <w:r>
              <w:rPr>
                <w:rFonts w:hint="eastAsia" w:ascii="宋体" w:hAnsi="宋体" w:eastAsia="宋体" w:cs="Times New Roman"/>
                <w:color w:val="auto"/>
                <w:szCs w:val="21"/>
              </w:rPr>
              <w:t>单位地址：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6" w:hRule="atLeast"/>
          <w:jc w:val="center"/>
        </w:trPr>
        <w:tc>
          <w:tcPr>
            <w:tcW w:w="4516" w:type="dxa"/>
            <w:noWrap w:val="0"/>
            <w:vAlign w:val="top"/>
          </w:tcPr>
          <w:p>
            <w:pPr>
              <w:snapToGrid w:val="0"/>
              <w:spacing w:line="500" w:lineRule="exact"/>
              <w:rPr>
                <w:rFonts w:hint="eastAsia" w:ascii="宋体" w:hAnsi="宋体" w:eastAsia="宋体" w:cs="Times New Roman"/>
                <w:color w:val="auto"/>
                <w:szCs w:val="21"/>
              </w:rPr>
            </w:pPr>
            <w:r>
              <w:rPr>
                <w:rFonts w:hint="eastAsia" w:ascii="宋体" w:hAnsi="宋体" w:eastAsia="宋体" w:cs="Times New Roman"/>
                <w:color w:val="auto"/>
                <w:szCs w:val="21"/>
              </w:rPr>
              <w:t>法定代表人或者委托代理人：</w:t>
            </w:r>
          </w:p>
        </w:tc>
        <w:tc>
          <w:tcPr>
            <w:tcW w:w="4517" w:type="dxa"/>
            <w:noWrap w:val="0"/>
            <w:vAlign w:val="top"/>
          </w:tcPr>
          <w:p>
            <w:pPr>
              <w:snapToGrid w:val="0"/>
              <w:spacing w:line="500" w:lineRule="exact"/>
              <w:rPr>
                <w:rFonts w:hint="eastAsia" w:ascii="宋体" w:hAnsi="宋体" w:eastAsia="宋体" w:cs="Times New Roman"/>
                <w:color w:val="auto"/>
                <w:szCs w:val="21"/>
              </w:rPr>
            </w:pPr>
            <w:r>
              <w:rPr>
                <w:rFonts w:hint="eastAsia" w:ascii="宋体" w:hAnsi="宋体" w:eastAsia="宋体" w:cs="Times New Roman"/>
                <w:color w:val="auto"/>
                <w:szCs w:val="21"/>
              </w:rPr>
              <w:t>法定代表人或者委托代理人：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jc w:val="center"/>
        </w:trPr>
        <w:tc>
          <w:tcPr>
            <w:tcW w:w="4516" w:type="dxa"/>
            <w:noWrap w:val="0"/>
            <w:vAlign w:val="center"/>
          </w:tcPr>
          <w:p>
            <w:pPr>
              <w:snapToGrid w:val="0"/>
              <w:spacing w:line="500" w:lineRule="exact"/>
              <w:rPr>
                <w:rFonts w:hint="eastAsia" w:ascii="宋体" w:hAnsi="宋体" w:eastAsia="宋体" w:cs="Times New Roman"/>
                <w:color w:val="auto"/>
                <w:szCs w:val="21"/>
              </w:rPr>
            </w:pPr>
            <w:r>
              <w:rPr>
                <w:rFonts w:hint="eastAsia" w:ascii="宋体" w:hAnsi="宋体" w:eastAsia="宋体" w:cs="Times New Roman"/>
                <w:color w:val="auto"/>
                <w:szCs w:val="21"/>
              </w:rPr>
              <w:t>电话：</w:t>
            </w:r>
          </w:p>
        </w:tc>
        <w:tc>
          <w:tcPr>
            <w:tcW w:w="4517" w:type="dxa"/>
            <w:noWrap w:val="0"/>
            <w:vAlign w:val="center"/>
          </w:tcPr>
          <w:p>
            <w:pPr>
              <w:snapToGrid w:val="0"/>
              <w:spacing w:line="500" w:lineRule="exact"/>
              <w:rPr>
                <w:rFonts w:hint="eastAsia" w:ascii="宋体" w:hAnsi="宋体" w:eastAsia="宋体" w:cs="Times New Roman"/>
                <w:color w:val="auto"/>
                <w:szCs w:val="21"/>
              </w:rPr>
            </w:pPr>
            <w:r>
              <w:rPr>
                <w:rFonts w:hint="eastAsia" w:ascii="宋体" w:hAnsi="宋体" w:eastAsia="宋体" w:cs="Times New Roman"/>
                <w:color w:val="auto"/>
                <w:szCs w:val="21"/>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jc w:val="center"/>
        </w:trPr>
        <w:tc>
          <w:tcPr>
            <w:tcW w:w="4516" w:type="dxa"/>
            <w:noWrap w:val="0"/>
            <w:vAlign w:val="center"/>
          </w:tcPr>
          <w:p>
            <w:pPr>
              <w:snapToGrid w:val="0"/>
              <w:spacing w:line="500" w:lineRule="exact"/>
              <w:rPr>
                <w:rFonts w:hint="eastAsia" w:ascii="宋体" w:hAnsi="宋体" w:eastAsia="宋体" w:cs="Times New Roman"/>
                <w:color w:val="auto"/>
                <w:szCs w:val="21"/>
              </w:rPr>
            </w:pPr>
            <w:r>
              <w:rPr>
                <w:rFonts w:hint="eastAsia" w:ascii="宋体" w:hAnsi="宋体" w:eastAsia="宋体" w:cs="Times New Roman"/>
                <w:color w:val="auto"/>
                <w:szCs w:val="21"/>
              </w:rPr>
              <w:t>电子邮箱：</w:t>
            </w:r>
          </w:p>
        </w:tc>
        <w:tc>
          <w:tcPr>
            <w:tcW w:w="4517" w:type="dxa"/>
            <w:noWrap w:val="0"/>
            <w:vAlign w:val="center"/>
          </w:tcPr>
          <w:p>
            <w:pPr>
              <w:snapToGrid w:val="0"/>
              <w:spacing w:line="500" w:lineRule="exact"/>
              <w:rPr>
                <w:rFonts w:hint="eastAsia" w:ascii="宋体" w:hAnsi="宋体" w:eastAsia="宋体" w:cs="Times New Roman"/>
                <w:color w:val="auto"/>
                <w:szCs w:val="21"/>
              </w:rPr>
            </w:pPr>
            <w:r>
              <w:rPr>
                <w:rFonts w:hint="eastAsia" w:ascii="宋体" w:hAnsi="宋体" w:eastAsia="宋体" w:cs="Times New Roman"/>
                <w:color w:val="auto"/>
                <w:szCs w:val="21"/>
              </w:rPr>
              <w:t>电子邮箱：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4516" w:type="dxa"/>
            <w:noWrap w:val="0"/>
            <w:vAlign w:val="center"/>
          </w:tcPr>
          <w:p>
            <w:pPr>
              <w:snapToGrid w:val="0"/>
              <w:spacing w:line="500" w:lineRule="exact"/>
              <w:rPr>
                <w:rFonts w:hint="eastAsia" w:ascii="宋体" w:hAnsi="宋体" w:eastAsia="宋体" w:cs="Times New Roman"/>
                <w:color w:val="auto"/>
                <w:szCs w:val="21"/>
              </w:rPr>
            </w:pPr>
            <w:r>
              <w:rPr>
                <w:rFonts w:hint="eastAsia" w:ascii="宋体" w:hAnsi="宋体" w:eastAsia="宋体" w:cs="Times New Roman"/>
                <w:color w:val="auto"/>
                <w:szCs w:val="21"/>
              </w:rPr>
              <w:t>开户银行：</w:t>
            </w:r>
          </w:p>
        </w:tc>
        <w:tc>
          <w:tcPr>
            <w:tcW w:w="4517" w:type="dxa"/>
            <w:noWrap w:val="0"/>
            <w:vAlign w:val="center"/>
          </w:tcPr>
          <w:p>
            <w:pPr>
              <w:snapToGrid w:val="0"/>
              <w:spacing w:line="500" w:lineRule="exact"/>
              <w:rPr>
                <w:rFonts w:hint="eastAsia" w:ascii="宋体" w:hAnsi="宋体" w:eastAsia="宋体" w:cs="Times New Roman"/>
                <w:color w:val="auto"/>
                <w:szCs w:val="21"/>
              </w:rPr>
            </w:pPr>
            <w:r>
              <w:rPr>
                <w:rFonts w:hint="eastAsia" w:ascii="宋体" w:hAnsi="宋体" w:eastAsia="宋体" w:cs="Times New Roman"/>
                <w:color w:val="auto"/>
                <w:szCs w:val="21"/>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4516" w:type="dxa"/>
            <w:noWrap w:val="0"/>
            <w:vAlign w:val="center"/>
          </w:tcPr>
          <w:p>
            <w:pPr>
              <w:snapToGrid w:val="0"/>
              <w:spacing w:line="500" w:lineRule="exact"/>
              <w:rPr>
                <w:rFonts w:hint="eastAsia" w:ascii="宋体" w:hAnsi="宋体" w:eastAsia="宋体" w:cs="Times New Roman"/>
                <w:color w:val="auto"/>
                <w:szCs w:val="21"/>
              </w:rPr>
            </w:pPr>
            <w:r>
              <w:rPr>
                <w:rFonts w:hint="eastAsia" w:ascii="宋体" w:hAnsi="宋体" w:eastAsia="宋体" w:cs="Times New Roman"/>
                <w:color w:val="auto"/>
                <w:szCs w:val="21"/>
              </w:rPr>
              <w:t>账号：</w:t>
            </w:r>
          </w:p>
        </w:tc>
        <w:tc>
          <w:tcPr>
            <w:tcW w:w="4517" w:type="dxa"/>
            <w:noWrap w:val="0"/>
            <w:vAlign w:val="center"/>
          </w:tcPr>
          <w:p>
            <w:pPr>
              <w:snapToGrid w:val="0"/>
              <w:spacing w:line="500" w:lineRule="exact"/>
              <w:rPr>
                <w:rFonts w:hint="eastAsia" w:ascii="宋体" w:hAnsi="宋体" w:eastAsia="宋体" w:cs="Times New Roman"/>
                <w:color w:val="auto"/>
                <w:szCs w:val="21"/>
              </w:rPr>
            </w:pPr>
            <w:r>
              <w:rPr>
                <w:rFonts w:hint="eastAsia" w:ascii="宋体" w:hAnsi="宋体" w:eastAsia="宋体" w:cs="Times New Roman"/>
                <w:color w:val="auto"/>
                <w:szCs w:val="21"/>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jc w:val="center"/>
        </w:trPr>
        <w:tc>
          <w:tcPr>
            <w:tcW w:w="4516" w:type="dxa"/>
            <w:noWrap w:val="0"/>
            <w:vAlign w:val="center"/>
          </w:tcPr>
          <w:p>
            <w:pPr>
              <w:snapToGrid w:val="0"/>
              <w:spacing w:line="500" w:lineRule="exact"/>
              <w:rPr>
                <w:rFonts w:hint="eastAsia" w:ascii="宋体" w:hAnsi="宋体" w:eastAsia="宋体" w:cs="Times New Roman"/>
                <w:color w:val="auto"/>
                <w:szCs w:val="21"/>
                <w:lang w:val="en-US" w:eastAsia="zh-CN"/>
              </w:rPr>
            </w:pPr>
            <w:r>
              <w:rPr>
                <w:rFonts w:hint="eastAsia" w:ascii="宋体" w:hAnsi="宋体" w:cs="Times New Roman"/>
                <w:color w:val="auto"/>
                <w:szCs w:val="21"/>
                <w:lang w:val="en-US" w:eastAsia="zh-CN"/>
              </w:rPr>
              <w:t>纳税人识别号：</w:t>
            </w:r>
          </w:p>
        </w:tc>
        <w:tc>
          <w:tcPr>
            <w:tcW w:w="4517" w:type="dxa"/>
            <w:noWrap w:val="0"/>
            <w:vAlign w:val="center"/>
          </w:tcPr>
          <w:p>
            <w:pPr>
              <w:snapToGrid w:val="0"/>
              <w:spacing w:line="500" w:lineRule="exact"/>
              <w:rPr>
                <w:rFonts w:hint="eastAsia" w:ascii="宋体" w:hAnsi="宋体" w:eastAsia="宋体" w:cs="Times New Roman"/>
                <w:color w:val="auto"/>
                <w:szCs w:val="21"/>
              </w:rPr>
            </w:pPr>
            <w:r>
              <w:rPr>
                <w:rFonts w:hint="eastAsia" w:ascii="宋体" w:hAnsi="宋体" w:cs="Times New Roman"/>
                <w:color w:val="auto"/>
                <w:szCs w:val="21"/>
                <w:lang w:val="en-US" w:eastAsia="zh-CN"/>
              </w:rPr>
              <w:t>纳税人识别号：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jc w:val="center"/>
        </w:trPr>
        <w:tc>
          <w:tcPr>
            <w:tcW w:w="4516" w:type="dxa"/>
            <w:noWrap w:val="0"/>
            <w:vAlign w:val="center"/>
          </w:tcPr>
          <w:p>
            <w:pPr>
              <w:snapToGrid w:val="0"/>
              <w:spacing w:line="500" w:lineRule="exact"/>
              <w:rPr>
                <w:rFonts w:hint="eastAsia" w:ascii="宋体" w:hAnsi="宋体" w:eastAsia="宋体" w:cs="Times New Roman"/>
                <w:color w:val="auto"/>
                <w:szCs w:val="21"/>
              </w:rPr>
            </w:pPr>
            <w:r>
              <w:rPr>
                <w:rFonts w:hint="eastAsia" w:ascii="宋体" w:hAnsi="宋体" w:eastAsia="宋体" w:cs="Times New Roman"/>
                <w:color w:val="auto"/>
                <w:szCs w:val="21"/>
              </w:rPr>
              <w:t>邮政编码：</w:t>
            </w:r>
          </w:p>
        </w:tc>
        <w:tc>
          <w:tcPr>
            <w:tcW w:w="4517" w:type="dxa"/>
            <w:noWrap w:val="0"/>
            <w:vAlign w:val="center"/>
          </w:tcPr>
          <w:p>
            <w:pPr>
              <w:snapToGrid w:val="0"/>
              <w:spacing w:line="500" w:lineRule="exact"/>
              <w:rPr>
                <w:rFonts w:hint="eastAsia" w:ascii="宋体" w:hAnsi="宋体" w:eastAsia="宋体" w:cs="Times New Roman"/>
                <w:color w:val="auto"/>
                <w:szCs w:val="21"/>
              </w:rPr>
            </w:pPr>
            <w:r>
              <w:rPr>
                <w:rFonts w:hint="eastAsia" w:ascii="宋体" w:hAnsi="宋体" w:eastAsia="宋体" w:cs="Times New Roman"/>
                <w:color w:val="auto"/>
                <w:szCs w:val="21"/>
              </w:rPr>
              <w:t>邮政编码：</w:t>
            </w:r>
          </w:p>
        </w:tc>
      </w:tr>
    </w:tbl>
    <w:p>
      <w:pPr>
        <w:rPr>
          <w:rFonts w:cs="仿宋_GB2312"/>
          <w:b/>
          <w:color w:val="auto"/>
          <w:sz w:val="44"/>
          <w:szCs w:val="44"/>
        </w:rPr>
      </w:pPr>
      <w:r>
        <w:rPr>
          <w:rFonts w:cs="仿宋_GB2312"/>
          <w:b/>
          <w:color w:val="auto"/>
          <w:sz w:val="44"/>
          <w:szCs w:val="44"/>
        </w:rPr>
        <w:br w:type="page"/>
      </w:r>
    </w:p>
    <w:p>
      <w:pPr>
        <w:pStyle w:val="2"/>
        <w:rPr>
          <w:color w:val="auto"/>
        </w:rPr>
      </w:pPr>
    </w:p>
    <w:p>
      <w:pPr>
        <w:tabs>
          <w:tab w:val="left" w:pos="3261"/>
        </w:tabs>
        <w:spacing w:line="360" w:lineRule="auto"/>
        <w:contextualSpacing/>
        <w:jc w:val="center"/>
        <w:rPr>
          <w:rFonts w:cs="仿宋_GB2312"/>
          <w:b/>
          <w:color w:val="auto"/>
          <w:sz w:val="44"/>
          <w:szCs w:val="44"/>
        </w:rPr>
      </w:pPr>
    </w:p>
    <w:p>
      <w:pPr>
        <w:tabs>
          <w:tab w:val="left" w:pos="3261"/>
        </w:tabs>
        <w:spacing w:line="360" w:lineRule="auto"/>
        <w:contextualSpacing/>
        <w:jc w:val="center"/>
        <w:rPr>
          <w:rFonts w:cs="仿宋_GB2312"/>
          <w:b/>
          <w:color w:val="auto"/>
          <w:sz w:val="44"/>
          <w:szCs w:val="44"/>
        </w:rPr>
      </w:pPr>
    </w:p>
    <w:p>
      <w:pPr>
        <w:tabs>
          <w:tab w:val="left" w:pos="3261"/>
        </w:tabs>
        <w:spacing w:line="360" w:lineRule="auto"/>
        <w:contextualSpacing/>
        <w:jc w:val="center"/>
        <w:rPr>
          <w:rFonts w:cs="仿宋_GB2312"/>
          <w:b/>
          <w:color w:val="auto"/>
          <w:sz w:val="44"/>
          <w:szCs w:val="44"/>
        </w:rPr>
      </w:pPr>
    </w:p>
    <w:p>
      <w:pPr>
        <w:pStyle w:val="2"/>
        <w:jc w:val="center"/>
        <w:rPr>
          <w:rFonts w:hint="eastAsia" w:cs="仿宋_GB2312"/>
          <w:b w:val="0"/>
          <w:color w:val="auto"/>
        </w:rPr>
      </w:pPr>
      <w:bookmarkStart w:id="209" w:name="_Toc8963"/>
      <w:bookmarkStart w:id="210" w:name="_Toc13011"/>
      <w:bookmarkStart w:id="211" w:name="_Toc80886951"/>
      <w:bookmarkStart w:id="212" w:name="_Toc20915"/>
      <w:bookmarkStart w:id="213" w:name="_Toc178"/>
      <w:bookmarkStart w:id="214" w:name="_Toc610"/>
      <w:bookmarkStart w:id="215" w:name="_Toc28283"/>
      <w:bookmarkStart w:id="216" w:name="_Toc29624"/>
    </w:p>
    <w:p>
      <w:pPr>
        <w:pStyle w:val="2"/>
        <w:jc w:val="center"/>
        <w:rPr>
          <w:rFonts w:hint="eastAsia" w:cs="仿宋_GB2312"/>
          <w:b w:val="0"/>
          <w:color w:val="auto"/>
        </w:rPr>
      </w:pPr>
    </w:p>
    <w:p>
      <w:pPr>
        <w:pStyle w:val="2"/>
        <w:jc w:val="center"/>
        <w:rPr>
          <w:rFonts w:hint="eastAsia" w:cs="仿宋_GB2312"/>
          <w:color w:val="auto"/>
        </w:rPr>
        <w:sectPr>
          <w:pgSz w:w="11911" w:h="16838"/>
          <w:pgMar w:top="1134" w:right="1134" w:bottom="1134" w:left="1134" w:header="720" w:footer="720" w:gutter="0"/>
          <w:cols w:space="720" w:num="1"/>
        </w:sectPr>
      </w:pPr>
      <w:r>
        <w:rPr>
          <w:rFonts w:hint="eastAsia" w:cs="仿宋_GB2312"/>
          <w:b w:val="0"/>
          <w:color w:val="auto"/>
        </w:rPr>
        <w:t>第七章 质疑、投诉材料格式</w:t>
      </w:r>
      <w:bookmarkEnd w:id="209"/>
      <w:bookmarkEnd w:id="210"/>
      <w:bookmarkEnd w:id="211"/>
      <w:bookmarkEnd w:id="212"/>
      <w:bookmarkEnd w:id="213"/>
      <w:bookmarkEnd w:id="214"/>
      <w:bookmarkEnd w:id="215"/>
      <w:bookmarkEnd w:id="216"/>
    </w:p>
    <w:p>
      <w:pPr>
        <w:spacing w:line="360" w:lineRule="auto"/>
        <w:jc w:val="center"/>
        <w:rPr>
          <w:rFonts w:hint="eastAsia"/>
          <w:b/>
          <w:bCs/>
          <w:color w:val="auto"/>
          <w:sz w:val="32"/>
          <w:szCs w:val="32"/>
        </w:rPr>
      </w:pPr>
      <w:r>
        <w:rPr>
          <w:rFonts w:hint="eastAsia"/>
          <w:b/>
          <w:bCs/>
          <w:color w:val="auto"/>
          <w:sz w:val="32"/>
          <w:szCs w:val="32"/>
        </w:rPr>
        <w:t>质疑函（格式）</w:t>
      </w:r>
    </w:p>
    <w:p>
      <w:pPr>
        <w:spacing w:line="360" w:lineRule="auto"/>
        <w:ind w:firstLine="482" w:firstLineChars="200"/>
        <w:contextualSpacing/>
        <w:rPr>
          <w:rFonts w:hint="eastAsia" w:ascii="宋体" w:hAnsi="宋体" w:cs="宋体"/>
          <w:b/>
          <w:bCs/>
          <w:color w:val="auto"/>
          <w:kern w:val="0"/>
          <w:sz w:val="24"/>
        </w:rPr>
      </w:pPr>
      <w:r>
        <w:rPr>
          <w:rFonts w:hint="eastAsia" w:ascii="宋体" w:hAnsi="宋体" w:cs="宋体"/>
          <w:b/>
          <w:bCs/>
          <w:color w:val="auto"/>
          <w:kern w:val="0"/>
          <w:sz w:val="24"/>
        </w:rPr>
        <w:t>一、质疑供应商基本信息：</w:t>
      </w:r>
    </w:p>
    <w:p>
      <w:pPr>
        <w:spacing w:line="360" w:lineRule="auto"/>
        <w:ind w:firstLine="480" w:firstLineChars="200"/>
        <w:contextualSpacing/>
        <w:rPr>
          <w:rFonts w:hint="eastAsia" w:ascii="宋体" w:hAnsi="宋体" w:cs="宋体"/>
          <w:bCs/>
          <w:color w:val="auto"/>
          <w:kern w:val="0"/>
          <w:sz w:val="24"/>
          <w:u w:val="single"/>
        </w:rPr>
      </w:pPr>
      <w:r>
        <w:rPr>
          <w:rFonts w:hint="eastAsia" w:ascii="宋体" w:hAnsi="宋体" w:cs="宋体"/>
          <w:bCs/>
          <w:color w:val="auto"/>
          <w:kern w:val="0"/>
          <w:sz w:val="24"/>
        </w:rPr>
        <w:t>质疑供应商：</w:t>
      </w:r>
      <w:r>
        <w:rPr>
          <w:rFonts w:hint="eastAsia" w:ascii="宋体" w:hAnsi="宋体" w:cs="宋体"/>
          <w:bCs/>
          <w:color w:val="auto"/>
          <w:kern w:val="0"/>
          <w:sz w:val="24"/>
          <w:u w:val="single"/>
        </w:rPr>
        <w:t xml:space="preserve">                                       </w:t>
      </w:r>
      <w:r>
        <w:rPr>
          <w:rFonts w:hint="eastAsia" w:ascii="宋体" w:hAnsi="宋体" w:cs="宋体"/>
          <w:bCs/>
          <w:color w:val="auto"/>
          <w:kern w:val="0"/>
          <w:sz w:val="24"/>
        </w:rPr>
        <w:t xml:space="preserve">                 </w:t>
      </w:r>
    </w:p>
    <w:p>
      <w:pPr>
        <w:spacing w:line="360" w:lineRule="auto"/>
        <w:ind w:firstLine="480" w:firstLineChars="200"/>
        <w:contextualSpacing/>
        <w:rPr>
          <w:rFonts w:hint="eastAsia" w:ascii="宋体" w:hAnsi="宋体" w:cs="宋体"/>
          <w:bCs/>
          <w:color w:val="auto"/>
          <w:kern w:val="0"/>
          <w:sz w:val="24"/>
        </w:rPr>
      </w:pPr>
      <w:r>
        <w:rPr>
          <w:rFonts w:hint="eastAsia" w:ascii="宋体" w:hAnsi="宋体" w:cs="宋体"/>
          <w:bCs/>
          <w:color w:val="auto"/>
          <w:kern w:val="0"/>
          <w:sz w:val="24"/>
        </w:rPr>
        <w:t>地址：</w:t>
      </w:r>
      <w:r>
        <w:rPr>
          <w:rFonts w:hint="eastAsia" w:ascii="宋体" w:hAnsi="宋体" w:cs="宋体"/>
          <w:bCs/>
          <w:color w:val="auto"/>
          <w:kern w:val="0"/>
          <w:sz w:val="24"/>
          <w:u w:val="single"/>
        </w:rPr>
        <w:t xml:space="preserve">                                          </w:t>
      </w:r>
      <w:r>
        <w:rPr>
          <w:rFonts w:hint="eastAsia" w:ascii="宋体" w:hAnsi="宋体" w:cs="宋体"/>
          <w:bCs/>
          <w:color w:val="auto"/>
          <w:kern w:val="0"/>
          <w:sz w:val="24"/>
        </w:rPr>
        <w:t>邮编：</w:t>
      </w:r>
      <w:r>
        <w:rPr>
          <w:rFonts w:hint="eastAsia" w:ascii="宋体" w:hAnsi="宋体" w:cs="宋体"/>
          <w:bCs/>
          <w:color w:val="auto"/>
          <w:kern w:val="0"/>
          <w:sz w:val="24"/>
          <w:u w:val="single"/>
        </w:rPr>
        <w:t xml:space="preserve">                  </w:t>
      </w:r>
      <w:r>
        <w:rPr>
          <w:rFonts w:hint="eastAsia" w:ascii="宋体" w:hAnsi="宋体" w:cs="宋体"/>
          <w:bCs/>
          <w:color w:val="auto"/>
          <w:kern w:val="0"/>
          <w:sz w:val="24"/>
        </w:rPr>
        <w:t xml:space="preserve">                 </w:t>
      </w:r>
    </w:p>
    <w:p>
      <w:pPr>
        <w:spacing w:line="360" w:lineRule="auto"/>
        <w:ind w:firstLine="480" w:firstLineChars="200"/>
        <w:contextualSpacing/>
        <w:rPr>
          <w:rFonts w:hint="eastAsia" w:ascii="宋体" w:hAnsi="宋体" w:cs="宋体"/>
          <w:bCs/>
          <w:color w:val="auto"/>
          <w:kern w:val="0"/>
          <w:sz w:val="24"/>
        </w:rPr>
      </w:pPr>
      <w:r>
        <w:rPr>
          <w:rFonts w:hint="eastAsia" w:ascii="宋体" w:hAnsi="宋体" w:cs="宋体"/>
          <w:bCs/>
          <w:color w:val="auto"/>
          <w:kern w:val="0"/>
          <w:sz w:val="24"/>
        </w:rPr>
        <w:t>联系人：</w:t>
      </w:r>
      <w:r>
        <w:rPr>
          <w:rFonts w:hint="eastAsia" w:ascii="宋体" w:hAnsi="宋体" w:cs="宋体"/>
          <w:bCs/>
          <w:color w:val="auto"/>
          <w:kern w:val="0"/>
          <w:sz w:val="24"/>
          <w:u w:val="single"/>
        </w:rPr>
        <w:t xml:space="preserve">                     </w:t>
      </w:r>
      <w:r>
        <w:rPr>
          <w:rFonts w:hint="eastAsia" w:ascii="宋体" w:hAnsi="宋体" w:cs="宋体"/>
          <w:bCs/>
          <w:color w:val="auto"/>
          <w:kern w:val="0"/>
          <w:sz w:val="24"/>
        </w:rPr>
        <w:t>联系电话：</w:t>
      </w:r>
      <w:r>
        <w:rPr>
          <w:rFonts w:hint="eastAsia" w:ascii="宋体" w:hAnsi="宋体" w:cs="宋体"/>
          <w:bCs/>
          <w:color w:val="auto"/>
          <w:kern w:val="0"/>
          <w:sz w:val="24"/>
          <w:u w:val="single"/>
        </w:rPr>
        <w:t xml:space="preserve">                 </w:t>
      </w:r>
    </w:p>
    <w:p>
      <w:pPr>
        <w:spacing w:line="360" w:lineRule="auto"/>
        <w:ind w:firstLine="480" w:firstLineChars="200"/>
        <w:contextualSpacing/>
        <w:rPr>
          <w:rFonts w:hint="eastAsia" w:ascii="宋体" w:hAnsi="宋体" w:cs="宋体"/>
          <w:bCs/>
          <w:color w:val="auto"/>
          <w:kern w:val="0"/>
          <w:sz w:val="24"/>
        </w:rPr>
      </w:pPr>
      <w:r>
        <w:rPr>
          <w:rFonts w:hint="eastAsia" w:ascii="宋体" w:hAnsi="宋体" w:cs="宋体"/>
          <w:bCs/>
          <w:color w:val="auto"/>
          <w:kern w:val="0"/>
          <w:sz w:val="24"/>
        </w:rPr>
        <w:t>授权代表：</w:t>
      </w:r>
      <w:r>
        <w:rPr>
          <w:rFonts w:hint="eastAsia" w:ascii="宋体" w:hAnsi="宋体" w:cs="宋体"/>
          <w:bCs/>
          <w:color w:val="auto"/>
          <w:kern w:val="0"/>
          <w:sz w:val="24"/>
          <w:u w:val="single"/>
        </w:rPr>
        <w:t xml:space="preserve">                      </w:t>
      </w:r>
    </w:p>
    <w:p>
      <w:pPr>
        <w:spacing w:line="360" w:lineRule="auto"/>
        <w:ind w:firstLine="480" w:firstLineChars="200"/>
        <w:contextualSpacing/>
        <w:rPr>
          <w:rFonts w:hint="eastAsia" w:ascii="宋体" w:hAnsi="宋体" w:cs="宋体"/>
          <w:bCs/>
          <w:color w:val="auto"/>
          <w:kern w:val="0"/>
          <w:sz w:val="24"/>
          <w:u w:val="single"/>
        </w:rPr>
      </w:pPr>
      <w:r>
        <w:rPr>
          <w:rFonts w:hint="eastAsia" w:ascii="宋体" w:hAnsi="宋体" w:cs="宋体"/>
          <w:bCs/>
          <w:color w:val="auto"/>
          <w:kern w:val="0"/>
          <w:sz w:val="24"/>
        </w:rPr>
        <w:t>联系电话：</w:t>
      </w:r>
      <w:r>
        <w:rPr>
          <w:rFonts w:hint="eastAsia" w:ascii="宋体" w:hAnsi="宋体" w:cs="宋体"/>
          <w:bCs/>
          <w:color w:val="auto"/>
          <w:kern w:val="0"/>
          <w:sz w:val="24"/>
          <w:u w:val="single"/>
        </w:rPr>
        <w:t xml:space="preserve">                      </w:t>
      </w:r>
    </w:p>
    <w:p>
      <w:pPr>
        <w:spacing w:line="360" w:lineRule="auto"/>
        <w:ind w:firstLine="480" w:firstLineChars="200"/>
        <w:contextualSpacing/>
        <w:rPr>
          <w:rFonts w:hint="eastAsia" w:ascii="宋体" w:hAnsi="宋体" w:cs="宋体"/>
          <w:bCs/>
          <w:color w:val="auto"/>
          <w:kern w:val="0"/>
          <w:sz w:val="24"/>
        </w:rPr>
      </w:pPr>
      <w:r>
        <w:rPr>
          <w:rFonts w:hint="eastAsia" w:ascii="宋体" w:hAnsi="宋体" w:cs="宋体"/>
          <w:bCs/>
          <w:color w:val="auto"/>
          <w:kern w:val="0"/>
          <w:sz w:val="24"/>
        </w:rPr>
        <w:t>地址：</w:t>
      </w:r>
      <w:r>
        <w:rPr>
          <w:rFonts w:hint="eastAsia" w:ascii="宋体" w:hAnsi="宋体" w:cs="宋体"/>
          <w:bCs/>
          <w:color w:val="auto"/>
          <w:kern w:val="0"/>
          <w:sz w:val="24"/>
          <w:u w:val="single"/>
        </w:rPr>
        <w:t xml:space="preserve">                 </w:t>
      </w:r>
      <w:r>
        <w:rPr>
          <w:rFonts w:hint="eastAsia" w:ascii="宋体" w:hAnsi="宋体" w:cs="宋体"/>
          <w:bCs/>
          <w:color w:val="auto"/>
          <w:kern w:val="0"/>
          <w:sz w:val="24"/>
        </w:rPr>
        <w:t>邮编：</w:t>
      </w:r>
      <w:r>
        <w:rPr>
          <w:rFonts w:hint="eastAsia" w:ascii="宋体" w:hAnsi="宋体" w:cs="宋体"/>
          <w:bCs/>
          <w:color w:val="auto"/>
          <w:kern w:val="0"/>
          <w:sz w:val="24"/>
          <w:u w:val="single"/>
        </w:rPr>
        <w:t xml:space="preserve">                  </w:t>
      </w:r>
      <w:r>
        <w:rPr>
          <w:rFonts w:hint="eastAsia" w:ascii="宋体" w:hAnsi="宋体" w:cs="宋体"/>
          <w:bCs/>
          <w:color w:val="auto"/>
          <w:kern w:val="0"/>
          <w:sz w:val="24"/>
        </w:rPr>
        <w:t xml:space="preserve">     </w:t>
      </w:r>
    </w:p>
    <w:p>
      <w:pPr>
        <w:spacing w:line="360" w:lineRule="auto"/>
        <w:ind w:firstLine="482" w:firstLineChars="200"/>
        <w:contextualSpacing/>
        <w:rPr>
          <w:rFonts w:hint="eastAsia" w:ascii="宋体" w:hAnsi="宋体" w:cs="宋体"/>
          <w:b/>
          <w:bCs/>
          <w:color w:val="auto"/>
          <w:kern w:val="0"/>
          <w:sz w:val="24"/>
        </w:rPr>
      </w:pPr>
      <w:r>
        <w:rPr>
          <w:rFonts w:hint="eastAsia" w:ascii="宋体" w:hAnsi="宋体" w:cs="宋体"/>
          <w:b/>
          <w:bCs/>
          <w:color w:val="auto"/>
          <w:kern w:val="0"/>
          <w:sz w:val="24"/>
        </w:rPr>
        <w:t>二、质疑项目基本情况：</w:t>
      </w:r>
    </w:p>
    <w:p>
      <w:pPr>
        <w:spacing w:line="360" w:lineRule="auto"/>
        <w:ind w:left="25" w:leftChars="12" w:firstLine="472" w:firstLineChars="197"/>
        <w:contextualSpacing/>
        <w:rPr>
          <w:rFonts w:hint="eastAsia" w:ascii="宋体" w:hAnsi="宋体" w:cs="宋体"/>
          <w:color w:val="auto"/>
          <w:kern w:val="0"/>
          <w:sz w:val="24"/>
        </w:rPr>
      </w:pPr>
      <w:r>
        <w:rPr>
          <w:rFonts w:hint="eastAsia" w:ascii="宋体" w:hAnsi="宋体" w:cs="宋体"/>
          <w:bCs/>
          <w:color w:val="auto"/>
          <w:kern w:val="0"/>
          <w:sz w:val="24"/>
        </w:rPr>
        <w:t>质疑</w:t>
      </w:r>
      <w:r>
        <w:rPr>
          <w:rFonts w:hint="eastAsia" w:ascii="宋体" w:hAnsi="宋体" w:cs="宋体"/>
          <w:color w:val="auto"/>
          <w:kern w:val="0"/>
          <w:sz w:val="24"/>
        </w:rPr>
        <w:t>项目的名称：</w:t>
      </w:r>
      <w:r>
        <w:rPr>
          <w:rFonts w:hint="eastAsia" w:ascii="宋体" w:hAnsi="宋体" w:cs="宋体"/>
          <w:bCs/>
          <w:color w:val="auto"/>
          <w:kern w:val="0"/>
          <w:sz w:val="24"/>
          <w:u w:val="single"/>
        </w:rPr>
        <w:t xml:space="preserve">                                     </w:t>
      </w:r>
    </w:p>
    <w:p>
      <w:pPr>
        <w:spacing w:line="360" w:lineRule="auto"/>
        <w:ind w:left="25" w:leftChars="12" w:firstLine="472" w:firstLineChars="197"/>
        <w:contextualSpacing/>
        <w:rPr>
          <w:rFonts w:hint="eastAsia" w:ascii="宋体" w:hAnsi="宋体" w:cs="宋体"/>
          <w:color w:val="auto"/>
          <w:kern w:val="0"/>
          <w:sz w:val="24"/>
        </w:rPr>
      </w:pPr>
      <w:r>
        <w:rPr>
          <w:rFonts w:hint="eastAsia" w:ascii="宋体" w:hAnsi="宋体" w:cs="宋体"/>
          <w:bCs/>
          <w:color w:val="auto"/>
          <w:kern w:val="0"/>
          <w:sz w:val="24"/>
        </w:rPr>
        <w:t>质疑</w:t>
      </w:r>
      <w:r>
        <w:rPr>
          <w:rFonts w:hint="eastAsia" w:ascii="宋体" w:hAnsi="宋体" w:cs="宋体"/>
          <w:color w:val="auto"/>
          <w:kern w:val="0"/>
          <w:sz w:val="24"/>
        </w:rPr>
        <w:t>项目的编号：</w:t>
      </w:r>
      <w:r>
        <w:rPr>
          <w:rFonts w:hint="eastAsia" w:ascii="宋体" w:hAnsi="宋体" w:cs="宋体"/>
          <w:bCs/>
          <w:color w:val="auto"/>
          <w:kern w:val="0"/>
          <w:sz w:val="24"/>
          <w:u w:val="single"/>
        </w:rPr>
        <w:t xml:space="preserve">                                     </w:t>
      </w:r>
    </w:p>
    <w:p>
      <w:pPr>
        <w:spacing w:line="360" w:lineRule="auto"/>
        <w:ind w:left="25" w:leftChars="12" w:firstLine="472" w:firstLineChars="197"/>
        <w:contextualSpacing/>
        <w:rPr>
          <w:rFonts w:hint="eastAsia" w:ascii="宋体" w:hAnsi="宋体" w:cs="宋体"/>
          <w:color w:val="auto"/>
          <w:kern w:val="0"/>
          <w:sz w:val="24"/>
        </w:rPr>
      </w:pPr>
      <w:r>
        <w:rPr>
          <w:rFonts w:hint="eastAsia" w:ascii="宋体" w:hAnsi="宋体" w:cs="宋体"/>
          <w:color w:val="auto"/>
          <w:kern w:val="0"/>
          <w:sz w:val="24"/>
        </w:rPr>
        <w:t>采购人名称：</w:t>
      </w:r>
      <w:r>
        <w:rPr>
          <w:rFonts w:hint="eastAsia" w:ascii="宋体" w:hAnsi="宋体" w:cs="宋体"/>
          <w:bCs/>
          <w:color w:val="auto"/>
          <w:kern w:val="0"/>
          <w:sz w:val="24"/>
          <w:u w:val="single"/>
        </w:rPr>
        <w:t xml:space="preserve">                                         </w:t>
      </w:r>
    </w:p>
    <w:p>
      <w:pPr>
        <w:spacing w:line="360" w:lineRule="auto"/>
        <w:ind w:left="25" w:leftChars="12" w:firstLine="472" w:firstLineChars="197"/>
        <w:contextualSpacing/>
        <w:rPr>
          <w:rFonts w:hint="eastAsia" w:ascii="宋体" w:hAnsi="宋体" w:cs="宋体"/>
          <w:color w:val="auto"/>
          <w:kern w:val="0"/>
          <w:sz w:val="24"/>
        </w:rPr>
      </w:pPr>
      <w:r>
        <w:rPr>
          <w:rFonts w:hint="eastAsia" w:ascii="宋体" w:hAnsi="宋体" w:cs="宋体"/>
          <w:color w:val="auto"/>
          <w:kern w:val="0"/>
          <w:sz w:val="24"/>
        </w:rPr>
        <w:t>质疑事项：</w:t>
      </w:r>
    </w:p>
    <w:p>
      <w:pPr>
        <w:spacing w:line="360" w:lineRule="auto"/>
        <w:ind w:left="25" w:leftChars="12" w:firstLine="352" w:firstLineChars="147"/>
        <w:contextualSpacing/>
        <w:rPr>
          <w:rFonts w:hint="eastAsia" w:ascii="宋体" w:hAnsi="宋体" w:cs="宋体"/>
          <w:color w:val="auto"/>
          <w:kern w:val="0"/>
          <w:sz w:val="24"/>
        </w:rPr>
      </w:pPr>
      <w:r>
        <w:rPr>
          <w:rFonts w:hint="eastAsia" w:ascii="宋体" w:hAnsi="宋体" w:cs="宋体"/>
          <w:color w:val="auto"/>
          <w:kern w:val="0"/>
          <w:sz w:val="24"/>
        </w:rPr>
        <w:t>□采购文件   采购文件获取日期：</w:t>
      </w:r>
      <w:r>
        <w:rPr>
          <w:rFonts w:hint="eastAsia" w:ascii="宋体" w:hAnsi="宋体" w:cs="宋体"/>
          <w:bCs/>
          <w:color w:val="auto"/>
          <w:kern w:val="0"/>
          <w:sz w:val="24"/>
          <w:u w:val="single"/>
        </w:rPr>
        <w:t xml:space="preserve">                                   </w:t>
      </w:r>
    </w:p>
    <w:p>
      <w:pPr>
        <w:spacing w:line="360" w:lineRule="auto"/>
        <w:ind w:left="25" w:leftChars="12" w:firstLine="352" w:firstLineChars="147"/>
        <w:contextualSpacing/>
        <w:rPr>
          <w:rFonts w:hint="eastAsia" w:ascii="宋体" w:hAnsi="宋体" w:cs="宋体"/>
          <w:color w:val="auto"/>
          <w:kern w:val="0"/>
          <w:sz w:val="24"/>
        </w:rPr>
      </w:pPr>
      <w:r>
        <w:rPr>
          <w:rFonts w:hint="eastAsia" w:ascii="宋体" w:hAnsi="宋体" w:cs="宋体"/>
          <w:color w:val="auto"/>
          <w:kern w:val="0"/>
          <w:sz w:val="24"/>
        </w:rPr>
        <w:t xml:space="preserve">□采购过程   </w:t>
      </w:r>
    </w:p>
    <w:p>
      <w:pPr>
        <w:spacing w:line="360" w:lineRule="auto"/>
        <w:ind w:left="25" w:leftChars="12" w:firstLine="352" w:firstLineChars="147"/>
        <w:contextualSpacing/>
        <w:rPr>
          <w:rFonts w:hint="eastAsia" w:ascii="宋体" w:hAnsi="宋体" w:cs="宋体"/>
          <w:bCs/>
          <w:color w:val="auto"/>
          <w:kern w:val="0"/>
          <w:sz w:val="24"/>
          <w:u w:val="single"/>
        </w:rPr>
      </w:pPr>
      <w:r>
        <w:rPr>
          <w:rFonts w:hint="eastAsia" w:ascii="宋体" w:hAnsi="宋体" w:cs="宋体"/>
          <w:color w:val="auto"/>
          <w:kern w:val="0"/>
          <w:sz w:val="24"/>
        </w:rPr>
        <w:t xml:space="preserve">□成交结果   </w:t>
      </w:r>
    </w:p>
    <w:p>
      <w:pPr>
        <w:spacing w:line="360" w:lineRule="auto"/>
        <w:ind w:left="25" w:leftChars="12" w:firstLine="472" w:firstLineChars="196"/>
        <w:contextualSpacing/>
        <w:rPr>
          <w:rFonts w:hint="eastAsia" w:ascii="宋体" w:hAnsi="宋体" w:cs="宋体"/>
          <w:b/>
          <w:color w:val="auto"/>
          <w:kern w:val="0"/>
          <w:sz w:val="24"/>
        </w:rPr>
      </w:pPr>
      <w:r>
        <w:rPr>
          <w:rFonts w:hint="eastAsia" w:ascii="宋体" w:hAnsi="宋体" w:cs="宋体"/>
          <w:b/>
          <w:color w:val="auto"/>
          <w:kern w:val="0"/>
          <w:sz w:val="24"/>
        </w:rPr>
        <w:t>三、质疑事项具体内容</w:t>
      </w:r>
    </w:p>
    <w:p>
      <w:pPr>
        <w:spacing w:line="360" w:lineRule="auto"/>
        <w:ind w:left="25" w:leftChars="12" w:firstLine="472" w:firstLineChars="197"/>
        <w:contextualSpacing/>
        <w:rPr>
          <w:rFonts w:hint="eastAsia" w:ascii="宋体" w:hAnsi="宋体" w:cs="宋体"/>
          <w:color w:val="auto"/>
          <w:kern w:val="0"/>
          <w:sz w:val="24"/>
        </w:rPr>
      </w:pPr>
      <w:r>
        <w:rPr>
          <w:rFonts w:hint="eastAsia" w:ascii="宋体" w:hAnsi="宋体" w:cs="宋体"/>
          <w:color w:val="auto"/>
          <w:kern w:val="0"/>
          <w:sz w:val="24"/>
        </w:rPr>
        <w:t>质疑事项1：</w:t>
      </w:r>
      <w:r>
        <w:rPr>
          <w:rFonts w:hint="eastAsia" w:ascii="宋体" w:hAnsi="宋体" w:cs="宋体"/>
          <w:bCs/>
          <w:color w:val="auto"/>
          <w:kern w:val="0"/>
          <w:sz w:val="24"/>
          <w:u w:val="single"/>
        </w:rPr>
        <w:t xml:space="preserve">                                                                    </w:t>
      </w:r>
    </w:p>
    <w:p>
      <w:pPr>
        <w:spacing w:line="360" w:lineRule="auto"/>
        <w:ind w:left="25" w:leftChars="12" w:firstLine="472" w:firstLineChars="197"/>
        <w:contextualSpacing/>
        <w:rPr>
          <w:rFonts w:hint="eastAsia" w:ascii="宋体" w:hAnsi="宋体" w:cs="宋体"/>
          <w:color w:val="auto"/>
          <w:kern w:val="0"/>
          <w:sz w:val="24"/>
        </w:rPr>
      </w:pPr>
      <w:r>
        <w:rPr>
          <w:rFonts w:hint="eastAsia" w:ascii="宋体" w:hAnsi="宋体" w:cs="宋体"/>
          <w:color w:val="auto"/>
          <w:kern w:val="0"/>
          <w:sz w:val="24"/>
        </w:rPr>
        <w:t>事实依据：</w:t>
      </w:r>
      <w:r>
        <w:rPr>
          <w:rFonts w:hint="eastAsia" w:ascii="宋体" w:hAnsi="宋体" w:cs="宋体"/>
          <w:bCs/>
          <w:color w:val="auto"/>
          <w:kern w:val="0"/>
          <w:sz w:val="24"/>
          <w:u w:val="single"/>
        </w:rPr>
        <w:t xml:space="preserve">                                                                      </w:t>
      </w:r>
    </w:p>
    <w:p>
      <w:pPr>
        <w:spacing w:line="360" w:lineRule="auto"/>
        <w:ind w:left="25" w:leftChars="12" w:firstLine="472" w:firstLineChars="197"/>
        <w:contextualSpacing/>
        <w:rPr>
          <w:rFonts w:hint="eastAsia" w:ascii="宋体" w:hAnsi="宋体" w:cs="宋体"/>
          <w:color w:val="auto"/>
          <w:kern w:val="0"/>
          <w:sz w:val="24"/>
        </w:rPr>
      </w:pPr>
      <w:r>
        <w:rPr>
          <w:rFonts w:hint="eastAsia" w:ascii="宋体" w:hAnsi="宋体" w:cs="宋体"/>
          <w:color w:val="auto"/>
          <w:kern w:val="0"/>
          <w:sz w:val="24"/>
        </w:rPr>
        <w:t>法律依据：</w:t>
      </w:r>
      <w:r>
        <w:rPr>
          <w:rFonts w:hint="eastAsia" w:ascii="宋体" w:hAnsi="宋体" w:cs="宋体"/>
          <w:color w:val="auto"/>
          <w:kern w:val="0"/>
          <w:sz w:val="24"/>
          <w:u w:val="single"/>
        </w:rPr>
        <w:t xml:space="preserve">                                                        </w:t>
      </w:r>
      <w:r>
        <w:rPr>
          <w:rFonts w:hint="eastAsia" w:ascii="宋体" w:hAnsi="宋体" w:cs="宋体"/>
          <w:bCs/>
          <w:color w:val="auto"/>
          <w:kern w:val="0"/>
          <w:sz w:val="24"/>
          <w:u w:val="single"/>
        </w:rPr>
        <w:t xml:space="preserve">               </w:t>
      </w:r>
    </w:p>
    <w:p>
      <w:pPr>
        <w:spacing w:line="360" w:lineRule="auto"/>
        <w:ind w:left="25" w:leftChars="12" w:firstLine="472" w:firstLineChars="197"/>
        <w:contextualSpacing/>
        <w:rPr>
          <w:rFonts w:hint="eastAsia" w:ascii="宋体" w:hAnsi="宋体" w:cs="宋体"/>
          <w:color w:val="auto"/>
          <w:kern w:val="0"/>
          <w:sz w:val="24"/>
        </w:rPr>
      </w:pPr>
      <w:r>
        <w:rPr>
          <w:rFonts w:hint="eastAsia" w:ascii="宋体" w:hAnsi="宋体" w:cs="宋体"/>
          <w:color w:val="auto"/>
          <w:kern w:val="0"/>
          <w:sz w:val="24"/>
        </w:rPr>
        <w:t>质疑事项2</w:t>
      </w:r>
    </w:p>
    <w:p>
      <w:pPr>
        <w:spacing w:line="360" w:lineRule="auto"/>
        <w:ind w:left="25" w:leftChars="12" w:firstLine="472" w:firstLineChars="197"/>
        <w:contextualSpacing/>
        <w:rPr>
          <w:rFonts w:hint="eastAsia" w:ascii="宋体" w:hAnsi="宋体" w:cs="宋体"/>
          <w:color w:val="auto"/>
          <w:kern w:val="0"/>
          <w:sz w:val="24"/>
        </w:rPr>
      </w:pPr>
      <w:r>
        <w:rPr>
          <w:rFonts w:hint="eastAsia" w:ascii="宋体" w:hAnsi="宋体" w:cs="宋体"/>
          <w:color w:val="auto"/>
          <w:kern w:val="0"/>
          <w:sz w:val="24"/>
        </w:rPr>
        <w:t>……</w:t>
      </w:r>
    </w:p>
    <w:p>
      <w:pPr>
        <w:spacing w:line="360" w:lineRule="auto"/>
        <w:ind w:left="25" w:leftChars="12" w:firstLine="472" w:firstLineChars="197"/>
        <w:contextualSpacing/>
        <w:rPr>
          <w:rFonts w:hint="eastAsia" w:ascii="宋体" w:hAnsi="宋体" w:cs="宋体"/>
          <w:color w:val="auto"/>
          <w:kern w:val="0"/>
          <w:sz w:val="24"/>
        </w:rPr>
      </w:pPr>
      <w:r>
        <w:rPr>
          <w:rFonts w:hint="eastAsia" w:ascii="宋体" w:hAnsi="宋体" w:cs="宋体"/>
          <w:color w:val="auto"/>
          <w:kern w:val="0"/>
          <w:sz w:val="24"/>
        </w:rPr>
        <w:t>四、与质疑事项相关的质疑请求：</w:t>
      </w:r>
    </w:p>
    <w:p>
      <w:pPr>
        <w:spacing w:line="360" w:lineRule="auto"/>
        <w:ind w:left="25" w:leftChars="12" w:firstLine="472" w:firstLineChars="197"/>
        <w:contextualSpacing/>
        <w:rPr>
          <w:rFonts w:hint="eastAsia" w:ascii="宋体" w:hAnsi="宋体" w:cs="宋体"/>
          <w:color w:val="auto"/>
          <w:kern w:val="0"/>
          <w:sz w:val="24"/>
        </w:rPr>
      </w:pPr>
      <w:r>
        <w:rPr>
          <w:rFonts w:hint="eastAsia" w:ascii="宋体" w:hAnsi="宋体" w:cs="宋体"/>
          <w:color w:val="auto"/>
          <w:kern w:val="0"/>
          <w:sz w:val="24"/>
        </w:rPr>
        <w:t>请求：</w:t>
      </w:r>
      <w:r>
        <w:rPr>
          <w:rFonts w:hint="eastAsia" w:ascii="宋体" w:hAnsi="宋体" w:cs="宋体"/>
          <w:bCs/>
          <w:color w:val="auto"/>
          <w:kern w:val="0"/>
          <w:sz w:val="24"/>
          <w:u w:val="single"/>
        </w:rPr>
        <w:t xml:space="preserve">                                                                </w:t>
      </w:r>
    </w:p>
    <w:p>
      <w:pPr>
        <w:spacing w:line="360" w:lineRule="auto"/>
        <w:ind w:left="25" w:leftChars="12" w:firstLine="352" w:firstLineChars="147"/>
        <w:contextualSpacing/>
        <w:rPr>
          <w:rFonts w:hint="eastAsia" w:ascii="宋体" w:hAnsi="宋体" w:cs="宋体"/>
          <w:color w:val="auto"/>
          <w:kern w:val="0"/>
          <w:sz w:val="24"/>
        </w:rPr>
      </w:pPr>
    </w:p>
    <w:p>
      <w:pPr>
        <w:spacing w:line="360" w:lineRule="auto"/>
        <w:ind w:left="25" w:leftChars="12" w:firstLine="472" w:firstLineChars="197"/>
        <w:contextualSpacing/>
        <w:rPr>
          <w:rFonts w:hint="eastAsia" w:ascii="宋体" w:hAnsi="宋体" w:cs="宋体"/>
          <w:color w:val="auto"/>
          <w:kern w:val="0"/>
          <w:sz w:val="24"/>
        </w:rPr>
      </w:pPr>
      <w:r>
        <w:rPr>
          <w:rFonts w:hint="eastAsia" w:ascii="宋体" w:hAnsi="宋体" w:cs="宋体"/>
          <w:color w:val="auto"/>
          <w:kern w:val="0"/>
          <w:sz w:val="24"/>
        </w:rPr>
        <w:t>签字（签章）：                                       公章：</w:t>
      </w:r>
    </w:p>
    <w:p>
      <w:pPr>
        <w:spacing w:line="360" w:lineRule="auto"/>
        <w:ind w:left="25" w:leftChars="12" w:firstLine="352" w:firstLineChars="147"/>
        <w:contextualSpacing/>
        <w:rPr>
          <w:rFonts w:hint="eastAsia" w:ascii="宋体" w:hAnsi="宋体" w:cs="宋体"/>
          <w:color w:val="auto"/>
          <w:kern w:val="0"/>
          <w:sz w:val="24"/>
        </w:rPr>
      </w:pPr>
    </w:p>
    <w:p>
      <w:pPr>
        <w:spacing w:line="360" w:lineRule="auto"/>
        <w:ind w:left="25" w:leftChars="12" w:firstLine="472" w:firstLineChars="197"/>
        <w:contextualSpacing/>
        <w:rPr>
          <w:rFonts w:hint="eastAsia" w:ascii="宋体" w:hAnsi="宋体" w:cs="宋体"/>
          <w:color w:val="auto"/>
          <w:kern w:val="0"/>
          <w:sz w:val="24"/>
        </w:rPr>
      </w:pPr>
      <w:r>
        <w:rPr>
          <w:rFonts w:hint="eastAsia" w:ascii="宋体" w:hAnsi="宋体" w:cs="宋体"/>
          <w:color w:val="auto"/>
          <w:kern w:val="0"/>
          <w:sz w:val="24"/>
        </w:rPr>
        <w:t>日期：</w:t>
      </w:r>
    </w:p>
    <w:p>
      <w:pPr>
        <w:spacing w:line="360" w:lineRule="auto"/>
        <w:contextualSpacing/>
        <w:rPr>
          <w:rFonts w:hint="eastAsia"/>
          <w:b/>
          <w:color w:val="auto"/>
          <w:kern w:val="0"/>
          <w:sz w:val="24"/>
        </w:rPr>
      </w:pPr>
    </w:p>
    <w:p>
      <w:pPr>
        <w:spacing w:line="360" w:lineRule="auto"/>
        <w:contextualSpacing/>
        <w:rPr>
          <w:rFonts w:hint="eastAsia"/>
          <w:b/>
          <w:color w:val="auto"/>
          <w:kern w:val="0"/>
          <w:sz w:val="24"/>
        </w:rPr>
      </w:pPr>
    </w:p>
    <w:p>
      <w:pPr>
        <w:spacing w:line="360" w:lineRule="auto"/>
        <w:contextualSpacing/>
        <w:rPr>
          <w:rFonts w:hint="eastAsia"/>
          <w:b/>
          <w:color w:val="auto"/>
          <w:kern w:val="0"/>
          <w:sz w:val="24"/>
        </w:rPr>
      </w:pPr>
      <w:r>
        <w:rPr>
          <w:rFonts w:hint="eastAsia"/>
          <w:b/>
          <w:color w:val="auto"/>
          <w:kern w:val="0"/>
          <w:sz w:val="24"/>
        </w:rPr>
        <w:t>说明：</w:t>
      </w:r>
    </w:p>
    <w:p>
      <w:pPr>
        <w:spacing w:line="360" w:lineRule="auto"/>
        <w:ind w:left="25" w:leftChars="12" w:firstLine="354" w:firstLineChars="147"/>
        <w:contextualSpacing/>
        <w:rPr>
          <w:rFonts w:hint="eastAsia" w:ascii="宋体" w:hAnsi="宋体" w:cs="宋体"/>
          <w:b/>
          <w:bCs/>
          <w:color w:val="auto"/>
          <w:kern w:val="0"/>
          <w:sz w:val="24"/>
        </w:rPr>
      </w:pPr>
      <w:r>
        <w:rPr>
          <w:rFonts w:hint="eastAsia" w:ascii="宋体" w:hAnsi="宋体" w:cs="宋体"/>
          <w:b/>
          <w:color w:val="auto"/>
          <w:kern w:val="0"/>
          <w:sz w:val="24"/>
        </w:rPr>
        <w:t>1.供应商提出质疑时，应提交质疑函和必要的证明材料</w:t>
      </w:r>
      <w:r>
        <w:rPr>
          <w:rFonts w:hint="eastAsia" w:ascii="宋体" w:hAnsi="宋体" w:cs="宋体"/>
          <w:b/>
          <w:bCs/>
          <w:color w:val="auto"/>
          <w:kern w:val="0"/>
          <w:sz w:val="24"/>
        </w:rPr>
        <w:t>。</w:t>
      </w:r>
    </w:p>
    <w:p>
      <w:pPr>
        <w:spacing w:line="360" w:lineRule="auto"/>
        <w:ind w:left="25" w:leftChars="12" w:firstLine="354" w:firstLineChars="147"/>
        <w:contextualSpacing/>
        <w:rPr>
          <w:rFonts w:hint="eastAsia" w:ascii="宋体" w:hAnsi="宋体" w:cs="宋体"/>
          <w:b/>
          <w:color w:val="auto"/>
          <w:kern w:val="0"/>
          <w:sz w:val="24"/>
        </w:rPr>
      </w:pPr>
      <w:r>
        <w:rPr>
          <w:rFonts w:hint="eastAsia" w:ascii="宋体" w:hAnsi="宋体" w:cs="宋体"/>
          <w:b/>
          <w:color w:val="auto"/>
          <w:kern w:val="0"/>
          <w:sz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line="360" w:lineRule="auto"/>
        <w:ind w:left="25" w:leftChars="12" w:firstLine="354" w:firstLineChars="147"/>
        <w:contextualSpacing/>
        <w:rPr>
          <w:rFonts w:hint="eastAsia" w:ascii="宋体" w:hAnsi="宋体" w:cs="宋体"/>
          <w:b/>
          <w:color w:val="auto"/>
          <w:kern w:val="0"/>
          <w:sz w:val="24"/>
        </w:rPr>
      </w:pPr>
      <w:r>
        <w:rPr>
          <w:rFonts w:hint="eastAsia" w:ascii="宋体" w:hAnsi="宋体" w:cs="宋体"/>
          <w:b/>
          <w:color w:val="auto"/>
          <w:kern w:val="0"/>
          <w:sz w:val="24"/>
        </w:rPr>
        <w:t>3.质疑函的质疑事项应具体、明确，并有必要的事实依据和法律依据。</w:t>
      </w:r>
    </w:p>
    <w:p>
      <w:pPr>
        <w:spacing w:line="360" w:lineRule="auto"/>
        <w:ind w:left="25" w:leftChars="12" w:firstLine="354" w:firstLineChars="147"/>
        <w:contextualSpacing/>
        <w:rPr>
          <w:rFonts w:hint="eastAsia" w:ascii="宋体" w:hAnsi="宋体" w:cs="宋体"/>
          <w:b/>
          <w:color w:val="auto"/>
          <w:kern w:val="0"/>
          <w:sz w:val="24"/>
        </w:rPr>
      </w:pPr>
      <w:r>
        <w:rPr>
          <w:rFonts w:hint="eastAsia" w:ascii="宋体" w:hAnsi="宋体" w:cs="宋体"/>
          <w:b/>
          <w:color w:val="auto"/>
          <w:kern w:val="0"/>
          <w:sz w:val="24"/>
        </w:rPr>
        <w:t>4.质疑函的质疑请求应与质疑事项相关。</w:t>
      </w:r>
    </w:p>
    <w:p>
      <w:pPr>
        <w:spacing w:line="360" w:lineRule="auto"/>
        <w:ind w:left="25" w:leftChars="12" w:firstLine="354" w:firstLineChars="147"/>
        <w:contextualSpacing/>
        <w:rPr>
          <w:rFonts w:hint="eastAsia" w:ascii="宋体" w:hAnsi="宋体" w:cs="宋体"/>
          <w:b/>
          <w:color w:val="auto"/>
          <w:kern w:val="0"/>
          <w:sz w:val="20"/>
          <w:szCs w:val="21"/>
        </w:rPr>
      </w:pPr>
      <w:r>
        <w:rPr>
          <w:rFonts w:hint="eastAsia" w:ascii="宋体" w:hAnsi="宋体" w:cs="宋体"/>
          <w:b/>
          <w:color w:val="auto"/>
          <w:kern w:val="0"/>
          <w:sz w:val="24"/>
        </w:rPr>
        <w:t>5.质疑供应商为法人或者其他组织的，质疑函应由法定代表人、主要负责人，或者其授权代表签字或者盖章，并加盖公章。</w:t>
      </w:r>
    </w:p>
    <w:p>
      <w:pPr>
        <w:snapToGrid w:val="0"/>
        <w:rPr>
          <w:rFonts w:hint="eastAsia" w:hAnsi="Courier New"/>
          <w:b/>
          <w:color w:val="auto"/>
          <w:kern w:val="0"/>
          <w:sz w:val="24"/>
        </w:rPr>
      </w:pPr>
    </w:p>
    <w:p>
      <w:pPr>
        <w:spacing w:line="460" w:lineRule="exact"/>
        <w:jc w:val="center"/>
        <w:rPr>
          <w:rFonts w:hint="eastAsia" w:ascii="Calibri" w:hAnsi="Calibri" w:eastAsia="隶书"/>
          <w:color w:val="auto"/>
          <w:sz w:val="44"/>
        </w:rPr>
      </w:pPr>
      <w:r>
        <w:rPr>
          <w:rFonts w:ascii="Calibri" w:hAnsi="Calibri" w:eastAsia="隶书"/>
          <w:color w:val="auto"/>
          <w:sz w:val="44"/>
        </w:rPr>
        <w:br w:type="page"/>
      </w:r>
    </w:p>
    <w:p>
      <w:pPr>
        <w:spacing w:line="360" w:lineRule="auto"/>
        <w:jc w:val="center"/>
        <w:rPr>
          <w:rFonts w:hint="eastAsia"/>
          <w:b/>
          <w:bCs/>
          <w:color w:val="auto"/>
          <w:sz w:val="32"/>
          <w:szCs w:val="32"/>
        </w:rPr>
      </w:pPr>
      <w:r>
        <w:rPr>
          <w:rFonts w:hint="eastAsia"/>
          <w:b/>
          <w:bCs/>
          <w:color w:val="auto"/>
          <w:sz w:val="32"/>
          <w:szCs w:val="32"/>
        </w:rPr>
        <w:t>投诉书（格式）</w:t>
      </w:r>
    </w:p>
    <w:p>
      <w:pPr>
        <w:snapToGrid w:val="0"/>
        <w:spacing w:line="360" w:lineRule="auto"/>
        <w:ind w:firstLine="482" w:firstLineChars="200"/>
        <w:rPr>
          <w:rFonts w:hint="eastAsia" w:ascii="宋体" w:hAnsi="宋体" w:cs="宋体"/>
          <w:b/>
          <w:bCs/>
          <w:color w:val="auto"/>
          <w:kern w:val="0"/>
          <w:sz w:val="24"/>
        </w:rPr>
      </w:pPr>
      <w:r>
        <w:rPr>
          <w:rFonts w:hint="eastAsia" w:ascii="宋体" w:hAnsi="宋体" w:cs="宋体"/>
          <w:b/>
          <w:bCs/>
          <w:color w:val="auto"/>
          <w:kern w:val="0"/>
          <w:sz w:val="24"/>
        </w:rPr>
        <w:t>一、投诉相关主体基本情况：</w:t>
      </w:r>
    </w:p>
    <w:p>
      <w:pPr>
        <w:snapToGrid w:val="0"/>
        <w:spacing w:line="360" w:lineRule="auto"/>
        <w:ind w:firstLine="480" w:firstLineChars="200"/>
        <w:rPr>
          <w:rFonts w:hint="eastAsia" w:ascii="宋体" w:hAnsi="宋体" w:cs="宋体"/>
          <w:bCs/>
          <w:color w:val="auto"/>
          <w:kern w:val="0"/>
          <w:sz w:val="24"/>
          <w:u w:val="single"/>
        </w:rPr>
      </w:pPr>
      <w:r>
        <w:rPr>
          <w:rFonts w:hint="eastAsia" w:ascii="宋体" w:hAnsi="宋体" w:cs="宋体"/>
          <w:bCs/>
          <w:color w:val="auto"/>
          <w:kern w:val="0"/>
          <w:sz w:val="24"/>
        </w:rPr>
        <w:t>供应商：</w:t>
      </w:r>
      <w:r>
        <w:rPr>
          <w:rFonts w:hint="eastAsia" w:ascii="宋体" w:hAnsi="宋体" w:cs="宋体"/>
          <w:bCs/>
          <w:color w:val="auto"/>
          <w:kern w:val="0"/>
          <w:sz w:val="24"/>
          <w:u w:val="single"/>
        </w:rPr>
        <w:t xml:space="preserve">                                                                        </w:t>
      </w:r>
      <w:r>
        <w:rPr>
          <w:rFonts w:hint="eastAsia" w:ascii="宋体" w:hAnsi="宋体" w:cs="宋体"/>
          <w:bCs/>
          <w:color w:val="auto"/>
          <w:kern w:val="0"/>
          <w:sz w:val="24"/>
        </w:rPr>
        <w:t xml:space="preserve">                 </w:t>
      </w:r>
    </w:p>
    <w:p>
      <w:pPr>
        <w:snapToGrid w:val="0"/>
        <w:spacing w:line="360" w:lineRule="auto"/>
        <w:ind w:firstLine="480" w:firstLineChars="200"/>
        <w:rPr>
          <w:rFonts w:hint="eastAsia" w:ascii="宋体" w:hAnsi="宋体" w:cs="宋体"/>
          <w:bCs/>
          <w:color w:val="auto"/>
          <w:kern w:val="0"/>
          <w:sz w:val="24"/>
        </w:rPr>
      </w:pPr>
      <w:r>
        <w:rPr>
          <w:rFonts w:hint="eastAsia" w:ascii="宋体" w:hAnsi="宋体" w:cs="宋体"/>
          <w:bCs/>
          <w:color w:val="auto"/>
          <w:kern w:val="0"/>
          <w:sz w:val="24"/>
        </w:rPr>
        <w:t>地址：</w:t>
      </w:r>
      <w:r>
        <w:rPr>
          <w:rFonts w:hint="eastAsia" w:ascii="宋体" w:hAnsi="宋体" w:cs="宋体"/>
          <w:bCs/>
          <w:color w:val="auto"/>
          <w:kern w:val="0"/>
          <w:sz w:val="24"/>
          <w:u w:val="single"/>
        </w:rPr>
        <w:t xml:space="preserve">                                         </w:t>
      </w:r>
      <w:r>
        <w:rPr>
          <w:rFonts w:hint="eastAsia" w:ascii="宋体" w:hAnsi="宋体" w:cs="宋体"/>
          <w:bCs/>
          <w:color w:val="auto"/>
          <w:kern w:val="0"/>
          <w:sz w:val="24"/>
        </w:rPr>
        <w:t>邮编：</w:t>
      </w:r>
      <w:r>
        <w:rPr>
          <w:rFonts w:hint="eastAsia" w:ascii="宋体" w:hAnsi="宋体" w:cs="宋体"/>
          <w:bCs/>
          <w:color w:val="auto"/>
          <w:kern w:val="0"/>
          <w:sz w:val="24"/>
          <w:u w:val="single"/>
        </w:rPr>
        <w:t xml:space="preserve">                          </w:t>
      </w:r>
      <w:r>
        <w:rPr>
          <w:rFonts w:hint="eastAsia" w:ascii="宋体" w:hAnsi="宋体" w:cs="宋体"/>
          <w:bCs/>
          <w:color w:val="auto"/>
          <w:kern w:val="0"/>
          <w:sz w:val="24"/>
        </w:rPr>
        <w:t xml:space="preserve">                 </w:t>
      </w:r>
    </w:p>
    <w:p>
      <w:pPr>
        <w:snapToGrid w:val="0"/>
        <w:spacing w:line="360" w:lineRule="auto"/>
        <w:ind w:firstLine="480" w:firstLineChars="200"/>
        <w:rPr>
          <w:rFonts w:hint="eastAsia" w:ascii="宋体" w:hAnsi="宋体" w:cs="宋体"/>
          <w:bCs/>
          <w:color w:val="auto"/>
          <w:kern w:val="0"/>
          <w:sz w:val="24"/>
          <w:u w:val="single"/>
        </w:rPr>
      </w:pPr>
      <w:r>
        <w:rPr>
          <w:rFonts w:hint="eastAsia" w:ascii="宋体" w:hAnsi="宋体" w:cs="宋体"/>
          <w:bCs/>
          <w:color w:val="auto"/>
          <w:kern w:val="0"/>
          <w:sz w:val="24"/>
        </w:rPr>
        <w:t>法定代表人/主要负责人：</w:t>
      </w:r>
      <w:r>
        <w:rPr>
          <w:rFonts w:hint="eastAsia" w:ascii="宋体" w:hAnsi="宋体" w:cs="宋体"/>
          <w:bCs/>
          <w:color w:val="auto"/>
          <w:kern w:val="0"/>
          <w:sz w:val="24"/>
          <w:u w:val="single"/>
        </w:rPr>
        <w:t xml:space="preserve">                                                         </w:t>
      </w:r>
    </w:p>
    <w:p>
      <w:pPr>
        <w:snapToGrid w:val="0"/>
        <w:spacing w:line="360" w:lineRule="auto"/>
        <w:ind w:firstLine="480" w:firstLineChars="200"/>
        <w:rPr>
          <w:rFonts w:hint="eastAsia" w:ascii="宋体" w:hAnsi="宋体" w:cs="宋体"/>
          <w:bCs/>
          <w:color w:val="auto"/>
          <w:kern w:val="0"/>
          <w:sz w:val="24"/>
        </w:rPr>
      </w:pPr>
      <w:r>
        <w:rPr>
          <w:rFonts w:hint="eastAsia" w:ascii="宋体" w:hAnsi="宋体" w:cs="宋体"/>
          <w:bCs/>
          <w:color w:val="auto"/>
          <w:kern w:val="0"/>
          <w:sz w:val="24"/>
        </w:rPr>
        <w:t>联系电话：</w:t>
      </w:r>
      <w:r>
        <w:rPr>
          <w:rFonts w:hint="eastAsia" w:ascii="宋体" w:hAnsi="宋体" w:cs="宋体"/>
          <w:bCs/>
          <w:color w:val="auto"/>
          <w:kern w:val="0"/>
          <w:sz w:val="24"/>
          <w:u w:val="single"/>
        </w:rPr>
        <w:t xml:space="preserve">                                         </w:t>
      </w:r>
    </w:p>
    <w:p>
      <w:pPr>
        <w:snapToGrid w:val="0"/>
        <w:spacing w:line="360" w:lineRule="auto"/>
        <w:ind w:firstLine="480" w:firstLineChars="200"/>
        <w:rPr>
          <w:rFonts w:hint="eastAsia" w:ascii="宋体" w:hAnsi="宋体" w:cs="宋体"/>
          <w:bCs/>
          <w:color w:val="auto"/>
          <w:kern w:val="0"/>
          <w:sz w:val="24"/>
          <w:u w:val="single"/>
        </w:rPr>
      </w:pPr>
      <w:r>
        <w:rPr>
          <w:rFonts w:hint="eastAsia" w:ascii="宋体" w:hAnsi="宋体" w:cs="宋体"/>
          <w:bCs/>
          <w:color w:val="auto"/>
          <w:kern w:val="0"/>
          <w:sz w:val="24"/>
        </w:rPr>
        <w:t>授权代表：</w:t>
      </w:r>
      <w:r>
        <w:rPr>
          <w:rFonts w:hint="eastAsia" w:ascii="宋体" w:hAnsi="宋体" w:cs="宋体"/>
          <w:bCs/>
          <w:color w:val="auto"/>
          <w:kern w:val="0"/>
          <w:sz w:val="24"/>
          <w:u w:val="single"/>
        </w:rPr>
        <w:t xml:space="preserve">                                     </w:t>
      </w:r>
      <w:r>
        <w:rPr>
          <w:rFonts w:hint="eastAsia" w:ascii="宋体" w:hAnsi="宋体" w:cs="宋体"/>
          <w:bCs/>
          <w:color w:val="auto"/>
          <w:kern w:val="0"/>
          <w:sz w:val="24"/>
        </w:rPr>
        <w:t>联系电话：</w:t>
      </w:r>
      <w:r>
        <w:rPr>
          <w:rFonts w:hint="eastAsia" w:ascii="宋体" w:hAnsi="宋体" w:cs="宋体"/>
          <w:bCs/>
          <w:color w:val="auto"/>
          <w:kern w:val="0"/>
          <w:sz w:val="24"/>
          <w:u w:val="single"/>
        </w:rPr>
        <w:t xml:space="preserve">                   </w:t>
      </w:r>
    </w:p>
    <w:p>
      <w:pPr>
        <w:snapToGrid w:val="0"/>
        <w:spacing w:line="360" w:lineRule="auto"/>
        <w:ind w:firstLine="480" w:firstLineChars="200"/>
        <w:rPr>
          <w:rFonts w:hint="eastAsia" w:ascii="宋体" w:hAnsi="宋体" w:cs="宋体"/>
          <w:bCs/>
          <w:color w:val="auto"/>
          <w:kern w:val="0"/>
          <w:sz w:val="24"/>
          <w:u w:val="single"/>
        </w:rPr>
      </w:pPr>
      <w:r>
        <w:rPr>
          <w:rFonts w:hint="eastAsia" w:ascii="宋体" w:hAnsi="宋体" w:cs="宋体"/>
          <w:bCs/>
          <w:color w:val="auto"/>
          <w:kern w:val="0"/>
          <w:sz w:val="24"/>
        </w:rPr>
        <w:t>地址：</w:t>
      </w:r>
      <w:r>
        <w:rPr>
          <w:rFonts w:hint="eastAsia" w:ascii="宋体" w:hAnsi="宋体" w:cs="宋体"/>
          <w:bCs/>
          <w:color w:val="auto"/>
          <w:kern w:val="0"/>
          <w:sz w:val="24"/>
          <w:u w:val="single"/>
        </w:rPr>
        <w:t xml:space="preserve">                                                            </w:t>
      </w:r>
    </w:p>
    <w:p>
      <w:pPr>
        <w:snapToGrid w:val="0"/>
        <w:spacing w:line="360" w:lineRule="auto"/>
        <w:ind w:firstLine="480" w:firstLineChars="200"/>
        <w:rPr>
          <w:rFonts w:hint="eastAsia" w:ascii="宋体" w:hAnsi="宋体" w:cs="宋体"/>
          <w:bCs/>
          <w:color w:val="auto"/>
          <w:kern w:val="0"/>
          <w:sz w:val="24"/>
        </w:rPr>
      </w:pPr>
      <w:r>
        <w:rPr>
          <w:rFonts w:hint="eastAsia" w:ascii="宋体" w:hAnsi="宋体" w:cs="宋体"/>
          <w:bCs/>
          <w:color w:val="auto"/>
          <w:kern w:val="0"/>
          <w:sz w:val="24"/>
        </w:rPr>
        <w:t>邮编：</w:t>
      </w:r>
      <w:r>
        <w:rPr>
          <w:rFonts w:hint="eastAsia" w:ascii="宋体" w:hAnsi="宋体" w:cs="宋体"/>
          <w:bCs/>
          <w:color w:val="auto"/>
          <w:kern w:val="0"/>
          <w:sz w:val="24"/>
          <w:u w:val="single"/>
        </w:rPr>
        <w:t xml:space="preserve">         </w:t>
      </w:r>
      <w:r>
        <w:rPr>
          <w:rFonts w:hint="eastAsia" w:ascii="宋体" w:hAnsi="宋体" w:cs="宋体"/>
          <w:bCs/>
          <w:color w:val="auto"/>
          <w:kern w:val="0"/>
          <w:sz w:val="24"/>
        </w:rPr>
        <w:t xml:space="preserve">   </w:t>
      </w:r>
    </w:p>
    <w:p>
      <w:pPr>
        <w:snapToGrid w:val="0"/>
        <w:spacing w:line="360" w:lineRule="auto"/>
        <w:ind w:firstLine="480" w:firstLineChars="200"/>
        <w:rPr>
          <w:rFonts w:hint="eastAsia" w:ascii="宋体" w:hAnsi="宋体" w:cs="宋体"/>
          <w:bCs/>
          <w:color w:val="auto"/>
          <w:kern w:val="0"/>
          <w:sz w:val="24"/>
        </w:rPr>
      </w:pPr>
      <w:r>
        <w:rPr>
          <w:rFonts w:hint="eastAsia" w:ascii="宋体" w:hAnsi="宋体" w:cs="宋体"/>
          <w:bCs/>
          <w:color w:val="auto"/>
          <w:kern w:val="0"/>
          <w:sz w:val="24"/>
        </w:rPr>
        <w:t>被投诉人1：</w:t>
      </w:r>
    </w:p>
    <w:p>
      <w:pPr>
        <w:snapToGrid w:val="0"/>
        <w:spacing w:line="360" w:lineRule="auto"/>
        <w:ind w:firstLine="480" w:firstLineChars="200"/>
        <w:rPr>
          <w:rFonts w:hint="eastAsia" w:ascii="宋体" w:hAnsi="宋体" w:cs="宋体"/>
          <w:bCs/>
          <w:color w:val="auto"/>
          <w:kern w:val="0"/>
          <w:sz w:val="24"/>
          <w:u w:val="single"/>
        </w:rPr>
      </w:pPr>
      <w:r>
        <w:rPr>
          <w:rFonts w:hint="eastAsia" w:ascii="宋体" w:hAnsi="宋体" w:cs="宋体"/>
          <w:bCs/>
          <w:color w:val="auto"/>
          <w:kern w:val="0"/>
          <w:sz w:val="24"/>
        </w:rPr>
        <w:t>地址：</w:t>
      </w:r>
      <w:r>
        <w:rPr>
          <w:rFonts w:hint="eastAsia" w:ascii="宋体" w:hAnsi="宋体" w:cs="宋体"/>
          <w:bCs/>
          <w:color w:val="auto"/>
          <w:kern w:val="0"/>
          <w:sz w:val="24"/>
          <w:u w:val="single"/>
        </w:rPr>
        <w:t xml:space="preserve">                                                            </w:t>
      </w:r>
    </w:p>
    <w:p>
      <w:pPr>
        <w:snapToGrid w:val="0"/>
        <w:spacing w:line="360" w:lineRule="auto"/>
        <w:ind w:firstLine="480" w:firstLineChars="200"/>
        <w:rPr>
          <w:rFonts w:hint="eastAsia" w:ascii="宋体" w:hAnsi="宋体" w:cs="宋体"/>
          <w:bCs/>
          <w:color w:val="auto"/>
          <w:kern w:val="0"/>
          <w:sz w:val="24"/>
        </w:rPr>
      </w:pPr>
      <w:r>
        <w:rPr>
          <w:rFonts w:hint="eastAsia" w:ascii="宋体" w:hAnsi="宋体" w:cs="宋体"/>
          <w:bCs/>
          <w:color w:val="auto"/>
          <w:kern w:val="0"/>
          <w:sz w:val="24"/>
        </w:rPr>
        <w:t>邮编：</w:t>
      </w:r>
      <w:r>
        <w:rPr>
          <w:rFonts w:hint="eastAsia" w:ascii="宋体" w:hAnsi="宋体" w:cs="宋体"/>
          <w:bCs/>
          <w:color w:val="auto"/>
          <w:kern w:val="0"/>
          <w:sz w:val="24"/>
          <w:u w:val="single"/>
        </w:rPr>
        <w:t xml:space="preserve">         </w:t>
      </w:r>
      <w:r>
        <w:rPr>
          <w:rFonts w:hint="eastAsia" w:ascii="宋体" w:hAnsi="宋体" w:cs="宋体"/>
          <w:bCs/>
          <w:color w:val="auto"/>
          <w:kern w:val="0"/>
          <w:sz w:val="24"/>
        </w:rPr>
        <w:t xml:space="preserve">  </w:t>
      </w:r>
    </w:p>
    <w:p>
      <w:pPr>
        <w:snapToGrid w:val="0"/>
        <w:spacing w:line="360" w:lineRule="auto"/>
        <w:ind w:firstLine="480" w:firstLineChars="200"/>
        <w:rPr>
          <w:rFonts w:hint="eastAsia" w:ascii="宋体" w:hAnsi="宋体" w:cs="宋体"/>
          <w:bCs/>
          <w:color w:val="auto"/>
          <w:kern w:val="0"/>
          <w:sz w:val="24"/>
          <w:u w:val="single"/>
        </w:rPr>
      </w:pPr>
      <w:r>
        <w:rPr>
          <w:rFonts w:hint="eastAsia" w:ascii="宋体" w:hAnsi="宋体" w:cs="宋体"/>
          <w:bCs/>
          <w:color w:val="auto"/>
          <w:kern w:val="0"/>
          <w:sz w:val="24"/>
        </w:rPr>
        <w:t>联系人：</w:t>
      </w:r>
      <w:r>
        <w:rPr>
          <w:rFonts w:hint="eastAsia" w:ascii="宋体" w:hAnsi="宋体" w:cs="宋体"/>
          <w:bCs/>
          <w:color w:val="auto"/>
          <w:kern w:val="0"/>
          <w:sz w:val="24"/>
          <w:u w:val="single"/>
        </w:rPr>
        <w:t xml:space="preserve">                                        </w:t>
      </w:r>
      <w:r>
        <w:rPr>
          <w:rFonts w:hint="eastAsia" w:ascii="宋体" w:hAnsi="宋体" w:cs="宋体"/>
          <w:bCs/>
          <w:color w:val="auto"/>
          <w:kern w:val="0"/>
          <w:sz w:val="24"/>
        </w:rPr>
        <w:t>联系电话：</w:t>
      </w:r>
      <w:r>
        <w:rPr>
          <w:rFonts w:hint="eastAsia" w:ascii="宋体" w:hAnsi="宋体" w:cs="宋体"/>
          <w:bCs/>
          <w:color w:val="auto"/>
          <w:kern w:val="0"/>
          <w:sz w:val="24"/>
          <w:u w:val="single"/>
        </w:rPr>
        <w:t xml:space="preserve">                </w:t>
      </w:r>
    </w:p>
    <w:p>
      <w:pPr>
        <w:snapToGrid w:val="0"/>
        <w:spacing w:line="360" w:lineRule="auto"/>
        <w:ind w:firstLine="480" w:firstLineChars="200"/>
        <w:rPr>
          <w:rFonts w:hint="eastAsia" w:ascii="宋体" w:hAnsi="宋体" w:cs="宋体"/>
          <w:bCs/>
          <w:color w:val="auto"/>
          <w:kern w:val="0"/>
          <w:sz w:val="24"/>
        </w:rPr>
      </w:pPr>
      <w:r>
        <w:rPr>
          <w:rFonts w:hint="eastAsia" w:ascii="宋体" w:hAnsi="宋体" w:cs="宋体"/>
          <w:bCs/>
          <w:color w:val="auto"/>
          <w:kern w:val="0"/>
          <w:sz w:val="24"/>
        </w:rPr>
        <w:t>被投诉人2：</w:t>
      </w:r>
    </w:p>
    <w:p>
      <w:pPr>
        <w:snapToGrid w:val="0"/>
        <w:spacing w:line="360" w:lineRule="auto"/>
        <w:ind w:firstLine="480" w:firstLineChars="200"/>
        <w:rPr>
          <w:rFonts w:hint="eastAsia" w:ascii="宋体" w:hAnsi="宋体" w:cs="宋体"/>
          <w:bCs/>
          <w:color w:val="auto"/>
          <w:kern w:val="0"/>
          <w:sz w:val="24"/>
        </w:rPr>
      </w:pPr>
      <w:r>
        <w:rPr>
          <w:rFonts w:hint="eastAsia" w:ascii="宋体" w:hAnsi="宋体" w:cs="宋体"/>
          <w:bCs/>
          <w:color w:val="auto"/>
          <w:kern w:val="0"/>
          <w:sz w:val="24"/>
        </w:rPr>
        <w:t>……</w:t>
      </w:r>
    </w:p>
    <w:p>
      <w:pPr>
        <w:snapToGrid w:val="0"/>
        <w:spacing w:line="360" w:lineRule="auto"/>
        <w:ind w:firstLine="480" w:firstLineChars="200"/>
        <w:rPr>
          <w:rFonts w:hint="eastAsia" w:ascii="宋体" w:hAnsi="宋体" w:cs="宋体"/>
          <w:bCs/>
          <w:color w:val="auto"/>
          <w:kern w:val="0"/>
          <w:sz w:val="24"/>
          <w:u w:val="single"/>
        </w:rPr>
      </w:pPr>
      <w:r>
        <w:rPr>
          <w:rFonts w:hint="eastAsia" w:ascii="宋体" w:hAnsi="宋体" w:cs="宋体"/>
          <w:bCs/>
          <w:color w:val="auto"/>
          <w:kern w:val="0"/>
          <w:sz w:val="24"/>
        </w:rPr>
        <w:t>相关供应商：</w:t>
      </w:r>
      <w:r>
        <w:rPr>
          <w:rFonts w:hint="eastAsia" w:ascii="宋体" w:hAnsi="宋体" w:cs="宋体"/>
          <w:bCs/>
          <w:color w:val="auto"/>
          <w:kern w:val="0"/>
          <w:sz w:val="24"/>
          <w:u w:val="single"/>
        </w:rPr>
        <w:t xml:space="preserve">                                                                       </w:t>
      </w:r>
    </w:p>
    <w:p>
      <w:pPr>
        <w:snapToGrid w:val="0"/>
        <w:spacing w:line="360" w:lineRule="auto"/>
        <w:ind w:firstLine="480" w:firstLineChars="200"/>
        <w:rPr>
          <w:rFonts w:hint="eastAsia" w:ascii="宋体" w:hAnsi="宋体" w:cs="宋体"/>
          <w:bCs/>
          <w:color w:val="auto"/>
          <w:kern w:val="0"/>
          <w:sz w:val="24"/>
          <w:u w:val="single"/>
        </w:rPr>
      </w:pPr>
      <w:r>
        <w:rPr>
          <w:rFonts w:hint="eastAsia" w:ascii="宋体" w:hAnsi="宋体" w:cs="宋体"/>
          <w:bCs/>
          <w:color w:val="auto"/>
          <w:kern w:val="0"/>
          <w:sz w:val="24"/>
        </w:rPr>
        <w:t>地址：</w:t>
      </w:r>
      <w:r>
        <w:rPr>
          <w:rFonts w:hint="eastAsia" w:ascii="宋体" w:hAnsi="宋体" w:cs="宋体"/>
          <w:bCs/>
          <w:color w:val="auto"/>
          <w:kern w:val="0"/>
          <w:sz w:val="24"/>
          <w:u w:val="single"/>
        </w:rPr>
        <w:t xml:space="preserve">                                          </w:t>
      </w:r>
      <w:r>
        <w:rPr>
          <w:rFonts w:hint="eastAsia" w:ascii="宋体" w:hAnsi="宋体" w:cs="宋体"/>
          <w:bCs/>
          <w:color w:val="auto"/>
          <w:kern w:val="0"/>
          <w:sz w:val="24"/>
        </w:rPr>
        <w:t>邮编：</w:t>
      </w:r>
      <w:r>
        <w:rPr>
          <w:rFonts w:hint="eastAsia" w:ascii="宋体" w:hAnsi="宋体" w:cs="宋体"/>
          <w:bCs/>
          <w:color w:val="auto"/>
          <w:kern w:val="0"/>
          <w:sz w:val="24"/>
          <w:u w:val="single"/>
        </w:rPr>
        <w:t xml:space="preserve">                         </w:t>
      </w:r>
    </w:p>
    <w:p>
      <w:pPr>
        <w:snapToGrid w:val="0"/>
        <w:spacing w:line="360" w:lineRule="auto"/>
        <w:ind w:firstLine="480" w:firstLineChars="200"/>
        <w:rPr>
          <w:rFonts w:hint="eastAsia" w:ascii="宋体" w:hAnsi="宋体" w:cs="宋体"/>
          <w:bCs/>
          <w:color w:val="auto"/>
          <w:kern w:val="0"/>
          <w:sz w:val="24"/>
        </w:rPr>
      </w:pPr>
      <w:r>
        <w:rPr>
          <w:rFonts w:hint="eastAsia" w:ascii="宋体" w:hAnsi="宋体" w:cs="宋体"/>
          <w:bCs/>
          <w:color w:val="auto"/>
          <w:kern w:val="0"/>
          <w:sz w:val="24"/>
        </w:rPr>
        <w:t>联系人：</w:t>
      </w:r>
      <w:r>
        <w:rPr>
          <w:rFonts w:hint="eastAsia" w:ascii="宋体" w:hAnsi="宋体" w:cs="宋体"/>
          <w:bCs/>
          <w:color w:val="auto"/>
          <w:kern w:val="0"/>
          <w:sz w:val="24"/>
          <w:u w:val="single"/>
        </w:rPr>
        <w:t xml:space="preserve">                                        </w:t>
      </w:r>
      <w:r>
        <w:rPr>
          <w:rFonts w:hint="eastAsia" w:ascii="宋体" w:hAnsi="宋体" w:cs="宋体"/>
          <w:bCs/>
          <w:color w:val="auto"/>
          <w:kern w:val="0"/>
          <w:sz w:val="24"/>
        </w:rPr>
        <w:t>联系电话：</w:t>
      </w:r>
      <w:r>
        <w:rPr>
          <w:rFonts w:hint="eastAsia" w:ascii="宋体" w:hAnsi="宋体" w:cs="宋体"/>
          <w:bCs/>
          <w:color w:val="auto"/>
          <w:kern w:val="0"/>
          <w:sz w:val="24"/>
          <w:u w:val="single"/>
        </w:rPr>
        <w:t xml:space="preserve">                     </w:t>
      </w:r>
      <w:r>
        <w:rPr>
          <w:rFonts w:hint="eastAsia" w:ascii="宋体" w:hAnsi="宋体" w:cs="宋体"/>
          <w:bCs/>
          <w:color w:val="auto"/>
          <w:kern w:val="0"/>
          <w:sz w:val="24"/>
        </w:rPr>
        <w:t xml:space="preserve">                </w:t>
      </w:r>
    </w:p>
    <w:p>
      <w:pPr>
        <w:snapToGrid w:val="0"/>
        <w:spacing w:line="360" w:lineRule="auto"/>
        <w:ind w:firstLine="482" w:firstLineChars="200"/>
        <w:rPr>
          <w:rFonts w:hint="eastAsia" w:ascii="宋体" w:hAnsi="宋体" w:cs="宋体"/>
          <w:b/>
          <w:bCs/>
          <w:color w:val="auto"/>
          <w:kern w:val="0"/>
          <w:sz w:val="24"/>
        </w:rPr>
      </w:pPr>
      <w:r>
        <w:rPr>
          <w:rFonts w:hint="eastAsia" w:ascii="宋体" w:hAnsi="宋体" w:cs="宋体"/>
          <w:b/>
          <w:bCs/>
          <w:color w:val="auto"/>
          <w:kern w:val="0"/>
          <w:sz w:val="24"/>
        </w:rPr>
        <w:t>二、投诉项目基本情况：</w:t>
      </w:r>
    </w:p>
    <w:p>
      <w:pPr>
        <w:spacing w:line="360" w:lineRule="auto"/>
        <w:ind w:left="25" w:leftChars="12" w:firstLine="472" w:firstLineChars="197"/>
        <w:rPr>
          <w:rFonts w:hint="eastAsia" w:ascii="宋体" w:hAnsi="宋体" w:cs="宋体"/>
          <w:color w:val="auto"/>
          <w:kern w:val="0"/>
          <w:sz w:val="24"/>
        </w:rPr>
      </w:pPr>
      <w:r>
        <w:rPr>
          <w:rFonts w:hint="eastAsia" w:ascii="宋体" w:hAnsi="宋体" w:cs="宋体"/>
          <w:bCs/>
          <w:color w:val="auto"/>
          <w:kern w:val="0"/>
          <w:sz w:val="24"/>
        </w:rPr>
        <w:t>采购</w:t>
      </w:r>
      <w:r>
        <w:rPr>
          <w:rFonts w:hint="eastAsia" w:ascii="宋体" w:hAnsi="宋体" w:cs="宋体"/>
          <w:color w:val="auto"/>
          <w:kern w:val="0"/>
          <w:sz w:val="24"/>
        </w:rPr>
        <w:t>项目的名称：</w:t>
      </w:r>
      <w:r>
        <w:rPr>
          <w:rFonts w:hint="eastAsia" w:ascii="宋体" w:hAnsi="宋体" w:cs="宋体"/>
          <w:bCs/>
          <w:color w:val="auto"/>
          <w:kern w:val="0"/>
          <w:sz w:val="24"/>
          <w:u w:val="single"/>
        </w:rPr>
        <w:t xml:space="preserve">                                                                   </w:t>
      </w:r>
    </w:p>
    <w:p>
      <w:pPr>
        <w:spacing w:line="360" w:lineRule="auto"/>
        <w:ind w:left="25" w:leftChars="12" w:firstLine="472" w:firstLineChars="197"/>
        <w:rPr>
          <w:rFonts w:hint="eastAsia" w:ascii="宋体" w:hAnsi="宋体" w:cs="宋体"/>
          <w:color w:val="auto"/>
          <w:kern w:val="0"/>
          <w:sz w:val="24"/>
        </w:rPr>
      </w:pPr>
      <w:r>
        <w:rPr>
          <w:rFonts w:hint="eastAsia" w:ascii="宋体" w:hAnsi="宋体" w:cs="宋体"/>
          <w:bCs/>
          <w:color w:val="auto"/>
          <w:kern w:val="0"/>
          <w:sz w:val="24"/>
        </w:rPr>
        <w:t>采购</w:t>
      </w:r>
      <w:r>
        <w:rPr>
          <w:rFonts w:hint="eastAsia" w:ascii="宋体" w:hAnsi="宋体" w:cs="宋体"/>
          <w:color w:val="auto"/>
          <w:kern w:val="0"/>
          <w:sz w:val="24"/>
        </w:rPr>
        <w:t>项目的编号：</w:t>
      </w:r>
      <w:r>
        <w:rPr>
          <w:rFonts w:hint="eastAsia" w:ascii="宋体" w:hAnsi="宋体" w:cs="宋体"/>
          <w:bCs/>
          <w:color w:val="auto"/>
          <w:kern w:val="0"/>
          <w:sz w:val="24"/>
          <w:u w:val="single"/>
        </w:rPr>
        <w:t xml:space="preserve">                                          </w:t>
      </w:r>
    </w:p>
    <w:p>
      <w:pPr>
        <w:spacing w:line="360" w:lineRule="auto"/>
        <w:ind w:left="25" w:leftChars="12" w:firstLine="472" w:firstLineChars="197"/>
        <w:rPr>
          <w:rFonts w:hint="eastAsia" w:ascii="宋体" w:hAnsi="宋体" w:cs="宋体"/>
          <w:bCs/>
          <w:color w:val="auto"/>
          <w:kern w:val="0"/>
          <w:sz w:val="24"/>
          <w:u w:val="single"/>
        </w:rPr>
      </w:pPr>
      <w:r>
        <w:rPr>
          <w:rFonts w:hint="eastAsia" w:ascii="宋体" w:hAnsi="宋体" w:cs="宋体"/>
          <w:color w:val="auto"/>
          <w:kern w:val="0"/>
          <w:sz w:val="24"/>
        </w:rPr>
        <w:t>采购人名称：</w:t>
      </w:r>
      <w:r>
        <w:rPr>
          <w:rFonts w:hint="eastAsia" w:ascii="宋体" w:hAnsi="宋体" w:cs="宋体"/>
          <w:bCs/>
          <w:color w:val="auto"/>
          <w:kern w:val="0"/>
          <w:sz w:val="24"/>
          <w:u w:val="single"/>
        </w:rPr>
        <w:t xml:space="preserve">                                                                        </w:t>
      </w:r>
    </w:p>
    <w:p>
      <w:pPr>
        <w:spacing w:line="360" w:lineRule="auto"/>
        <w:ind w:left="25" w:leftChars="12" w:firstLine="472" w:firstLineChars="197"/>
        <w:rPr>
          <w:rFonts w:hint="eastAsia" w:ascii="宋体" w:hAnsi="宋体" w:cs="宋体"/>
          <w:bCs/>
          <w:color w:val="auto"/>
          <w:kern w:val="0"/>
          <w:sz w:val="24"/>
          <w:u w:val="single"/>
        </w:rPr>
      </w:pPr>
      <w:r>
        <w:rPr>
          <w:rFonts w:hint="eastAsia" w:ascii="宋体" w:hAnsi="宋体" w:cs="宋体"/>
          <w:color w:val="auto"/>
          <w:kern w:val="0"/>
          <w:sz w:val="24"/>
        </w:rPr>
        <w:t>代理机构名称：</w:t>
      </w:r>
      <w:r>
        <w:rPr>
          <w:rFonts w:hint="eastAsia" w:ascii="宋体" w:hAnsi="宋体" w:cs="宋体"/>
          <w:bCs/>
          <w:color w:val="auto"/>
          <w:kern w:val="0"/>
          <w:sz w:val="24"/>
          <w:u w:val="single"/>
        </w:rPr>
        <w:t xml:space="preserve">                                                                      </w:t>
      </w:r>
    </w:p>
    <w:p>
      <w:pPr>
        <w:spacing w:line="360" w:lineRule="auto"/>
        <w:ind w:left="25" w:leftChars="12" w:firstLine="472" w:firstLineChars="197"/>
        <w:rPr>
          <w:rFonts w:hint="eastAsia" w:ascii="宋体" w:hAnsi="宋体" w:cs="宋体"/>
          <w:bCs/>
          <w:color w:val="auto"/>
          <w:kern w:val="0"/>
          <w:sz w:val="24"/>
          <w:u w:val="single"/>
        </w:rPr>
      </w:pPr>
      <w:r>
        <w:rPr>
          <w:rFonts w:hint="eastAsia" w:ascii="宋体" w:hAnsi="宋体" w:cs="宋体"/>
          <w:bCs/>
          <w:color w:val="auto"/>
          <w:kern w:val="0"/>
          <w:sz w:val="24"/>
        </w:rPr>
        <w:t>采购文件公告：</w:t>
      </w:r>
      <w:r>
        <w:rPr>
          <w:rFonts w:hint="eastAsia" w:ascii="宋体" w:hAnsi="宋体" w:cs="宋体"/>
          <w:bCs/>
          <w:color w:val="auto"/>
          <w:kern w:val="0"/>
          <w:sz w:val="24"/>
          <w:u w:val="single"/>
        </w:rPr>
        <w:t>是/否</w:t>
      </w:r>
      <w:r>
        <w:rPr>
          <w:rFonts w:hint="eastAsia" w:ascii="宋体" w:hAnsi="宋体" w:cs="宋体"/>
          <w:bCs/>
          <w:color w:val="auto"/>
          <w:kern w:val="0"/>
          <w:sz w:val="24"/>
        </w:rPr>
        <w:t>公告期限：</w:t>
      </w:r>
      <w:r>
        <w:rPr>
          <w:rFonts w:hint="eastAsia" w:ascii="宋体" w:hAnsi="宋体" w:cs="宋体"/>
          <w:bCs/>
          <w:color w:val="auto"/>
          <w:kern w:val="0"/>
          <w:sz w:val="24"/>
          <w:u w:val="single"/>
        </w:rPr>
        <w:t xml:space="preserve">                                                       </w:t>
      </w:r>
    </w:p>
    <w:p>
      <w:pPr>
        <w:spacing w:line="360" w:lineRule="auto"/>
        <w:ind w:left="25" w:leftChars="12" w:firstLine="472" w:firstLineChars="197"/>
        <w:rPr>
          <w:rFonts w:hint="eastAsia" w:ascii="宋体" w:hAnsi="宋体" w:cs="宋体"/>
          <w:b/>
          <w:color w:val="auto"/>
          <w:kern w:val="0"/>
          <w:sz w:val="24"/>
        </w:rPr>
      </w:pPr>
      <w:r>
        <w:rPr>
          <w:rFonts w:hint="eastAsia" w:ascii="宋体" w:hAnsi="宋体" w:cs="宋体"/>
          <w:bCs/>
          <w:color w:val="auto"/>
          <w:kern w:val="0"/>
          <w:sz w:val="24"/>
        </w:rPr>
        <w:t>采购结果公告：</w:t>
      </w:r>
      <w:r>
        <w:rPr>
          <w:rFonts w:hint="eastAsia" w:ascii="宋体" w:hAnsi="宋体" w:cs="宋体"/>
          <w:bCs/>
          <w:color w:val="auto"/>
          <w:kern w:val="0"/>
          <w:sz w:val="24"/>
          <w:u w:val="single"/>
        </w:rPr>
        <w:t>是/否</w:t>
      </w:r>
      <w:r>
        <w:rPr>
          <w:rFonts w:hint="eastAsia" w:ascii="宋体" w:hAnsi="宋体" w:cs="宋体"/>
          <w:bCs/>
          <w:color w:val="auto"/>
          <w:kern w:val="0"/>
          <w:sz w:val="24"/>
        </w:rPr>
        <w:t>公告期限：</w:t>
      </w:r>
      <w:r>
        <w:rPr>
          <w:rFonts w:hint="eastAsia" w:ascii="宋体" w:hAnsi="宋体" w:cs="宋体"/>
          <w:bCs/>
          <w:color w:val="auto"/>
          <w:kern w:val="0"/>
          <w:sz w:val="24"/>
          <w:u w:val="single"/>
        </w:rPr>
        <w:t xml:space="preserve">                                                       </w:t>
      </w:r>
    </w:p>
    <w:p>
      <w:pPr>
        <w:spacing w:line="360" w:lineRule="auto"/>
        <w:ind w:left="25" w:leftChars="12" w:firstLine="472" w:firstLineChars="196"/>
        <w:rPr>
          <w:rFonts w:hint="eastAsia" w:ascii="宋体" w:hAnsi="宋体" w:cs="宋体"/>
          <w:b/>
          <w:color w:val="auto"/>
          <w:kern w:val="0"/>
          <w:sz w:val="24"/>
        </w:rPr>
      </w:pPr>
      <w:r>
        <w:rPr>
          <w:rFonts w:hint="eastAsia" w:ascii="宋体" w:hAnsi="宋体" w:cs="宋体"/>
          <w:b/>
          <w:color w:val="auto"/>
          <w:kern w:val="0"/>
          <w:sz w:val="24"/>
        </w:rPr>
        <w:t>三、质疑基本情况</w:t>
      </w:r>
    </w:p>
    <w:p>
      <w:pPr>
        <w:spacing w:line="360" w:lineRule="auto"/>
        <w:ind w:firstLine="480" w:firstLineChars="200"/>
        <w:rPr>
          <w:rFonts w:hint="eastAsia" w:ascii="宋体" w:hAnsi="宋体" w:cs="宋体"/>
          <w:color w:val="auto"/>
          <w:kern w:val="0"/>
          <w:sz w:val="24"/>
        </w:rPr>
      </w:pPr>
      <w:r>
        <w:rPr>
          <w:rFonts w:hint="eastAsia" w:ascii="宋体" w:hAnsi="宋体" w:cs="宋体"/>
          <w:color w:val="auto"/>
          <w:kern w:val="0"/>
          <w:sz w:val="24"/>
        </w:rPr>
        <w:t>投诉人于</w:t>
      </w:r>
      <w:r>
        <w:rPr>
          <w:rFonts w:hint="eastAsia" w:ascii="宋体" w:hAnsi="宋体" w:cs="宋体"/>
          <w:color w:val="auto"/>
          <w:kern w:val="0"/>
          <w:sz w:val="24"/>
          <w:u w:val="single"/>
        </w:rPr>
        <w:t xml:space="preserve">      </w:t>
      </w:r>
      <w:r>
        <w:rPr>
          <w:rFonts w:hint="eastAsia" w:ascii="宋体" w:hAnsi="宋体" w:cs="宋体"/>
          <w:color w:val="auto"/>
          <w:kern w:val="0"/>
          <w:sz w:val="24"/>
        </w:rPr>
        <w:t>年</w:t>
      </w:r>
      <w:r>
        <w:rPr>
          <w:rFonts w:hint="eastAsia" w:ascii="宋体" w:hAnsi="宋体" w:cs="宋体"/>
          <w:color w:val="auto"/>
          <w:kern w:val="0"/>
          <w:sz w:val="24"/>
          <w:u w:val="single"/>
        </w:rPr>
        <w:t xml:space="preserve">   </w:t>
      </w:r>
      <w:r>
        <w:rPr>
          <w:rFonts w:hint="eastAsia" w:ascii="宋体" w:hAnsi="宋体" w:cs="宋体"/>
          <w:color w:val="auto"/>
          <w:kern w:val="0"/>
          <w:sz w:val="24"/>
        </w:rPr>
        <w:t>月</w:t>
      </w:r>
      <w:r>
        <w:rPr>
          <w:rFonts w:hint="eastAsia" w:ascii="宋体" w:hAnsi="宋体" w:cs="宋体"/>
          <w:color w:val="auto"/>
          <w:kern w:val="0"/>
          <w:sz w:val="24"/>
          <w:u w:val="single"/>
        </w:rPr>
        <w:t xml:space="preserve">   </w:t>
      </w:r>
      <w:r>
        <w:rPr>
          <w:rFonts w:hint="eastAsia" w:ascii="宋体" w:hAnsi="宋体" w:cs="宋体"/>
          <w:color w:val="auto"/>
          <w:kern w:val="0"/>
          <w:sz w:val="24"/>
        </w:rPr>
        <w:t>日，向</w:t>
      </w:r>
      <w:r>
        <w:rPr>
          <w:rFonts w:hint="eastAsia" w:ascii="宋体" w:hAnsi="宋体" w:cs="宋体"/>
          <w:color w:val="auto"/>
          <w:kern w:val="0"/>
          <w:sz w:val="24"/>
          <w:u w:val="single"/>
        </w:rPr>
        <w:t xml:space="preserve">                                </w:t>
      </w:r>
      <w:r>
        <w:rPr>
          <w:rFonts w:hint="eastAsia" w:ascii="宋体" w:hAnsi="宋体" w:cs="宋体"/>
          <w:color w:val="auto"/>
          <w:kern w:val="0"/>
          <w:sz w:val="24"/>
        </w:rPr>
        <w:t>提出质疑，质疑事项为：</w:t>
      </w:r>
    </w:p>
    <w:p>
      <w:pPr>
        <w:spacing w:line="360" w:lineRule="auto"/>
        <w:ind w:firstLine="241"/>
        <w:rPr>
          <w:rFonts w:hint="eastAsia" w:ascii="宋体" w:hAnsi="宋体" w:cs="宋体"/>
          <w:bCs/>
          <w:color w:val="auto"/>
          <w:kern w:val="0"/>
          <w:sz w:val="24"/>
          <w:u w:val="single"/>
        </w:rPr>
      </w:pPr>
      <w:r>
        <w:rPr>
          <w:rFonts w:hint="eastAsia" w:ascii="宋体" w:hAnsi="宋体" w:cs="宋体"/>
          <w:color w:val="auto"/>
          <w:kern w:val="0"/>
          <w:sz w:val="24"/>
        </w:rPr>
        <w:t xml:space="preserve">    </w:t>
      </w:r>
      <w:r>
        <w:rPr>
          <w:rFonts w:hint="eastAsia" w:ascii="宋体" w:hAnsi="宋体" w:cs="宋体"/>
          <w:bCs/>
          <w:color w:val="auto"/>
          <w:kern w:val="0"/>
          <w:sz w:val="24"/>
          <w:u w:val="single"/>
        </w:rPr>
        <w:t xml:space="preserve">                                                                                      </w:t>
      </w:r>
    </w:p>
    <w:p>
      <w:pPr>
        <w:spacing w:line="360" w:lineRule="auto"/>
        <w:ind w:firstLine="241"/>
        <w:rPr>
          <w:rFonts w:hint="eastAsia" w:ascii="宋体" w:hAnsi="宋体" w:cs="宋体"/>
          <w:bCs/>
          <w:color w:val="auto"/>
          <w:kern w:val="0"/>
          <w:sz w:val="24"/>
          <w:u w:val="single"/>
        </w:rPr>
      </w:pPr>
      <w:r>
        <w:rPr>
          <w:rFonts w:hint="eastAsia" w:ascii="宋体" w:hAnsi="宋体" w:cs="宋体"/>
          <w:bCs/>
          <w:color w:val="auto"/>
          <w:kern w:val="0"/>
          <w:sz w:val="24"/>
        </w:rPr>
        <w:t xml:space="preserve">    </w:t>
      </w:r>
      <w:r>
        <w:rPr>
          <w:rFonts w:hint="eastAsia" w:ascii="宋体" w:hAnsi="宋体" w:cs="宋体"/>
          <w:bCs/>
          <w:color w:val="auto"/>
          <w:kern w:val="0"/>
          <w:sz w:val="24"/>
          <w:u w:val="single"/>
        </w:rPr>
        <w:t xml:space="preserve">                                                                                      </w:t>
      </w:r>
    </w:p>
    <w:p>
      <w:pPr>
        <w:spacing w:line="360" w:lineRule="auto"/>
        <w:ind w:firstLine="480" w:firstLineChars="200"/>
        <w:rPr>
          <w:rFonts w:hint="eastAsia" w:ascii="宋体" w:hAnsi="宋体" w:cs="宋体"/>
          <w:color w:val="auto"/>
          <w:kern w:val="0"/>
          <w:sz w:val="24"/>
        </w:rPr>
      </w:pPr>
      <w:r>
        <w:rPr>
          <w:rFonts w:hint="eastAsia" w:ascii="宋体" w:hAnsi="宋体" w:cs="宋体"/>
          <w:bCs/>
          <w:color w:val="auto"/>
          <w:kern w:val="0"/>
          <w:sz w:val="24"/>
          <w:u w:val="single"/>
        </w:rPr>
        <w:t>采购人/采购代理机构</w:t>
      </w:r>
      <w:r>
        <w:rPr>
          <w:rFonts w:hint="eastAsia" w:ascii="宋体" w:hAnsi="宋体" w:cs="宋体"/>
          <w:bCs/>
          <w:color w:val="auto"/>
          <w:kern w:val="0"/>
          <w:sz w:val="24"/>
        </w:rPr>
        <w:t>于</w:t>
      </w:r>
      <w:r>
        <w:rPr>
          <w:rFonts w:hint="eastAsia" w:ascii="宋体" w:hAnsi="宋体" w:cs="宋体"/>
          <w:color w:val="auto"/>
          <w:kern w:val="0"/>
          <w:sz w:val="24"/>
          <w:u w:val="single"/>
        </w:rPr>
        <w:t xml:space="preserve">      </w:t>
      </w:r>
      <w:r>
        <w:rPr>
          <w:rFonts w:hint="eastAsia" w:ascii="宋体" w:hAnsi="宋体" w:cs="宋体"/>
          <w:color w:val="auto"/>
          <w:kern w:val="0"/>
          <w:sz w:val="24"/>
        </w:rPr>
        <w:t>年</w:t>
      </w:r>
      <w:r>
        <w:rPr>
          <w:rFonts w:hint="eastAsia" w:ascii="宋体" w:hAnsi="宋体" w:cs="宋体"/>
          <w:color w:val="auto"/>
          <w:kern w:val="0"/>
          <w:sz w:val="24"/>
          <w:u w:val="single"/>
        </w:rPr>
        <w:t xml:space="preserve">   </w:t>
      </w:r>
      <w:r>
        <w:rPr>
          <w:rFonts w:hint="eastAsia" w:ascii="宋体" w:hAnsi="宋体" w:cs="宋体"/>
          <w:color w:val="auto"/>
          <w:kern w:val="0"/>
          <w:sz w:val="24"/>
        </w:rPr>
        <w:t>月</w:t>
      </w:r>
      <w:r>
        <w:rPr>
          <w:rFonts w:hint="eastAsia" w:ascii="宋体" w:hAnsi="宋体" w:cs="宋体"/>
          <w:color w:val="auto"/>
          <w:kern w:val="0"/>
          <w:sz w:val="24"/>
          <w:u w:val="single"/>
        </w:rPr>
        <w:t xml:space="preserve">   </w:t>
      </w:r>
      <w:r>
        <w:rPr>
          <w:rFonts w:hint="eastAsia" w:ascii="宋体" w:hAnsi="宋体" w:cs="宋体"/>
          <w:color w:val="auto"/>
          <w:kern w:val="0"/>
          <w:sz w:val="24"/>
        </w:rPr>
        <w:t>日，</w:t>
      </w:r>
      <w:r>
        <w:rPr>
          <w:rFonts w:hint="eastAsia" w:ascii="宋体" w:hAnsi="宋体" w:cs="宋体"/>
          <w:bCs/>
          <w:color w:val="auto"/>
          <w:kern w:val="0"/>
          <w:sz w:val="24"/>
        </w:rPr>
        <w:t xml:space="preserve">就质疑事项作出了答复/没有在法定期限内作出答复。                                                                                             </w:t>
      </w:r>
    </w:p>
    <w:p>
      <w:pPr>
        <w:spacing w:line="360" w:lineRule="auto"/>
        <w:ind w:left="25" w:leftChars="12" w:firstLine="472" w:firstLineChars="196"/>
        <w:rPr>
          <w:rFonts w:hint="eastAsia" w:ascii="宋体" w:hAnsi="宋体" w:cs="宋体"/>
          <w:b/>
          <w:color w:val="auto"/>
          <w:kern w:val="0"/>
          <w:sz w:val="24"/>
        </w:rPr>
      </w:pPr>
      <w:r>
        <w:rPr>
          <w:rFonts w:hint="eastAsia" w:ascii="宋体" w:hAnsi="宋体" w:cs="宋体"/>
          <w:b/>
          <w:color w:val="auto"/>
          <w:kern w:val="0"/>
          <w:sz w:val="24"/>
        </w:rPr>
        <w:t>四、投诉事项具体内容</w:t>
      </w:r>
    </w:p>
    <w:p>
      <w:pPr>
        <w:spacing w:line="360" w:lineRule="auto"/>
        <w:ind w:left="25" w:leftChars="12" w:firstLine="472" w:firstLineChars="197"/>
        <w:rPr>
          <w:rFonts w:hint="eastAsia" w:ascii="宋体" w:hAnsi="宋体" w:cs="宋体"/>
          <w:bCs/>
          <w:color w:val="auto"/>
          <w:kern w:val="0"/>
          <w:sz w:val="24"/>
          <w:u w:val="single"/>
        </w:rPr>
      </w:pPr>
      <w:r>
        <w:rPr>
          <w:rFonts w:hint="eastAsia" w:ascii="宋体" w:hAnsi="宋体" w:cs="宋体"/>
          <w:color w:val="auto"/>
          <w:kern w:val="0"/>
          <w:sz w:val="24"/>
        </w:rPr>
        <w:t>投诉事项1：</w:t>
      </w:r>
      <w:r>
        <w:rPr>
          <w:rFonts w:hint="eastAsia" w:ascii="宋体" w:hAnsi="宋体" w:cs="宋体"/>
          <w:bCs/>
          <w:color w:val="auto"/>
          <w:kern w:val="0"/>
          <w:sz w:val="24"/>
          <w:u w:val="single"/>
        </w:rPr>
        <w:t xml:space="preserve">                                                                           </w:t>
      </w:r>
    </w:p>
    <w:p>
      <w:pPr>
        <w:spacing w:line="360" w:lineRule="auto"/>
        <w:ind w:firstLine="480" w:firstLineChars="200"/>
        <w:rPr>
          <w:rFonts w:hint="eastAsia" w:ascii="宋体" w:hAnsi="宋体" w:cs="宋体"/>
          <w:bCs/>
          <w:color w:val="auto"/>
          <w:kern w:val="0"/>
          <w:sz w:val="24"/>
          <w:u w:val="single"/>
        </w:rPr>
      </w:pPr>
      <w:r>
        <w:rPr>
          <w:rFonts w:hint="eastAsia" w:ascii="宋体" w:hAnsi="宋体" w:cs="宋体"/>
          <w:bCs/>
          <w:color w:val="auto"/>
          <w:kern w:val="0"/>
          <w:sz w:val="24"/>
        </w:rPr>
        <w:t>事实依据：</w:t>
      </w:r>
      <w:r>
        <w:rPr>
          <w:rFonts w:hint="eastAsia" w:ascii="宋体" w:hAnsi="宋体" w:cs="宋体"/>
          <w:color w:val="auto"/>
          <w:kern w:val="0"/>
          <w:sz w:val="24"/>
        </w:rPr>
        <w:t xml:space="preserve"> </w:t>
      </w:r>
      <w:r>
        <w:rPr>
          <w:rFonts w:hint="eastAsia" w:ascii="宋体" w:hAnsi="宋体" w:cs="宋体"/>
          <w:bCs/>
          <w:color w:val="auto"/>
          <w:kern w:val="0"/>
          <w:sz w:val="24"/>
          <w:u w:val="single"/>
        </w:rPr>
        <w:t xml:space="preserve">                                                                                      </w:t>
      </w:r>
    </w:p>
    <w:p>
      <w:pPr>
        <w:spacing w:line="360" w:lineRule="auto"/>
        <w:ind w:left="25" w:leftChars="12" w:firstLine="472" w:firstLineChars="197"/>
        <w:rPr>
          <w:rFonts w:hint="eastAsia" w:ascii="宋体" w:hAnsi="宋体" w:cs="宋体"/>
          <w:color w:val="auto"/>
          <w:kern w:val="0"/>
          <w:sz w:val="24"/>
        </w:rPr>
      </w:pPr>
      <w:r>
        <w:rPr>
          <w:rFonts w:hint="eastAsia" w:ascii="宋体" w:hAnsi="宋体" w:cs="宋体"/>
          <w:bCs/>
          <w:color w:val="auto"/>
          <w:kern w:val="0"/>
          <w:sz w:val="24"/>
          <w:u w:val="single"/>
        </w:rPr>
        <w:t xml:space="preserve">                                                                                        </w:t>
      </w:r>
    </w:p>
    <w:p>
      <w:pPr>
        <w:spacing w:line="360" w:lineRule="auto"/>
        <w:ind w:firstLine="480" w:firstLineChars="200"/>
        <w:rPr>
          <w:rFonts w:hint="eastAsia" w:ascii="宋体" w:hAnsi="宋体" w:cs="宋体"/>
          <w:bCs/>
          <w:color w:val="auto"/>
          <w:kern w:val="0"/>
          <w:sz w:val="24"/>
          <w:u w:val="single"/>
        </w:rPr>
      </w:pPr>
      <w:r>
        <w:rPr>
          <w:rFonts w:hint="eastAsia" w:ascii="宋体" w:hAnsi="宋体" w:cs="宋体"/>
          <w:bCs/>
          <w:color w:val="auto"/>
          <w:kern w:val="0"/>
          <w:sz w:val="24"/>
        </w:rPr>
        <w:t>法律依据：</w:t>
      </w:r>
      <w:r>
        <w:rPr>
          <w:rFonts w:hint="eastAsia" w:ascii="宋体" w:hAnsi="宋体" w:cs="宋体"/>
          <w:color w:val="auto"/>
          <w:kern w:val="0"/>
          <w:sz w:val="24"/>
        </w:rPr>
        <w:t xml:space="preserve"> </w:t>
      </w:r>
      <w:r>
        <w:rPr>
          <w:rFonts w:hint="eastAsia" w:ascii="宋体" w:hAnsi="宋体" w:cs="宋体"/>
          <w:bCs/>
          <w:color w:val="auto"/>
          <w:kern w:val="0"/>
          <w:sz w:val="24"/>
          <w:u w:val="single"/>
        </w:rPr>
        <w:t xml:space="preserve">                                                                                      </w:t>
      </w:r>
    </w:p>
    <w:p>
      <w:pPr>
        <w:spacing w:line="360" w:lineRule="auto"/>
        <w:ind w:left="25" w:leftChars="12" w:firstLine="352" w:firstLineChars="147"/>
        <w:rPr>
          <w:rFonts w:hint="eastAsia" w:ascii="宋体" w:hAnsi="宋体" w:cs="宋体"/>
          <w:bCs/>
          <w:color w:val="auto"/>
          <w:kern w:val="0"/>
          <w:sz w:val="24"/>
          <w:u w:val="single"/>
        </w:rPr>
      </w:pPr>
      <w:r>
        <w:rPr>
          <w:rFonts w:hint="eastAsia" w:ascii="宋体" w:hAnsi="宋体" w:cs="宋体"/>
          <w:bCs/>
          <w:color w:val="auto"/>
          <w:kern w:val="0"/>
          <w:sz w:val="24"/>
        </w:rPr>
        <w:t xml:space="preserve"> </w:t>
      </w:r>
      <w:r>
        <w:rPr>
          <w:rFonts w:hint="eastAsia" w:ascii="宋体" w:hAnsi="宋体" w:cs="宋体"/>
          <w:bCs/>
          <w:color w:val="auto"/>
          <w:kern w:val="0"/>
          <w:sz w:val="24"/>
          <w:u w:val="single"/>
        </w:rPr>
        <w:t xml:space="preserve">                                                                                        </w:t>
      </w:r>
    </w:p>
    <w:p>
      <w:pPr>
        <w:spacing w:line="360" w:lineRule="auto"/>
        <w:ind w:left="25" w:leftChars="12" w:firstLine="472" w:firstLineChars="197"/>
        <w:rPr>
          <w:rFonts w:hint="eastAsia" w:ascii="宋体" w:hAnsi="宋体" w:cs="宋体"/>
          <w:bCs/>
          <w:color w:val="auto"/>
          <w:kern w:val="0"/>
          <w:sz w:val="24"/>
        </w:rPr>
      </w:pPr>
      <w:r>
        <w:rPr>
          <w:rFonts w:hint="eastAsia" w:ascii="宋体" w:hAnsi="宋体" w:cs="宋体"/>
          <w:color w:val="auto"/>
          <w:kern w:val="0"/>
          <w:sz w:val="24"/>
        </w:rPr>
        <w:t xml:space="preserve">投诉事项2  </w:t>
      </w:r>
      <w:r>
        <w:rPr>
          <w:rFonts w:hint="eastAsia" w:ascii="宋体" w:hAnsi="宋体" w:cs="宋体"/>
          <w:bCs/>
          <w:color w:val="auto"/>
          <w:kern w:val="0"/>
          <w:sz w:val="24"/>
        </w:rPr>
        <w:t xml:space="preserve">   </w:t>
      </w:r>
    </w:p>
    <w:p>
      <w:pPr>
        <w:spacing w:line="360" w:lineRule="auto"/>
        <w:ind w:left="25" w:leftChars="12" w:firstLine="472" w:firstLineChars="197"/>
        <w:rPr>
          <w:rFonts w:hint="eastAsia" w:ascii="宋体" w:hAnsi="宋体" w:cs="宋体"/>
          <w:bCs/>
          <w:color w:val="auto"/>
          <w:kern w:val="0"/>
          <w:sz w:val="24"/>
        </w:rPr>
      </w:pPr>
      <w:r>
        <w:rPr>
          <w:rFonts w:hint="eastAsia" w:ascii="宋体" w:hAnsi="宋体" w:cs="宋体"/>
          <w:bCs/>
          <w:color w:val="auto"/>
          <w:kern w:val="0"/>
          <w:sz w:val="24"/>
        </w:rPr>
        <w:t>……</w:t>
      </w:r>
    </w:p>
    <w:p>
      <w:pPr>
        <w:spacing w:line="360" w:lineRule="auto"/>
        <w:ind w:left="25" w:leftChars="12" w:firstLine="472" w:firstLineChars="196"/>
        <w:rPr>
          <w:rFonts w:hint="eastAsia" w:ascii="宋体" w:hAnsi="宋体" w:cs="宋体"/>
          <w:b/>
          <w:color w:val="auto"/>
          <w:kern w:val="0"/>
          <w:sz w:val="24"/>
        </w:rPr>
      </w:pPr>
      <w:r>
        <w:rPr>
          <w:rFonts w:hint="eastAsia" w:ascii="宋体" w:hAnsi="宋体" w:cs="宋体"/>
          <w:b/>
          <w:color w:val="auto"/>
          <w:kern w:val="0"/>
          <w:sz w:val="24"/>
        </w:rPr>
        <w:t>五、与投诉事项相关的投诉请求：</w:t>
      </w:r>
    </w:p>
    <w:p>
      <w:pPr>
        <w:spacing w:line="360" w:lineRule="auto"/>
        <w:ind w:left="25" w:leftChars="12" w:firstLine="472" w:firstLineChars="197"/>
        <w:rPr>
          <w:rFonts w:hint="eastAsia" w:ascii="宋体" w:hAnsi="宋体" w:cs="宋体"/>
          <w:color w:val="auto"/>
          <w:kern w:val="0"/>
          <w:sz w:val="24"/>
        </w:rPr>
      </w:pPr>
      <w:r>
        <w:rPr>
          <w:rFonts w:hint="eastAsia" w:ascii="宋体" w:hAnsi="宋体" w:cs="宋体"/>
          <w:color w:val="auto"/>
          <w:kern w:val="0"/>
          <w:sz w:val="24"/>
        </w:rPr>
        <w:t>请求：</w:t>
      </w:r>
      <w:r>
        <w:rPr>
          <w:rFonts w:hint="eastAsia" w:ascii="宋体" w:hAnsi="宋体" w:cs="宋体"/>
          <w:bCs/>
          <w:color w:val="auto"/>
          <w:kern w:val="0"/>
          <w:sz w:val="24"/>
          <w:u w:val="single"/>
        </w:rPr>
        <w:t xml:space="preserve">                                                                                 </w:t>
      </w:r>
    </w:p>
    <w:p>
      <w:pPr>
        <w:spacing w:line="360" w:lineRule="auto"/>
        <w:ind w:left="25" w:leftChars="12" w:firstLine="352" w:firstLineChars="147"/>
        <w:rPr>
          <w:rFonts w:hint="eastAsia" w:ascii="宋体" w:hAnsi="宋体" w:cs="宋体"/>
          <w:color w:val="auto"/>
          <w:kern w:val="0"/>
          <w:sz w:val="24"/>
        </w:rPr>
      </w:pPr>
    </w:p>
    <w:p>
      <w:pPr>
        <w:spacing w:line="360" w:lineRule="auto"/>
        <w:ind w:left="25" w:leftChars="12" w:firstLine="472" w:firstLineChars="197"/>
        <w:rPr>
          <w:rFonts w:hint="eastAsia" w:ascii="宋体" w:hAnsi="宋体" w:cs="宋体"/>
          <w:color w:val="auto"/>
          <w:kern w:val="0"/>
          <w:sz w:val="24"/>
        </w:rPr>
      </w:pPr>
      <w:r>
        <w:rPr>
          <w:rFonts w:hint="eastAsia" w:ascii="宋体" w:hAnsi="宋体" w:cs="宋体"/>
          <w:color w:val="auto"/>
          <w:kern w:val="0"/>
          <w:sz w:val="24"/>
        </w:rPr>
        <w:t>签字（签章）：                                       公章：</w:t>
      </w:r>
    </w:p>
    <w:p>
      <w:pPr>
        <w:spacing w:line="360" w:lineRule="auto"/>
        <w:ind w:left="25" w:leftChars="12" w:firstLine="352" w:firstLineChars="147"/>
        <w:rPr>
          <w:rFonts w:hint="eastAsia" w:ascii="宋体" w:hAnsi="宋体" w:cs="宋体"/>
          <w:color w:val="auto"/>
          <w:kern w:val="0"/>
          <w:sz w:val="24"/>
        </w:rPr>
      </w:pPr>
    </w:p>
    <w:p>
      <w:pPr>
        <w:spacing w:line="360" w:lineRule="auto"/>
        <w:ind w:left="25" w:leftChars="12" w:firstLine="472" w:firstLineChars="197"/>
        <w:rPr>
          <w:rFonts w:hint="eastAsia" w:ascii="宋体" w:hAnsi="宋体" w:cs="宋体"/>
          <w:color w:val="auto"/>
          <w:kern w:val="0"/>
          <w:sz w:val="24"/>
        </w:rPr>
      </w:pPr>
      <w:r>
        <w:rPr>
          <w:rFonts w:hint="eastAsia" w:ascii="宋体" w:hAnsi="宋体" w:cs="宋体"/>
          <w:color w:val="auto"/>
          <w:kern w:val="0"/>
          <w:sz w:val="24"/>
        </w:rPr>
        <w:t>日期：</w:t>
      </w:r>
    </w:p>
    <w:p>
      <w:pPr>
        <w:spacing w:line="360" w:lineRule="auto"/>
        <w:ind w:left="25" w:leftChars="12" w:firstLine="472" w:firstLineChars="197"/>
        <w:rPr>
          <w:rFonts w:hint="eastAsia" w:ascii="宋体" w:hAnsi="宋体" w:cs="宋体"/>
          <w:color w:val="auto"/>
          <w:kern w:val="0"/>
          <w:sz w:val="24"/>
        </w:rPr>
      </w:pPr>
      <w:r>
        <w:rPr>
          <w:rFonts w:hint="eastAsia" w:ascii="宋体" w:hAnsi="宋体" w:cs="宋体"/>
          <w:bCs/>
          <w:color w:val="auto"/>
          <w:kern w:val="0"/>
          <w:sz w:val="24"/>
        </w:rPr>
        <w:t xml:space="preserve">                                                                                 </w:t>
      </w:r>
    </w:p>
    <w:p>
      <w:pPr>
        <w:snapToGrid w:val="0"/>
        <w:spacing w:line="360" w:lineRule="auto"/>
        <w:rPr>
          <w:rFonts w:hint="eastAsia" w:ascii="宋体" w:hAnsi="宋体" w:cs="宋体"/>
          <w:b/>
          <w:color w:val="auto"/>
          <w:kern w:val="0"/>
          <w:sz w:val="24"/>
        </w:rPr>
      </w:pPr>
    </w:p>
    <w:p>
      <w:pPr>
        <w:snapToGrid w:val="0"/>
        <w:spacing w:line="360" w:lineRule="auto"/>
        <w:rPr>
          <w:rFonts w:hint="eastAsia" w:ascii="宋体" w:hAnsi="宋体" w:cs="宋体"/>
          <w:b/>
          <w:color w:val="auto"/>
          <w:kern w:val="0"/>
          <w:sz w:val="24"/>
        </w:rPr>
      </w:pPr>
      <w:r>
        <w:rPr>
          <w:rFonts w:hint="eastAsia" w:ascii="宋体" w:hAnsi="宋体" w:cs="宋体"/>
          <w:b/>
          <w:color w:val="auto"/>
          <w:kern w:val="0"/>
          <w:sz w:val="24"/>
        </w:rPr>
        <w:t>说明：</w:t>
      </w:r>
    </w:p>
    <w:p>
      <w:pPr>
        <w:spacing w:line="360" w:lineRule="auto"/>
        <w:ind w:left="25" w:leftChars="12" w:firstLine="354" w:firstLineChars="147"/>
        <w:rPr>
          <w:rFonts w:hint="eastAsia" w:ascii="宋体" w:hAnsi="宋体" w:cs="宋体"/>
          <w:b/>
          <w:bCs/>
          <w:color w:val="auto"/>
          <w:kern w:val="0"/>
          <w:sz w:val="24"/>
        </w:rPr>
      </w:pPr>
      <w:r>
        <w:rPr>
          <w:rFonts w:hint="eastAsia" w:ascii="宋体" w:hAnsi="宋体" w:cs="宋体"/>
          <w:b/>
          <w:color w:val="auto"/>
          <w:kern w:val="0"/>
          <w:sz w:val="24"/>
        </w:rPr>
        <w:t>1.投诉人提起投诉时，应当提交投诉书和必要的证明材料，并按照被投诉人和与投诉事项有关的供应商数量提供投诉书副本</w:t>
      </w:r>
      <w:r>
        <w:rPr>
          <w:rFonts w:hint="eastAsia" w:ascii="宋体" w:hAnsi="宋体" w:cs="宋体"/>
          <w:b/>
          <w:bCs/>
          <w:color w:val="auto"/>
          <w:kern w:val="0"/>
          <w:sz w:val="24"/>
        </w:rPr>
        <w:t>。</w:t>
      </w:r>
    </w:p>
    <w:p>
      <w:pPr>
        <w:spacing w:line="360" w:lineRule="auto"/>
        <w:ind w:left="25" w:leftChars="12" w:firstLine="354" w:firstLineChars="147"/>
        <w:rPr>
          <w:rFonts w:hint="eastAsia" w:ascii="宋体" w:hAnsi="宋体" w:cs="宋体"/>
          <w:b/>
          <w:color w:val="auto"/>
          <w:kern w:val="0"/>
          <w:sz w:val="24"/>
        </w:rPr>
      </w:pPr>
      <w:r>
        <w:rPr>
          <w:rFonts w:hint="eastAsia" w:ascii="宋体" w:hAnsi="宋体" w:cs="宋体"/>
          <w:b/>
          <w:color w:val="auto"/>
          <w:kern w:val="0"/>
          <w:sz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pPr>
        <w:spacing w:line="360" w:lineRule="auto"/>
        <w:ind w:left="25" w:leftChars="12" w:firstLine="354" w:firstLineChars="147"/>
        <w:rPr>
          <w:rFonts w:hint="eastAsia" w:ascii="宋体" w:hAnsi="宋体" w:cs="宋体"/>
          <w:b/>
          <w:color w:val="auto"/>
          <w:kern w:val="0"/>
          <w:sz w:val="24"/>
        </w:rPr>
      </w:pPr>
      <w:r>
        <w:rPr>
          <w:rFonts w:hint="eastAsia" w:ascii="宋体" w:hAnsi="宋体" w:cs="宋体"/>
          <w:b/>
          <w:color w:val="auto"/>
          <w:kern w:val="0"/>
          <w:sz w:val="24"/>
        </w:rPr>
        <w:t>3.投诉书应简要列明质疑事项，质疑函、质疑答复等作为附件材料提供。</w:t>
      </w:r>
    </w:p>
    <w:p>
      <w:pPr>
        <w:spacing w:line="360" w:lineRule="auto"/>
        <w:ind w:left="25" w:leftChars="12" w:firstLine="354" w:firstLineChars="147"/>
        <w:rPr>
          <w:rFonts w:hint="eastAsia" w:ascii="宋体" w:hAnsi="宋体" w:cs="宋体"/>
          <w:b/>
          <w:color w:val="auto"/>
          <w:kern w:val="0"/>
          <w:sz w:val="24"/>
        </w:rPr>
      </w:pPr>
      <w:r>
        <w:rPr>
          <w:rFonts w:hint="eastAsia" w:ascii="宋体" w:hAnsi="宋体" w:cs="宋体"/>
          <w:b/>
          <w:color w:val="auto"/>
          <w:kern w:val="0"/>
          <w:sz w:val="24"/>
        </w:rPr>
        <w:t>4.投诉书的投诉事项应具体、明确，并有必要的事实依据和法律依据。</w:t>
      </w:r>
    </w:p>
    <w:p>
      <w:pPr>
        <w:spacing w:line="360" w:lineRule="auto"/>
        <w:ind w:left="25" w:leftChars="12" w:firstLine="354" w:firstLineChars="147"/>
        <w:rPr>
          <w:rFonts w:hint="eastAsia" w:ascii="宋体" w:hAnsi="宋体" w:cs="宋体"/>
          <w:b/>
          <w:color w:val="auto"/>
          <w:kern w:val="0"/>
          <w:sz w:val="24"/>
        </w:rPr>
      </w:pPr>
      <w:r>
        <w:rPr>
          <w:rFonts w:hint="eastAsia" w:ascii="宋体" w:hAnsi="宋体" w:cs="宋体"/>
          <w:b/>
          <w:color w:val="auto"/>
          <w:kern w:val="0"/>
          <w:sz w:val="24"/>
        </w:rPr>
        <w:t>5.投诉书的投诉请求应与投诉事项相关。</w:t>
      </w:r>
    </w:p>
    <w:p>
      <w:pPr>
        <w:spacing w:line="360" w:lineRule="auto"/>
        <w:ind w:left="25" w:leftChars="12" w:firstLine="354" w:firstLineChars="147"/>
        <w:rPr>
          <w:rFonts w:hint="eastAsia" w:ascii="宋体" w:hAnsi="宋体" w:cs="宋体"/>
          <w:color w:val="auto"/>
        </w:rPr>
      </w:pPr>
      <w:r>
        <w:rPr>
          <w:rFonts w:hint="eastAsia" w:ascii="宋体" w:hAnsi="宋体" w:cs="宋体"/>
          <w:b/>
          <w:color w:val="auto"/>
          <w:kern w:val="0"/>
          <w:sz w:val="24"/>
        </w:rPr>
        <w:t>6.投诉人为法人或者其他组织的，投诉书应由法定代表人、主要负责人，或者其授权代表签字或者盖章，并加盖公章。</w:t>
      </w:r>
    </w:p>
    <w:p>
      <w:pPr>
        <w:rPr>
          <w:rFonts w:hint="eastAsia"/>
          <w:color w:val="auto"/>
        </w:rPr>
      </w:pPr>
    </w:p>
    <w:sectPr>
      <w:headerReference r:id="rId12" w:type="default"/>
      <w:footerReference r:id="rId13" w:type="default"/>
      <w:pgSz w:w="11911" w:h="16838"/>
      <w:pgMar w:top="1134" w:right="1134" w:bottom="1134" w:left="1134"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6E41A0A-1342-49B2-8107-6B56A4E56C7A}"/>
  </w:font>
  <w:font w:name="黑体">
    <w:panose1 w:val="02010609060101010101"/>
    <w:charset w:val="86"/>
    <w:family w:val="auto"/>
    <w:pitch w:val="default"/>
    <w:sig w:usb0="800002BF" w:usb1="38CF7CFA" w:usb2="00000016" w:usb3="00000000" w:csb0="00040001" w:csb1="00000000"/>
    <w:embedRegular r:id="rId2" w:fontKey="{DCF26C86-4BA0-404C-B8ED-003C16330A93}"/>
  </w:font>
  <w:font w:name="Courier New">
    <w:panose1 w:val="02070309020205020404"/>
    <w:charset w:val="01"/>
    <w:family w:val="modern"/>
    <w:pitch w:val="default"/>
    <w:sig w:usb0="E0002EFF" w:usb1="C0007843" w:usb2="00000009" w:usb3="00000000" w:csb0="400001FF" w:csb1="FFFF0000"/>
    <w:embedRegular r:id="rId3" w:fontKey="{E87C3034-BA9C-4914-A0E9-A8A625F2D76D}"/>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A3A367CD-289A-4F3C-9FE4-73F93573AFF7}"/>
  </w:font>
  <w:font w:name="Cambria">
    <w:panose1 w:val="02040503050406030204"/>
    <w:charset w:val="00"/>
    <w:family w:val="roman"/>
    <w:pitch w:val="default"/>
    <w:sig w:usb0="E00006FF" w:usb1="420024FF" w:usb2="02000000" w:usb3="00000000" w:csb0="2000019F" w:csb1="00000000"/>
    <w:embedRegular r:id="rId5" w:fontKey="{2926F41F-73F6-4FDC-9329-125BA3B7F0B7}"/>
  </w:font>
  <w:font w:name="等线 Light">
    <w:panose1 w:val="02010600030101010101"/>
    <w:charset w:val="86"/>
    <w:family w:val="auto"/>
    <w:pitch w:val="default"/>
    <w:sig w:usb0="A00002BF" w:usb1="38CF7CFA" w:usb2="00000016" w:usb3="00000000" w:csb0="0004000F" w:csb1="00000000"/>
  </w:font>
  <w:font w:name="DejaVu Sans">
    <w:altName w:val="Times New Roman"/>
    <w:panose1 w:val="00000000000000000000"/>
    <w:charset w:val="00"/>
    <w:family w:val="roman"/>
    <w:pitch w:val="default"/>
    <w:sig w:usb0="00000000" w:usb1="00000000" w:usb2="00000008" w:usb3="00000000" w:csb0="000001FF" w:csb1="00000000"/>
  </w:font>
  <w:font w:name="方正黑体_GBK">
    <w:altName w:val="Arial Unicode MS"/>
    <w:panose1 w:val="02010600010101010101"/>
    <w:charset w:val="86"/>
    <w:family w:val="auto"/>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6" w:fontKey="{9E29CA4F-12A5-47A0-B852-880F7D630985}"/>
  </w:font>
  <w:font w:name="Arial Unicode MS">
    <w:panose1 w:val="020B0604020202020204"/>
    <w:charset w:val="86"/>
    <w:family w:val="auto"/>
    <w:pitch w:val="default"/>
    <w:sig w:usb0="FFFFFFFF" w:usb1="E9FFFFFF" w:usb2="0000003F" w:usb3="00000000" w:csb0="603F01FF" w:csb1="FFFF0000"/>
    <w:embedRegular r:id="rId7" w:fontKey="{3B1D5AF2-A5E4-4B9F-BA0E-7E2FDF099978}"/>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embedRegular r:id="rId8" w:fontKey="{B1A339CC-4CA2-417C-A192-B6263FF42749}"/>
  </w:font>
  <w:font w:name="Tahoma">
    <w:panose1 w:val="020B0604030504040204"/>
    <w:charset w:val="00"/>
    <w:family w:val="swiss"/>
    <w:pitch w:val="default"/>
    <w:sig w:usb0="E1002EFF" w:usb1="C000605B" w:usb2="00000029" w:usb3="00000000" w:csb0="200101FF" w:csb1="20280000"/>
  </w:font>
  <w:font w:name="Helvetica">
    <w:altName w:val="Arial"/>
    <w:panose1 w:val="020B0504020202030204"/>
    <w:charset w:val="00"/>
    <w:family w:val="swiss"/>
    <w:pitch w:val="default"/>
    <w:sig w:usb0="00000000" w:usb1="00000000" w:usb2="00000009" w:usb3="00000000" w:csb0="400001FF" w:csb1="FFFF0000"/>
    <w:embedRegular r:id="rId9" w:fontKey="{91D2E18E-D2D5-4ADF-BBD7-836CB677CAE4}"/>
  </w:font>
  <w:font w:name="Verdana">
    <w:panose1 w:val="020B0604030504040204"/>
    <w:charset w:val="00"/>
    <w:family w:val="swiss"/>
    <w:pitch w:val="default"/>
    <w:sig w:usb0="A00006FF" w:usb1="4000205B" w:usb2="00000010" w:usb3="00000000" w:csb0="2000019F" w:csb1="00000000"/>
    <w:embedRegular r:id="rId10" w:fontKey="{1A684AE1-8562-4F85-8C55-D52795E18BCD}"/>
  </w:font>
  <w:font w:name="隶书">
    <w:panose1 w:val="02010509060101010101"/>
    <w:charset w:val="86"/>
    <w:family w:val="modern"/>
    <w:pitch w:val="default"/>
    <w:sig w:usb0="00000001" w:usb1="080E0000" w:usb2="00000000" w:usb3="00000000" w:csb0="00040000" w:csb1="00000000"/>
    <w:embedRegular r:id="rId11" w:fontKey="{B4C6557A-1427-4655-9024-D513392754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hint="eastAsia" w:ascii="Calibri" w:hAnsi="Calibr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37"/>
        <w:rFonts w:ascii="Calibri" w:hAnsi="Calibri"/>
        <w:sz w:val="21"/>
      </w:rPr>
    </w:pPr>
    <w:r>
      <w:rPr>
        <w:rFonts w:ascii="Calibri" w:hAnsi="Calibri"/>
        <w:sz w:val="21"/>
      </w:rPr>
      <w:fldChar w:fldCharType="begin"/>
    </w:r>
    <w:r>
      <w:rPr>
        <w:rStyle w:val="37"/>
        <w:rFonts w:ascii="Calibri" w:hAnsi="Calibri"/>
        <w:sz w:val="21"/>
      </w:rPr>
      <w:instrText xml:space="preserve">PAGE  </w:instrText>
    </w:r>
    <w:r>
      <w:rPr>
        <w:rFonts w:ascii="Calibri" w:hAnsi="Calibri"/>
        <w:sz w:val="21"/>
      </w:rPr>
      <w:fldChar w:fldCharType="separate"/>
    </w:r>
    <w:r>
      <w:rPr>
        <w:rStyle w:val="37"/>
        <w:rFonts w:ascii="Calibri" w:hAnsi="Calibri"/>
        <w:sz w:val="21"/>
      </w:rPr>
      <w:t>0</w:t>
    </w:r>
    <w:r>
      <w:rPr>
        <w:rFonts w:ascii="Calibri" w:hAnsi="Calibri"/>
        <w:sz w:val="21"/>
      </w:rPr>
      <w:fldChar w:fldCharType="end"/>
    </w:r>
  </w:p>
  <w:p>
    <w:pPr>
      <w:pStyle w:val="23"/>
      <w:rPr>
        <w:rFonts w:ascii="Calibri" w:hAnsi="Calibri"/>
        <w:sz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center" w:pos="4439"/>
        <w:tab w:val="clear" w:pos="4153"/>
      </w:tabs>
      <w:jc w:val="both"/>
      <w:rPr>
        <w:rFonts w:ascii="Calibri" w:hAnsi="Calibri"/>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51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3"/>
                            <w:rPr>
                              <w:rFonts w:hint="eastAsia"/>
                            </w:rPr>
                          </w:pPr>
                          <w:r>
                            <w:rPr>
                              <w:rFonts w:hint="eastAsia"/>
                            </w:rPr>
                            <w:fldChar w:fldCharType="begin"/>
                          </w:r>
                          <w:r>
                            <w:rPr>
                              <w:rFonts w:hint="eastAsia"/>
                            </w:rPr>
                            <w:instrText xml:space="preserve"> PAGE  \* MERGEFORMAT </w:instrText>
                          </w:r>
                          <w:r>
                            <w:rPr>
                              <w:rFonts w:hint="eastAsia"/>
                            </w:rPr>
                            <w:fldChar w:fldCharType="separate"/>
                          </w:r>
                          <w:r>
                            <w:rPr>
                              <w:lang w:val="en-US" w:eastAsia="zh-CN"/>
                            </w:rPr>
                            <w:t>2</w:t>
                          </w:r>
                          <w:r>
                            <w:rPr>
                              <w:rFonts w:hint="eastAsia"/>
                            </w:rPr>
                            <w:fldChar w:fldCharType="end"/>
                          </w:r>
                        </w:p>
                      </w:txbxContent>
                    </wps:txbx>
                    <wps:bodyPr wrap="none" lIns="0" tIns="0" rIns="0" bIns="0" upright="1">
                      <a:spAutoFit/>
                    </wps:bodyPr>
                  </wps:wsp>
                </a:graphicData>
              </a:graphic>
            </wp:anchor>
          </w:drawing>
        </mc:Choice>
        <mc:Fallback>
          <w:pict>
            <v:shape id="文本框 513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KAy05HLAQAAnAMAAA4AAAAAAAAAAQAgAAAAHgEAAGRycy9lMm9E&#10;b2MueG1sUEsFBgAAAAAGAAYAWQEAAFsFAAAAAA==&#10;">
              <v:fill on="f" focussize="0,0"/>
              <v:stroke on="f"/>
              <v:imagedata o:title=""/>
              <o:lock v:ext="edit" aspectratio="f"/>
              <v:textbox inset="0mm,0mm,0mm,0mm" style="mso-fit-shape-to-text:t;">
                <w:txbxContent>
                  <w:p>
                    <w:pPr>
                      <w:pStyle w:val="23"/>
                      <w:rPr>
                        <w:rFonts w:hint="eastAsia"/>
                      </w:rPr>
                    </w:pPr>
                    <w:r>
                      <w:rPr>
                        <w:rFonts w:hint="eastAsia"/>
                      </w:rPr>
                      <w:fldChar w:fldCharType="begin"/>
                    </w:r>
                    <w:r>
                      <w:rPr>
                        <w:rFonts w:hint="eastAsia"/>
                      </w:rPr>
                      <w:instrText xml:space="preserve"> PAGE  \* MERGEFORMAT </w:instrText>
                    </w:r>
                    <w:r>
                      <w:rPr>
                        <w:rFonts w:hint="eastAsia"/>
                      </w:rPr>
                      <w:fldChar w:fldCharType="separate"/>
                    </w:r>
                    <w:r>
                      <w:rPr>
                        <w:lang w:val="en-US" w:eastAsia="zh-CN"/>
                      </w:rPr>
                      <w:t>2</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center" w:pos="4439"/>
        <w:tab w:val="clear" w:pos="4153"/>
      </w:tabs>
      <w:rPr>
        <w:rFonts w:ascii="Calibri" w:hAnsi="Calibri"/>
      </w:rPr>
    </w:pPr>
    <w:r>
      <w:rPr>
        <w:rFonts w:ascii="Calibri" w:hAnsi="Calibri"/>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5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rPr>
                              <w:rFonts w:ascii="Calibri" w:hAnsi="Calibri"/>
                            </w:rPr>
                          </w:pPr>
                        </w:p>
                      </w:txbxContent>
                    </wps:txbx>
                    <wps:bodyPr wrap="none" lIns="0" tIns="0" rIns="0" bIns="0" upright="1">
                      <a:spAutoFit/>
                    </wps:bodyPr>
                  </wps:wsp>
                </a:graphicData>
              </a:graphic>
            </wp:anchor>
          </w:drawing>
        </mc:Choice>
        <mc:Fallback>
          <w:pict>
            <v:shape id="文本框 51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vjubLzAEAAJwDAAAOAAAAAAAAAAEAIAAAAB4BAABkcnMvZTJv&#10;RG9jLnhtbFBLBQYAAAAABgAGAFkBAABcBQAAAAA=&#10;">
              <v:fill on="f" focussize="0,0"/>
              <v:stroke on="f"/>
              <v:imagedata o:title=""/>
              <o:lock v:ext="edit" aspectratio="f"/>
              <v:textbox inset="0mm,0mm,0mm,0mm" style="mso-fit-shape-to-text:t;">
                <w:txbxContent>
                  <w:p>
                    <w:pPr>
                      <w:rPr>
                        <w:rFonts w:ascii="Calibri" w:hAnsi="Calibri"/>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ascii="Calibri" w:hAnsi="Calibri"/>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1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3"/>
                            <w:rPr>
                              <w:rFonts w:hint="eastAsia"/>
                            </w:rPr>
                          </w:pPr>
                          <w:r>
                            <w:rPr>
                              <w:rFonts w:hint="eastAsia"/>
                            </w:rPr>
                            <w:fldChar w:fldCharType="begin"/>
                          </w:r>
                          <w:r>
                            <w:rPr>
                              <w:rFonts w:hint="eastAsia"/>
                            </w:rPr>
                            <w:instrText xml:space="preserve"> PAGE  \* MERGEFORMAT </w:instrText>
                          </w:r>
                          <w:r>
                            <w:rPr>
                              <w:rFonts w:hint="eastAsia"/>
                            </w:rPr>
                            <w:fldChar w:fldCharType="separate"/>
                          </w:r>
                          <w:r>
                            <w:rPr>
                              <w:lang w:val="en-US" w:eastAsia="zh-CN"/>
                            </w:rPr>
                            <w:t>3</w:t>
                          </w:r>
                          <w:r>
                            <w:rPr>
                              <w:rFonts w:hint="eastAsia"/>
                            </w:rPr>
                            <w:fldChar w:fldCharType="end"/>
                          </w:r>
                        </w:p>
                      </w:txbxContent>
                    </wps:txbx>
                    <wps:bodyPr wrap="none" lIns="0" tIns="0" rIns="0" bIns="0" upright="1">
                      <a:spAutoFit/>
                    </wps:bodyPr>
                  </wps:wsp>
                </a:graphicData>
              </a:graphic>
            </wp:anchor>
          </w:drawing>
        </mc:Choice>
        <mc:Fallback>
          <w:pict>
            <v:shape id="文本框 513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24GEKzAEAAJwDAAAOAAAAAAAAAAEAIAAAAB4BAABkcnMvZTJv&#10;RG9jLnhtbFBLBQYAAAAABgAGAFkBAABcBQAAAAA=&#10;">
              <v:fill on="f" focussize="0,0"/>
              <v:stroke on="f"/>
              <v:imagedata o:title=""/>
              <o:lock v:ext="edit" aspectratio="f"/>
              <v:textbox inset="0mm,0mm,0mm,0mm" style="mso-fit-shape-to-text:t;">
                <w:txbxContent>
                  <w:p>
                    <w:pPr>
                      <w:pStyle w:val="23"/>
                      <w:rPr>
                        <w:rFonts w:hint="eastAsia"/>
                      </w:rPr>
                    </w:pPr>
                    <w:r>
                      <w:rPr>
                        <w:rFonts w:hint="eastAsia"/>
                      </w:rPr>
                      <w:fldChar w:fldCharType="begin"/>
                    </w:r>
                    <w:r>
                      <w:rPr>
                        <w:rFonts w:hint="eastAsia"/>
                      </w:rPr>
                      <w:instrText xml:space="preserve"> PAGE  \* MERGEFORMAT </w:instrText>
                    </w:r>
                    <w:r>
                      <w:rPr>
                        <w:rFonts w:hint="eastAsia"/>
                      </w:rPr>
                      <w:fldChar w:fldCharType="separate"/>
                    </w:r>
                    <w:r>
                      <w:rPr>
                        <w:lang w:val="en-US" w:eastAsia="zh-CN"/>
                      </w:rPr>
                      <w:t>3</w:t>
                    </w:r>
                    <w:r>
                      <w:rPr>
                        <w:rFonts w:hint="eastAsia"/>
                      </w:rPr>
                      <w:fldChar w:fldCharType="end"/>
                    </w:r>
                  </w:p>
                </w:txbxContent>
              </v:textbox>
            </v:shape>
          </w:pict>
        </mc:Fallback>
      </mc:AlternateContent>
    </w:r>
  </w:p>
  <w:p>
    <w:pPr>
      <w:pStyle w:val="23"/>
      <w:rPr>
        <w:rFonts w:ascii="Calibri" w:hAnsi="Calibri"/>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5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3"/>
                            <w:jc w:val="center"/>
                            <w:rPr>
                              <w:rFonts w:hint="eastAsia"/>
                            </w:rPr>
                          </w:pPr>
                          <w:r>
                            <w:rPr>
                              <w:rFonts w:hint="eastAsia"/>
                            </w:rPr>
                            <w:fldChar w:fldCharType="begin"/>
                          </w:r>
                          <w:r>
                            <w:rPr>
                              <w:rFonts w:hint="eastAsia"/>
                            </w:rPr>
                            <w:instrText xml:space="preserve"> PAGE  \* MERGEFORMAT </w:instrText>
                          </w:r>
                          <w:r>
                            <w:rPr>
                              <w:rFonts w:hint="eastAsia"/>
                            </w:rPr>
                            <w:fldChar w:fldCharType="separate"/>
                          </w:r>
                          <w:r>
                            <w:rPr>
                              <w:lang w:val="en-US" w:eastAsia="zh-CN"/>
                            </w:rPr>
                            <w:t>87</w:t>
                          </w:r>
                          <w:r>
                            <w:rPr>
                              <w:rFonts w:hint="eastAsia"/>
                            </w:rPr>
                            <w:fldChar w:fldCharType="end"/>
                          </w:r>
                        </w:p>
                      </w:txbxContent>
                    </wps:txbx>
                    <wps:bodyPr wrap="none" lIns="0" tIns="0" rIns="0" bIns="0" upright="1">
                      <a:spAutoFit/>
                    </wps:bodyPr>
                  </wps:wsp>
                </a:graphicData>
              </a:graphic>
            </wp:anchor>
          </w:drawing>
        </mc:Choice>
        <mc:Fallback>
          <w:pict>
            <v:shape id="文本框 512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Q6w3RzAEAAJwDAAAOAAAAAAAAAAEAIAAAAB4BAABkcnMvZTJv&#10;RG9jLnhtbFBLBQYAAAAABgAGAFkBAABcBQAAAAA=&#10;">
              <v:fill on="f" focussize="0,0"/>
              <v:stroke on="f"/>
              <v:imagedata o:title=""/>
              <o:lock v:ext="edit" aspectratio="f"/>
              <v:textbox inset="0mm,0mm,0mm,0mm" style="mso-fit-shape-to-text:t;">
                <w:txbxContent>
                  <w:p>
                    <w:pPr>
                      <w:pStyle w:val="23"/>
                      <w:jc w:val="center"/>
                      <w:rPr>
                        <w:rFonts w:hint="eastAsia"/>
                      </w:rPr>
                    </w:pPr>
                    <w:r>
                      <w:rPr>
                        <w:rFonts w:hint="eastAsia"/>
                      </w:rPr>
                      <w:fldChar w:fldCharType="begin"/>
                    </w:r>
                    <w:r>
                      <w:rPr>
                        <w:rFonts w:hint="eastAsia"/>
                      </w:rPr>
                      <w:instrText xml:space="preserve"> PAGE  \* MERGEFORMAT </w:instrText>
                    </w:r>
                    <w:r>
                      <w:rPr>
                        <w:rFonts w:hint="eastAsia"/>
                      </w:rPr>
                      <w:fldChar w:fldCharType="separate"/>
                    </w:r>
                    <w:r>
                      <w:rPr>
                        <w:lang w:val="en-US" w:eastAsia="zh-CN"/>
                      </w:rPr>
                      <w:t>87</w:t>
                    </w:r>
                    <w:r>
                      <w:rPr>
                        <w:rFonts w:hint="eastAsia"/>
                      </w:rPr>
                      <w:fldChar w:fldCharType="end"/>
                    </w:r>
                  </w:p>
                </w:txbxContent>
              </v:textbox>
            </v:shape>
          </w:pict>
        </mc:Fallback>
      </mc:AlternateContent>
    </w:r>
  </w:p>
  <w:p>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tabs>
        <w:tab w:val="center" w:pos="0"/>
        <w:tab w:val="clear" w:pos="4153"/>
      </w:tabs>
      <w:rPr>
        <w:rFonts w:ascii="Calibri" w:hAnsi="Calibr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tabs>
        <w:tab w:val="center" w:pos="0"/>
        <w:tab w:val="clear" w:pos="4153"/>
      </w:tabs>
      <w:rPr>
        <w:rFonts w:ascii="Calibri" w:hAnsi="Calibri"/>
      </w:rPr>
    </w:pPr>
    <w:r>
      <w:rPr>
        <w:rFonts w:hint="eastAsia" w:ascii="Calibri" w:hAnsi="Calibri"/>
      </w:rPr>
      <w:t>南宁市政府采购竞争性磋商采购文件（项目编号：NNZC2021-C3--KLZB）</w:t>
    </w:r>
  </w:p>
  <w:p>
    <w:pPr>
      <w:pStyle w:val="24"/>
      <w:pBdr>
        <w:bottom w:val="none" w:color="auto" w:sz="0" w:space="1"/>
      </w:pBdr>
      <w:rPr>
        <w:rFonts w:ascii="Calibri" w:hAnsi="Calibri"/>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EC241D"/>
    <w:multiLevelType w:val="singleLevel"/>
    <w:tmpl w:val="D7EC241D"/>
    <w:lvl w:ilvl="0" w:tentative="0">
      <w:start w:val="1"/>
      <w:numFmt w:val="decimal"/>
      <w:suff w:val="nothing"/>
      <w:lvlText w:val="（%1）"/>
      <w:lvlJc w:val="left"/>
    </w:lvl>
  </w:abstractNum>
  <w:abstractNum w:abstractNumId="1">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0595501A"/>
    <w:multiLevelType w:val="multilevel"/>
    <w:tmpl w:val="0595501A"/>
    <w:lvl w:ilvl="0" w:tentative="0">
      <w:start w:val="1"/>
      <w:numFmt w:val="decimal"/>
      <w:suff w:val="space"/>
      <w:lvlText w:val="%1."/>
      <w:lvlJc w:val="left"/>
      <w:pPr>
        <w:ind w:left="0" w:firstLine="0"/>
      </w:pPr>
      <w:rPr>
        <w:rFonts w:hint="eastAsia"/>
      </w:rPr>
    </w:lvl>
    <w:lvl w:ilvl="1" w:tentative="0">
      <w:start w:val="1"/>
      <w:numFmt w:val="decimal"/>
      <w:isLgl/>
      <w:suff w:val="space"/>
      <w:lvlText w:val="%1.%2"/>
      <w:lvlJc w:val="left"/>
      <w:pPr>
        <w:ind w:left="0" w:firstLine="0"/>
      </w:pPr>
      <w:rPr>
        <w:rFonts w:hint="eastAsia"/>
      </w:rPr>
    </w:lvl>
    <w:lvl w:ilvl="2" w:tentative="0">
      <w:start w:val="1"/>
      <w:numFmt w:val="decimal"/>
      <w:pStyle w:val="93"/>
      <w:isLgl/>
      <w:suff w:val="space"/>
      <w:lvlText w:val="%1.%2.%3"/>
      <w:lvlJc w:val="left"/>
      <w:pPr>
        <w:ind w:left="0" w:firstLine="0"/>
      </w:pPr>
      <w:rPr>
        <w:rFonts w:hint="eastAsia"/>
        <w:b w:val="0"/>
        <w:i w:val="0"/>
        <w:color w:val="auto"/>
      </w:rPr>
    </w:lvl>
    <w:lvl w:ilvl="3" w:tentative="0">
      <w:start w:val="1"/>
      <w:numFmt w:val="decimal"/>
      <w:isLgl/>
      <w:suff w:val="space"/>
      <w:lvlText w:val="%1.%2.%3.%4"/>
      <w:lvlJc w:val="left"/>
      <w:pPr>
        <w:ind w:left="0" w:firstLine="0"/>
      </w:pPr>
      <w:rPr>
        <w:rFonts w:hint="eastAsia"/>
      </w:rPr>
    </w:lvl>
    <w:lvl w:ilvl="4" w:tentative="0">
      <w:start w:val="1"/>
      <w:numFmt w:val="decimal"/>
      <w:isLgl/>
      <w:lvlText w:val="%1.%2.%3.%4.%5"/>
      <w:lvlJc w:val="left"/>
      <w:pPr>
        <w:tabs>
          <w:tab w:val="left" w:pos="0"/>
        </w:tabs>
        <w:ind w:left="0" w:firstLine="0"/>
      </w:pPr>
      <w:rPr>
        <w:rFonts w:hint="eastAsia"/>
      </w:rPr>
    </w:lvl>
    <w:lvl w:ilvl="5" w:tentative="0">
      <w:start w:val="1"/>
      <w:numFmt w:val="decimal"/>
      <w:lvlText w:val="%1.%2.%3.%4.%5.%6"/>
      <w:lvlJc w:val="left"/>
      <w:pPr>
        <w:tabs>
          <w:tab w:val="left" w:pos="6086"/>
        </w:tabs>
        <w:ind w:left="3260" w:hanging="1134"/>
      </w:pPr>
      <w:rPr>
        <w:rFonts w:hint="eastAsia"/>
      </w:rPr>
    </w:lvl>
    <w:lvl w:ilvl="6" w:tentative="0">
      <w:start w:val="1"/>
      <w:numFmt w:val="decimal"/>
      <w:lvlText w:val="%1.%2.%3.%4.%5.%6.%7"/>
      <w:lvlJc w:val="left"/>
      <w:pPr>
        <w:tabs>
          <w:tab w:val="left" w:pos="7231"/>
        </w:tabs>
        <w:ind w:left="3827" w:hanging="1276"/>
      </w:pPr>
      <w:rPr>
        <w:rFonts w:hint="eastAsia"/>
      </w:rPr>
    </w:lvl>
    <w:lvl w:ilvl="7" w:tentative="0">
      <w:start w:val="1"/>
      <w:numFmt w:val="decimal"/>
      <w:lvlText w:val="%1.%2.%3.%4.%5.%6.%7.%8"/>
      <w:lvlJc w:val="left"/>
      <w:pPr>
        <w:tabs>
          <w:tab w:val="left" w:pos="8376"/>
        </w:tabs>
        <w:ind w:left="4394" w:hanging="1418"/>
      </w:pPr>
      <w:rPr>
        <w:rFonts w:hint="eastAsia"/>
      </w:rPr>
    </w:lvl>
    <w:lvl w:ilvl="8" w:tentative="0">
      <w:start w:val="1"/>
      <w:numFmt w:val="decimal"/>
      <w:lvlText w:val="%1.%2.%3.%4.%5.%6.%7.%8.%9"/>
      <w:lvlJc w:val="left"/>
      <w:pPr>
        <w:tabs>
          <w:tab w:val="left" w:pos="9522"/>
        </w:tabs>
        <w:ind w:left="5102" w:hanging="1700"/>
      </w:pPr>
      <w:rPr>
        <w:rFonts w:hint="eastAsia"/>
      </w:rPr>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5,6,7"/>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U5NTE4Y2EwNGUwNTA5ZTk0ODVmYmYwNWU3YjQyYWUifQ=="/>
  </w:docVars>
  <w:rsids>
    <w:rsidRoot w:val="00F34B14"/>
    <w:rsid w:val="00000672"/>
    <w:rsid w:val="00001013"/>
    <w:rsid w:val="00001799"/>
    <w:rsid w:val="00001AF2"/>
    <w:rsid w:val="00001ECA"/>
    <w:rsid w:val="00002D29"/>
    <w:rsid w:val="00003B93"/>
    <w:rsid w:val="0000474D"/>
    <w:rsid w:val="00005FDF"/>
    <w:rsid w:val="000070B3"/>
    <w:rsid w:val="000076B8"/>
    <w:rsid w:val="0001047A"/>
    <w:rsid w:val="000109DC"/>
    <w:rsid w:val="00010D39"/>
    <w:rsid w:val="0001172C"/>
    <w:rsid w:val="00011A4D"/>
    <w:rsid w:val="00011BC9"/>
    <w:rsid w:val="00012854"/>
    <w:rsid w:val="00012EA6"/>
    <w:rsid w:val="00013359"/>
    <w:rsid w:val="000139CF"/>
    <w:rsid w:val="00013AA4"/>
    <w:rsid w:val="00013DFE"/>
    <w:rsid w:val="000141EA"/>
    <w:rsid w:val="00015094"/>
    <w:rsid w:val="00016ABC"/>
    <w:rsid w:val="000176C5"/>
    <w:rsid w:val="000177DB"/>
    <w:rsid w:val="000179C9"/>
    <w:rsid w:val="00017CCC"/>
    <w:rsid w:val="00020227"/>
    <w:rsid w:val="00020263"/>
    <w:rsid w:val="00020455"/>
    <w:rsid w:val="00020527"/>
    <w:rsid w:val="00020813"/>
    <w:rsid w:val="000220B2"/>
    <w:rsid w:val="0002264C"/>
    <w:rsid w:val="00022731"/>
    <w:rsid w:val="00022792"/>
    <w:rsid w:val="00024463"/>
    <w:rsid w:val="00025461"/>
    <w:rsid w:val="00025636"/>
    <w:rsid w:val="00025E36"/>
    <w:rsid w:val="00026855"/>
    <w:rsid w:val="00026886"/>
    <w:rsid w:val="0002785D"/>
    <w:rsid w:val="000329E0"/>
    <w:rsid w:val="00032E5A"/>
    <w:rsid w:val="00034390"/>
    <w:rsid w:val="000352E9"/>
    <w:rsid w:val="00035494"/>
    <w:rsid w:val="00036125"/>
    <w:rsid w:val="00036A07"/>
    <w:rsid w:val="0003780B"/>
    <w:rsid w:val="00040571"/>
    <w:rsid w:val="00040973"/>
    <w:rsid w:val="0004156E"/>
    <w:rsid w:val="00041713"/>
    <w:rsid w:val="0004440C"/>
    <w:rsid w:val="00046B5E"/>
    <w:rsid w:val="000470CB"/>
    <w:rsid w:val="000509D9"/>
    <w:rsid w:val="00051316"/>
    <w:rsid w:val="00051ACB"/>
    <w:rsid w:val="00052451"/>
    <w:rsid w:val="000533E7"/>
    <w:rsid w:val="00055D41"/>
    <w:rsid w:val="00057CD6"/>
    <w:rsid w:val="00060DCE"/>
    <w:rsid w:val="000610E3"/>
    <w:rsid w:val="000614F3"/>
    <w:rsid w:val="000623B4"/>
    <w:rsid w:val="00062405"/>
    <w:rsid w:val="000634A7"/>
    <w:rsid w:val="00063B0B"/>
    <w:rsid w:val="00063F81"/>
    <w:rsid w:val="00064847"/>
    <w:rsid w:val="00065E08"/>
    <w:rsid w:val="000673E2"/>
    <w:rsid w:val="0007063F"/>
    <w:rsid w:val="00070740"/>
    <w:rsid w:val="000707FD"/>
    <w:rsid w:val="00070949"/>
    <w:rsid w:val="000711E4"/>
    <w:rsid w:val="000724D9"/>
    <w:rsid w:val="00072AED"/>
    <w:rsid w:val="00073F47"/>
    <w:rsid w:val="0007492F"/>
    <w:rsid w:val="00074ED8"/>
    <w:rsid w:val="000752AF"/>
    <w:rsid w:val="00075B7E"/>
    <w:rsid w:val="00077ACA"/>
    <w:rsid w:val="00077C70"/>
    <w:rsid w:val="000813B5"/>
    <w:rsid w:val="00081BA3"/>
    <w:rsid w:val="00081D2E"/>
    <w:rsid w:val="00081F89"/>
    <w:rsid w:val="00082619"/>
    <w:rsid w:val="00082D02"/>
    <w:rsid w:val="00083871"/>
    <w:rsid w:val="00083B91"/>
    <w:rsid w:val="0008473C"/>
    <w:rsid w:val="0008520B"/>
    <w:rsid w:val="000860BD"/>
    <w:rsid w:val="000871B8"/>
    <w:rsid w:val="000916DA"/>
    <w:rsid w:val="00092442"/>
    <w:rsid w:val="000929EF"/>
    <w:rsid w:val="000933BE"/>
    <w:rsid w:val="00093CD4"/>
    <w:rsid w:val="0009560F"/>
    <w:rsid w:val="0009588E"/>
    <w:rsid w:val="000959EE"/>
    <w:rsid w:val="00097183"/>
    <w:rsid w:val="000972CB"/>
    <w:rsid w:val="00097608"/>
    <w:rsid w:val="000A13F3"/>
    <w:rsid w:val="000A23B1"/>
    <w:rsid w:val="000A2B0E"/>
    <w:rsid w:val="000A398F"/>
    <w:rsid w:val="000A3BB7"/>
    <w:rsid w:val="000A448C"/>
    <w:rsid w:val="000A509C"/>
    <w:rsid w:val="000A54A7"/>
    <w:rsid w:val="000A6007"/>
    <w:rsid w:val="000A65A6"/>
    <w:rsid w:val="000A70E3"/>
    <w:rsid w:val="000A7275"/>
    <w:rsid w:val="000A7A12"/>
    <w:rsid w:val="000A7A72"/>
    <w:rsid w:val="000B1202"/>
    <w:rsid w:val="000B1801"/>
    <w:rsid w:val="000B1D0C"/>
    <w:rsid w:val="000B2273"/>
    <w:rsid w:val="000B2585"/>
    <w:rsid w:val="000B2BC6"/>
    <w:rsid w:val="000B2D03"/>
    <w:rsid w:val="000B3815"/>
    <w:rsid w:val="000B3C7B"/>
    <w:rsid w:val="000B4321"/>
    <w:rsid w:val="000B552E"/>
    <w:rsid w:val="000B6A6B"/>
    <w:rsid w:val="000B6C95"/>
    <w:rsid w:val="000B79FC"/>
    <w:rsid w:val="000B7BD1"/>
    <w:rsid w:val="000C02B1"/>
    <w:rsid w:val="000C1679"/>
    <w:rsid w:val="000C1EE3"/>
    <w:rsid w:val="000C3AE7"/>
    <w:rsid w:val="000C3CC9"/>
    <w:rsid w:val="000C5ED6"/>
    <w:rsid w:val="000C6DE4"/>
    <w:rsid w:val="000C7202"/>
    <w:rsid w:val="000D0A89"/>
    <w:rsid w:val="000D0AFC"/>
    <w:rsid w:val="000D1389"/>
    <w:rsid w:val="000D1798"/>
    <w:rsid w:val="000D2626"/>
    <w:rsid w:val="000D291C"/>
    <w:rsid w:val="000D3FB6"/>
    <w:rsid w:val="000D411D"/>
    <w:rsid w:val="000D4589"/>
    <w:rsid w:val="000D4809"/>
    <w:rsid w:val="000D73DD"/>
    <w:rsid w:val="000E1C51"/>
    <w:rsid w:val="000E28AB"/>
    <w:rsid w:val="000E2E3E"/>
    <w:rsid w:val="000E3583"/>
    <w:rsid w:val="000E3AF0"/>
    <w:rsid w:val="000E4E04"/>
    <w:rsid w:val="000E693B"/>
    <w:rsid w:val="000E6EC9"/>
    <w:rsid w:val="000E70B4"/>
    <w:rsid w:val="000E7B62"/>
    <w:rsid w:val="000F0E1E"/>
    <w:rsid w:val="000F17E5"/>
    <w:rsid w:val="000F1A1B"/>
    <w:rsid w:val="000F2A95"/>
    <w:rsid w:val="000F3281"/>
    <w:rsid w:val="000F32FD"/>
    <w:rsid w:val="000F3733"/>
    <w:rsid w:val="000F439E"/>
    <w:rsid w:val="000F5F8B"/>
    <w:rsid w:val="000F6153"/>
    <w:rsid w:val="000F63C8"/>
    <w:rsid w:val="000F64AA"/>
    <w:rsid w:val="000F7AF4"/>
    <w:rsid w:val="000F7C33"/>
    <w:rsid w:val="000F7F0C"/>
    <w:rsid w:val="001004D6"/>
    <w:rsid w:val="00102676"/>
    <w:rsid w:val="00103646"/>
    <w:rsid w:val="00103918"/>
    <w:rsid w:val="00104897"/>
    <w:rsid w:val="00104EDE"/>
    <w:rsid w:val="00105CDA"/>
    <w:rsid w:val="00106BEE"/>
    <w:rsid w:val="00107C74"/>
    <w:rsid w:val="0011091C"/>
    <w:rsid w:val="00111266"/>
    <w:rsid w:val="001112EB"/>
    <w:rsid w:val="00112768"/>
    <w:rsid w:val="00113678"/>
    <w:rsid w:val="00113C3E"/>
    <w:rsid w:val="00115E11"/>
    <w:rsid w:val="00115EEE"/>
    <w:rsid w:val="00115F56"/>
    <w:rsid w:val="00116CA9"/>
    <w:rsid w:val="00116F38"/>
    <w:rsid w:val="001170A4"/>
    <w:rsid w:val="00117AE7"/>
    <w:rsid w:val="00117CBD"/>
    <w:rsid w:val="0012006A"/>
    <w:rsid w:val="00121979"/>
    <w:rsid w:val="00122064"/>
    <w:rsid w:val="00124341"/>
    <w:rsid w:val="00124492"/>
    <w:rsid w:val="00124B12"/>
    <w:rsid w:val="001250A0"/>
    <w:rsid w:val="001263B8"/>
    <w:rsid w:val="0012763E"/>
    <w:rsid w:val="00130217"/>
    <w:rsid w:val="00130783"/>
    <w:rsid w:val="00130A47"/>
    <w:rsid w:val="00130D7C"/>
    <w:rsid w:val="00132B47"/>
    <w:rsid w:val="001337F8"/>
    <w:rsid w:val="001348B4"/>
    <w:rsid w:val="001351CB"/>
    <w:rsid w:val="00135530"/>
    <w:rsid w:val="00135947"/>
    <w:rsid w:val="001359A2"/>
    <w:rsid w:val="00135F92"/>
    <w:rsid w:val="00136020"/>
    <w:rsid w:val="00136445"/>
    <w:rsid w:val="00140132"/>
    <w:rsid w:val="00141C9C"/>
    <w:rsid w:val="0014277F"/>
    <w:rsid w:val="001434BE"/>
    <w:rsid w:val="00144050"/>
    <w:rsid w:val="0014479F"/>
    <w:rsid w:val="001452B4"/>
    <w:rsid w:val="00145320"/>
    <w:rsid w:val="001476D3"/>
    <w:rsid w:val="001509CF"/>
    <w:rsid w:val="00150D1D"/>
    <w:rsid w:val="001525AA"/>
    <w:rsid w:val="00152A87"/>
    <w:rsid w:val="00153BB5"/>
    <w:rsid w:val="00154518"/>
    <w:rsid w:val="00156359"/>
    <w:rsid w:val="001568F3"/>
    <w:rsid w:val="00156DD6"/>
    <w:rsid w:val="0016086E"/>
    <w:rsid w:val="00160D0C"/>
    <w:rsid w:val="00161172"/>
    <w:rsid w:val="00161998"/>
    <w:rsid w:val="00161E65"/>
    <w:rsid w:val="00162597"/>
    <w:rsid w:val="001629AF"/>
    <w:rsid w:val="001629FD"/>
    <w:rsid w:val="0016428A"/>
    <w:rsid w:val="001647C9"/>
    <w:rsid w:val="001655B2"/>
    <w:rsid w:val="00165627"/>
    <w:rsid w:val="00165929"/>
    <w:rsid w:val="001661A3"/>
    <w:rsid w:val="00167226"/>
    <w:rsid w:val="0016782B"/>
    <w:rsid w:val="0016784D"/>
    <w:rsid w:val="00172CA8"/>
    <w:rsid w:val="00173256"/>
    <w:rsid w:val="00173B0E"/>
    <w:rsid w:val="00173E03"/>
    <w:rsid w:val="00174182"/>
    <w:rsid w:val="0017512C"/>
    <w:rsid w:val="0017586A"/>
    <w:rsid w:val="00175BA6"/>
    <w:rsid w:val="00176CA7"/>
    <w:rsid w:val="00176F8E"/>
    <w:rsid w:val="001778C5"/>
    <w:rsid w:val="00177E56"/>
    <w:rsid w:val="00177F0A"/>
    <w:rsid w:val="00180DA0"/>
    <w:rsid w:val="00181EAD"/>
    <w:rsid w:val="00181F43"/>
    <w:rsid w:val="00182862"/>
    <w:rsid w:val="00184F57"/>
    <w:rsid w:val="00185544"/>
    <w:rsid w:val="00185617"/>
    <w:rsid w:val="00186823"/>
    <w:rsid w:val="00186FE1"/>
    <w:rsid w:val="00187A14"/>
    <w:rsid w:val="0019171E"/>
    <w:rsid w:val="00192368"/>
    <w:rsid w:val="001923A0"/>
    <w:rsid w:val="001928B1"/>
    <w:rsid w:val="00193537"/>
    <w:rsid w:val="00193846"/>
    <w:rsid w:val="00194EC8"/>
    <w:rsid w:val="00195424"/>
    <w:rsid w:val="001955FF"/>
    <w:rsid w:val="00196D6E"/>
    <w:rsid w:val="00197EDD"/>
    <w:rsid w:val="001A02B3"/>
    <w:rsid w:val="001A04BB"/>
    <w:rsid w:val="001A08D0"/>
    <w:rsid w:val="001A1B39"/>
    <w:rsid w:val="001A2120"/>
    <w:rsid w:val="001A28C6"/>
    <w:rsid w:val="001A2E69"/>
    <w:rsid w:val="001A3C34"/>
    <w:rsid w:val="001A3EDE"/>
    <w:rsid w:val="001A4222"/>
    <w:rsid w:val="001A50EA"/>
    <w:rsid w:val="001A5BA2"/>
    <w:rsid w:val="001A5E24"/>
    <w:rsid w:val="001A6B27"/>
    <w:rsid w:val="001A6D8B"/>
    <w:rsid w:val="001A6DAA"/>
    <w:rsid w:val="001A7717"/>
    <w:rsid w:val="001A793A"/>
    <w:rsid w:val="001B125A"/>
    <w:rsid w:val="001B1EBA"/>
    <w:rsid w:val="001B2142"/>
    <w:rsid w:val="001B2F2B"/>
    <w:rsid w:val="001B327A"/>
    <w:rsid w:val="001B35DE"/>
    <w:rsid w:val="001B3A13"/>
    <w:rsid w:val="001B3F5C"/>
    <w:rsid w:val="001B59FF"/>
    <w:rsid w:val="001B6512"/>
    <w:rsid w:val="001B65D7"/>
    <w:rsid w:val="001B6752"/>
    <w:rsid w:val="001B6768"/>
    <w:rsid w:val="001B6F1F"/>
    <w:rsid w:val="001B7CD7"/>
    <w:rsid w:val="001B7ECC"/>
    <w:rsid w:val="001C025B"/>
    <w:rsid w:val="001C115F"/>
    <w:rsid w:val="001C1EAB"/>
    <w:rsid w:val="001C25A7"/>
    <w:rsid w:val="001C318C"/>
    <w:rsid w:val="001C35C4"/>
    <w:rsid w:val="001C4287"/>
    <w:rsid w:val="001C4479"/>
    <w:rsid w:val="001C5190"/>
    <w:rsid w:val="001C6081"/>
    <w:rsid w:val="001C6F1B"/>
    <w:rsid w:val="001C7B48"/>
    <w:rsid w:val="001D0CFB"/>
    <w:rsid w:val="001D1A0D"/>
    <w:rsid w:val="001D343C"/>
    <w:rsid w:val="001D34F5"/>
    <w:rsid w:val="001D56FC"/>
    <w:rsid w:val="001D58A1"/>
    <w:rsid w:val="001D58C2"/>
    <w:rsid w:val="001D5A8A"/>
    <w:rsid w:val="001D61CA"/>
    <w:rsid w:val="001D6E87"/>
    <w:rsid w:val="001D735E"/>
    <w:rsid w:val="001D73C8"/>
    <w:rsid w:val="001D7BC6"/>
    <w:rsid w:val="001E129E"/>
    <w:rsid w:val="001E175C"/>
    <w:rsid w:val="001E1B0E"/>
    <w:rsid w:val="001E3B63"/>
    <w:rsid w:val="001E522E"/>
    <w:rsid w:val="001E5A94"/>
    <w:rsid w:val="001E5F6F"/>
    <w:rsid w:val="001F0373"/>
    <w:rsid w:val="001F2A2E"/>
    <w:rsid w:val="001F2BB8"/>
    <w:rsid w:val="001F3356"/>
    <w:rsid w:val="001F3C63"/>
    <w:rsid w:val="001F4460"/>
    <w:rsid w:val="001F4F4F"/>
    <w:rsid w:val="001F711A"/>
    <w:rsid w:val="001F75B0"/>
    <w:rsid w:val="00200CE5"/>
    <w:rsid w:val="00200F7C"/>
    <w:rsid w:val="002014DB"/>
    <w:rsid w:val="0020150B"/>
    <w:rsid w:val="00201E12"/>
    <w:rsid w:val="002033B5"/>
    <w:rsid w:val="0020382C"/>
    <w:rsid w:val="0020437A"/>
    <w:rsid w:val="0020454C"/>
    <w:rsid w:val="00204740"/>
    <w:rsid w:val="00205129"/>
    <w:rsid w:val="0020521F"/>
    <w:rsid w:val="0020532C"/>
    <w:rsid w:val="0021060F"/>
    <w:rsid w:val="002114C7"/>
    <w:rsid w:val="0021302C"/>
    <w:rsid w:val="00213B1C"/>
    <w:rsid w:val="00214202"/>
    <w:rsid w:val="002148E3"/>
    <w:rsid w:val="00214FD7"/>
    <w:rsid w:val="0021552D"/>
    <w:rsid w:val="002156AE"/>
    <w:rsid w:val="00215E99"/>
    <w:rsid w:val="0022054D"/>
    <w:rsid w:val="00223DDB"/>
    <w:rsid w:val="00223FA4"/>
    <w:rsid w:val="00223FB0"/>
    <w:rsid w:val="00224067"/>
    <w:rsid w:val="0022421C"/>
    <w:rsid w:val="00224E83"/>
    <w:rsid w:val="00225664"/>
    <w:rsid w:val="0022663D"/>
    <w:rsid w:val="00227F2D"/>
    <w:rsid w:val="00230179"/>
    <w:rsid w:val="00231851"/>
    <w:rsid w:val="002319FB"/>
    <w:rsid w:val="00231B89"/>
    <w:rsid w:val="00231F11"/>
    <w:rsid w:val="00231F5E"/>
    <w:rsid w:val="002346B4"/>
    <w:rsid w:val="00234F6E"/>
    <w:rsid w:val="002355BE"/>
    <w:rsid w:val="002358EA"/>
    <w:rsid w:val="00236578"/>
    <w:rsid w:val="00236DE9"/>
    <w:rsid w:val="00237342"/>
    <w:rsid w:val="00237D5A"/>
    <w:rsid w:val="002415AE"/>
    <w:rsid w:val="00241D3C"/>
    <w:rsid w:val="00242109"/>
    <w:rsid w:val="00243189"/>
    <w:rsid w:val="002439AB"/>
    <w:rsid w:val="00243C19"/>
    <w:rsid w:val="00244AE8"/>
    <w:rsid w:val="00244DC9"/>
    <w:rsid w:val="00245587"/>
    <w:rsid w:val="00245F2B"/>
    <w:rsid w:val="00247F3A"/>
    <w:rsid w:val="00250122"/>
    <w:rsid w:val="00250755"/>
    <w:rsid w:val="0025097B"/>
    <w:rsid w:val="00250A51"/>
    <w:rsid w:val="00251043"/>
    <w:rsid w:val="00251C4A"/>
    <w:rsid w:val="0025271C"/>
    <w:rsid w:val="002529E4"/>
    <w:rsid w:val="002533CD"/>
    <w:rsid w:val="002535EA"/>
    <w:rsid w:val="00253CBA"/>
    <w:rsid w:val="00254EAB"/>
    <w:rsid w:val="002557AF"/>
    <w:rsid w:val="0025589C"/>
    <w:rsid w:val="00255B62"/>
    <w:rsid w:val="002566B1"/>
    <w:rsid w:val="002575E3"/>
    <w:rsid w:val="00257A74"/>
    <w:rsid w:val="002603C1"/>
    <w:rsid w:val="002609A1"/>
    <w:rsid w:val="002612B1"/>
    <w:rsid w:val="00266165"/>
    <w:rsid w:val="002662FE"/>
    <w:rsid w:val="00266F2C"/>
    <w:rsid w:val="0027125E"/>
    <w:rsid w:val="00271767"/>
    <w:rsid w:val="00272293"/>
    <w:rsid w:val="002723C8"/>
    <w:rsid w:val="00273C2A"/>
    <w:rsid w:val="00273CBE"/>
    <w:rsid w:val="002746B1"/>
    <w:rsid w:val="00274BAD"/>
    <w:rsid w:val="002754D6"/>
    <w:rsid w:val="00282D56"/>
    <w:rsid w:val="002835B0"/>
    <w:rsid w:val="00283C74"/>
    <w:rsid w:val="0028407E"/>
    <w:rsid w:val="0028410F"/>
    <w:rsid w:val="00284572"/>
    <w:rsid w:val="00285221"/>
    <w:rsid w:val="00286FB5"/>
    <w:rsid w:val="00287763"/>
    <w:rsid w:val="00287FCB"/>
    <w:rsid w:val="00290606"/>
    <w:rsid w:val="002909B2"/>
    <w:rsid w:val="00290A98"/>
    <w:rsid w:val="00291D6D"/>
    <w:rsid w:val="00291FF1"/>
    <w:rsid w:val="00292AA2"/>
    <w:rsid w:val="00293361"/>
    <w:rsid w:val="002952B1"/>
    <w:rsid w:val="00295D11"/>
    <w:rsid w:val="00296FB6"/>
    <w:rsid w:val="002A0001"/>
    <w:rsid w:val="002A0BD9"/>
    <w:rsid w:val="002A0C3A"/>
    <w:rsid w:val="002A1130"/>
    <w:rsid w:val="002A1880"/>
    <w:rsid w:val="002A23B7"/>
    <w:rsid w:val="002A3A57"/>
    <w:rsid w:val="002A4B4F"/>
    <w:rsid w:val="002A57A8"/>
    <w:rsid w:val="002A6DEF"/>
    <w:rsid w:val="002A6E42"/>
    <w:rsid w:val="002A770B"/>
    <w:rsid w:val="002B013E"/>
    <w:rsid w:val="002B058D"/>
    <w:rsid w:val="002B0A16"/>
    <w:rsid w:val="002B0C16"/>
    <w:rsid w:val="002B2AC5"/>
    <w:rsid w:val="002B3528"/>
    <w:rsid w:val="002B3539"/>
    <w:rsid w:val="002B4532"/>
    <w:rsid w:val="002B4625"/>
    <w:rsid w:val="002B5042"/>
    <w:rsid w:val="002B69CC"/>
    <w:rsid w:val="002B6D71"/>
    <w:rsid w:val="002C0C1C"/>
    <w:rsid w:val="002C54C2"/>
    <w:rsid w:val="002C5D34"/>
    <w:rsid w:val="002C5D7F"/>
    <w:rsid w:val="002C60BB"/>
    <w:rsid w:val="002C661A"/>
    <w:rsid w:val="002D0D6F"/>
    <w:rsid w:val="002D25FC"/>
    <w:rsid w:val="002D4AC6"/>
    <w:rsid w:val="002D5BF5"/>
    <w:rsid w:val="002D5E31"/>
    <w:rsid w:val="002D5E95"/>
    <w:rsid w:val="002D5EE8"/>
    <w:rsid w:val="002D7360"/>
    <w:rsid w:val="002D7648"/>
    <w:rsid w:val="002D780A"/>
    <w:rsid w:val="002E109C"/>
    <w:rsid w:val="002E193E"/>
    <w:rsid w:val="002E1A94"/>
    <w:rsid w:val="002E1D55"/>
    <w:rsid w:val="002E26C4"/>
    <w:rsid w:val="002E30A5"/>
    <w:rsid w:val="002E47E4"/>
    <w:rsid w:val="002E4BF9"/>
    <w:rsid w:val="002E4D61"/>
    <w:rsid w:val="002E5FED"/>
    <w:rsid w:val="002E68A7"/>
    <w:rsid w:val="002E6E6C"/>
    <w:rsid w:val="002F0522"/>
    <w:rsid w:val="002F0B85"/>
    <w:rsid w:val="002F16DD"/>
    <w:rsid w:val="002F199D"/>
    <w:rsid w:val="002F1A1E"/>
    <w:rsid w:val="002F213C"/>
    <w:rsid w:val="002F2453"/>
    <w:rsid w:val="002F352D"/>
    <w:rsid w:val="002F381E"/>
    <w:rsid w:val="002F4084"/>
    <w:rsid w:val="002F4A08"/>
    <w:rsid w:val="002F4ADB"/>
    <w:rsid w:val="002F531E"/>
    <w:rsid w:val="002F548D"/>
    <w:rsid w:val="002F5ACC"/>
    <w:rsid w:val="002F704B"/>
    <w:rsid w:val="002F72C3"/>
    <w:rsid w:val="002F768C"/>
    <w:rsid w:val="002F7D1E"/>
    <w:rsid w:val="00300201"/>
    <w:rsid w:val="0030025A"/>
    <w:rsid w:val="00301ADC"/>
    <w:rsid w:val="00302EFC"/>
    <w:rsid w:val="00303243"/>
    <w:rsid w:val="00303BCC"/>
    <w:rsid w:val="00303F2B"/>
    <w:rsid w:val="00303F8D"/>
    <w:rsid w:val="0030572D"/>
    <w:rsid w:val="0030586A"/>
    <w:rsid w:val="003061E3"/>
    <w:rsid w:val="0030622D"/>
    <w:rsid w:val="00306811"/>
    <w:rsid w:val="00306F32"/>
    <w:rsid w:val="003074C5"/>
    <w:rsid w:val="00307A3C"/>
    <w:rsid w:val="00307FA4"/>
    <w:rsid w:val="00310290"/>
    <w:rsid w:val="0031083D"/>
    <w:rsid w:val="00310CC1"/>
    <w:rsid w:val="00311B60"/>
    <w:rsid w:val="00312504"/>
    <w:rsid w:val="00313026"/>
    <w:rsid w:val="00313913"/>
    <w:rsid w:val="0031421F"/>
    <w:rsid w:val="00314B31"/>
    <w:rsid w:val="00315A65"/>
    <w:rsid w:val="003165D7"/>
    <w:rsid w:val="0031683B"/>
    <w:rsid w:val="00317BA7"/>
    <w:rsid w:val="00320BE2"/>
    <w:rsid w:val="00321886"/>
    <w:rsid w:val="00323694"/>
    <w:rsid w:val="00323BE7"/>
    <w:rsid w:val="00324C3A"/>
    <w:rsid w:val="00324D63"/>
    <w:rsid w:val="003255AF"/>
    <w:rsid w:val="003256EB"/>
    <w:rsid w:val="003259DB"/>
    <w:rsid w:val="003314D9"/>
    <w:rsid w:val="00331653"/>
    <w:rsid w:val="00331A48"/>
    <w:rsid w:val="00331BCC"/>
    <w:rsid w:val="003330C9"/>
    <w:rsid w:val="0033364C"/>
    <w:rsid w:val="00334415"/>
    <w:rsid w:val="00335BCB"/>
    <w:rsid w:val="00335EA1"/>
    <w:rsid w:val="0033691E"/>
    <w:rsid w:val="00336A6A"/>
    <w:rsid w:val="00336CCB"/>
    <w:rsid w:val="003411D1"/>
    <w:rsid w:val="003416BA"/>
    <w:rsid w:val="00342148"/>
    <w:rsid w:val="00342F99"/>
    <w:rsid w:val="0034575A"/>
    <w:rsid w:val="00345F57"/>
    <w:rsid w:val="0034638A"/>
    <w:rsid w:val="00350458"/>
    <w:rsid w:val="00350E6C"/>
    <w:rsid w:val="003518A6"/>
    <w:rsid w:val="00351E7F"/>
    <w:rsid w:val="00352953"/>
    <w:rsid w:val="00354062"/>
    <w:rsid w:val="0035459E"/>
    <w:rsid w:val="00355C0D"/>
    <w:rsid w:val="003566A9"/>
    <w:rsid w:val="00356988"/>
    <w:rsid w:val="003569D3"/>
    <w:rsid w:val="00356CE9"/>
    <w:rsid w:val="003570BB"/>
    <w:rsid w:val="00357128"/>
    <w:rsid w:val="0035755E"/>
    <w:rsid w:val="00357A80"/>
    <w:rsid w:val="00361441"/>
    <w:rsid w:val="00361B8B"/>
    <w:rsid w:val="00363F39"/>
    <w:rsid w:val="0036445C"/>
    <w:rsid w:val="00364627"/>
    <w:rsid w:val="00364AB0"/>
    <w:rsid w:val="00364D71"/>
    <w:rsid w:val="003667B0"/>
    <w:rsid w:val="003667DD"/>
    <w:rsid w:val="00366B48"/>
    <w:rsid w:val="00367764"/>
    <w:rsid w:val="003701F7"/>
    <w:rsid w:val="00370316"/>
    <w:rsid w:val="00370DC7"/>
    <w:rsid w:val="00371CBD"/>
    <w:rsid w:val="00371F20"/>
    <w:rsid w:val="003721E3"/>
    <w:rsid w:val="00372B98"/>
    <w:rsid w:val="003737B7"/>
    <w:rsid w:val="003740CC"/>
    <w:rsid w:val="003745F4"/>
    <w:rsid w:val="00374AFA"/>
    <w:rsid w:val="00374E79"/>
    <w:rsid w:val="0037529A"/>
    <w:rsid w:val="00375388"/>
    <w:rsid w:val="00375FB9"/>
    <w:rsid w:val="00376170"/>
    <w:rsid w:val="00376851"/>
    <w:rsid w:val="00376FA2"/>
    <w:rsid w:val="00377A3B"/>
    <w:rsid w:val="00377E3C"/>
    <w:rsid w:val="00380BBE"/>
    <w:rsid w:val="00381D70"/>
    <w:rsid w:val="0038235E"/>
    <w:rsid w:val="003829D0"/>
    <w:rsid w:val="0038326A"/>
    <w:rsid w:val="0038444F"/>
    <w:rsid w:val="003861F0"/>
    <w:rsid w:val="00387051"/>
    <w:rsid w:val="00387ECF"/>
    <w:rsid w:val="0039021B"/>
    <w:rsid w:val="00390429"/>
    <w:rsid w:val="003906A0"/>
    <w:rsid w:val="0039366C"/>
    <w:rsid w:val="00393EC8"/>
    <w:rsid w:val="003950F5"/>
    <w:rsid w:val="0039538F"/>
    <w:rsid w:val="00395E42"/>
    <w:rsid w:val="00396409"/>
    <w:rsid w:val="00396A2D"/>
    <w:rsid w:val="00396FC3"/>
    <w:rsid w:val="003A1A94"/>
    <w:rsid w:val="003A204E"/>
    <w:rsid w:val="003A2D25"/>
    <w:rsid w:val="003A5728"/>
    <w:rsid w:val="003A60E7"/>
    <w:rsid w:val="003A7092"/>
    <w:rsid w:val="003A72A1"/>
    <w:rsid w:val="003A7611"/>
    <w:rsid w:val="003A7D1F"/>
    <w:rsid w:val="003B0B6A"/>
    <w:rsid w:val="003B22F7"/>
    <w:rsid w:val="003B29CF"/>
    <w:rsid w:val="003B3A90"/>
    <w:rsid w:val="003B534F"/>
    <w:rsid w:val="003B538A"/>
    <w:rsid w:val="003B5E4F"/>
    <w:rsid w:val="003B7A79"/>
    <w:rsid w:val="003C0FE1"/>
    <w:rsid w:val="003C151A"/>
    <w:rsid w:val="003C350C"/>
    <w:rsid w:val="003C3903"/>
    <w:rsid w:val="003C3BA0"/>
    <w:rsid w:val="003C4580"/>
    <w:rsid w:val="003C5C5E"/>
    <w:rsid w:val="003C6746"/>
    <w:rsid w:val="003C7555"/>
    <w:rsid w:val="003C7898"/>
    <w:rsid w:val="003D0FF5"/>
    <w:rsid w:val="003D11A3"/>
    <w:rsid w:val="003D1537"/>
    <w:rsid w:val="003D183C"/>
    <w:rsid w:val="003D2D1B"/>
    <w:rsid w:val="003D48C7"/>
    <w:rsid w:val="003D4C27"/>
    <w:rsid w:val="003D7109"/>
    <w:rsid w:val="003D7CE8"/>
    <w:rsid w:val="003E0514"/>
    <w:rsid w:val="003E1032"/>
    <w:rsid w:val="003E1904"/>
    <w:rsid w:val="003E285E"/>
    <w:rsid w:val="003E3124"/>
    <w:rsid w:val="003E3300"/>
    <w:rsid w:val="003E43D3"/>
    <w:rsid w:val="003E48E1"/>
    <w:rsid w:val="003E59BB"/>
    <w:rsid w:val="003E6225"/>
    <w:rsid w:val="003E65AC"/>
    <w:rsid w:val="003E66AE"/>
    <w:rsid w:val="003E72B9"/>
    <w:rsid w:val="003E7ED4"/>
    <w:rsid w:val="003F0E52"/>
    <w:rsid w:val="003F0F6B"/>
    <w:rsid w:val="003F1FC6"/>
    <w:rsid w:val="003F1FE3"/>
    <w:rsid w:val="003F2359"/>
    <w:rsid w:val="003F3865"/>
    <w:rsid w:val="003F3D55"/>
    <w:rsid w:val="003F44E2"/>
    <w:rsid w:val="003F4632"/>
    <w:rsid w:val="003F47BA"/>
    <w:rsid w:val="003F4FE6"/>
    <w:rsid w:val="003F5638"/>
    <w:rsid w:val="003F6617"/>
    <w:rsid w:val="00402332"/>
    <w:rsid w:val="004025C2"/>
    <w:rsid w:val="00403195"/>
    <w:rsid w:val="004033A9"/>
    <w:rsid w:val="00403E55"/>
    <w:rsid w:val="0040407C"/>
    <w:rsid w:val="0040416C"/>
    <w:rsid w:val="00404681"/>
    <w:rsid w:val="00405AC1"/>
    <w:rsid w:val="00406923"/>
    <w:rsid w:val="0040763D"/>
    <w:rsid w:val="00410D17"/>
    <w:rsid w:val="00413442"/>
    <w:rsid w:val="00413821"/>
    <w:rsid w:val="00413BA5"/>
    <w:rsid w:val="004141A3"/>
    <w:rsid w:val="00414909"/>
    <w:rsid w:val="0041582F"/>
    <w:rsid w:val="00416112"/>
    <w:rsid w:val="00416AC8"/>
    <w:rsid w:val="00417AE0"/>
    <w:rsid w:val="00417BAA"/>
    <w:rsid w:val="0042042B"/>
    <w:rsid w:val="00420B45"/>
    <w:rsid w:val="00420D7A"/>
    <w:rsid w:val="00421257"/>
    <w:rsid w:val="00422193"/>
    <w:rsid w:val="004223DE"/>
    <w:rsid w:val="00422A10"/>
    <w:rsid w:val="00424D17"/>
    <w:rsid w:val="00425DFD"/>
    <w:rsid w:val="004263A3"/>
    <w:rsid w:val="00427713"/>
    <w:rsid w:val="00427CCC"/>
    <w:rsid w:val="0043013A"/>
    <w:rsid w:val="00430421"/>
    <w:rsid w:val="00430A36"/>
    <w:rsid w:val="00430B4F"/>
    <w:rsid w:val="00431084"/>
    <w:rsid w:val="004310D7"/>
    <w:rsid w:val="004322D6"/>
    <w:rsid w:val="00432589"/>
    <w:rsid w:val="00432A94"/>
    <w:rsid w:val="00432C95"/>
    <w:rsid w:val="00433827"/>
    <w:rsid w:val="00433A40"/>
    <w:rsid w:val="00434B70"/>
    <w:rsid w:val="004360C8"/>
    <w:rsid w:val="004371D5"/>
    <w:rsid w:val="0044006B"/>
    <w:rsid w:val="0044033F"/>
    <w:rsid w:val="00440630"/>
    <w:rsid w:val="00441F0F"/>
    <w:rsid w:val="00442965"/>
    <w:rsid w:val="00443367"/>
    <w:rsid w:val="00444157"/>
    <w:rsid w:val="0044417C"/>
    <w:rsid w:val="00444DB3"/>
    <w:rsid w:val="00445617"/>
    <w:rsid w:val="00445A2F"/>
    <w:rsid w:val="0044684E"/>
    <w:rsid w:val="00446F22"/>
    <w:rsid w:val="0045019F"/>
    <w:rsid w:val="004503A4"/>
    <w:rsid w:val="00450555"/>
    <w:rsid w:val="004506FA"/>
    <w:rsid w:val="00450DC6"/>
    <w:rsid w:val="004516A5"/>
    <w:rsid w:val="00451E9C"/>
    <w:rsid w:val="0045280F"/>
    <w:rsid w:val="004535AE"/>
    <w:rsid w:val="0045444D"/>
    <w:rsid w:val="0045463A"/>
    <w:rsid w:val="00454AC9"/>
    <w:rsid w:val="00455050"/>
    <w:rsid w:val="004554A3"/>
    <w:rsid w:val="0045556F"/>
    <w:rsid w:val="00455A6E"/>
    <w:rsid w:val="00455EAD"/>
    <w:rsid w:val="00456783"/>
    <w:rsid w:val="004578EB"/>
    <w:rsid w:val="004604D5"/>
    <w:rsid w:val="00460697"/>
    <w:rsid w:val="0046117B"/>
    <w:rsid w:val="00464AB7"/>
    <w:rsid w:val="00465DE5"/>
    <w:rsid w:val="00467EF8"/>
    <w:rsid w:val="00472429"/>
    <w:rsid w:val="004725E5"/>
    <w:rsid w:val="00472751"/>
    <w:rsid w:val="00473128"/>
    <w:rsid w:val="00473263"/>
    <w:rsid w:val="00475078"/>
    <w:rsid w:val="00475767"/>
    <w:rsid w:val="004779A0"/>
    <w:rsid w:val="004808E3"/>
    <w:rsid w:val="00481016"/>
    <w:rsid w:val="0048204C"/>
    <w:rsid w:val="004821BB"/>
    <w:rsid w:val="004826FE"/>
    <w:rsid w:val="004827D5"/>
    <w:rsid w:val="00482AF2"/>
    <w:rsid w:val="004830C9"/>
    <w:rsid w:val="00483347"/>
    <w:rsid w:val="00483E2E"/>
    <w:rsid w:val="00484B69"/>
    <w:rsid w:val="00485406"/>
    <w:rsid w:val="0048590F"/>
    <w:rsid w:val="00486D60"/>
    <w:rsid w:val="00491FA1"/>
    <w:rsid w:val="00492A25"/>
    <w:rsid w:val="004938A3"/>
    <w:rsid w:val="0049558B"/>
    <w:rsid w:val="00496350"/>
    <w:rsid w:val="00496D31"/>
    <w:rsid w:val="0049797C"/>
    <w:rsid w:val="004A00E1"/>
    <w:rsid w:val="004A0943"/>
    <w:rsid w:val="004A1405"/>
    <w:rsid w:val="004A1FC6"/>
    <w:rsid w:val="004A2E5F"/>
    <w:rsid w:val="004A32EC"/>
    <w:rsid w:val="004A38C2"/>
    <w:rsid w:val="004A3C03"/>
    <w:rsid w:val="004A3DB7"/>
    <w:rsid w:val="004A5088"/>
    <w:rsid w:val="004A5255"/>
    <w:rsid w:val="004A6CB0"/>
    <w:rsid w:val="004A70FF"/>
    <w:rsid w:val="004A7EDE"/>
    <w:rsid w:val="004B0D93"/>
    <w:rsid w:val="004B1FA4"/>
    <w:rsid w:val="004B29AC"/>
    <w:rsid w:val="004B35DF"/>
    <w:rsid w:val="004B3627"/>
    <w:rsid w:val="004B4922"/>
    <w:rsid w:val="004B54AF"/>
    <w:rsid w:val="004B57DF"/>
    <w:rsid w:val="004B5976"/>
    <w:rsid w:val="004B7137"/>
    <w:rsid w:val="004B722E"/>
    <w:rsid w:val="004B72E8"/>
    <w:rsid w:val="004C01A5"/>
    <w:rsid w:val="004C0412"/>
    <w:rsid w:val="004C1142"/>
    <w:rsid w:val="004C2138"/>
    <w:rsid w:val="004C2333"/>
    <w:rsid w:val="004C3940"/>
    <w:rsid w:val="004C51FD"/>
    <w:rsid w:val="004C65A8"/>
    <w:rsid w:val="004C65C8"/>
    <w:rsid w:val="004C6689"/>
    <w:rsid w:val="004D139A"/>
    <w:rsid w:val="004D14DC"/>
    <w:rsid w:val="004D17C6"/>
    <w:rsid w:val="004D2858"/>
    <w:rsid w:val="004D2E49"/>
    <w:rsid w:val="004D35BA"/>
    <w:rsid w:val="004D38E5"/>
    <w:rsid w:val="004D3C5A"/>
    <w:rsid w:val="004D449A"/>
    <w:rsid w:val="004D4701"/>
    <w:rsid w:val="004D47C7"/>
    <w:rsid w:val="004D4F35"/>
    <w:rsid w:val="004D5D45"/>
    <w:rsid w:val="004D618D"/>
    <w:rsid w:val="004D62A9"/>
    <w:rsid w:val="004D6FC3"/>
    <w:rsid w:val="004D7476"/>
    <w:rsid w:val="004D7716"/>
    <w:rsid w:val="004E0306"/>
    <w:rsid w:val="004E0572"/>
    <w:rsid w:val="004E06D5"/>
    <w:rsid w:val="004E1641"/>
    <w:rsid w:val="004E1818"/>
    <w:rsid w:val="004E1990"/>
    <w:rsid w:val="004E25A8"/>
    <w:rsid w:val="004E3930"/>
    <w:rsid w:val="004E3ED9"/>
    <w:rsid w:val="004E5866"/>
    <w:rsid w:val="004E6097"/>
    <w:rsid w:val="004E61EF"/>
    <w:rsid w:val="004E63C6"/>
    <w:rsid w:val="004E76A7"/>
    <w:rsid w:val="004E7B03"/>
    <w:rsid w:val="004F0064"/>
    <w:rsid w:val="004F06AC"/>
    <w:rsid w:val="004F1D2A"/>
    <w:rsid w:val="004F243F"/>
    <w:rsid w:val="004F252C"/>
    <w:rsid w:val="004F36A3"/>
    <w:rsid w:val="004F3E0C"/>
    <w:rsid w:val="004F4308"/>
    <w:rsid w:val="004F7160"/>
    <w:rsid w:val="00500258"/>
    <w:rsid w:val="00500B2D"/>
    <w:rsid w:val="00501A99"/>
    <w:rsid w:val="00503180"/>
    <w:rsid w:val="005038A4"/>
    <w:rsid w:val="00505450"/>
    <w:rsid w:val="00505CC4"/>
    <w:rsid w:val="005100B7"/>
    <w:rsid w:val="005113C9"/>
    <w:rsid w:val="00512050"/>
    <w:rsid w:val="00512055"/>
    <w:rsid w:val="0051280C"/>
    <w:rsid w:val="00512842"/>
    <w:rsid w:val="005128BE"/>
    <w:rsid w:val="0051356F"/>
    <w:rsid w:val="00513E7C"/>
    <w:rsid w:val="005140BB"/>
    <w:rsid w:val="00514FBE"/>
    <w:rsid w:val="00514FD9"/>
    <w:rsid w:val="0051550A"/>
    <w:rsid w:val="0051608F"/>
    <w:rsid w:val="00520EF8"/>
    <w:rsid w:val="005210F7"/>
    <w:rsid w:val="00521753"/>
    <w:rsid w:val="0052239D"/>
    <w:rsid w:val="005224EE"/>
    <w:rsid w:val="005225F6"/>
    <w:rsid w:val="005227DE"/>
    <w:rsid w:val="00522879"/>
    <w:rsid w:val="00523BB1"/>
    <w:rsid w:val="0052570E"/>
    <w:rsid w:val="005260CD"/>
    <w:rsid w:val="00526265"/>
    <w:rsid w:val="0052655D"/>
    <w:rsid w:val="005265E0"/>
    <w:rsid w:val="00526BC3"/>
    <w:rsid w:val="00531761"/>
    <w:rsid w:val="0053248F"/>
    <w:rsid w:val="0053332A"/>
    <w:rsid w:val="0053358A"/>
    <w:rsid w:val="00534668"/>
    <w:rsid w:val="00534DDD"/>
    <w:rsid w:val="00535291"/>
    <w:rsid w:val="00535A94"/>
    <w:rsid w:val="00537874"/>
    <w:rsid w:val="0053795F"/>
    <w:rsid w:val="00537D3D"/>
    <w:rsid w:val="00540511"/>
    <w:rsid w:val="00540578"/>
    <w:rsid w:val="00540808"/>
    <w:rsid w:val="0054080E"/>
    <w:rsid w:val="00540EA1"/>
    <w:rsid w:val="0054358E"/>
    <w:rsid w:val="00543AF4"/>
    <w:rsid w:val="00544191"/>
    <w:rsid w:val="0054440C"/>
    <w:rsid w:val="005448EC"/>
    <w:rsid w:val="00544C0A"/>
    <w:rsid w:val="00544F39"/>
    <w:rsid w:val="00546F90"/>
    <w:rsid w:val="00547EFB"/>
    <w:rsid w:val="005522F2"/>
    <w:rsid w:val="005531DF"/>
    <w:rsid w:val="00553874"/>
    <w:rsid w:val="00554577"/>
    <w:rsid w:val="00554AD8"/>
    <w:rsid w:val="00554F78"/>
    <w:rsid w:val="00555DA1"/>
    <w:rsid w:val="00556BF7"/>
    <w:rsid w:val="00557F60"/>
    <w:rsid w:val="00561730"/>
    <w:rsid w:val="00561B97"/>
    <w:rsid w:val="00562149"/>
    <w:rsid w:val="00567B5D"/>
    <w:rsid w:val="005706D5"/>
    <w:rsid w:val="00570757"/>
    <w:rsid w:val="00573733"/>
    <w:rsid w:val="00573F8B"/>
    <w:rsid w:val="00574554"/>
    <w:rsid w:val="00574E06"/>
    <w:rsid w:val="005751BB"/>
    <w:rsid w:val="00576089"/>
    <w:rsid w:val="005764B1"/>
    <w:rsid w:val="00576852"/>
    <w:rsid w:val="00576D06"/>
    <w:rsid w:val="00577287"/>
    <w:rsid w:val="005779E4"/>
    <w:rsid w:val="00577F9F"/>
    <w:rsid w:val="00580093"/>
    <w:rsid w:val="00580EC7"/>
    <w:rsid w:val="00581132"/>
    <w:rsid w:val="0058289C"/>
    <w:rsid w:val="005836C7"/>
    <w:rsid w:val="0058408E"/>
    <w:rsid w:val="00585374"/>
    <w:rsid w:val="005854CA"/>
    <w:rsid w:val="00585FAB"/>
    <w:rsid w:val="00590B77"/>
    <w:rsid w:val="00590D9A"/>
    <w:rsid w:val="005913A3"/>
    <w:rsid w:val="005940D4"/>
    <w:rsid w:val="00594A7B"/>
    <w:rsid w:val="0059580E"/>
    <w:rsid w:val="00595D90"/>
    <w:rsid w:val="00596A6F"/>
    <w:rsid w:val="00596FCE"/>
    <w:rsid w:val="005A11BC"/>
    <w:rsid w:val="005A1525"/>
    <w:rsid w:val="005A1E17"/>
    <w:rsid w:val="005A232F"/>
    <w:rsid w:val="005A252B"/>
    <w:rsid w:val="005A2A8F"/>
    <w:rsid w:val="005A3204"/>
    <w:rsid w:val="005A3341"/>
    <w:rsid w:val="005A3C3D"/>
    <w:rsid w:val="005A46EC"/>
    <w:rsid w:val="005A5EAE"/>
    <w:rsid w:val="005A6407"/>
    <w:rsid w:val="005A726C"/>
    <w:rsid w:val="005B07EC"/>
    <w:rsid w:val="005B222F"/>
    <w:rsid w:val="005B2B11"/>
    <w:rsid w:val="005B32A4"/>
    <w:rsid w:val="005B3371"/>
    <w:rsid w:val="005B338D"/>
    <w:rsid w:val="005B36D7"/>
    <w:rsid w:val="005B3BAF"/>
    <w:rsid w:val="005B4DA3"/>
    <w:rsid w:val="005B5362"/>
    <w:rsid w:val="005B5BEE"/>
    <w:rsid w:val="005B77D2"/>
    <w:rsid w:val="005C019B"/>
    <w:rsid w:val="005C08D0"/>
    <w:rsid w:val="005C1AED"/>
    <w:rsid w:val="005C30F5"/>
    <w:rsid w:val="005C51A5"/>
    <w:rsid w:val="005C557A"/>
    <w:rsid w:val="005C566F"/>
    <w:rsid w:val="005C5C47"/>
    <w:rsid w:val="005C61DD"/>
    <w:rsid w:val="005C6438"/>
    <w:rsid w:val="005C6B8B"/>
    <w:rsid w:val="005C727F"/>
    <w:rsid w:val="005D02E3"/>
    <w:rsid w:val="005D1F34"/>
    <w:rsid w:val="005D2C1F"/>
    <w:rsid w:val="005D2DE8"/>
    <w:rsid w:val="005D34B2"/>
    <w:rsid w:val="005D3B54"/>
    <w:rsid w:val="005D40CD"/>
    <w:rsid w:val="005D6B59"/>
    <w:rsid w:val="005D784B"/>
    <w:rsid w:val="005E03E4"/>
    <w:rsid w:val="005E0454"/>
    <w:rsid w:val="005E05F6"/>
    <w:rsid w:val="005E068E"/>
    <w:rsid w:val="005E2442"/>
    <w:rsid w:val="005E3111"/>
    <w:rsid w:val="005E3F85"/>
    <w:rsid w:val="005E4A5F"/>
    <w:rsid w:val="005E57B0"/>
    <w:rsid w:val="005E5B01"/>
    <w:rsid w:val="005E6D3B"/>
    <w:rsid w:val="005F009E"/>
    <w:rsid w:val="005F0DF1"/>
    <w:rsid w:val="005F1516"/>
    <w:rsid w:val="005F229E"/>
    <w:rsid w:val="005F2564"/>
    <w:rsid w:val="005F2D0F"/>
    <w:rsid w:val="005F368B"/>
    <w:rsid w:val="005F3822"/>
    <w:rsid w:val="005F4635"/>
    <w:rsid w:val="005F4900"/>
    <w:rsid w:val="005F4E52"/>
    <w:rsid w:val="005F6D58"/>
    <w:rsid w:val="005F7383"/>
    <w:rsid w:val="0060058E"/>
    <w:rsid w:val="00601F77"/>
    <w:rsid w:val="00602A3C"/>
    <w:rsid w:val="00603E47"/>
    <w:rsid w:val="00603EFD"/>
    <w:rsid w:val="0060475B"/>
    <w:rsid w:val="00604BED"/>
    <w:rsid w:val="00604FB6"/>
    <w:rsid w:val="00605387"/>
    <w:rsid w:val="00606302"/>
    <w:rsid w:val="006076FD"/>
    <w:rsid w:val="0061143F"/>
    <w:rsid w:val="006114D8"/>
    <w:rsid w:val="00613553"/>
    <w:rsid w:val="00613601"/>
    <w:rsid w:val="00613791"/>
    <w:rsid w:val="006150D6"/>
    <w:rsid w:val="00615245"/>
    <w:rsid w:val="0061590D"/>
    <w:rsid w:val="0061641E"/>
    <w:rsid w:val="00617EEE"/>
    <w:rsid w:val="00620A1F"/>
    <w:rsid w:val="006214DE"/>
    <w:rsid w:val="0062169D"/>
    <w:rsid w:val="0062181E"/>
    <w:rsid w:val="0062211B"/>
    <w:rsid w:val="00622BB7"/>
    <w:rsid w:val="00622C1E"/>
    <w:rsid w:val="00623389"/>
    <w:rsid w:val="00623DAA"/>
    <w:rsid w:val="00623FAF"/>
    <w:rsid w:val="006265C4"/>
    <w:rsid w:val="0062678A"/>
    <w:rsid w:val="006270AF"/>
    <w:rsid w:val="00627A44"/>
    <w:rsid w:val="00634367"/>
    <w:rsid w:val="00640082"/>
    <w:rsid w:val="00640291"/>
    <w:rsid w:val="00640EFE"/>
    <w:rsid w:val="00641D6D"/>
    <w:rsid w:val="00641FAC"/>
    <w:rsid w:val="00643664"/>
    <w:rsid w:val="00643CAA"/>
    <w:rsid w:val="00644F16"/>
    <w:rsid w:val="006455EB"/>
    <w:rsid w:val="006456C2"/>
    <w:rsid w:val="00645A65"/>
    <w:rsid w:val="006463B2"/>
    <w:rsid w:val="006477F0"/>
    <w:rsid w:val="006478E4"/>
    <w:rsid w:val="00650091"/>
    <w:rsid w:val="0065171A"/>
    <w:rsid w:val="00652680"/>
    <w:rsid w:val="00653CDE"/>
    <w:rsid w:val="00654585"/>
    <w:rsid w:val="00655AB6"/>
    <w:rsid w:val="00656281"/>
    <w:rsid w:val="0065636A"/>
    <w:rsid w:val="00657003"/>
    <w:rsid w:val="00660238"/>
    <w:rsid w:val="006602EF"/>
    <w:rsid w:val="00661277"/>
    <w:rsid w:val="006619E0"/>
    <w:rsid w:val="00663FEA"/>
    <w:rsid w:val="00664803"/>
    <w:rsid w:val="006657C5"/>
    <w:rsid w:val="006661A4"/>
    <w:rsid w:val="00666AC0"/>
    <w:rsid w:val="006670E0"/>
    <w:rsid w:val="006671B8"/>
    <w:rsid w:val="00667275"/>
    <w:rsid w:val="00667532"/>
    <w:rsid w:val="0066783E"/>
    <w:rsid w:val="00667E53"/>
    <w:rsid w:val="006711C4"/>
    <w:rsid w:val="006713AB"/>
    <w:rsid w:val="00672CA5"/>
    <w:rsid w:val="00673711"/>
    <w:rsid w:val="00673F82"/>
    <w:rsid w:val="00674F74"/>
    <w:rsid w:val="0067508F"/>
    <w:rsid w:val="00677576"/>
    <w:rsid w:val="0068051E"/>
    <w:rsid w:val="00680B9D"/>
    <w:rsid w:val="00681F13"/>
    <w:rsid w:val="0068231C"/>
    <w:rsid w:val="00682344"/>
    <w:rsid w:val="00682F28"/>
    <w:rsid w:val="00683515"/>
    <w:rsid w:val="00684842"/>
    <w:rsid w:val="0068576A"/>
    <w:rsid w:val="006859AA"/>
    <w:rsid w:val="00685BD6"/>
    <w:rsid w:val="00687116"/>
    <w:rsid w:val="006878A6"/>
    <w:rsid w:val="00687D5F"/>
    <w:rsid w:val="00690437"/>
    <w:rsid w:val="00690DC3"/>
    <w:rsid w:val="00690E65"/>
    <w:rsid w:val="006911B7"/>
    <w:rsid w:val="00691387"/>
    <w:rsid w:val="0069188E"/>
    <w:rsid w:val="00691974"/>
    <w:rsid w:val="00692BF6"/>
    <w:rsid w:val="00692CE6"/>
    <w:rsid w:val="00693186"/>
    <w:rsid w:val="00693381"/>
    <w:rsid w:val="00693B6C"/>
    <w:rsid w:val="006942AE"/>
    <w:rsid w:val="00695421"/>
    <w:rsid w:val="00697BD3"/>
    <w:rsid w:val="00697DFA"/>
    <w:rsid w:val="006A16D5"/>
    <w:rsid w:val="006A1740"/>
    <w:rsid w:val="006A1772"/>
    <w:rsid w:val="006A1780"/>
    <w:rsid w:val="006A17DA"/>
    <w:rsid w:val="006A21DD"/>
    <w:rsid w:val="006A26C6"/>
    <w:rsid w:val="006A3302"/>
    <w:rsid w:val="006A3B28"/>
    <w:rsid w:val="006A4FEE"/>
    <w:rsid w:val="006A703E"/>
    <w:rsid w:val="006A7BE3"/>
    <w:rsid w:val="006A7D32"/>
    <w:rsid w:val="006B01D1"/>
    <w:rsid w:val="006B0DF4"/>
    <w:rsid w:val="006B0E2B"/>
    <w:rsid w:val="006B16EA"/>
    <w:rsid w:val="006B1780"/>
    <w:rsid w:val="006B224E"/>
    <w:rsid w:val="006B376E"/>
    <w:rsid w:val="006B4589"/>
    <w:rsid w:val="006B610E"/>
    <w:rsid w:val="006B643B"/>
    <w:rsid w:val="006B6805"/>
    <w:rsid w:val="006B6DE0"/>
    <w:rsid w:val="006C16C3"/>
    <w:rsid w:val="006C2187"/>
    <w:rsid w:val="006C32F4"/>
    <w:rsid w:val="006C3C54"/>
    <w:rsid w:val="006C4B6B"/>
    <w:rsid w:val="006C4F9F"/>
    <w:rsid w:val="006C71A2"/>
    <w:rsid w:val="006C73EC"/>
    <w:rsid w:val="006D0C1D"/>
    <w:rsid w:val="006D2E9D"/>
    <w:rsid w:val="006D4A4E"/>
    <w:rsid w:val="006D4C42"/>
    <w:rsid w:val="006D5389"/>
    <w:rsid w:val="006D5809"/>
    <w:rsid w:val="006D607E"/>
    <w:rsid w:val="006D6781"/>
    <w:rsid w:val="006D6E12"/>
    <w:rsid w:val="006D70CB"/>
    <w:rsid w:val="006D715C"/>
    <w:rsid w:val="006D7363"/>
    <w:rsid w:val="006D774E"/>
    <w:rsid w:val="006D7EA2"/>
    <w:rsid w:val="006E0754"/>
    <w:rsid w:val="006E10BB"/>
    <w:rsid w:val="006E2668"/>
    <w:rsid w:val="006E2D39"/>
    <w:rsid w:val="006E32B0"/>
    <w:rsid w:val="006E348E"/>
    <w:rsid w:val="006E396A"/>
    <w:rsid w:val="006E3D63"/>
    <w:rsid w:val="006E58BF"/>
    <w:rsid w:val="006E5DD8"/>
    <w:rsid w:val="006E5EA1"/>
    <w:rsid w:val="006E6DEE"/>
    <w:rsid w:val="006E7D4B"/>
    <w:rsid w:val="006F0760"/>
    <w:rsid w:val="006F11E2"/>
    <w:rsid w:val="006F2574"/>
    <w:rsid w:val="006F3221"/>
    <w:rsid w:val="006F3231"/>
    <w:rsid w:val="006F3DE3"/>
    <w:rsid w:val="006F4787"/>
    <w:rsid w:val="006F5C43"/>
    <w:rsid w:val="006F61D8"/>
    <w:rsid w:val="006F62B7"/>
    <w:rsid w:val="006F70BC"/>
    <w:rsid w:val="006F734B"/>
    <w:rsid w:val="006F7E7C"/>
    <w:rsid w:val="0070174E"/>
    <w:rsid w:val="007018DB"/>
    <w:rsid w:val="00701DE6"/>
    <w:rsid w:val="00702740"/>
    <w:rsid w:val="0070381B"/>
    <w:rsid w:val="007076DD"/>
    <w:rsid w:val="0070796C"/>
    <w:rsid w:val="007109BB"/>
    <w:rsid w:val="00710EBF"/>
    <w:rsid w:val="007110B8"/>
    <w:rsid w:val="0071209F"/>
    <w:rsid w:val="007125A2"/>
    <w:rsid w:val="00713DD9"/>
    <w:rsid w:val="00713F79"/>
    <w:rsid w:val="007148A8"/>
    <w:rsid w:val="00716AC8"/>
    <w:rsid w:val="00716E54"/>
    <w:rsid w:val="00717421"/>
    <w:rsid w:val="0072033C"/>
    <w:rsid w:val="00720B1B"/>
    <w:rsid w:val="00721062"/>
    <w:rsid w:val="00721E5D"/>
    <w:rsid w:val="007229D4"/>
    <w:rsid w:val="007230F8"/>
    <w:rsid w:val="007233F4"/>
    <w:rsid w:val="00724044"/>
    <w:rsid w:val="007248D3"/>
    <w:rsid w:val="00724DF8"/>
    <w:rsid w:val="00725137"/>
    <w:rsid w:val="00725378"/>
    <w:rsid w:val="00725573"/>
    <w:rsid w:val="00727A43"/>
    <w:rsid w:val="00727FF2"/>
    <w:rsid w:val="00730550"/>
    <w:rsid w:val="00730C2A"/>
    <w:rsid w:val="00731434"/>
    <w:rsid w:val="00731E59"/>
    <w:rsid w:val="007323E0"/>
    <w:rsid w:val="00732911"/>
    <w:rsid w:val="00733721"/>
    <w:rsid w:val="00733DE2"/>
    <w:rsid w:val="007352EA"/>
    <w:rsid w:val="0073625F"/>
    <w:rsid w:val="0073792F"/>
    <w:rsid w:val="00740C81"/>
    <w:rsid w:val="00740DA6"/>
    <w:rsid w:val="00741B4B"/>
    <w:rsid w:val="00741D1E"/>
    <w:rsid w:val="00741DD6"/>
    <w:rsid w:val="00741EE2"/>
    <w:rsid w:val="0074207F"/>
    <w:rsid w:val="00742367"/>
    <w:rsid w:val="00742EAA"/>
    <w:rsid w:val="00743360"/>
    <w:rsid w:val="00743818"/>
    <w:rsid w:val="00743857"/>
    <w:rsid w:val="007441FB"/>
    <w:rsid w:val="00744517"/>
    <w:rsid w:val="0074522A"/>
    <w:rsid w:val="00747295"/>
    <w:rsid w:val="00747829"/>
    <w:rsid w:val="00747DE2"/>
    <w:rsid w:val="007504BF"/>
    <w:rsid w:val="007506CD"/>
    <w:rsid w:val="0075267F"/>
    <w:rsid w:val="007526EC"/>
    <w:rsid w:val="007527F7"/>
    <w:rsid w:val="00753C48"/>
    <w:rsid w:val="00753ED8"/>
    <w:rsid w:val="00754250"/>
    <w:rsid w:val="00754FE4"/>
    <w:rsid w:val="00755216"/>
    <w:rsid w:val="00756236"/>
    <w:rsid w:val="00756271"/>
    <w:rsid w:val="00756348"/>
    <w:rsid w:val="00756521"/>
    <w:rsid w:val="00756AB7"/>
    <w:rsid w:val="0076106D"/>
    <w:rsid w:val="007623FB"/>
    <w:rsid w:val="00762517"/>
    <w:rsid w:val="00763240"/>
    <w:rsid w:val="0076376A"/>
    <w:rsid w:val="007648AD"/>
    <w:rsid w:val="0076504E"/>
    <w:rsid w:val="00767BFD"/>
    <w:rsid w:val="00767EA0"/>
    <w:rsid w:val="0077068F"/>
    <w:rsid w:val="00771EDF"/>
    <w:rsid w:val="00772A90"/>
    <w:rsid w:val="00772F8D"/>
    <w:rsid w:val="0077408D"/>
    <w:rsid w:val="00774270"/>
    <w:rsid w:val="007743F6"/>
    <w:rsid w:val="00775679"/>
    <w:rsid w:val="0077574F"/>
    <w:rsid w:val="00775823"/>
    <w:rsid w:val="00775EEA"/>
    <w:rsid w:val="007777CC"/>
    <w:rsid w:val="00777B32"/>
    <w:rsid w:val="0078051E"/>
    <w:rsid w:val="00780B59"/>
    <w:rsid w:val="00781089"/>
    <w:rsid w:val="007838F3"/>
    <w:rsid w:val="007856FE"/>
    <w:rsid w:val="00785F46"/>
    <w:rsid w:val="007865F4"/>
    <w:rsid w:val="00786D5C"/>
    <w:rsid w:val="00786E96"/>
    <w:rsid w:val="00787DFF"/>
    <w:rsid w:val="00787F93"/>
    <w:rsid w:val="00791E6D"/>
    <w:rsid w:val="00791EB5"/>
    <w:rsid w:val="00791FF2"/>
    <w:rsid w:val="00793696"/>
    <w:rsid w:val="007955DA"/>
    <w:rsid w:val="00796F65"/>
    <w:rsid w:val="007A11C2"/>
    <w:rsid w:val="007A18BB"/>
    <w:rsid w:val="007A1BC2"/>
    <w:rsid w:val="007A27DD"/>
    <w:rsid w:val="007A41BF"/>
    <w:rsid w:val="007A490A"/>
    <w:rsid w:val="007A7B95"/>
    <w:rsid w:val="007B0297"/>
    <w:rsid w:val="007B02FA"/>
    <w:rsid w:val="007B0F53"/>
    <w:rsid w:val="007B21AE"/>
    <w:rsid w:val="007B2570"/>
    <w:rsid w:val="007B3113"/>
    <w:rsid w:val="007B3304"/>
    <w:rsid w:val="007B7490"/>
    <w:rsid w:val="007C0525"/>
    <w:rsid w:val="007C13F7"/>
    <w:rsid w:val="007C218D"/>
    <w:rsid w:val="007C2D28"/>
    <w:rsid w:val="007C3E22"/>
    <w:rsid w:val="007C5B90"/>
    <w:rsid w:val="007C6218"/>
    <w:rsid w:val="007C6484"/>
    <w:rsid w:val="007C67C6"/>
    <w:rsid w:val="007C78BE"/>
    <w:rsid w:val="007C7E59"/>
    <w:rsid w:val="007D0476"/>
    <w:rsid w:val="007D0B91"/>
    <w:rsid w:val="007D1386"/>
    <w:rsid w:val="007D1452"/>
    <w:rsid w:val="007D3DCB"/>
    <w:rsid w:val="007D460C"/>
    <w:rsid w:val="007D4996"/>
    <w:rsid w:val="007D4AD3"/>
    <w:rsid w:val="007D5D19"/>
    <w:rsid w:val="007D5FDC"/>
    <w:rsid w:val="007D6176"/>
    <w:rsid w:val="007D6D68"/>
    <w:rsid w:val="007E32DA"/>
    <w:rsid w:val="007E4998"/>
    <w:rsid w:val="007E4A9C"/>
    <w:rsid w:val="007E6914"/>
    <w:rsid w:val="007E7884"/>
    <w:rsid w:val="007E7F78"/>
    <w:rsid w:val="007F0179"/>
    <w:rsid w:val="007F2C13"/>
    <w:rsid w:val="007F2CEC"/>
    <w:rsid w:val="007F3435"/>
    <w:rsid w:val="007F4BBE"/>
    <w:rsid w:val="007F55DE"/>
    <w:rsid w:val="007F762D"/>
    <w:rsid w:val="007F78F0"/>
    <w:rsid w:val="007F78FF"/>
    <w:rsid w:val="008001C5"/>
    <w:rsid w:val="00800F6C"/>
    <w:rsid w:val="00801065"/>
    <w:rsid w:val="00802C0B"/>
    <w:rsid w:val="008051FC"/>
    <w:rsid w:val="008055A9"/>
    <w:rsid w:val="008056C4"/>
    <w:rsid w:val="008057FD"/>
    <w:rsid w:val="00805D8B"/>
    <w:rsid w:val="00810A63"/>
    <w:rsid w:val="00810BB6"/>
    <w:rsid w:val="00810E8E"/>
    <w:rsid w:val="008124BC"/>
    <w:rsid w:val="00812C44"/>
    <w:rsid w:val="008135E1"/>
    <w:rsid w:val="00813779"/>
    <w:rsid w:val="00813E26"/>
    <w:rsid w:val="0081481D"/>
    <w:rsid w:val="00814BE8"/>
    <w:rsid w:val="00814F6E"/>
    <w:rsid w:val="00815363"/>
    <w:rsid w:val="00815B84"/>
    <w:rsid w:val="00816BE9"/>
    <w:rsid w:val="0082027C"/>
    <w:rsid w:val="00822518"/>
    <w:rsid w:val="008226F5"/>
    <w:rsid w:val="00823FC6"/>
    <w:rsid w:val="00824306"/>
    <w:rsid w:val="00825C74"/>
    <w:rsid w:val="00825CFA"/>
    <w:rsid w:val="00826AB9"/>
    <w:rsid w:val="00826E0E"/>
    <w:rsid w:val="00827D11"/>
    <w:rsid w:val="00827E0F"/>
    <w:rsid w:val="00827F6E"/>
    <w:rsid w:val="00831352"/>
    <w:rsid w:val="00831758"/>
    <w:rsid w:val="008317D9"/>
    <w:rsid w:val="0083279F"/>
    <w:rsid w:val="008334DB"/>
    <w:rsid w:val="00833B7F"/>
    <w:rsid w:val="00833E8E"/>
    <w:rsid w:val="00834906"/>
    <w:rsid w:val="00836075"/>
    <w:rsid w:val="00836417"/>
    <w:rsid w:val="00836A3E"/>
    <w:rsid w:val="00837526"/>
    <w:rsid w:val="008407A7"/>
    <w:rsid w:val="0084322B"/>
    <w:rsid w:val="00843F81"/>
    <w:rsid w:val="00844087"/>
    <w:rsid w:val="00844526"/>
    <w:rsid w:val="008448F1"/>
    <w:rsid w:val="0084519E"/>
    <w:rsid w:val="00845CAE"/>
    <w:rsid w:val="00846370"/>
    <w:rsid w:val="008477E7"/>
    <w:rsid w:val="00847C2B"/>
    <w:rsid w:val="00850272"/>
    <w:rsid w:val="008506B9"/>
    <w:rsid w:val="00851822"/>
    <w:rsid w:val="00851DE4"/>
    <w:rsid w:val="008532BF"/>
    <w:rsid w:val="008539B2"/>
    <w:rsid w:val="00853BF4"/>
    <w:rsid w:val="00854294"/>
    <w:rsid w:val="0085572E"/>
    <w:rsid w:val="00856D46"/>
    <w:rsid w:val="0085788B"/>
    <w:rsid w:val="00857A9E"/>
    <w:rsid w:val="00857DE2"/>
    <w:rsid w:val="00863A8E"/>
    <w:rsid w:val="0086407F"/>
    <w:rsid w:val="008645E3"/>
    <w:rsid w:val="00864E79"/>
    <w:rsid w:val="008655D2"/>
    <w:rsid w:val="0086661F"/>
    <w:rsid w:val="00866A0D"/>
    <w:rsid w:val="00866DB5"/>
    <w:rsid w:val="0086701D"/>
    <w:rsid w:val="0086702B"/>
    <w:rsid w:val="008672E2"/>
    <w:rsid w:val="0086784E"/>
    <w:rsid w:val="0087121C"/>
    <w:rsid w:val="00871FD2"/>
    <w:rsid w:val="00872084"/>
    <w:rsid w:val="00872827"/>
    <w:rsid w:val="00872A32"/>
    <w:rsid w:val="00874911"/>
    <w:rsid w:val="008754E4"/>
    <w:rsid w:val="00876EAE"/>
    <w:rsid w:val="00877B8F"/>
    <w:rsid w:val="00880106"/>
    <w:rsid w:val="00880F95"/>
    <w:rsid w:val="00882B44"/>
    <w:rsid w:val="008838AD"/>
    <w:rsid w:val="008864B3"/>
    <w:rsid w:val="008865E5"/>
    <w:rsid w:val="008871B0"/>
    <w:rsid w:val="00890B57"/>
    <w:rsid w:val="008916BA"/>
    <w:rsid w:val="0089217C"/>
    <w:rsid w:val="00892790"/>
    <w:rsid w:val="008931DA"/>
    <w:rsid w:val="00893671"/>
    <w:rsid w:val="008946DC"/>
    <w:rsid w:val="00895838"/>
    <w:rsid w:val="00895A1E"/>
    <w:rsid w:val="00895A72"/>
    <w:rsid w:val="00895CDF"/>
    <w:rsid w:val="00896679"/>
    <w:rsid w:val="00896D8C"/>
    <w:rsid w:val="008A05A7"/>
    <w:rsid w:val="008A0FC9"/>
    <w:rsid w:val="008A1956"/>
    <w:rsid w:val="008A1A7C"/>
    <w:rsid w:val="008A2CE2"/>
    <w:rsid w:val="008A40D3"/>
    <w:rsid w:val="008A469C"/>
    <w:rsid w:val="008A51D1"/>
    <w:rsid w:val="008A5DCE"/>
    <w:rsid w:val="008A75D3"/>
    <w:rsid w:val="008B00D4"/>
    <w:rsid w:val="008B05DD"/>
    <w:rsid w:val="008B07B8"/>
    <w:rsid w:val="008B17E8"/>
    <w:rsid w:val="008B2E7C"/>
    <w:rsid w:val="008B321A"/>
    <w:rsid w:val="008B399A"/>
    <w:rsid w:val="008B45F0"/>
    <w:rsid w:val="008B4A70"/>
    <w:rsid w:val="008B502F"/>
    <w:rsid w:val="008B6DFC"/>
    <w:rsid w:val="008B7227"/>
    <w:rsid w:val="008C02FB"/>
    <w:rsid w:val="008C04E0"/>
    <w:rsid w:val="008C191C"/>
    <w:rsid w:val="008C1DA4"/>
    <w:rsid w:val="008C29B0"/>
    <w:rsid w:val="008C2CD5"/>
    <w:rsid w:val="008C3618"/>
    <w:rsid w:val="008C39E7"/>
    <w:rsid w:val="008C43AD"/>
    <w:rsid w:val="008C6118"/>
    <w:rsid w:val="008C6341"/>
    <w:rsid w:val="008C731F"/>
    <w:rsid w:val="008C74D9"/>
    <w:rsid w:val="008D03C2"/>
    <w:rsid w:val="008D12FB"/>
    <w:rsid w:val="008D3B2D"/>
    <w:rsid w:val="008D58D9"/>
    <w:rsid w:val="008D5AD4"/>
    <w:rsid w:val="008D695E"/>
    <w:rsid w:val="008D6DD5"/>
    <w:rsid w:val="008D6E59"/>
    <w:rsid w:val="008D7155"/>
    <w:rsid w:val="008D76E0"/>
    <w:rsid w:val="008E09F2"/>
    <w:rsid w:val="008E0B29"/>
    <w:rsid w:val="008E141A"/>
    <w:rsid w:val="008E1A44"/>
    <w:rsid w:val="008E1E55"/>
    <w:rsid w:val="008E28E6"/>
    <w:rsid w:val="008E3232"/>
    <w:rsid w:val="008E3674"/>
    <w:rsid w:val="008E3B6C"/>
    <w:rsid w:val="008E3DE7"/>
    <w:rsid w:val="008E562C"/>
    <w:rsid w:val="008E6540"/>
    <w:rsid w:val="008E6D26"/>
    <w:rsid w:val="008E77D4"/>
    <w:rsid w:val="008E7ADD"/>
    <w:rsid w:val="008F091F"/>
    <w:rsid w:val="008F17B2"/>
    <w:rsid w:val="008F22B3"/>
    <w:rsid w:val="008F357B"/>
    <w:rsid w:val="008F44CA"/>
    <w:rsid w:val="008F49D3"/>
    <w:rsid w:val="008F62C1"/>
    <w:rsid w:val="008F6519"/>
    <w:rsid w:val="008F7012"/>
    <w:rsid w:val="008F7ADA"/>
    <w:rsid w:val="008F7B17"/>
    <w:rsid w:val="00900042"/>
    <w:rsid w:val="0090034B"/>
    <w:rsid w:val="00901121"/>
    <w:rsid w:val="00902623"/>
    <w:rsid w:val="00902A67"/>
    <w:rsid w:val="00902C5E"/>
    <w:rsid w:val="00904BE4"/>
    <w:rsid w:val="0090504A"/>
    <w:rsid w:val="009051F5"/>
    <w:rsid w:val="00905221"/>
    <w:rsid w:val="009052F5"/>
    <w:rsid w:val="00905A7C"/>
    <w:rsid w:val="00905D7E"/>
    <w:rsid w:val="00907037"/>
    <w:rsid w:val="0091112C"/>
    <w:rsid w:val="0091160A"/>
    <w:rsid w:val="00912E04"/>
    <w:rsid w:val="00913258"/>
    <w:rsid w:val="00913851"/>
    <w:rsid w:val="00913BB0"/>
    <w:rsid w:val="0091456C"/>
    <w:rsid w:val="00914C58"/>
    <w:rsid w:val="0091564D"/>
    <w:rsid w:val="009156DA"/>
    <w:rsid w:val="00915774"/>
    <w:rsid w:val="00916BC5"/>
    <w:rsid w:val="0091726A"/>
    <w:rsid w:val="00917C01"/>
    <w:rsid w:val="00920184"/>
    <w:rsid w:val="00920EA4"/>
    <w:rsid w:val="00921792"/>
    <w:rsid w:val="00921BEA"/>
    <w:rsid w:val="009227BE"/>
    <w:rsid w:val="009238FD"/>
    <w:rsid w:val="00923998"/>
    <w:rsid w:val="00923DB4"/>
    <w:rsid w:val="0092420B"/>
    <w:rsid w:val="0092430E"/>
    <w:rsid w:val="00924570"/>
    <w:rsid w:val="00926112"/>
    <w:rsid w:val="0092625F"/>
    <w:rsid w:val="00926B28"/>
    <w:rsid w:val="00926D9C"/>
    <w:rsid w:val="00927028"/>
    <w:rsid w:val="00927763"/>
    <w:rsid w:val="00927A2D"/>
    <w:rsid w:val="00927B37"/>
    <w:rsid w:val="00931917"/>
    <w:rsid w:val="009321B1"/>
    <w:rsid w:val="00932ED7"/>
    <w:rsid w:val="009333CF"/>
    <w:rsid w:val="0093422D"/>
    <w:rsid w:val="0093483B"/>
    <w:rsid w:val="00934CF9"/>
    <w:rsid w:val="00934DD7"/>
    <w:rsid w:val="009369A9"/>
    <w:rsid w:val="00936CF7"/>
    <w:rsid w:val="00937783"/>
    <w:rsid w:val="00937EAD"/>
    <w:rsid w:val="00937F28"/>
    <w:rsid w:val="00940FE1"/>
    <w:rsid w:val="00942306"/>
    <w:rsid w:val="00942384"/>
    <w:rsid w:val="009424B8"/>
    <w:rsid w:val="00944668"/>
    <w:rsid w:val="00944DC6"/>
    <w:rsid w:val="009458B0"/>
    <w:rsid w:val="00945B52"/>
    <w:rsid w:val="00945B7A"/>
    <w:rsid w:val="00945F05"/>
    <w:rsid w:val="00946348"/>
    <w:rsid w:val="00947797"/>
    <w:rsid w:val="009478A2"/>
    <w:rsid w:val="00953808"/>
    <w:rsid w:val="009539A6"/>
    <w:rsid w:val="00954032"/>
    <w:rsid w:val="00954537"/>
    <w:rsid w:val="0095472D"/>
    <w:rsid w:val="00955FBB"/>
    <w:rsid w:val="0095694B"/>
    <w:rsid w:val="00956BD5"/>
    <w:rsid w:val="00956D84"/>
    <w:rsid w:val="009577B5"/>
    <w:rsid w:val="00960110"/>
    <w:rsid w:val="009608E6"/>
    <w:rsid w:val="00960F57"/>
    <w:rsid w:val="00961C90"/>
    <w:rsid w:val="00965443"/>
    <w:rsid w:val="00965954"/>
    <w:rsid w:val="00965A21"/>
    <w:rsid w:val="00965E55"/>
    <w:rsid w:val="0096608E"/>
    <w:rsid w:val="00966522"/>
    <w:rsid w:val="00966C33"/>
    <w:rsid w:val="00966FCB"/>
    <w:rsid w:val="00967285"/>
    <w:rsid w:val="00970F18"/>
    <w:rsid w:val="00971CF1"/>
    <w:rsid w:val="00971F5D"/>
    <w:rsid w:val="009721E9"/>
    <w:rsid w:val="00973772"/>
    <w:rsid w:val="0097471B"/>
    <w:rsid w:val="0097560A"/>
    <w:rsid w:val="00975E1E"/>
    <w:rsid w:val="00975E70"/>
    <w:rsid w:val="009761DE"/>
    <w:rsid w:val="009766FA"/>
    <w:rsid w:val="00977CD6"/>
    <w:rsid w:val="0098048B"/>
    <w:rsid w:val="00980DF9"/>
    <w:rsid w:val="00981150"/>
    <w:rsid w:val="0098243D"/>
    <w:rsid w:val="00982D26"/>
    <w:rsid w:val="00983B6E"/>
    <w:rsid w:val="00983FE5"/>
    <w:rsid w:val="009849E9"/>
    <w:rsid w:val="009859E4"/>
    <w:rsid w:val="00987812"/>
    <w:rsid w:val="00990225"/>
    <w:rsid w:val="00992A13"/>
    <w:rsid w:val="00994AAD"/>
    <w:rsid w:val="00994DE1"/>
    <w:rsid w:val="00995150"/>
    <w:rsid w:val="00995D67"/>
    <w:rsid w:val="009A013B"/>
    <w:rsid w:val="009A02F4"/>
    <w:rsid w:val="009A06BF"/>
    <w:rsid w:val="009A0D17"/>
    <w:rsid w:val="009A2494"/>
    <w:rsid w:val="009A32B1"/>
    <w:rsid w:val="009A33A3"/>
    <w:rsid w:val="009A36F2"/>
    <w:rsid w:val="009A40C3"/>
    <w:rsid w:val="009A40D5"/>
    <w:rsid w:val="009A57D0"/>
    <w:rsid w:val="009A6559"/>
    <w:rsid w:val="009A68FC"/>
    <w:rsid w:val="009A6CE4"/>
    <w:rsid w:val="009A7514"/>
    <w:rsid w:val="009A7E7A"/>
    <w:rsid w:val="009B1584"/>
    <w:rsid w:val="009B183D"/>
    <w:rsid w:val="009B18F0"/>
    <w:rsid w:val="009B1F4C"/>
    <w:rsid w:val="009B2471"/>
    <w:rsid w:val="009B314F"/>
    <w:rsid w:val="009B439C"/>
    <w:rsid w:val="009B46BC"/>
    <w:rsid w:val="009B49A1"/>
    <w:rsid w:val="009B4A6C"/>
    <w:rsid w:val="009B4DA8"/>
    <w:rsid w:val="009B519A"/>
    <w:rsid w:val="009B620C"/>
    <w:rsid w:val="009B6753"/>
    <w:rsid w:val="009B676C"/>
    <w:rsid w:val="009B6A26"/>
    <w:rsid w:val="009C079D"/>
    <w:rsid w:val="009C0D70"/>
    <w:rsid w:val="009C13D1"/>
    <w:rsid w:val="009C2913"/>
    <w:rsid w:val="009C2BD4"/>
    <w:rsid w:val="009C5AFE"/>
    <w:rsid w:val="009C6606"/>
    <w:rsid w:val="009C6CE5"/>
    <w:rsid w:val="009C6D50"/>
    <w:rsid w:val="009C7547"/>
    <w:rsid w:val="009D05EC"/>
    <w:rsid w:val="009D18D4"/>
    <w:rsid w:val="009D2F60"/>
    <w:rsid w:val="009D3A2E"/>
    <w:rsid w:val="009D5ADE"/>
    <w:rsid w:val="009D5BAC"/>
    <w:rsid w:val="009D5C56"/>
    <w:rsid w:val="009D6265"/>
    <w:rsid w:val="009D64BD"/>
    <w:rsid w:val="009D6CB1"/>
    <w:rsid w:val="009E0286"/>
    <w:rsid w:val="009E153F"/>
    <w:rsid w:val="009E322A"/>
    <w:rsid w:val="009E393E"/>
    <w:rsid w:val="009E444E"/>
    <w:rsid w:val="009E4968"/>
    <w:rsid w:val="009E663C"/>
    <w:rsid w:val="009E684A"/>
    <w:rsid w:val="009E6BB1"/>
    <w:rsid w:val="009E6E14"/>
    <w:rsid w:val="009E794A"/>
    <w:rsid w:val="009E7C14"/>
    <w:rsid w:val="009F0494"/>
    <w:rsid w:val="009F0CD9"/>
    <w:rsid w:val="009F1A79"/>
    <w:rsid w:val="009F1F57"/>
    <w:rsid w:val="009F2DDD"/>
    <w:rsid w:val="009F3447"/>
    <w:rsid w:val="009F65F4"/>
    <w:rsid w:val="009F676B"/>
    <w:rsid w:val="009F6D2D"/>
    <w:rsid w:val="009F6D54"/>
    <w:rsid w:val="00A0010C"/>
    <w:rsid w:val="00A004DF"/>
    <w:rsid w:val="00A00FD5"/>
    <w:rsid w:val="00A012C0"/>
    <w:rsid w:val="00A019A8"/>
    <w:rsid w:val="00A01B03"/>
    <w:rsid w:val="00A01B89"/>
    <w:rsid w:val="00A02C66"/>
    <w:rsid w:val="00A02C84"/>
    <w:rsid w:val="00A03DFA"/>
    <w:rsid w:val="00A0464C"/>
    <w:rsid w:val="00A050BB"/>
    <w:rsid w:val="00A054E0"/>
    <w:rsid w:val="00A05D91"/>
    <w:rsid w:val="00A0740B"/>
    <w:rsid w:val="00A07ED3"/>
    <w:rsid w:val="00A10CA8"/>
    <w:rsid w:val="00A11042"/>
    <w:rsid w:val="00A12579"/>
    <w:rsid w:val="00A133D8"/>
    <w:rsid w:val="00A15655"/>
    <w:rsid w:val="00A160B0"/>
    <w:rsid w:val="00A1740C"/>
    <w:rsid w:val="00A20069"/>
    <w:rsid w:val="00A2244D"/>
    <w:rsid w:val="00A2253D"/>
    <w:rsid w:val="00A2267F"/>
    <w:rsid w:val="00A22CDB"/>
    <w:rsid w:val="00A247B8"/>
    <w:rsid w:val="00A2495A"/>
    <w:rsid w:val="00A24C7A"/>
    <w:rsid w:val="00A24D8F"/>
    <w:rsid w:val="00A250DD"/>
    <w:rsid w:val="00A25B8B"/>
    <w:rsid w:val="00A25C5D"/>
    <w:rsid w:val="00A2689F"/>
    <w:rsid w:val="00A26ECA"/>
    <w:rsid w:val="00A26EFD"/>
    <w:rsid w:val="00A27461"/>
    <w:rsid w:val="00A27D67"/>
    <w:rsid w:val="00A30ABC"/>
    <w:rsid w:val="00A33B74"/>
    <w:rsid w:val="00A3467F"/>
    <w:rsid w:val="00A34B4C"/>
    <w:rsid w:val="00A35030"/>
    <w:rsid w:val="00A3551A"/>
    <w:rsid w:val="00A366A0"/>
    <w:rsid w:val="00A37209"/>
    <w:rsid w:val="00A37584"/>
    <w:rsid w:val="00A376E8"/>
    <w:rsid w:val="00A37F8E"/>
    <w:rsid w:val="00A41537"/>
    <w:rsid w:val="00A41737"/>
    <w:rsid w:val="00A42B8F"/>
    <w:rsid w:val="00A42D8E"/>
    <w:rsid w:val="00A43254"/>
    <w:rsid w:val="00A43896"/>
    <w:rsid w:val="00A43A26"/>
    <w:rsid w:val="00A447A0"/>
    <w:rsid w:val="00A459F5"/>
    <w:rsid w:val="00A45FC0"/>
    <w:rsid w:val="00A46B74"/>
    <w:rsid w:val="00A47ECC"/>
    <w:rsid w:val="00A50171"/>
    <w:rsid w:val="00A504FA"/>
    <w:rsid w:val="00A5102E"/>
    <w:rsid w:val="00A5132E"/>
    <w:rsid w:val="00A51375"/>
    <w:rsid w:val="00A51533"/>
    <w:rsid w:val="00A531D4"/>
    <w:rsid w:val="00A54572"/>
    <w:rsid w:val="00A575B8"/>
    <w:rsid w:val="00A60155"/>
    <w:rsid w:val="00A61C60"/>
    <w:rsid w:val="00A61ECB"/>
    <w:rsid w:val="00A6410C"/>
    <w:rsid w:val="00A647B1"/>
    <w:rsid w:val="00A64DEF"/>
    <w:rsid w:val="00A654D2"/>
    <w:rsid w:val="00A665DF"/>
    <w:rsid w:val="00A67928"/>
    <w:rsid w:val="00A67FCC"/>
    <w:rsid w:val="00A70AA5"/>
    <w:rsid w:val="00A70C03"/>
    <w:rsid w:val="00A71256"/>
    <w:rsid w:val="00A7217B"/>
    <w:rsid w:val="00A73861"/>
    <w:rsid w:val="00A739A6"/>
    <w:rsid w:val="00A740ED"/>
    <w:rsid w:val="00A74C29"/>
    <w:rsid w:val="00A74C62"/>
    <w:rsid w:val="00A75DF5"/>
    <w:rsid w:val="00A75EF9"/>
    <w:rsid w:val="00A8311C"/>
    <w:rsid w:val="00A835D0"/>
    <w:rsid w:val="00A84C5F"/>
    <w:rsid w:val="00A85930"/>
    <w:rsid w:val="00A863F7"/>
    <w:rsid w:val="00A86604"/>
    <w:rsid w:val="00A87519"/>
    <w:rsid w:val="00A9246D"/>
    <w:rsid w:val="00A92CCA"/>
    <w:rsid w:val="00A93BD0"/>
    <w:rsid w:val="00A93CC2"/>
    <w:rsid w:val="00A974CC"/>
    <w:rsid w:val="00AA1067"/>
    <w:rsid w:val="00AA2001"/>
    <w:rsid w:val="00AA2B5C"/>
    <w:rsid w:val="00AA32D2"/>
    <w:rsid w:val="00AA4016"/>
    <w:rsid w:val="00AA4C1F"/>
    <w:rsid w:val="00AA5328"/>
    <w:rsid w:val="00AA5393"/>
    <w:rsid w:val="00AA63D4"/>
    <w:rsid w:val="00AB03FD"/>
    <w:rsid w:val="00AB2000"/>
    <w:rsid w:val="00AB2E94"/>
    <w:rsid w:val="00AB38CB"/>
    <w:rsid w:val="00AB3BEC"/>
    <w:rsid w:val="00AB44E4"/>
    <w:rsid w:val="00AB4AEB"/>
    <w:rsid w:val="00AB4E5F"/>
    <w:rsid w:val="00AB5256"/>
    <w:rsid w:val="00AB5352"/>
    <w:rsid w:val="00AB56AE"/>
    <w:rsid w:val="00AB62D5"/>
    <w:rsid w:val="00AB65B5"/>
    <w:rsid w:val="00AB6DCD"/>
    <w:rsid w:val="00AB6EE0"/>
    <w:rsid w:val="00AC17A2"/>
    <w:rsid w:val="00AC18CD"/>
    <w:rsid w:val="00AC3581"/>
    <w:rsid w:val="00AC40B7"/>
    <w:rsid w:val="00AC531F"/>
    <w:rsid w:val="00AC5B36"/>
    <w:rsid w:val="00AC6377"/>
    <w:rsid w:val="00AC66A4"/>
    <w:rsid w:val="00AC6CB1"/>
    <w:rsid w:val="00AC7D6D"/>
    <w:rsid w:val="00AD0091"/>
    <w:rsid w:val="00AD23EF"/>
    <w:rsid w:val="00AD2662"/>
    <w:rsid w:val="00AD307B"/>
    <w:rsid w:val="00AD4014"/>
    <w:rsid w:val="00AD41B3"/>
    <w:rsid w:val="00AD42F3"/>
    <w:rsid w:val="00AD5721"/>
    <w:rsid w:val="00AD5C4D"/>
    <w:rsid w:val="00AD69F0"/>
    <w:rsid w:val="00AD7127"/>
    <w:rsid w:val="00AD730C"/>
    <w:rsid w:val="00AD7795"/>
    <w:rsid w:val="00AE123A"/>
    <w:rsid w:val="00AE1539"/>
    <w:rsid w:val="00AE28A7"/>
    <w:rsid w:val="00AE2A98"/>
    <w:rsid w:val="00AE2CF2"/>
    <w:rsid w:val="00AE3012"/>
    <w:rsid w:val="00AE33A6"/>
    <w:rsid w:val="00AE3729"/>
    <w:rsid w:val="00AE4138"/>
    <w:rsid w:val="00AE4CCE"/>
    <w:rsid w:val="00AE5C6A"/>
    <w:rsid w:val="00AE6317"/>
    <w:rsid w:val="00AE6B62"/>
    <w:rsid w:val="00AE7280"/>
    <w:rsid w:val="00AF033A"/>
    <w:rsid w:val="00AF1699"/>
    <w:rsid w:val="00AF1FD3"/>
    <w:rsid w:val="00AF2910"/>
    <w:rsid w:val="00AF34B8"/>
    <w:rsid w:val="00AF3896"/>
    <w:rsid w:val="00AF3FC2"/>
    <w:rsid w:val="00AF48DB"/>
    <w:rsid w:val="00B0098A"/>
    <w:rsid w:val="00B00A5F"/>
    <w:rsid w:val="00B00F89"/>
    <w:rsid w:val="00B029B8"/>
    <w:rsid w:val="00B02F60"/>
    <w:rsid w:val="00B032B8"/>
    <w:rsid w:val="00B04721"/>
    <w:rsid w:val="00B04B15"/>
    <w:rsid w:val="00B04B46"/>
    <w:rsid w:val="00B0534D"/>
    <w:rsid w:val="00B05685"/>
    <w:rsid w:val="00B05F9F"/>
    <w:rsid w:val="00B06368"/>
    <w:rsid w:val="00B068DA"/>
    <w:rsid w:val="00B06A00"/>
    <w:rsid w:val="00B06FC6"/>
    <w:rsid w:val="00B074C9"/>
    <w:rsid w:val="00B07D9D"/>
    <w:rsid w:val="00B11AE5"/>
    <w:rsid w:val="00B12FE6"/>
    <w:rsid w:val="00B1303F"/>
    <w:rsid w:val="00B1364A"/>
    <w:rsid w:val="00B13859"/>
    <w:rsid w:val="00B13EC9"/>
    <w:rsid w:val="00B14319"/>
    <w:rsid w:val="00B14A06"/>
    <w:rsid w:val="00B158E1"/>
    <w:rsid w:val="00B16715"/>
    <w:rsid w:val="00B1768E"/>
    <w:rsid w:val="00B17910"/>
    <w:rsid w:val="00B20F18"/>
    <w:rsid w:val="00B21516"/>
    <w:rsid w:val="00B21A37"/>
    <w:rsid w:val="00B21D23"/>
    <w:rsid w:val="00B21F62"/>
    <w:rsid w:val="00B22CE0"/>
    <w:rsid w:val="00B23738"/>
    <w:rsid w:val="00B23BEF"/>
    <w:rsid w:val="00B247BB"/>
    <w:rsid w:val="00B24F86"/>
    <w:rsid w:val="00B2504A"/>
    <w:rsid w:val="00B25EE6"/>
    <w:rsid w:val="00B3115A"/>
    <w:rsid w:val="00B31825"/>
    <w:rsid w:val="00B31A5C"/>
    <w:rsid w:val="00B33B06"/>
    <w:rsid w:val="00B33C19"/>
    <w:rsid w:val="00B35A15"/>
    <w:rsid w:val="00B35B45"/>
    <w:rsid w:val="00B36A99"/>
    <w:rsid w:val="00B42264"/>
    <w:rsid w:val="00B434B2"/>
    <w:rsid w:val="00B43D45"/>
    <w:rsid w:val="00B468F2"/>
    <w:rsid w:val="00B469DE"/>
    <w:rsid w:val="00B47286"/>
    <w:rsid w:val="00B50234"/>
    <w:rsid w:val="00B51BF4"/>
    <w:rsid w:val="00B52C68"/>
    <w:rsid w:val="00B5372B"/>
    <w:rsid w:val="00B542FE"/>
    <w:rsid w:val="00B55A1B"/>
    <w:rsid w:val="00B561DB"/>
    <w:rsid w:val="00B56DF9"/>
    <w:rsid w:val="00B600BD"/>
    <w:rsid w:val="00B61274"/>
    <w:rsid w:val="00B61DCE"/>
    <w:rsid w:val="00B62188"/>
    <w:rsid w:val="00B62F79"/>
    <w:rsid w:val="00B62F82"/>
    <w:rsid w:val="00B6306A"/>
    <w:rsid w:val="00B635E3"/>
    <w:rsid w:val="00B653D7"/>
    <w:rsid w:val="00B662FF"/>
    <w:rsid w:val="00B66679"/>
    <w:rsid w:val="00B70145"/>
    <w:rsid w:val="00B71A92"/>
    <w:rsid w:val="00B721D8"/>
    <w:rsid w:val="00B730CA"/>
    <w:rsid w:val="00B747C5"/>
    <w:rsid w:val="00B74F2F"/>
    <w:rsid w:val="00B753ED"/>
    <w:rsid w:val="00B769BC"/>
    <w:rsid w:val="00B77349"/>
    <w:rsid w:val="00B7761E"/>
    <w:rsid w:val="00B80A3D"/>
    <w:rsid w:val="00B80B04"/>
    <w:rsid w:val="00B8127B"/>
    <w:rsid w:val="00B819E5"/>
    <w:rsid w:val="00B821E4"/>
    <w:rsid w:val="00B823E0"/>
    <w:rsid w:val="00B8260D"/>
    <w:rsid w:val="00B82B78"/>
    <w:rsid w:val="00B845B4"/>
    <w:rsid w:val="00B84662"/>
    <w:rsid w:val="00B84C74"/>
    <w:rsid w:val="00B85191"/>
    <w:rsid w:val="00B858A1"/>
    <w:rsid w:val="00B85FEC"/>
    <w:rsid w:val="00B864A3"/>
    <w:rsid w:val="00B86C2A"/>
    <w:rsid w:val="00B878BE"/>
    <w:rsid w:val="00B902A5"/>
    <w:rsid w:val="00B90420"/>
    <w:rsid w:val="00B90848"/>
    <w:rsid w:val="00B91146"/>
    <w:rsid w:val="00B913E4"/>
    <w:rsid w:val="00B91DB9"/>
    <w:rsid w:val="00B91FF3"/>
    <w:rsid w:val="00B93EFE"/>
    <w:rsid w:val="00B944B9"/>
    <w:rsid w:val="00B94956"/>
    <w:rsid w:val="00B94C7F"/>
    <w:rsid w:val="00B94E93"/>
    <w:rsid w:val="00B956B5"/>
    <w:rsid w:val="00B96DF2"/>
    <w:rsid w:val="00B96E18"/>
    <w:rsid w:val="00B96F5A"/>
    <w:rsid w:val="00BA0B39"/>
    <w:rsid w:val="00BA0CB2"/>
    <w:rsid w:val="00BA0E26"/>
    <w:rsid w:val="00BA1310"/>
    <w:rsid w:val="00BA138B"/>
    <w:rsid w:val="00BA305B"/>
    <w:rsid w:val="00BA31BF"/>
    <w:rsid w:val="00BA3FC7"/>
    <w:rsid w:val="00BA478B"/>
    <w:rsid w:val="00BA5224"/>
    <w:rsid w:val="00BA575E"/>
    <w:rsid w:val="00BA76B7"/>
    <w:rsid w:val="00BA7E3B"/>
    <w:rsid w:val="00BB078D"/>
    <w:rsid w:val="00BB079C"/>
    <w:rsid w:val="00BB0D7A"/>
    <w:rsid w:val="00BB10E1"/>
    <w:rsid w:val="00BB2471"/>
    <w:rsid w:val="00BB25B8"/>
    <w:rsid w:val="00BB3035"/>
    <w:rsid w:val="00BB39C1"/>
    <w:rsid w:val="00BB3DF5"/>
    <w:rsid w:val="00BB5D16"/>
    <w:rsid w:val="00BB6180"/>
    <w:rsid w:val="00BB69E6"/>
    <w:rsid w:val="00BB7BE5"/>
    <w:rsid w:val="00BC08BD"/>
    <w:rsid w:val="00BC11E8"/>
    <w:rsid w:val="00BC1B7A"/>
    <w:rsid w:val="00BC2C17"/>
    <w:rsid w:val="00BC3ACD"/>
    <w:rsid w:val="00BC3B20"/>
    <w:rsid w:val="00BC3EE4"/>
    <w:rsid w:val="00BC588C"/>
    <w:rsid w:val="00BC62F4"/>
    <w:rsid w:val="00BC6E73"/>
    <w:rsid w:val="00BC74D3"/>
    <w:rsid w:val="00BD0014"/>
    <w:rsid w:val="00BD01D8"/>
    <w:rsid w:val="00BD255F"/>
    <w:rsid w:val="00BD2895"/>
    <w:rsid w:val="00BD4236"/>
    <w:rsid w:val="00BD483B"/>
    <w:rsid w:val="00BD5CD4"/>
    <w:rsid w:val="00BD65D9"/>
    <w:rsid w:val="00BD6DF3"/>
    <w:rsid w:val="00BD6E09"/>
    <w:rsid w:val="00BD6EF9"/>
    <w:rsid w:val="00BE0ACB"/>
    <w:rsid w:val="00BE2260"/>
    <w:rsid w:val="00BE3786"/>
    <w:rsid w:val="00BE3917"/>
    <w:rsid w:val="00BE50FD"/>
    <w:rsid w:val="00BE51CA"/>
    <w:rsid w:val="00BE537F"/>
    <w:rsid w:val="00BE5D77"/>
    <w:rsid w:val="00BE6D47"/>
    <w:rsid w:val="00BE7032"/>
    <w:rsid w:val="00BE7330"/>
    <w:rsid w:val="00BF01C5"/>
    <w:rsid w:val="00BF061A"/>
    <w:rsid w:val="00BF066A"/>
    <w:rsid w:val="00BF14CC"/>
    <w:rsid w:val="00BF1821"/>
    <w:rsid w:val="00BF3C42"/>
    <w:rsid w:val="00BF4342"/>
    <w:rsid w:val="00BF4704"/>
    <w:rsid w:val="00BF4FFC"/>
    <w:rsid w:val="00BF5050"/>
    <w:rsid w:val="00BF50D1"/>
    <w:rsid w:val="00BF5422"/>
    <w:rsid w:val="00BF59B1"/>
    <w:rsid w:val="00BF6A78"/>
    <w:rsid w:val="00BF7695"/>
    <w:rsid w:val="00BF79B4"/>
    <w:rsid w:val="00BF7C61"/>
    <w:rsid w:val="00C00037"/>
    <w:rsid w:val="00C01427"/>
    <w:rsid w:val="00C014C7"/>
    <w:rsid w:val="00C047AB"/>
    <w:rsid w:val="00C058AF"/>
    <w:rsid w:val="00C075B6"/>
    <w:rsid w:val="00C124C1"/>
    <w:rsid w:val="00C128AE"/>
    <w:rsid w:val="00C12BA8"/>
    <w:rsid w:val="00C136D6"/>
    <w:rsid w:val="00C13902"/>
    <w:rsid w:val="00C13D5B"/>
    <w:rsid w:val="00C141D7"/>
    <w:rsid w:val="00C16F84"/>
    <w:rsid w:val="00C1711B"/>
    <w:rsid w:val="00C17AE2"/>
    <w:rsid w:val="00C17E00"/>
    <w:rsid w:val="00C20140"/>
    <w:rsid w:val="00C20F27"/>
    <w:rsid w:val="00C215CF"/>
    <w:rsid w:val="00C2244B"/>
    <w:rsid w:val="00C22711"/>
    <w:rsid w:val="00C2280A"/>
    <w:rsid w:val="00C22B0D"/>
    <w:rsid w:val="00C22BFF"/>
    <w:rsid w:val="00C23522"/>
    <w:rsid w:val="00C240C1"/>
    <w:rsid w:val="00C24AED"/>
    <w:rsid w:val="00C250D0"/>
    <w:rsid w:val="00C252AC"/>
    <w:rsid w:val="00C25C0F"/>
    <w:rsid w:val="00C26567"/>
    <w:rsid w:val="00C26923"/>
    <w:rsid w:val="00C27214"/>
    <w:rsid w:val="00C27597"/>
    <w:rsid w:val="00C27E5E"/>
    <w:rsid w:val="00C30382"/>
    <w:rsid w:val="00C30772"/>
    <w:rsid w:val="00C30D6F"/>
    <w:rsid w:val="00C31063"/>
    <w:rsid w:val="00C31B7E"/>
    <w:rsid w:val="00C322D1"/>
    <w:rsid w:val="00C3242A"/>
    <w:rsid w:val="00C33201"/>
    <w:rsid w:val="00C33A39"/>
    <w:rsid w:val="00C33B57"/>
    <w:rsid w:val="00C34619"/>
    <w:rsid w:val="00C34B60"/>
    <w:rsid w:val="00C35D01"/>
    <w:rsid w:val="00C360B3"/>
    <w:rsid w:val="00C37027"/>
    <w:rsid w:val="00C37B19"/>
    <w:rsid w:val="00C413CB"/>
    <w:rsid w:val="00C42752"/>
    <w:rsid w:val="00C42973"/>
    <w:rsid w:val="00C44C69"/>
    <w:rsid w:val="00C4712A"/>
    <w:rsid w:val="00C5034F"/>
    <w:rsid w:val="00C50830"/>
    <w:rsid w:val="00C52479"/>
    <w:rsid w:val="00C5266E"/>
    <w:rsid w:val="00C5280F"/>
    <w:rsid w:val="00C52C59"/>
    <w:rsid w:val="00C5349E"/>
    <w:rsid w:val="00C539FF"/>
    <w:rsid w:val="00C544BD"/>
    <w:rsid w:val="00C54D3D"/>
    <w:rsid w:val="00C55A30"/>
    <w:rsid w:val="00C56384"/>
    <w:rsid w:val="00C60AD0"/>
    <w:rsid w:val="00C60F8C"/>
    <w:rsid w:val="00C61794"/>
    <w:rsid w:val="00C62A48"/>
    <w:rsid w:val="00C62AC4"/>
    <w:rsid w:val="00C62B59"/>
    <w:rsid w:val="00C62F96"/>
    <w:rsid w:val="00C631E1"/>
    <w:rsid w:val="00C638D8"/>
    <w:rsid w:val="00C63AE7"/>
    <w:rsid w:val="00C63D26"/>
    <w:rsid w:val="00C6540A"/>
    <w:rsid w:val="00C6625C"/>
    <w:rsid w:val="00C668A1"/>
    <w:rsid w:val="00C67223"/>
    <w:rsid w:val="00C707B8"/>
    <w:rsid w:val="00C712AC"/>
    <w:rsid w:val="00C71C15"/>
    <w:rsid w:val="00C71F3D"/>
    <w:rsid w:val="00C72F53"/>
    <w:rsid w:val="00C74035"/>
    <w:rsid w:val="00C748EA"/>
    <w:rsid w:val="00C77818"/>
    <w:rsid w:val="00C8063F"/>
    <w:rsid w:val="00C806ED"/>
    <w:rsid w:val="00C81282"/>
    <w:rsid w:val="00C827B4"/>
    <w:rsid w:val="00C83214"/>
    <w:rsid w:val="00C8329F"/>
    <w:rsid w:val="00C8468A"/>
    <w:rsid w:val="00C84F8A"/>
    <w:rsid w:val="00C85BA4"/>
    <w:rsid w:val="00C8618F"/>
    <w:rsid w:val="00C8625D"/>
    <w:rsid w:val="00C90372"/>
    <w:rsid w:val="00C9041F"/>
    <w:rsid w:val="00C90F54"/>
    <w:rsid w:val="00C9166B"/>
    <w:rsid w:val="00C91A45"/>
    <w:rsid w:val="00C91FB4"/>
    <w:rsid w:val="00C92150"/>
    <w:rsid w:val="00C92328"/>
    <w:rsid w:val="00C92D42"/>
    <w:rsid w:val="00C938C2"/>
    <w:rsid w:val="00C93F8A"/>
    <w:rsid w:val="00C94EA1"/>
    <w:rsid w:val="00C9511B"/>
    <w:rsid w:val="00C95745"/>
    <w:rsid w:val="00C95902"/>
    <w:rsid w:val="00C962E3"/>
    <w:rsid w:val="00C9712D"/>
    <w:rsid w:val="00C97246"/>
    <w:rsid w:val="00C978E2"/>
    <w:rsid w:val="00C97997"/>
    <w:rsid w:val="00CA10A2"/>
    <w:rsid w:val="00CA1D83"/>
    <w:rsid w:val="00CA25C0"/>
    <w:rsid w:val="00CA3451"/>
    <w:rsid w:val="00CA35C6"/>
    <w:rsid w:val="00CA4948"/>
    <w:rsid w:val="00CA52F9"/>
    <w:rsid w:val="00CA5368"/>
    <w:rsid w:val="00CA568B"/>
    <w:rsid w:val="00CA573A"/>
    <w:rsid w:val="00CA5C58"/>
    <w:rsid w:val="00CA7D80"/>
    <w:rsid w:val="00CB1775"/>
    <w:rsid w:val="00CB19D7"/>
    <w:rsid w:val="00CB19FE"/>
    <w:rsid w:val="00CB1C3F"/>
    <w:rsid w:val="00CB2364"/>
    <w:rsid w:val="00CB304C"/>
    <w:rsid w:val="00CB3933"/>
    <w:rsid w:val="00CB53E8"/>
    <w:rsid w:val="00CB594A"/>
    <w:rsid w:val="00CB5CB2"/>
    <w:rsid w:val="00CB6979"/>
    <w:rsid w:val="00CB7DDE"/>
    <w:rsid w:val="00CC0A3D"/>
    <w:rsid w:val="00CC1585"/>
    <w:rsid w:val="00CC3C53"/>
    <w:rsid w:val="00CC3D24"/>
    <w:rsid w:val="00CC3F91"/>
    <w:rsid w:val="00CC472A"/>
    <w:rsid w:val="00CC4ACD"/>
    <w:rsid w:val="00CC4AD3"/>
    <w:rsid w:val="00CC4B0A"/>
    <w:rsid w:val="00CC544A"/>
    <w:rsid w:val="00CC57EA"/>
    <w:rsid w:val="00CC5954"/>
    <w:rsid w:val="00CC629B"/>
    <w:rsid w:val="00CC6C4E"/>
    <w:rsid w:val="00CD009D"/>
    <w:rsid w:val="00CD05A2"/>
    <w:rsid w:val="00CD29D4"/>
    <w:rsid w:val="00CD2B5C"/>
    <w:rsid w:val="00CD2FF3"/>
    <w:rsid w:val="00CD3323"/>
    <w:rsid w:val="00CD38F5"/>
    <w:rsid w:val="00CD437E"/>
    <w:rsid w:val="00CD46F1"/>
    <w:rsid w:val="00CD5DAD"/>
    <w:rsid w:val="00CD72C5"/>
    <w:rsid w:val="00CD79A7"/>
    <w:rsid w:val="00CE0789"/>
    <w:rsid w:val="00CE0E8D"/>
    <w:rsid w:val="00CE1A03"/>
    <w:rsid w:val="00CE2346"/>
    <w:rsid w:val="00CE25B2"/>
    <w:rsid w:val="00CE2687"/>
    <w:rsid w:val="00CE27B7"/>
    <w:rsid w:val="00CE3529"/>
    <w:rsid w:val="00CE35C8"/>
    <w:rsid w:val="00CE3962"/>
    <w:rsid w:val="00CE4D1A"/>
    <w:rsid w:val="00CE4E8A"/>
    <w:rsid w:val="00CE5105"/>
    <w:rsid w:val="00CE56BD"/>
    <w:rsid w:val="00CE5EC0"/>
    <w:rsid w:val="00CE6A0B"/>
    <w:rsid w:val="00CE6F9F"/>
    <w:rsid w:val="00CE781A"/>
    <w:rsid w:val="00CE7B08"/>
    <w:rsid w:val="00CE7D52"/>
    <w:rsid w:val="00CF1D74"/>
    <w:rsid w:val="00CF2BE2"/>
    <w:rsid w:val="00CF3DEB"/>
    <w:rsid w:val="00CF55F9"/>
    <w:rsid w:val="00CF7074"/>
    <w:rsid w:val="00CF7390"/>
    <w:rsid w:val="00CF7495"/>
    <w:rsid w:val="00D01CF9"/>
    <w:rsid w:val="00D0334D"/>
    <w:rsid w:val="00D0374D"/>
    <w:rsid w:val="00D06D7B"/>
    <w:rsid w:val="00D06DA5"/>
    <w:rsid w:val="00D07191"/>
    <w:rsid w:val="00D07F1D"/>
    <w:rsid w:val="00D10558"/>
    <w:rsid w:val="00D11D4D"/>
    <w:rsid w:val="00D126DC"/>
    <w:rsid w:val="00D12B03"/>
    <w:rsid w:val="00D13E70"/>
    <w:rsid w:val="00D15FCD"/>
    <w:rsid w:val="00D16C58"/>
    <w:rsid w:val="00D17019"/>
    <w:rsid w:val="00D17FC8"/>
    <w:rsid w:val="00D20B44"/>
    <w:rsid w:val="00D21168"/>
    <w:rsid w:val="00D2438C"/>
    <w:rsid w:val="00D2585A"/>
    <w:rsid w:val="00D259B0"/>
    <w:rsid w:val="00D26C3F"/>
    <w:rsid w:val="00D27026"/>
    <w:rsid w:val="00D2708A"/>
    <w:rsid w:val="00D27185"/>
    <w:rsid w:val="00D30EF8"/>
    <w:rsid w:val="00D32518"/>
    <w:rsid w:val="00D33488"/>
    <w:rsid w:val="00D33AB3"/>
    <w:rsid w:val="00D33F24"/>
    <w:rsid w:val="00D34160"/>
    <w:rsid w:val="00D346B8"/>
    <w:rsid w:val="00D34DCA"/>
    <w:rsid w:val="00D35AC8"/>
    <w:rsid w:val="00D36F87"/>
    <w:rsid w:val="00D37E4E"/>
    <w:rsid w:val="00D400A4"/>
    <w:rsid w:val="00D40DEF"/>
    <w:rsid w:val="00D417D8"/>
    <w:rsid w:val="00D41F78"/>
    <w:rsid w:val="00D42E6C"/>
    <w:rsid w:val="00D4351C"/>
    <w:rsid w:val="00D43B80"/>
    <w:rsid w:val="00D44988"/>
    <w:rsid w:val="00D45B4C"/>
    <w:rsid w:val="00D45BA4"/>
    <w:rsid w:val="00D471AF"/>
    <w:rsid w:val="00D4724F"/>
    <w:rsid w:val="00D50519"/>
    <w:rsid w:val="00D512C8"/>
    <w:rsid w:val="00D51601"/>
    <w:rsid w:val="00D51955"/>
    <w:rsid w:val="00D51ECB"/>
    <w:rsid w:val="00D5264C"/>
    <w:rsid w:val="00D52BBC"/>
    <w:rsid w:val="00D537FE"/>
    <w:rsid w:val="00D53CC9"/>
    <w:rsid w:val="00D54A6A"/>
    <w:rsid w:val="00D54B8F"/>
    <w:rsid w:val="00D55951"/>
    <w:rsid w:val="00D559F0"/>
    <w:rsid w:val="00D57EB6"/>
    <w:rsid w:val="00D608C0"/>
    <w:rsid w:val="00D60D6D"/>
    <w:rsid w:val="00D6128C"/>
    <w:rsid w:val="00D66D8B"/>
    <w:rsid w:val="00D70849"/>
    <w:rsid w:val="00D72297"/>
    <w:rsid w:val="00D72A1C"/>
    <w:rsid w:val="00D7308F"/>
    <w:rsid w:val="00D7313E"/>
    <w:rsid w:val="00D73580"/>
    <w:rsid w:val="00D73802"/>
    <w:rsid w:val="00D73C2C"/>
    <w:rsid w:val="00D73D52"/>
    <w:rsid w:val="00D745E7"/>
    <w:rsid w:val="00D774ED"/>
    <w:rsid w:val="00D777C3"/>
    <w:rsid w:val="00D7797C"/>
    <w:rsid w:val="00D77C44"/>
    <w:rsid w:val="00D77F88"/>
    <w:rsid w:val="00D81AFA"/>
    <w:rsid w:val="00D81EAA"/>
    <w:rsid w:val="00D81FE2"/>
    <w:rsid w:val="00D8259F"/>
    <w:rsid w:val="00D825F2"/>
    <w:rsid w:val="00D8285C"/>
    <w:rsid w:val="00D828B1"/>
    <w:rsid w:val="00D82A55"/>
    <w:rsid w:val="00D83D49"/>
    <w:rsid w:val="00D84181"/>
    <w:rsid w:val="00D846AD"/>
    <w:rsid w:val="00D84754"/>
    <w:rsid w:val="00D84F27"/>
    <w:rsid w:val="00D853F0"/>
    <w:rsid w:val="00D85862"/>
    <w:rsid w:val="00D86D47"/>
    <w:rsid w:val="00D8710C"/>
    <w:rsid w:val="00D873C6"/>
    <w:rsid w:val="00D9074A"/>
    <w:rsid w:val="00D9099E"/>
    <w:rsid w:val="00D9193A"/>
    <w:rsid w:val="00D923B2"/>
    <w:rsid w:val="00D92463"/>
    <w:rsid w:val="00D93E64"/>
    <w:rsid w:val="00D93F64"/>
    <w:rsid w:val="00D94CA4"/>
    <w:rsid w:val="00D95E99"/>
    <w:rsid w:val="00D965D5"/>
    <w:rsid w:val="00D97DA2"/>
    <w:rsid w:val="00DA1A3A"/>
    <w:rsid w:val="00DA2351"/>
    <w:rsid w:val="00DA249E"/>
    <w:rsid w:val="00DA2D3D"/>
    <w:rsid w:val="00DA4C30"/>
    <w:rsid w:val="00DA7722"/>
    <w:rsid w:val="00DB145E"/>
    <w:rsid w:val="00DB1A94"/>
    <w:rsid w:val="00DB1D52"/>
    <w:rsid w:val="00DB1D92"/>
    <w:rsid w:val="00DB1E2B"/>
    <w:rsid w:val="00DB1F62"/>
    <w:rsid w:val="00DB21E7"/>
    <w:rsid w:val="00DB2E03"/>
    <w:rsid w:val="00DB3742"/>
    <w:rsid w:val="00DB3E9B"/>
    <w:rsid w:val="00DB3F4B"/>
    <w:rsid w:val="00DB5375"/>
    <w:rsid w:val="00DB67C1"/>
    <w:rsid w:val="00DB6C0B"/>
    <w:rsid w:val="00DB70F4"/>
    <w:rsid w:val="00DB748A"/>
    <w:rsid w:val="00DC1056"/>
    <w:rsid w:val="00DC1442"/>
    <w:rsid w:val="00DC21D8"/>
    <w:rsid w:val="00DC282A"/>
    <w:rsid w:val="00DC34DC"/>
    <w:rsid w:val="00DC3780"/>
    <w:rsid w:val="00DC3ADA"/>
    <w:rsid w:val="00DC3CC6"/>
    <w:rsid w:val="00DC3F55"/>
    <w:rsid w:val="00DC4782"/>
    <w:rsid w:val="00DC514A"/>
    <w:rsid w:val="00DC67B1"/>
    <w:rsid w:val="00DC7FBC"/>
    <w:rsid w:val="00DD0019"/>
    <w:rsid w:val="00DD132B"/>
    <w:rsid w:val="00DD1725"/>
    <w:rsid w:val="00DD2159"/>
    <w:rsid w:val="00DD218B"/>
    <w:rsid w:val="00DD2A18"/>
    <w:rsid w:val="00DD3044"/>
    <w:rsid w:val="00DD3985"/>
    <w:rsid w:val="00DD61E8"/>
    <w:rsid w:val="00DD62C0"/>
    <w:rsid w:val="00DD635A"/>
    <w:rsid w:val="00DD64DE"/>
    <w:rsid w:val="00DD7859"/>
    <w:rsid w:val="00DD7B41"/>
    <w:rsid w:val="00DE0784"/>
    <w:rsid w:val="00DE0A1D"/>
    <w:rsid w:val="00DE15B2"/>
    <w:rsid w:val="00DE1A9A"/>
    <w:rsid w:val="00DE3D2C"/>
    <w:rsid w:val="00DE5E82"/>
    <w:rsid w:val="00DE5FA6"/>
    <w:rsid w:val="00DE6792"/>
    <w:rsid w:val="00DE6AA1"/>
    <w:rsid w:val="00DE795F"/>
    <w:rsid w:val="00DE7AAB"/>
    <w:rsid w:val="00DE7EF7"/>
    <w:rsid w:val="00DF015B"/>
    <w:rsid w:val="00DF02EC"/>
    <w:rsid w:val="00DF10FC"/>
    <w:rsid w:val="00DF1185"/>
    <w:rsid w:val="00DF1299"/>
    <w:rsid w:val="00DF1A70"/>
    <w:rsid w:val="00DF1E5F"/>
    <w:rsid w:val="00DF1F03"/>
    <w:rsid w:val="00DF23A8"/>
    <w:rsid w:val="00DF2F27"/>
    <w:rsid w:val="00DF36B6"/>
    <w:rsid w:val="00DF4296"/>
    <w:rsid w:val="00DF53F0"/>
    <w:rsid w:val="00DF5F38"/>
    <w:rsid w:val="00DF6608"/>
    <w:rsid w:val="00DF6CCC"/>
    <w:rsid w:val="00DF6D0C"/>
    <w:rsid w:val="00DF6F64"/>
    <w:rsid w:val="00DF721E"/>
    <w:rsid w:val="00DF7B8A"/>
    <w:rsid w:val="00DF7C87"/>
    <w:rsid w:val="00DF7D05"/>
    <w:rsid w:val="00E009B0"/>
    <w:rsid w:val="00E00A12"/>
    <w:rsid w:val="00E00C49"/>
    <w:rsid w:val="00E01C9C"/>
    <w:rsid w:val="00E0219D"/>
    <w:rsid w:val="00E04C0F"/>
    <w:rsid w:val="00E0570B"/>
    <w:rsid w:val="00E10343"/>
    <w:rsid w:val="00E10913"/>
    <w:rsid w:val="00E10B87"/>
    <w:rsid w:val="00E121CE"/>
    <w:rsid w:val="00E1478B"/>
    <w:rsid w:val="00E14FAC"/>
    <w:rsid w:val="00E15007"/>
    <w:rsid w:val="00E16277"/>
    <w:rsid w:val="00E16EC7"/>
    <w:rsid w:val="00E219CE"/>
    <w:rsid w:val="00E23409"/>
    <w:rsid w:val="00E24071"/>
    <w:rsid w:val="00E24EBC"/>
    <w:rsid w:val="00E2522C"/>
    <w:rsid w:val="00E2552F"/>
    <w:rsid w:val="00E2599B"/>
    <w:rsid w:val="00E2710C"/>
    <w:rsid w:val="00E27428"/>
    <w:rsid w:val="00E305B4"/>
    <w:rsid w:val="00E31182"/>
    <w:rsid w:val="00E3197A"/>
    <w:rsid w:val="00E31AFA"/>
    <w:rsid w:val="00E31CB7"/>
    <w:rsid w:val="00E324EE"/>
    <w:rsid w:val="00E32990"/>
    <w:rsid w:val="00E34DB1"/>
    <w:rsid w:val="00E35931"/>
    <w:rsid w:val="00E359FF"/>
    <w:rsid w:val="00E36BD1"/>
    <w:rsid w:val="00E402C5"/>
    <w:rsid w:val="00E402F4"/>
    <w:rsid w:val="00E405F1"/>
    <w:rsid w:val="00E4178B"/>
    <w:rsid w:val="00E417DB"/>
    <w:rsid w:val="00E43054"/>
    <w:rsid w:val="00E43655"/>
    <w:rsid w:val="00E44440"/>
    <w:rsid w:val="00E46013"/>
    <w:rsid w:val="00E47099"/>
    <w:rsid w:val="00E47284"/>
    <w:rsid w:val="00E4730A"/>
    <w:rsid w:val="00E477C3"/>
    <w:rsid w:val="00E47E23"/>
    <w:rsid w:val="00E517A5"/>
    <w:rsid w:val="00E51E16"/>
    <w:rsid w:val="00E53730"/>
    <w:rsid w:val="00E5438D"/>
    <w:rsid w:val="00E54511"/>
    <w:rsid w:val="00E54E50"/>
    <w:rsid w:val="00E55288"/>
    <w:rsid w:val="00E57577"/>
    <w:rsid w:val="00E62043"/>
    <w:rsid w:val="00E626B9"/>
    <w:rsid w:val="00E627C9"/>
    <w:rsid w:val="00E630F3"/>
    <w:rsid w:val="00E6332F"/>
    <w:rsid w:val="00E637C9"/>
    <w:rsid w:val="00E6402D"/>
    <w:rsid w:val="00E6680A"/>
    <w:rsid w:val="00E66F0D"/>
    <w:rsid w:val="00E70615"/>
    <w:rsid w:val="00E7161E"/>
    <w:rsid w:val="00E7207B"/>
    <w:rsid w:val="00E7347A"/>
    <w:rsid w:val="00E75A47"/>
    <w:rsid w:val="00E75BB6"/>
    <w:rsid w:val="00E75D8C"/>
    <w:rsid w:val="00E777F2"/>
    <w:rsid w:val="00E802C9"/>
    <w:rsid w:val="00E80BFB"/>
    <w:rsid w:val="00E80F0A"/>
    <w:rsid w:val="00E815D4"/>
    <w:rsid w:val="00E8291B"/>
    <w:rsid w:val="00E82E70"/>
    <w:rsid w:val="00E82F92"/>
    <w:rsid w:val="00E8395F"/>
    <w:rsid w:val="00E8410F"/>
    <w:rsid w:val="00E849D7"/>
    <w:rsid w:val="00E85E41"/>
    <w:rsid w:val="00E85EA1"/>
    <w:rsid w:val="00E86703"/>
    <w:rsid w:val="00E91044"/>
    <w:rsid w:val="00E910D3"/>
    <w:rsid w:val="00E91257"/>
    <w:rsid w:val="00E92154"/>
    <w:rsid w:val="00E923CF"/>
    <w:rsid w:val="00E93685"/>
    <w:rsid w:val="00E93B65"/>
    <w:rsid w:val="00E93C8C"/>
    <w:rsid w:val="00E95111"/>
    <w:rsid w:val="00E95FDF"/>
    <w:rsid w:val="00EA14C8"/>
    <w:rsid w:val="00EA2110"/>
    <w:rsid w:val="00EA283A"/>
    <w:rsid w:val="00EA2C90"/>
    <w:rsid w:val="00EA2E07"/>
    <w:rsid w:val="00EA383B"/>
    <w:rsid w:val="00EA41E6"/>
    <w:rsid w:val="00EA48F3"/>
    <w:rsid w:val="00EA60BF"/>
    <w:rsid w:val="00EA7365"/>
    <w:rsid w:val="00EA763F"/>
    <w:rsid w:val="00EA77E9"/>
    <w:rsid w:val="00EA7875"/>
    <w:rsid w:val="00EB05D0"/>
    <w:rsid w:val="00EB1151"/>
    <w:rsid w:val="00EB1D49"/>
    <w:rsid w:val="00EB23D9"/>
    <w:rsid w:val="00EB39A0"/>
    <w:rsid w:val="00EB559F"/>
    <w:rsid w:val="00EB566C"/>
    <w:rsid w:val="00EB5F3D"/>
    <w:rsid w:val="00EB77E5"/>
    <w:rsid w:val="00EC1CEB"/>
    <w:rsid w:val="00EC1DC0"/>
    <w:rsid w:val="00EC1DC2"/>
    <w:rsid w:val="00EC21EC"/>
    <w:rsid w:val="00EC24B8"/>
    <w:rsid w:val="00EC268C"/>
    <w:rsid w:val="00EC3753"/>
    <w:rsid w:val="00EC4E71"/>
    <w:rsid w:val="00EC5F1C"/>
    <w:rsid w:val="00ED0365"/>
    <w:rsid w:val="00ED0865"/>
    <w:rsid w:val="00ED1C60"/>
    <w:rsid w:val="00ED2057"/>
    <w:rsid w:val="00ED2EB9"/>
    <w:rsid w:val="00ED32D5"/>
    <w:rsid w:val="00ED3722"/>
    <w:rsid w:val="00ED3A31"/>
    <w:rsid w:val="00ED4469"/>
    <w:rsid w:val="00ED5424"/>
    <w:rsid w:val="00ED5F23"/>
    <w:rsid w:val="00ED6DC0"/>
    <w:rsid w:val="00ED7A7A"/>
    <w:rsid w:val="00EE0327"/>
    <w:rsid w:val="00EE038C"/>
    <w:rsid w:val="00EE28C5"/>
    <w:rsid w:val="00EE2F09"/>
    <w:rsid w:val="00EE47C5"/>
    <w:rsid w:val="00EE4885"/>
    <w:rsid w:val="00EE490C"/>
    <w:rsid w:val="00EE4E57"/>
    <w:rsid w:val="00EE5738"/>
    <w:rsid w:val="00EE58BD"/>
    <w:rsid w:val="00EE5E59"/>
    <w:rsid w:val="00EE6549"/>
    <w:rsid w:val="00EE73D0"/>
    <w:rsid w:val="00EE7CB0"/>
    <w:rsid w:val="00EF08A8"/>
    <w:rsid w:val="00EF08FA"/>
    <w:rsid w:val="00EF167B"/>
    <w:rsid w:val="00EF41A8"/>
    <w:rsid w:val="00EF44FB"/>
    <w:rsid w:val="00EF5122"/>
    <w:rsid w:val="00EF5554"/>
    <w:rsid w:val="00EF5AD8"/>
    <w:rsid w:val="00EF6B90"/>
    <w:rsid w:val="00EF7807"/>
    <w:rsid w:val="00EF79F7"/>
    <w:rsid w:val="00F006C0"/>
    <w:rsid w:val="00F0125F"/>
    <w:rsid w:val="00F019AA"/>
    <w:rsid w:val="00F0267E"/>
    <w:rsid w:val="00F02686"/>
    <w:rsid w:val="00F030C0"/>
    <w:rsid w:val="00F03291"/>
    <w:rsid w:val="00F0459B"/>
    <w:rsid w:val="00F04E15"/>
    <w:rsid w:val="00F05DF3"/>
    <w:rsid w:val="00F0692C"/>
    <w:rsid w:val="00F069EA"/>
    <w:rsid w:val="00F070E5"/>
    <w:rsid w:val="00F07DDE"/>
    <w:rsid w:val="00F11675"/>
    <w:rsid w:val="00F12557"/>
    <w:rsid w:val="00F1291D"/>
    <w:rsid w:val="00F13599"/>
    <w:rsid w:val="00F13B28"/>
    <w:rsid w:val="00F14E01"/>
    <w:rsid w:val="00F156A0"/>
    <w:rsid w:val="00F15730"/>
    <w:rsid w:val="00F16CE3"/>
    <w:rsid w:val="00F176A6"/>
    <w:rsid w:val="00F202C2"/>
    <w:rsid w:val="00F212F6"/>
    <w:rsid w:val="00F22756"/>
    <w:rsid w:val="00F23248"/>
    <w:rsid w:val="00F23890"/>
    <w:rsid w:val="00F2504D"/>
    <w:rsid w:val="00F2637F"/>
    <w:rsid w:val="00F268F7"/>
    <w:rsid w:val="00F30B83"/>
    <w:rsid w:val="00F30BDB"/>
    <w:rsid w:val="00F30CF8"/>
    <w:rsid w:val="00F31EDF"/>
    <w:rsid w:val="00F32CDE"/>
    <w:rsid w:val="00F32D4C"/>
    <w:rsid w:val="00F3327E"/>
    <w:rsid w:val="00F338C3"/>
    <w:rsid w:val="00F34B14"/>
    <w:rsid w:val="00F34F58"/>
    <w:rsid w:val="00F35DA7"/>
    <w:rsid w:val="00F36A6A"/>
    <w:rsid w:val="00F40101"/>
    <w:rsid w:val="00F404F7"/>
    <w:rsid w:val="00F40CCA"/>
    <w:rsid w:val="00F42D97"/>
    <w:rsid w:val="00F436B2"/>
    <w:rsid w:val="00F43813"/>
    <w:rsid w:val="00F43FEE"/>
    <w:rsid w:val="00F45A72"/>
    <w:rsid w:val="00F46723"/>
    <w:rsid w:val="00F4706D"/>
    <w:rsid w:val="00F476E1"/>
    <w:rsid w:val="00F47D1D"/>
    <w:rsid w:val="00F47F29"/>
    <w:rsid w:val="00F50016"/>
    <w:rsid w:val="00F50058"/>
    <w:rsid w:val="00F5088F"/>
    <w:rsid w:val="00F5118A"/>
    <w:rsid w:val="00F51A21"/>
    <w:rsid w:val="00F52614"/>
    <w:rsid w:val="00F5276E"/>
    <w:rsid w:val="00F52E9F"/>
    <w:rsid w:val="00F53304"/>
    <w:rsid w:val="00F53B81"/>
    <w:rsid w:val="00F540FE"/>
    <w:rsid w:val="00F556FF"/>
    <w:rsid w:val="00F55D12"/>
    <w:rsid w:val="00F5687F"/>
    <w:rsid w:val="00F56D3F"/>
    <w:rsid w:val="00F575C7"/>
    <w:rsid w:val="00F57FD0"/>
    <w:rsid w:val="00F60305"/>
    <w:rsid w:val="00F61B12"/>
    <w:rsid w:val="00F63264"/>
    <w:rsid w:val="00F634E4"/>
    <w:rsid w:val="00F6379E"/>
    <w:rsid w:val="00F64047"/>
    <w:rsid w:val="00F65171"/>
    <w:rsid w:val="00F6560D"/>
    <w:rsid w:val="00F65C23"/>
    <w:rsid w:val="00F67844"/>
    <w:rsid w:val="00F70799"/>
    <w:rsid w:val="00F70A8B"/>
    <w:rsid w:val="00F70B8D"/>
    <w:rsid w:val="00F71936"/>
    <w:rsid w:val="00F724FB"/>
    <w:rsid w:val="00F726B8"/>
    <w:rsid w:val="00F72A26"/>
    <w:rsid w:val="00F733C3"/>
    <w:rsid w:val="00F746A1"/>
    <w:rsid w:val="00F74820"/>
    <w:rsid w:val="00F756DD"/>
    <w:rsid w:val="00F77F4E"/>
    <w:rsid w:val="00F80047"/>
    <w:rsid w:val="00F800C7"/>
    <w:rsid w:val="00F8104D"/>
    <w:rsid w:val="00F81587"/>
    <w:rsid w:val="00F8288F"/>
    <w:rsid w:val="00F84033"/>
    <w:rsid w:val="00F84802"/>
    <w:rsid w:val="00F84E4F"/>
    <w:rsid w:val="00F85B72"/>
    <w:rsid w:val="00F86540"/>
    <w:rsid w:val="00F865CE"/>
    <w:rsid w:val="00F8766F"/>
    <w:rsid w:val="00F91082"/>
    <w:rsid w:val="00F9116D"/>
    <w:rsid w:val="00F91A9A"/>
    <w:rsid w:val="00F9203B"/>
    <w:rsid w:val="00F93ABB"/>
    <w:rsid w:val="00F94D79"/>
    <w:rsid w:val="00F963A2"/>
    <w:rsid w:val="00F9658C"/>
    <w:rsid w:val="00F97A7F"/>
    <w:rsid w:val="00FA0889"/>
    <w:rsid w:val="00FA16E7"/>
    <w:rsid w:val="00FA2505"/>
    <w:rsid w:val="00FA31C7"/>
    <w:rsid w:val="00FA3E7F"/>
    <w:rsid w:val="00FA472D"/>
    <w:rsid w:val="00FA6283"/>
    <w:rsid w:val="00FB0CBF"/>
    <w:rsid w:val="00FB18F6"/>
    <w:rsid w:val="00FB2A52"/>
    <w:rsid w:val="00FB3F92"/>
    <w:rsid w:val="00FB4C2B"/>
    <w:rsid w:val="00FB52C7"/>
    <w:rsid w:val="00FB57DC"/>
    <w:rsid w:val="00FB6E19"/>
    <w:rsid w:val="00FB71F6"/>
    <w:rsid w:val="00FC0AF8"/>
    <w:rsid w:val="00FC1483"/>
    <w:rsid w:val="00FC1C47"/>
    <w:rsid w:val="00FC3102"/>
    <w:rsid w:val="00FC3493"/>
    <w:rsid w:val="00FC39ED"/>
    <w:rsid w:val="00FC4419"/>
    <w:rsid w:val="00FC47E2"/>
    <w:rsid w:val="00FC4A88"/>
    <w:rsid w:val="00FC4AA5"/>
    <w:rsid w:val="00FC4B88"/>
    <w:rsid w:val="00FC4BB8"/>
    <w:rsid w:val="00FC5148"/>
    <w:rsid w:val="00FC623A"/>
    <w:rsid w:val="00FC6524"/>
    <w:rsid w:val="00FC708F"/>
    <w:rsid w:val="00FC75AC"/>
    <w:rsid w:val="00FD01BF"/>
    <w:rsid w:val="00FD0525"/>
    <w:rsid w:val="00FD0AB7"/>
    <w:rsid w:val="00FD297D"/>
    <w:rsid w:val="00FD2D13"/>
    <w:rsid w:val="00FD374D"/>
    <w:rsid w:val="00FD6071"/>
    <w:rsid w:val="00FD633B"/>
    <w:rsid w:val="00FE0794"/>
    <w:rsid w:val="00FE1041"/>
    <w:rsid w:val="00FE24CB"/>
    <w:rsid w:val="00FE323F"/>
    <w:rsid w:val="00FE3473"/>
    <w:rsid w:val="00FE4049"/>
    <w:rsid w:val="00FE4794"/>
    <w:rsid w:val="00FE480F"/>
    <w:rsid w:val="00FE4998"/>
    <w:rsid w:val="00FE57DE"/>
    <w:rsid w:val="00FE770B"/>
    <w:rsid w:val="00FE7A68"/>
    <w:rsid w:val="00FE7D72"/>
    <w:rsid w:val="00FF0231"/>
    <w:rsid w:val="00FF1C9B"/>
    <w:rsid w:val="00FF1D49"/>
    <w:rsid w:val="00FF203B"/>
    <w:rsid w:val="00FF2562"/>
    <w:rsid w:val="00FF3A41"/>
    <w:rsid w:val="00FF3E5B"/>
    <w:rsid w:val="00FF57E4"/>
    <w:rsid w:val="00FF78E5"/>
    <w:rsid w:val="0103398B"/>
    <w:rsid w:val="011E1F3A"/>
    <w:rsid w:val="012D0F5C"/>
    <w:rsid w:val="014C1D05"/>
    <w:rsid w:val="015C7AD5"/>
    <w:rsid w:val="016668A7"/>
    <w:rsid w:val="0168437B"/>
    <w:rsid w:val="01907316"/>
    <w:rsid w:val="01A433EB"/>
    <w:rsid w:val="01AF3D99"/>
    <w:rsid w:val="01B90B97"/>
    <w:rsid w:val="01C628D4"/>
    <w:rsid w:val="01D60B10"/>
    <w:rsid w:val="01E3453D"/>
    <w:rsid w:val="01FF3BC3"/>
    <w:rsid w:val="01FF4BEC"/>
    <w:rsid w:val="021741B2"/>
    <w:rsid w:val="02204683"/>
    <w:rsid w:val="022E44A8"/>
    <w:rsid w:val="02511F9D"/>
    <w:rsid w:val="025F06CD"/>
    <w:rsid w:val="026954E1"/>
    <w:rsid w:val="02827C52"/>
    <w:rsid w:val="028C24AD"/>
    <w:rsid w:val="029F225D"/>
    <w:rsid w:val="02A57908"/>
    <w:rsid w:val="02B0089B"/>
    <w:rsid w:val="02C76111"/>
    <w:rsid w:val="02D6235F"/>
    <w:rsid w:val="02D81256"/>
    <w:rsid w:val="02D92EC0"/>
    <w:rsid w:val="030532A9"/>
    <w:rsid w:val="03286A1E"/>
    <w:rsid w:val="032B79A4"/>
    <w:rsid w:val="03305A68"/>
    <w:rsid w:val="033F12EC"/>
    <w:rsid w:val="03407951"/>
    <w:rsid w:val="03535D6B"/>
    <w:rsid w:val="039A08B0"/>
    <w:rsid w:val="03A314B8"/>
    <w:rsid w:val="03C8711A"/>
    <w:rsid w:val="03D25887"/>
    <w:rsid w:val="03D82B98"/>
    <w:rsid w:val="03D964F4"/>
    <w:rsid w:val="03E766AE"/>
    <w:rsid w:val="03F83E8B"/>
    <w:rsid w:val="04383514"/>
    <w:rsid w:val="04902A30"/>
    <w:rsid w:val="049570A7"/>
    <w:rsid w:val="04AF7A85"/>
    <w:rsid w:val="04B74446"/>
    <w:rsid w:val="04BA414C"/>
    <w:rsid w:val="04C505BB"/>
    <w:rsid w:val="04CD2CEE"/>
    <w:rsid w:val="04E87914"/>
    <w:rsid w:val="04FA60EF"/>
    <w:rsid w:val="04FC24D4"/>
    <w:rsid w:val="05023BEB"/>
    <w:rsid w:val="05096B07"/>
    <w:rsid w:val="050E5E84"/>
    <w:rsid w:val="05102192"/>
    <w:rsid w:val="054F7686"/>
    <w:rsid w:val="05557587"/>
    <w:rsid w:val="05681A7F"/>
    <w:rsid w:val="057F4E2B"/>
    <w:rsid w:val="0585008B"/>
    <w:rsid w:val="058F6224"/>
    <w:rsid w:val="05C56868"/>
    <w:rsid w:val="05D74547"/>
    <w:rsid w:val="06040198"/>
    <w:rsid w:val="060774EA"/>
    <w:rsid w:val="06083B9D"/>
    <w:rsid w:val="06211C5A"/>
    <w:rsid w:val="064D59E4"/>
    <w:rsid w:val="06737835"/>
    <w:rsid w:val="06B25549"/>
    <w:rsid w:val="06B96E5F"/>
    <w:rsid w:val="06C91C0B"/>
    <w:rsid w:val="06D86BC4"/>
    <w:rsid w:val="072940AD"/>
    <w:rsid w:val="072E4C95"/>
    <w:rsid w:val="07325DEE"/>
    <w:rsid w:val="07633118"/>
    <w:rsid w:val="07736840"/>
    <w:rsid w:val="078132CC"/>
    <w:rsid w:val="078627A3"/>
    <w:rsid w:val="07966D78"/>
    <w:rsid w:val="07A5201F"/>
    <w:rsid w:val="07B72767"/>
    <w:rsid w:val="07C23DE6"/>
    <w:rsid w:val="07D41D57"/>
    <w:rsid w:val="07F20AA2"/>
    <w:rsid w:val="08077E72"/>
    <w:rsid w:val="080E162A"/>
    <w:rsid w:val="081418F5"/>
    <w:rsid w:val="08203C28"/>
    <w:rsid w:val="083B22F1"/>
    <w:rsid w:val="083C419B"/>
    <w:rsid w:val="083C4C73"/>
    <w:rsid w:val="084C5E23"/>
    <w:rsid w:val="0886060D"/>
    <w:rsid w:val="08882DD0"/>
    <w:rsid w:val="088A6164"/>
    <w:rsid w:val="08BE34E2"/>
    <w:rsid w:val="08F821C8"/>
    <w:rsid w:val="09006769"/>
    <w:rsid w:val="091A48F3"/>
    <w:rsid w:val="09783845"/>
    <w:rsid w:val="097E7AC3"/>
    <w:rsid w:val="09860032"/>
    <w:rsid w:val="09904E70"/>
    <w:rsid w:val="09921955"/>
    <w:rsid w:val="09CC2AAC"/>
    <w:rsid w:val="09D26E76"/>
    <w:rsid w:val="09DE2A8F"/>
    <w:rsid w:val="0A171D19"/>
    <w:rsid w:val="0A331AD7"/>
    <w:rsid w:val="0A3A3B56"/>
    <w:rsid w:val="0A4412A4"/>
    <w:rsid w:val="0A477589"/>
    <w:rsid w:val="0A5C3ECC"/>
    <w:rsid w:val="0A652D3E"/>
    <w:rsid w:val="0A6A1AA6"/>
    <w:rsid w:val="0A767E3E"/>
    <w:rsid w:val="0A9D4A5C"/>
    <w:rsid w:val="0AAB5F5D"/>
    <w:rsid w:val="0AB22FB4"/>
    <w:rsid w:val="0AB6063D"/>
    <w:rsid w:val="0ADA366D"/>
    <w:rsid w:val="0B193B77"/>
    <w:rsid w:val="0B293402"/>
    <w:rsid w:val="0B325243"/>
    <w:rsid w:val="0B326F2A"/>
    <w:rsid w:val="0B3D510B"/>
    <w:rsid w:val="0B475F57"/>
    <w:rsid w:val="0B5B05C2"/>
    <w:rsid w:val="0B5E289E"/>
    <w:rsid w:val="0B623221"/>
    <w:rsid w:val="0B8558FA"/>
    <w:rsid w:val="0BA40399"/>
    <w:rsid w:val="0BB40771"/>
    <w:rsid w:val="0BE93715"/>
    <w:rsid w:val="0BEA3C78"/>
    <w:rsid w:val="0C11238F"/>
    <w:rsid w:val="0C1E2888"/>
    <w:rsid w:val="0C2D753D"/>
    <w:rsid w:val="0C2E225D"/>
    <w:rsid w:val="0C4502C0"/>
    <w:rsid w:val="0C530F2E"/>
    <w:rsid w:val="0C5361CC"/>
    <w:rsid w:val="0C591AD6"/>
    <w:rsid w:val="0C6A764E"/>
    <w:rsid w:val="0C6F29D6"/>
    <w:rsid w:val="0C7447BF"/>
    <w:rsid w:val="0C92213C"/>
    <w:rsid w:val="0C9F5D63"/>
    <w:rsid w:val="0CA737D5"/>
    <w:rsid w:val="0CAB5D64"/>
    <w:rsid w:val="0CB33F28"/>
    <w:rsid w:val="0CD304AC"/>
    <w:rsid w:val="0D0114AE"/>
    <w:rsid w:val="0D29001E"/>
    <w:rsid w:val="0D325EDF"/>
    <w:rsid w:val="0D445D4C"/>
    <w:rsid w:val="0D535069"/>
    <w:rsid w:val="0D6D5644"/>
    <w:rsid w:val="0D84032B"/>
    <w:rsid w:val="0D953396"/>
    <w:rsid w:val="0D994191"/>
    <w:rsid w:val="0DA2594C"/>
    <w:rsid w:val="0DA74B0C"/>
    <w:rsid w:val="0DBD35C9"/>
    <w:rsid w:val="0DD17D5D"/>
    <w:rsid w:val="0DE53B38"/>
    <w:rsid w:val="0DF4443C"/>
    <w:rsid w:val="0E071437"/>
    <w:rsid w:val="0E2B3D03"/>
    <w:rsid w:val="0E556B89"/>
    <w:rsid w:val="0E5B282E"/>
    <w:rsid w:val="0E5F47DD"/>
    <w:rsid w:val="0E6772B0"/>
    <w:rsid w:val="0E6B66E8"/>
    <w:rsid w:val="0E8F2DCE"/>
    <w:rsid w:val="0E9434CC"/>
    <w:rsid w:val="0EB36C82"/>
    <w:rsid w:val="0ED45624"/>
    <w:rsid w:val="0EE04BDF"/>
    <w:rsid w:val="0EE44AEB"/>
    <w:rsid w:val="0F150F54"/>
    <w:rsid w:val="0F2A74C4"/>
    <w:rsid w:val="0F377C68"/>
    <w:rsid w:val="0F553015"/>
    <w:rsid w:val="0F620A17"/>
    <w:rsid w:val="0F7543D3"/>
    <w:rsid w:val="0F7A6CDB"/>
    <w:rsid w:val="0FBD0194"/>
    <w:rsid w:val="0FDC3796"/>
    <w:rsid w:val="0FE030CE"/>
    <w:rsid w:val="0FEE5277"/>
    <w:rsid w:val="10136B03"/>
    <w:rsid w:val="10202CC1"/>
    <w:rsid w:val="103B47DC"/>
    <w:rsid w:val="10730C95"/>
    <w:rsid w:val="10A27F31"/>
    <w:rsid w:val="10A753AB"/>
    <w:rsid w:val="10AA5CB1"/>
    <w:rsid w:val="10B54EB2"/>
    <w:rsid w:val="10BF682C"/>
    <w:rsid w:val="10CB29C5"/>
    <w:rsid w:val="10CC3A02"/>
    <w:rsid w:val="10CC6281"/>
    <w:rsid w:val="10D20B24"/>
    <w:rsid w:val="10D87300"/>
    <w:rsid w:val="10DA48AD"/>
    <w:rsid w:val="10E33AF2"/>
    <w:rsid w:val="110B438A"/>
    <w:rsid w:val="1167339E"/>
    <w:rsid w:val="11785740"/>
    <w:rsid w:val="118E435A"/>
    <w:rsid w:val="11927058"/>
    <w:rsid w:val="119423C1"/>
    <w:rsid w:val="11A02DC7"/>
    <w:rsid w:val="11AB0C22"/>
    <w:rsid w:val="11B50F78"/>
    <w:rsid w:val="11B5291B"/>
    <w:rsid w:val="11C1301D"/>
    <w:rsid w:val="11EE4343"/>
    <w:rsid w:val="11EF6FB9"/>
    <w:rsid w:val="12086E43"/>
    <w:rsid w:val="120D4199"/>
    <w:rsid w:val="120F3D85"/>
    <w:rsid w:val="12171B57"/>
    <w:rsid w:val="123A5DE6"/>
    <w:rsid w:val="124E128C"/>
    <w:rsid w:val="12573688"/>
    <w:rsid w:val="127F4FEA"/>
    <w:rsid w:val="12AA40AD"/>
    <w:rsid w:val="12BC14E9"/>
    <w:rsid w:val="12C31410"/>
    <w:rsid w:val="12D720A5"/>
    <w:rsid w:val="12EF08E6"/>
    <w:rsid w:val="12F467CE"/>
    <w:rsid w:val="13180D47"/>
    <w:rsid w:val="133E327C"/>
    <w:rsid w:val="13467E71"/>
    <w:rsid w:val="134E47DC"/>
    <w:rsid w:val="13542B43"/>
    <w:rsid w:val="138C43DE"/>
    <w:rsid w:val="139C5DE4"/>
    <w:rsid w:val="139D71F2"/>
    <w:rsid w:val="13AC3968"/>
    <w:rsid w:val="13AF4F03"/>
    <w:rsid w:val="13D50B84"/>
    <w:rsid w:val="13F3380D"/>
    <w:rsid w:val="13F75519"/>
    <w:rsid w:val="13FD47FE"/>
    <w:rsid w:val="140A4F68"/>
    <w:rsid w:val="140F2E16"/>
    <w:rsid w:val="144401A2"/>
    <w:rsid w:val="14670F31"/>
    <w:rsid w:val="14736E66"/>
    <w:rsid w:val="147F458F"/>
    <w:rsid w:val="148954D3"/>
    <w:rsid w:val="14911257"/>
    <w:rsid w:val="14D43C93"/>
    <w:rsid w:val="14D958EC"/>
    <w:rsid w:val="14EA0703"/>
    <w:rsid w:val="14FA3E00"/>
    <w:rsid w:val="1531036E"/>
    <w:rsid w:val="1534169A"/>
    <w:rsid w:val="153527E6"/>
    <w:rsid w:val="156D25A1"/>
    <w:rsid w:val="157E2813"/>
    <w:rsid w:val="15812F88"/>
    <w:rsid w:val="158D0E46"/>
    <w:rsid w:val="158E1BEE"/>
    <w:rsid w:val="15911585"/>
    <w:rsid w:val="159513FB"/>
    <w:rsid w:val="159C0EE7"/>
    <w:rsid w:val="15A27358"/>
    <w:rsid w:val="15B14FA7"/>
    <w:rsid w:val="15C03E03"/>
    <w:rsid w:val="15C3785B"/>
    <w:rsid w:val="15D26520"/>
    <w:rsid w:val="15EE508B"/>
    <w:rsid w:val="160F4148"/>
    <w:rsid w:val="162A25EB"/>
    <w:rsid w:val="16473933"/>
    <w:rsid w:val="16775078"/>
    <w:rsid w:val="168B7C8B"/>
    <w:rsid w:val="169F56FE"/>
    <w:rsid w:val="16A267A7"/>
    <w:rsid w:val="16BD6398"/>
    <w:rsid w:val="16BD6B43"/>
    <w:rsid w:val="16D31DF9"/>
    <w:rsid w:val="16D67838"/>
    <w:rsid w:val="16F60B8C"/>
    <w:rsid w:val="16FD2A55"/>
    <w:rsid w:val="17067C1A"/>
    <w:rsid w:val="172045B4"/>
    <w:rsid w:val="172F08F7"/>
    <w:rsid w:val="17366761"/>
    <w:rsid w:val="17393A34"/>
    <w:rsid w:val="173A76F6"/>
    <w:rsid w:val="175A043F"/>
    <w:rsid w:val="17672074"/>
    <w:rsid w:val="177C01F0"/>
    <w:rsid w:val="177E17B7"/>
    <w:rsid w:val="17A1706E"/>
    <w:rsid w:val="17C50D78"/>
    <w:rsid w:val="17CE6630"/>
    <w:rsid w:val="17D32A08"/>
    <w:rsid w:val="17EB3722"/>
    <w:rsid w:val="17EF65A5"/>
    <w:rsid w:val="17FA1D25"/>
    <w:rsid w:val="180E6351"/>
    <w:rsid w:val="1810355D"/>
    <w:rsid w:val="181235D5"/>
    <w:rsid w:val="184F50C0"/>
    <w:rsid w:val="18750DB1"/>
    <w:rsid w:val="187B48A5"/>
    <w:rsid w:val="187C2A7B"/>
    <w:rsid w:val="18A419CD"/>
    <w:rsid w:val="18AC51E6"/>
    <w:rsid w:val="18EE2472"/>
    <w:rsid w:val="19002335"/>
    <w:rsid w:val="1903281A"/>
    <w:rsid w:val="190B65F7"/>
    <w:rsid w:val="191F7278"/>
    <w:rsid w:val="19206078"/>
    <w:rsid w:val="19314F92"/>
    <w:rsid w:val="193F68F3"/>
    <w:rsid w:val="19434380"/>
    <w:rsid w:val="19491239"/>
    <w:rsid w:val="19537014"/>
    <w:rsid w:val="19621891"/>
    <w:rsid w:val="197A7D49"/>
    <w:rsid w:val="19915DD8"/>
    <w:rsid w:val="19934424"/>
    <w:rsid w:val="19A5109C"/>
    <w:rsid w:val="19AD5CB2"/>
    <w:rsid w:val="19BD66DD"/>
    <w:rsid w:val="19C607E7"/>
    <w:rsid w:val="19F6165F"/>
    <w:rsid w:val="1A0B68A8"/>
    <w:rsid w:val="1A1B0F5C"/>
    <w:rsid w:val="1A232551"/>
    <w:rsid w:val="1A364426"/>
    <w:rsid w:val="1A614813"/>
    <w:rsid w:val="1A6962BC"/>
    <w:rsid w:val="1A782658"/>
    <w:rsid w:val="1A7D68F1"/>
    <w:rsid w:val="1A7F33F1"/>
    <w:rsid w:val="1A8573D4"/>
    <w:rsid w:val="1A867FDC"/>
    <w:rsid w:val="1AB74F63"/>
    <w:rsid w:val="1AC3132A"/>
    <w:rsid w:val="1AE94689"/>
    <w:rsid w:val="1AF65A4C"/>
    <w:rsid w:val="1AFF0AFE"/>
    <w:rsid w:val="1B0C4085"/>
    <w:rsid w:val="1B34103B"/>
    <w:rsid w:val="1B39650C"/>
    <w:rsid w:val="1B4F19F8"/>
    <w:rsid w:val="1B5A4718"/>
    <w:rsid w:val="1B5C2F75"/>
    <w:rsid w:val="1B6B7470"/>
    <w:rsid w:val="1BAE3D4C"/>
    <w:rsid w:val="1BC81E14"/>
    <w:rsid w:val="1BD506DD"/>
    <w:rsid w:val="1BEE7729"/>
    <w:rsid w:val="1C100CC6"/>
    <w:rsid w:val="1C1A42E7"/>
    <w:rsid w:val="1C1F28DB"/>
    <w:rsid w:val="1C226F03"/>
    <w:rsid w:val="1C3F670D"/>
    <w:rsid w:val="1C55025E"/>
    <w:rsid w:val="1C6B443F"/>
    <w:rsid w:val="1C9A50D4"/>
    <w:rsid w:val="1CA823CD"/>
    <w:rsid w:val="1CB515F6"/>
    <w:rsid w:val="1CB64231"/>
    <w:rsid w:val="1CD61E9D"/>
    <w:rsid w:val="1CDE1F2F"/>
    <w:rsid w:val="1CE61E5F"/>
    <w:rsid w:val="1CF93E51"/>
    <w:rsid w:val="1D1C46B8"/>
    <w:rsid w:val="1D30774C"/>
    <w:rsid w:val="1D3943AC"/>
    <w:rsid w:val="1D3A7549"/>
    <w:rsid w:val="1D7B207F"/>
    <w:rsid w:val="1D7C700E"/>
    <w:rsid w:val="1D805CF0"/>
    <w:rsid w:val="1D8F1206"/>
    <w:rsid w:val="1D8F637F"/>
    <w:rsid w:val="1D900EEE"/>
    <w:rsid w:val="1D94786E"/>
    <w:rsid w:val="1D996796"/>
    <w:rsid w:val="1DA07F2F"/>
    <w:rsid w:val="1DD106A3"/>
    <w:rsid w:val="1DE75398"/>
    <w:rsid w:val="1E0450B5"/>
    <w:rsid w:val="1E2734BD"/>
    <w:rsid w:val="1E375346"/>
    <w:rsid w:val="1E657FE9"/>
    <w:rsid w:val="1E6B39C7"/>
    <w:rsid w:val="1E72152A"/>
    <w:rsid w:val="1E842C7C"/>
    <w:rsid w:val="1E8C24F9"/>
    <w:rsid w:val="1EA7798B"/>
    <w:rsid w:val="1ECC44FA"/>
    <w:rsid w:val="1ECE7147"/>
    <w:rsid w:val="1EE53F41"/>
    <w:rsid w:val="1EFE594B"/>
    <w:rsid w:val="1F002542"/>
    <w:rsid w:val="1F063325"/>
    <w:rsid w:val="1F066139"/>
    <w:rsid w:val="1F206483"/>
    <w:rsid w:val="1F4D240C"/>
    <w:rsid w:val="1F50678E"/>
    <w:rsid w:val="1F523055"/>
    <w:rsid w:val="1F6A3BA7"/>
    <w:rsid w:val="1F80168B"/>
    <w:rsid w:val="1F843156"/>
    <w:rsid w:val="1F885ACE"/>
    <w:rsid w:val="1F91158B"/>
    <w:rsid w:val="1FBC5DF5"/>
    <w:rsid w:val="1FC16863"/>
    <w:rsid w:val="1FEA075F"/>
    <w:rsid w:val="1FEF662C"/>
    <w:rsid w:val="1FF26E0D"/>
    <w:rsid w:val="1FF90588"/>
    <w:rsid w:val="201167D2"/>
    <w:rsid w:val="20134907"/>
    <w:rsid w:val="201474B7"/>
    <w:rsid w:val="20213923"/>
    <w:rsid w:val="20233DBF"/>
    <w:rsid w:val="20245062"/>
    <w:rsid w:val="203413E1"/>
    <w:rsid w:val="204D2ACD"/>
    <w:rsid w:val="20874471"/>
    <w:rsid w:val="20914128"/>
    <w:rsid w:val="20BB6724"/>
    <w:rsid w:val="20BF7883"/>
    <w:rsid w:val="20C3623F"/>
    <w:rsid w:val="20D84C09"/>
    <w:rsid w:val="20F12AC3"/>
    <w:rsid w:val="20F25B07"/>
    <w:rsid w:val="211041C1"/>
    <w:rsid w:val="212B4272"/>
    <w:rsid w:val="2144147A"/>
    <w:rsid w:val="214E201A"/>
    <w:rsid w:val="21781212"/>
    <w:rsid w:val="21833156"/>
    <w:rsid w:val="218B4ED8"/>
    <w:rsid w:val="21AB0864"/>
    <w:rsid w:val="21B83F86"/>
    <w:rsid w:val="21E069CE"/>
    <w:rsid w:val="22106A4D"/>
    <w:rsid w:val="221178A8"/>
    <w:rsid w:val="221213CF"/>
    <w:rsid w:val="22327A92"/>
    <w:rsid w:val="22663E50"/>
    <w:rsid w:val="22A84DFE"/>
    <w:rsid w:val="22BB3EC7"/>
    <w:rsid w:val="22DB129D"/>
    <w:rsid w:val="22F47D51"/>
    <w:rsid w:val="22FA4C94"/>
    <w:rsid w:val="230436F8"/>
    <w:rsid w:val="231D53A2"/>
    <w:rsid w:val="23435214"/>
    <w:rsid w:val="234401DF"/>
    <w:rsid w:val="23502079"/>
    <w:rsid w:val="235477BA"/>
    <w:rsid w:val="236D5383"/>
    <w:rsid w:val="23811F5D"/>
    <w:rsid w:val="2393640A"/>
    <w:rsid w:val="23A41B75"/>
    <w:rsid w:val="23B134E6"/>
    <w:rsid w:val="23B74A16"/>
    <w:rsid w:val="23B7504C"/>
    <w:rsid w:val="23BA654A"/>
    <w:rsid w:val="23C509CD"/>
    <w:rsid w:val="240D25B5"/>
    <w:rsid w:val="241E5A1E"/>
    <w:rsid w:val="24205BC8"/>
    <w:rsid w:val="242C0CB6"/>
    <w:rsid w:val="24354590"/>
    <w:rsid w:val="24571307"/>
    <w:rsid w:val="247C7D19"/>
    <w:rsid w:val="24B34021"/>
    <w:rsid w:val="24B822DD"/>
    <w:rsid w:val="24BE0ABD"/>
    <w:rsid w:val="24CB4B0D"/>
    <w:rsid w:val="24E748BB"/>
    <w:rsid w:val="24E91BBE"/>
    <w:rsid w:val="25110A2A"/>
    <w:rsid w:val="251513DA"/>
    <w:rsid w:val="251569DF"/>
    <w:rsid w:val="252F3220"/>
    <w:rsid w:val="25647DF0"/>
    <w:rsid w:val="256C0944"/>
    <w:rsid w:val="25773D5F"/>
    <w:rsid w:val="257751E6"/>
    <w:rsid w:val="257E73F2"/>
    <w:rsid w:val="25873887"/>
    <w:rsid w:val="25A979D1"/>
    <w:rsid w:val="25BE7679"/>
    <w:rsid w:val="25C00F8A"/>
    <w:rsid w:val="25D53DA4"/>
    <w:rsid w:val="25E410EC"/>
    <w:rsid w:val="25EC2CF7"/>
    <w:rsid w:val="26160732"/>
    <w:rsid w:val="261F4447"/>
    <w:rsid w:val="263050F1"/>
    <w:rsid w:val="26381F9B"/>
    <w:rsid w:val="263C6B89"/>
    <w:rsid w:val="26446DE3"/>
    <w:rsid w:val="267B0CDC"/>
    <w:rsid w:val="269669E7"/>
    <w:rsid w:val="26A744DB"/>
    <w:rsid w:val="26D4005A"/>
    <w:rsid w:val="26D7699F"/>
    <w:rsid w:val="26DA3B4A"/>
    <w:rsid w:val="26E26183"/>
    <w:rsid w:val="26E36ACC"/>
    <w:rsid w:val="26F73A2A"/>
    <w:rsid w:val="26FF2BB8"/>
    <w:rsid w:val="270417B7"/>
    <w:rsid w:val="27102C21"/>
    <w:rsid w:val="27227C57"/>
    <w:rsid w:val="2750171F"/>
    <w:rsid w:val="275122E4"/>
    <w:rsid w:val="2769156F"/>
    <w:rsid w:val="27793F5D"/>
    <w:rsid w:val="27A2622E"/>
    <w:rsid w:val="27A60F83"/>
    <w:rsid w:val="27C12412"/>
    <w:rsid w:val="27D24FCB"/>
    <w:rsid w:val="27FE26F9"/>
    <w:rsid w:val="28124EAE"/>
    <w:rsid w:val="28704451"/>
    <w:rsid w:val="28785F5E"/>
    <w:rsid w:val="2895115B"/>
    <w:rsid w:val="28BA46FA"/>
    <w:rsid w:val="28BE38E2"/>
    <w:rsid w:val="28F14595"/>
    <w:rsid w:val="28F416F8"/>
    <w:rsid w:val="28FC728D"/>
    <w:rsid w:val="28FD3BD9"/>
    <w:rsid w:val="29063629"/>
    <w:rsid w:val="291137B2"/>
    <w:rsid w:val="2913753A"/>
    <w:rsid w:val="293D6B2E"/>
    <w:rsid w:val="29462E61"/>
    <w:rsid w:val="295E2317"/>
    <w:rsid w:val="296B020D"/>
    <w:rsid w:val="297D3FFE"/>
    <w:rsid w:val="29802F8C"/>
    <w:rsid w:val="29A322D7"/>
    <w:rsid w:val="29AD0C8B"/>
    <w:rsid w:val="29BB39AC"/>
    <w:rsid w:val="29C5574F"/>
    <w:rsid w:val="29C67FA0"/>
    <w:rsid w:val="29D00278"/>
    <w:rsid w:val="29DC3BA0"/>
    <w:rsid w:val="29E509C9"/>
    <w:rsid w:val="29EF6C45"/>
    <w:rsid w:val="2A007C29"/>
    <w:rsid w:val="2A1769A3"/>
    <w:rsid w:val="2A4D3396"/>
    <w:rsid w:val="2A541720"/>
    <w:rsid w:val="2A834AE2"/>
    <w:rsid w:val="2A83619E"/>
    <w:rsid w:val="2AC53F93"/>
    <w:rsid w:val="2ACF406E"/>
    <w:rsid w:val="2AD830F7"/>
    <w:rsid w:val="2AE241C5"/>
    <w:rsid w:val="2B253E47"/>
    <w:rsid w:val="2B6A0459"/>
    <w:rsid w:val="2B774624"/>
    <w:rsid w:val="2B8A5BDD"/>
    <w:rsid w:val="2B8C3FB1"/>
    <w:rsid w:val="2B9D1BD3"/>
    <w:rsid w:val="2BC83AB9"/>
    <w:rsid w:val="2BEA293F"/>
    <w:rsid w:val="2BF5056F"/>
    <w:rsid w:val="2C187060"/>
    <w:rsid w:val="2C1B56AB"/>
    <w:rsid w:val="2C416596"/>
    <w:rsid w:val="2C4402A1"/>
    <w:rsid w:val="2C534988"/>
    <w:rsid w:val="2C796B75"/>
    <w:rsid w:val="2C7A72BE"/>
    <w:rsid w:val="2C890BCA"/>
    <w:rsid w:val="2C8A7A52"/>
    <w:rsid w:val="2C9A7D75"/>
    <w:rsid w:val="2CB734DA"/>
    <w:rsid w:val="2CBC587B"/>
    <w:rsid w:val="2CBF4377"/>
    <w:rsid w:val="2CC17412"/>
    <w:rsid w:val="2CCB04B9"/>
    <w:rsid w:val="2CD40732"/>
    <w:rsid w:val="2CEA1907"/>
    <w:rsid w:val="2CF26A4B"/>
    <w:rsid w:val="2CF350E3"/>
    <w:rsid w:val="2CFD7A7D"/>
    <w:rsid w:val="2CFE48F4"/>
    <w:rsid w:val="2CFF241A"/>
    <w:rsid w:val="2CFF7BB9"/>
    <w:rsid w:val="2D04594C"/>
    <w:rsid w:val="2D0C5851"/>
    <w:rsid w:val="2D1C1975"/>
    <w:rsid w:val="2D1F543F"/>
    <w:rsid w:val="2D3E4B0D"/>
    <w:rsid w:val="2D446A9B"/>
    <w:rsid w:val="2D863EDD"/>
    <w:rsid w:val="2DA120C4"/>
    <w:rsid w:val="2DAC6336"/>
    <w:rsid w:val="2DC65BA0"/>
    <w:rsid w:val="2DD85E2E"/>
    <w:rsid w:val="2E41718B"/>
    <w:rsid w:val="2E554EA6"/>
    <w:rsid w:val="2E5F03A4"/>
    <w:rsid w:val="2E6A1892"/>
    <w:rsid w:val="2E717F8B"/>
    <w:rsid w:val="2E88190D"/>
    <w:rsid w:val="2E8E1E30"/>
    <w:rsid w:val="2E9976CE"/>
    <w:rsid w:val="2ECE34C2"/>
    <w:rsid w:val="2EDE539C"/>
    <w:rsid w:val="2EF36602"/>
    <w:rsid w:val="2F134027"/>
    <w:rsid w:val="2F330F99"/>
    <w:rsid w:val="2F401D3C"/>
    <w:rsid w:val="2F562EC0"/>
    <w:rsid w:val="2F572D25"/>
    <w:rsid w:val="2F5B24E1"/>
    <w:rsid w:val="2F6F61FB"/>
    <w:rsid w:val="2F704EEA"/>
    <w:rsid w:val="2F7E1D1C"/>
    <w:rsid w:val="2F7F4483"/>
    <w:rsid w:val="2F8026D7"/>
    <w:rsid w:val="2F8F65C7"/>
    <w:rsid w:val="2FA95C88"/>
    <w:rsid w:val="2FC97926"/>
    <w:rsid w:val="2FD471C0"/>
    <w:rsid w:val="2FF9770A"/>
    <w:rsid w:val="300833DF"/>
    <w:rsid w:val="300D3C8B"/>
    <w:rsid w:val="3019031A"/>
    <w:rsid w:val="301C38BE"/>
    <w:rsid w:val="30242658"/>
    <w:rsid w:val="302F4907"/>
    <w:rsid w:val="30331AAE"/>
    <w:rsid w:val="303B3107"/>
    <w:rsid w:val="3041370F"/>
    <w:rsid w:val="30506D05"/>
    <w:rsid w:val="306D5836"/>
    <w:rsid w:val="3097349C"/>
    <w:rsid w:val="309D1B0B"/>
    <w:rsid w:val="30A03F6A"/>
    <w:rsid w:val="30AD7887"/>
    <w:rsid w:val="30BF083E"/>
    <w:rsid w:val="30D32298"/>
    <w:rsid w:val="30E74D4B"/>
    <w:rsid w:val="30EC5E2A"/>
    <w:rsid w:val="30ED1946"/>
    <w:rsid w:val="311B0A1E"/>
    <w:rsid w:val="31216B3F"/>
    <w:rsid w:val="31295B5B"/>
    <w:rsid w:val="312B50A3"/>
    <w:rsid w:val="313C4010"/>
    <w:rsid w:val="317172BB"/>
    <w:rsid w:val="318E6873"/>
    <w:rsid w:val="31B46ACE"/>
    <w:rsid w:val="31C533E2"/>
    <w:rsid w:val="31F51115"/>
    <w:rsid w:val="32003808"/>
    <w:rsid w:val="32083FCC"/>
    <w:rsid w:val="32172470"/>
    <w:rsid w:val="321A6930"/>
    <w:rsid w:val="32364B30"/>
    <w:rsid w:val="32432DA9"/>
    <w:rsid w:val="32453A27"/>
    <w:rsid w:val="325D6E44"/>
    <w:rsid w:val="3263064A"/>
    <w:rsid w:val="3265766A"/>
    <w:rsid w:val="327D2533"/>
    <w:rsid w:val="3298380A"/>
    <w:rsid w:val="329842A9"/>
    <w:rsid w:val="329B7A68"/>
    <w:rsid w:val="32A43132"/>
    <w:rsid w:val="32AB00DA"/>
    <w:rsid w:val="32AC0C06"/>
    <w:rsid w:val="32AD0CCA"/>
    <w:rsid w:val="32C33CD3"/>
    <w:rsid w:val="32D54349"/>
    <w:rsid w:val="32E04E37"/>
    <w:rsid w:val="32E15130"/>
    <w:rsid w:val="33027836"/>
    <w:rsid w:val="3331060D"/>
    <w:rsid w:val="33344EF5"/>
    <w:rsid w:val="33496CCF"/>
    <w:rsid w:val="3378161D"/>
    <w:rsid w:val="339C3B02"/>
    <w:rsid w:val="33A05880"/>
    <w:rsid w:val="33A35F1E"/>
    <w:rsid w:val="33B22505"/>
    <w:rsid w:val="33D36651"/>
    <w:rsid w:val="33E85CE2"/>
    <w:rsid w:val="341D0201"/>
    <w:rsid w:val="34246B9F"/>
    <w:rsid w:val="342A2472"/>
    <w:rsid w:val="342B0F4F"/>
    <w:rsid w:val="344D3742"/>
    <w:rsid w:val="347B2D6D"/>
    <w:rsid w:val="34880F47"/>
    <w:rsid w:val="34AB2475"/>
    <w:rsid w:val="34B52163"/>
    <w:rsid w:val="34D72013"/>
    <w:rsid w:val="34EB7D5F"/>
    <w:rsid w:val="34EE1C44"/>
    <w:rsid w:val="35293FD9"/>
    <w:rsid w:val="352C24DC"/>
    <w:rsid w:val="3537750C"/>
    <w:rsid w:val="3537798C"/>
    <w:rsid w:val="357005A7"/>
    <w:rsid w:val="357A579A"/>
    <w:rsid w:val="358E312C"/>
    <w:rsid w:val="35C13FC9"/>
    <w:rsid w:val="35D36DA5"/>
    <w:rsid w:val="35E07056"/>
    <w:rsid w:val="35E91989"/>
    <w:rsid w:val="35EF4FE4"/>
    <w:rsid w:val="35F2040C"/>
    <w:rsid w:val="35F9471D"/>
    <w:rsid w:val="36085EA6"/>
    <w:rsid w:val="36266D8A"/>
    <w:rsid w:val="3630167A"/>
    <w:rsid w:val="364257B6"/>
    <w:rsid w:val="36527A5E"/>
    <w:rsid w:val="36636B8E"/>
    <w:rsid w:val="36741335"/>
    <w:rsid w:val="369044F9"/>
    <w:rsid w:val="369E4AB8"/>
    <w:rsid w:val="36AC6498"/>
    <w:rsid w:val="36C750F9"/>
    <w:rsid w:val="3703271A"/>
    <w:rsid w:val="3705788F"/>
    <w:rsid w:val="3724059E"/>
    <w:rsid w:val="3729538A"/>
    <w:rsid w:val="374E4FB2"/>
    <w:rsid w:val="376462CF"/>
    <w:rsid w:val="37725F65"/>
    <w:rsid w:val="37734E19"/>
    <w:rsid w:val="377868E8"/>
    <w:rsid w:val="379C5435"/>
    <w:rsid w:val="37DE378C"/>
    <w:rsid w:val="37EA5922"/>
    <w:rsid w:val="380C2E7F"/>
    <w:rsid w:val="38134D6C"/>
    <w:rsid w:val="381C20D2"/>
    <w:rsid w:val="38205CA3"/>
    <w:rsid w:val="38276B93"/>
    <w:rsid w:val="38336FC4"/>
    <w:rsid w:val="384C0C8E"/>
    <w:rsid w:val="384D3BF2"/>
    <w:rsid w:val="386A2AA2"/>
    <w:rsid w:val="388D1222"/>
    <w:rsid w:val="389430F0"/>
    <w:rsid w:val="38AC3431"/>
    <w:rsid w:val="38B9690B"/>
    <w:rsid w:val="38C26745"/>
    <w:rsid w:val="38CD0AA7"/>
    <w:rsid w:val="38E67108"/>
    <w:rsid w:val="38F06097"/>
    <w:rsid w:val="38FE35D2"/>
    <w:rsid w:val="39226DE8"/>
    <w:rsid w:val="392F2E16"/>
    <w:rsid w:val="39406F09"/>
    <w:rsid w:val="396554F4"/>
    <w:rsid w:val="39791C92"/>
    <w:rsid w:val="398147FC"/>
    <w:rsid w:val="39854459"/>
    <w:rsid w:val="39A85265"/>
    <w:rsid w:val="39B614C9"/>
    <w:rsid w:val="39BE755C"/>
    <w:rsid w:val="39D678CC"/>
    <w:rsid w:val="39D94185"/>
    <w:rsid w:val="39E00529"/>
    <w:rsid w:val="39E359C2"/>
    <w:rsid w:val="39E9733C"/>
    <w:rsid w:val="3A0B6254"/>
    <w:rsid w:val="3A0B64A7"/>
    <w:rsid w:val="3A1C7B1C"/>
    <w:rsid w:val="3A271BC8"/>
    <w:rsid w:val="3A2F182B"/>
    <w:rsid w:val="3A36312B"/>
    <w:rsid w:val="3A3B5CDC"/>
    <w:rsid w:val="3A520B7E"/>
    <w:rsid w:val="3A574DDA"/>
    <w:rsid w:val="3A7C0B25"/>
    <w:rsid w:val="3A936FCA"/>
    <w:rsid w:val="3A952A43"/>
    <w:rsid w:val="3AA73CF1"/>
    <w:rsid w:val="3AAA5A75"/>
    <w:rsid w:val="3AD3075A"/>
    <w:rsid w:val="3AD5142D"/>
    <w:rsid w:val="3AD71232"/>
    <w:rsid w:val="3AEA64C7"/>
    <w:rsid w:val="3AF74C02"/>
    <w:rsid w:val="3B0754C5"/>
    <w:rsid w:val="3B2059ED"/>
    <w:rsid w:val="3B761717"/>
    <w:rsid w:val="3B831369"/>
    <w:rsid w:val="3B8B5350"/>
    <w:rsid w:val="3B954BE0"/>
    <w:rsid w:val="3B9F1620"/>
    <w:rsid w:val="3BB84161"/>
    <w:rsid w:val="3BD53F3C"/>
    <w:rsid w:val="3C0059A5"/>
    <w:rsid w:val="3C07120D"/>
    <w:rsid w:val="3C122406"/>
    <w:rsid w:val="3C134E78"/>
    <w:rsid w:val="3C15518D"/>
    <w:rsid w:val="3C2528F1"/>
    <w:rsid w:val="3C2A0F17"/>
    <w:rsid w:val="3C33057E"/>
    <w:rsid w:val="3C334EAF"/>
    <w:rsid w:val="3C3D49BD"/>
    <w:rsid w:val="3C6D16C6"/>
    <w:rsid w:val="3C7F2FA4"/>
    <w:rsid w:val="3C921FB2"/>
    <w:rsid w:val="3C9333AF"/>
    <w:rsid w:val="3C9E1EBC"/>
    <w:rsid w:val="3CD21D29"/>
    <w:rsid w:val="3CDA33BD"/>
    <w:rsid w:val="3CF52957"/>
    <w:rsid w:val="3D147205"/>
    <w:rsid w:val="3D187F39"/>
    <w:rsid w:val="3D2E6923"/>
    <w:rsid w:val="3D33169F"/>
    <w:rsid w:val="3D506996"/>
    <w:rsid w:val="3D614B55"/>
    <w:rsid w:val="3D67163F"/>
    <w:rsid w:val="3D6871A7"/>
    <w:rsid w:val="3D817764"/>
    <w:rsid w:val="3D873FCE"/>
    <w:rsid w:val="3DB17E6C"/>
    <w:rsid w:val="3DCE1FF5"/>
    <w:rsid w:val="3DE61DFF"/>
    <w:rsid w:val="3DEC7285"/>
    <w:rsid w:val="3DF6345D"/>
    <w:rsid w:val="3E2B5515"/>
    <w:rsid w:val="3E3E5EF1"/>
    <w:rsid w:val="3E4D4F28"/>
    <w:rsid w:val="3E5325C6"/>
    <w:rsid w:val="3E5840E2"/>
    <w:rsid w:val="3E706639"/>
    <w:rsid w:val="3E7F32DC"/>
    <w:rsid w:val="3EB11AC7"/>
    <w:rsid w:val="3EBF3622"/>
    <w:rsid w:val="3EC9706E"/>
    <w:rsid w:val="3ED818CD"/>
    <w:rsid w:val="3EE13701"/>
    <w:rsid w:val="3EE25742"/>
    <w:rsid w:val="3F0C5D2F"/>
    <w:rsid w:val="3F144FB4"/>
    <w:rsid w:val="3F1A4BB3"/>
    <w:rsid w:val="3F3662C8"/>
    <w:rsid w:val="3F372168"/>
    <w:rsid w:val="3F4A64D9"/>
    <w:rsid w:val="3F561B26"/>
    <w:rsid w:val="3F571CFE"/>
    <w:rsid w:val="3F60225A"/>
    <w:rsid w:val="3F6F4856"/>
    <w:rsid w:val="3F79605C"/>
    <w:rsid w:val="3F934E86"/>
    <w:rsid w:val="3FD921B4"/>
    <w:rsid w:val="3FF317AE"/>
    <w:rsid w:val="3FFA2455"/>
    <w:rsid w:val="40010575"/>
    <w:rsid w:val="400E712D"/>
    <w:rsid w:val="40192BA6"/>
    <w:rsid w:val="401D2E8B"/>
    <w:rsid w:val="402C58F5"/>
    <w:rsid w:val="40484D68"/>
    <w:rsid w:val="40761BDC"/>
    <w:rsid w:val="408D092B"/>
    <w:rsid w:val="40963BF6"/>
    <w:rsid w:val="40991CAB"/>
    <w:rsid w:val="40B15F11"/>
    <w:rsid w:val="40BE68D5"/>
    <w:rsid w:val="40D43427"/>
    <w:rsid w:val="41071387"/>
    <w:rsid w:val="41184017"/>
    <w:rsid w:val="411D2299"/>
    <w:rsid w:val="413D6CFA"/>
    <w:rsid w:val="4144773B"/>
    <w:rsid w:val="414E40BA"/>
    <w:rsid w:val="4151394D"/>
    <w:rsid w:val="415560AD"/>
    <w:rsid w:val="41766EA9"/>
    <w:rsid w:val="41780CC1"/>
    <w:rsid w:val="41906B0F"/>
    <w:rsid w:val="4192330C"/>
    <w:rsid w:val="41F6509D"/>
    <w:rsid w:val="42145CCA"/>
    <w:rsid w:val="42241EB7"/>
    <w:rsid w:val="423035D9"/>
    <w:rsid w:val="42550A18"/>
    <w:rsid w:val="425A4BD1"/>
    <w:rsid w:val="427B1BBB"/>
    <w:rsid w:val="429C7597"/>
    <w:rsid w:val="429D496A"/>
    <w:rsid w:val="42B81FA5"/>
    <w:rsid w:val="42CC751E"/>
    <w:rsid w:val="42E0276A"/>
    <w:rsid w:val="42E54F9D"/>
    <w:rsid w:val="42EB6093"/>
    <w:rsid w:val="42F473A1"/>
    <w:rsid w:val="42F61AFB"/>
    <w:rsid w:val="42F80FA5"/>
    <w:rsid w:val="4305361D"/>
    <w:rsid w:val="43106BE6"/>
    <w:rsid w:val="431C26D3"/>
    <w:rsid w:val="431F637C"/>
    <w:rsid w:val="434E3AB8"/>
    <w:rsid w:val="43537F8A"/>
    <w:rsid w:val="43805D73"/>
    <w:rsid w:val="438B142B"/>
    <w:rsid w:val="43D83C99"/>
    <w:rsid w:val="43DD4E0B"/>
    <w:rsid w:val="44107EE3"/>
    <w:rsid w:val="441E62C0"/>
    <w:rsid w:val="44380293"/>
    <w:rsid w:val="443E50E2"/>
    <w:rsid w:val="44406167"/>
    <w:rsid w:val="44967985"/>
    <w:rsid w:val="44974521"/>
    <w:rsid w:val="44FB65C3"/>
    <w:rsid w:val="45097E82"/>
    <w:rsid w:val="45147341"/>
    <w:rsid w:val="45192471"/>
    <w:rsid w:val="45235D5B"/>
    <w:rsid w:val="452802B4"/>
    <w:rsid w:val="452F1A92"/>
    <w:rsid w:val="45325D14"/>
    <w:rsid w:val="453A5298"/>
    <w:rsid w:val="454F4D0B"/>
    <w:rsid w:val="456A5852"/>
    <w:rsid w:val="456B6447"/>
    <w:rsid w:val="45761EBB"/>
    <w:rsid w:val="457D0B54"/>
    <w:rsid w:val="45811C7C"/>
    <w:rsid w:val="45906116"/>
    <w:rsid w:val="459B075C"/>
    <w:rsid w:val="45A0305D"/>
    <w:rsid w:val="45A03571"/>
    <w:rsid w:val="45B44292"/>
    <w:rsid w:val="45B72BF8"/>
    <w:rsid w:val="45C96298"/>
    <w:rsid w:val="45CD0EAF"/>
    <w:rsid w:val="45DD1BD3"/>
    <w:rsid w:val="45E356FB"/>
    <w:rsid w:val="45F51AEF"/>
    <w:rsid w:val="460B016C"/>
    <w:rsid w:val="46263C87"/>
    <w:rsid w:val="465219D4"/>
    <w:rsid w:val="465716AD"/>
    <w:rsid w:val="46745ABF"/>
    <w:rsid w:val="46830E83"/>
    <w:rsid w:val="468B3EFB"/>
    <w:rsid w:val="46AE3D43"/>
    <w:rsid w:val="46C16AA0"/>
    <w:rsid w:val="46C44510"/>
    <w:rsid w:val="46CC1041"/>
    <w:rsid w:val="46CD455E"/>
    <w:rsid w:val="46D5130D"/>
    <w:rsid w:val="46E15B1B"/>
    <w:rsid w:val="46FF778E"/>
    <w:rsid w:val="470A6193"/>
    <w:rsid w:val="471B4E2C"/>
    <w:rsid w:val="47385210"/>
    <w:rsid w:val="474C2DD7"/>
    <w:rsid w:val="474D5830"/>
    <w:rsid w:val="47543636"/>
    <w:rsid w:val="4757545E"/>
    <w:rsid w:val="475C3001"/>
    <w:rsid w:val="47625066"/>
    <w:rsid w:val="47690E29"/>
    <w:rsid w:val="47767EAB"/>
    <w:rsid w:val="47864E13"/>
    <w:rsid w:val="478F1033"/>
    <w:rsid w:val="479A5F27"/>
    <w:rsid w:val="47A54DB1"/>
    <w:rsid w:val="47A837E0"/>
    <w:rsid w:val="47D31E5D"/>
    <w:rsid w:val="47DC4F5C"/>
    <w:rsid w:val="47DD36B3"/>
    <w:rsid w:val="47F32E64"/>
    <w:rsid w:val="481C7304"/>
    <w:rsid w:val="482C6A5C"/>
    <w:rsid w:val="485C15EC"/>
    <w:rsid w:val="486F432D"/>
    <w:rsid w:val="48783354"/>
    <w:rsid w:val="488D3FC9"/>
    <w:rsid w:val="48992B03"/>
    <w:rsid w:val="48B40671"/>
    <w:rsid w:val="48D8429F"/>
    <w:rsid w:val="48E34F9B"/>
    <w:rsid w:val="48F52BF7"/>
    <w:rsid w:val="48F73DFC"/>
    <w:rsid w:val="490D112E"/>
    <w:rsid w:val="493C2711"/>
    <w:rsid w:val="494A436B"/>
    <w:rsid w:val="495664BB"/>
    <w:rsid w:val="49724D22"/>
    <w:rsid w:val="49751310"/>
    <w:rsid w:val="498D39FB"/>
    <w:rsid w:val="49973F6B"/>
    <w:rsid w:val="499B5738"/>
    <w:rsid w:val="499F244D"/>
    <w:rsid w:val="49CB420D"/>
    <w:rsid w:val="4A105051"/>
    <w:rsid w:val="4A280204"/>
    <w:rsid w:val="4A2D0198"/>
    <w:rsid w:val="4A420EE7"/>
    <w:rsid w:val="4A6E59CA"/>
    <w:rsid w:val="4A80601B"/>
    <w:rsid w:val="4A973F3F"/>
    <w:rsid w:val="4A97792E"/>
    <w:rsid w:val="4AE6282E"/>
    <w:rsid w:val="4AED2A70"/>
    <w:rsid w:val="4AF10FCF"/>
    <w:rsid w:val="4AF4108E"/>
    <w:rsid w:val="4AF50338"/>
    <w:rsid w:val="4AF96BC7"/>
    <w:rsid w:val="4B136101"/>
    <w:rsid w:val="4B1C090F"/>
    <w:rsid w:val="4B203103"/>
    <w:rsid w:val="4B2E1D56"/>
    <w:rsid w:val="4B32607A"/>
    <w:rsid w:val="4B464533"/>
    <w:rsid w:val="4B496045"/>
    <w:rsid w:val="4B545C08"/>
    <w:rsid w:val="4B5A416B"/>
    <w:rsid w:val="4B5D14C2"/>
    <w:rsid w:val="4B662EDE"/>
    <w:rsid w:val="4B667F55"/>
    <w:rsid w:val="4B6A63A2"/>
    <w:rsid w:val="4B6E0A3F"/>
    <w:rsid w:val="4B7C6990"/>
    <w:rsid w:val="4B8273D5"/>
    <w:rsid w:val="4B862A85"/>
    <w:rsid w:val="4B8B200B"/>
    <w:rsid w:val="4B98008D"/>
    <w:rsid w:val="4BAC4867"/>
    <w:rsid w:val="4BB72680"/>
    <w:rsid w:val="4BF16188"/>
    <w:rsid w:val="4BF417D4"/>
    <w:rsid w:val="4BF92147"/>
    <w:rsid w:val="4C01654C"/>
    <w:rsid w:val="4C0D46FC"/>
    <w:rsid w:val="4C3A28DD"/>
    <w:rsid w:val="4C475746"/>
    <w:rsid w:val="4C8018E7"/>
    <w:rsid w:val="4C8624FC"/>
    <w:rsid w:val="4C8A38D4"/>
    <w:rsid w:val="4C9C27CC"/>
    <w:rsid w:val="4CA20A24"/>
    <w:rsid w:val="4CB755B1"/>
    <w:rsid w:val="4CD560C0"/>
    <w:rsid w:val="4CEF36E2"/>
    <w:rsid w:val="4CEF4DC5"/>
    <w:rsid w:val="4CF23DD6"/>
    <w:rsid w:val="4CF25996"/>
    <w:rsid w:val="4D171C3B"/>
    <w:rsid w:val="4D353E59"/>
    <w:rsid w:val="4D3D7D51"/>
    <w:rsid w:val="4D411D80"/>
    <w:rsid w:val="4D482BAA"/>
    <w:rsid w:val="4D4873F2"/>
    <w:rsid w:val="4D54264D"/>
    <w:rsid w:val="4D6A5813"/>
    <w:rsid w:val="4D812262"/>
    <w:rsid w:val="4D922FBD"/>
    <w:rsid w:val="4D9A766C"/>
    <w:rsid w:val="4DA62246"/>
    <w:rsid w:val="4DB54B95"/>
    <w:rsid w:val="4DC17B81"/>
    <w:rsid w:val="4DC23F1C"/>
    <w:rsid w:val="4DEE41E3"/>
    <w:rsid w:val="4DF21879"/>
    <w:rsid w:val="4DF71805"/>
    <w:rsid w:val="4E0A3FBD"/>
    <w:rsid w:val="4E17231F"/>
    <w:rsid w:val="4E180C61"/>
    <w:rsid w:val="4E2035C8"/>
    <w:rsid w:val="4E257655"/>
    <w:rsid w:val="4E2670DE"/>
    <w:rsid w:val="4E352A01"/>
    <w:rsid w:val="4E48583F"/>
    <w:rsid w:val="4E5E2E18"/>
    <w:rsid w:val="4E8E7871"/>
    <w:rsid w:val="4EA85542"/>
    <w:rsid w:val="4EAB47D5"/>
    <w:rsid w:val="4EC4406A"/>
    <w:rsid w:val="4EC455C1"/>
    <w:rsid w:val="4EF43951"/>
    <w:rsid w:val="4EF86E3C"/>
    <w:rsid w:val="4F036392"/>
    <w:rsid w:val="4F06496B"/>
    <w:rsid w:val="4F0C1AC6"/>
    <w:rsid w:val="4F127C58"/>
    <w:rsid w:val="4F365F84"/>
    <w:rsid w:val="4F367AC5"/>
    <w:rsid w:val="4F372380"/>
    <w:rsid w:val="4F372FFB"/>
    <w:rsid w:val="4F4B5D83"/>
    <w:rsid w:val="4F71142E"/>
    <w:rsid w:val="4F7A6CA5"/>
    <w:rsid w:val="4F9C17F9"/>
    <w:rsid w:val="4FA7341A"/>
    <w:rsid w:val="4FC66A35"/>
    <w:rsid w:val="4FE34F88"/>
    <w:rsid w:val="4FEF4AC6"/>
    <w:rsid w:val="5025116D"/>
    <w:rsid w:val="50310AE7"/>
    <w:rsid w:val="503D7DBA"/>
    <w:rsid w:val="50750E8F"/>
    <w:rsid w:val="507725C3"/>
    <w:rsid w:val="50811214"/>
    <w:rsid w:val="508A158E"/>
    <w:rsid w:val="50BF67C9"/>
    <w:rsid w:val="50C85235"/>
    <w:rsid w:val="50CA0599"/>
    <w:rsid w:val="50CB22E3"/>
    <w:rsid w:val="50ED7CC8"/>
    <w:rsid w:val="50FB62A0"/>
    <w:rsid w:val="511E0283"/>
    <w:rsid w:val="515158DB"/>
    <w:rsid w:val="515A7AB7"/>
    <w:rsid w:val="516623C4"/>
    <w:rsid w:val="51B05107"/>
    <w:rsid w:val="51DA39DC"/>
    <w:rsid w:val="51E0241A"/>
    <w:rsid w:val="51F1394A"/>
    <w:rsid w:val="5201085F"/>
    <w:rsid w:val="522024E6"/>
    <w:rsid w:val="52314419"/>
    <w:rsid w:val="52395ECD"/>
    <w:rsid w:val="526D1B33"/>
    <w:rsid w:val="526D4E29"/>
    <w:rsid w:val="52735E8B"/>
    <w:rsid w:val="52917E8F"/>
    <w:rsid w:val="52B44696"/>
    <w:rsid w:val="52BB5DFD"/>
    <w:rsid w:val="52C10D75"/>
    <w:rsid w:val="52D55821"/>
    <w:rsid w:val="52EB2FB5"/>
    <w:rsid w:val="53376E09"/>
    <w:rsid w:val="53655BA8"/>
    <w:rsid w:val="53A303CC"/>
    <w:rsid w:val="53C27FF8"/>
    <w:rsid w:val="53D0274A"/>
    <w:rsid w:val="53EA1FF6"/>
    <w:rsid w:val="53EC03B2"/>
    <w:rsid w:val="540B5AE5"/>
    <w:rsid w:val="54167271"/>
    <w:rsid w:val="54457E2A"/>
    <w:rsid w:val="544A1D81"/>
    <w:rsid w:val="544E00F4"/>
    <w:rsid w:val="5475679C"/>
    <w:rsid w:val="548850A3"/>
    <w:rsid w:val="548E3F00"/>
    <w:rsid w:val="548E485C"/>
    <w:rsid w:val="549E1A80"/>
    <w:rsid w:val="54AB108A"/>
    <w:rsid w:val="54BA25DB"/>
    <w:rsid w:val="54C658F4"/>
    <w:rsid w:val="54CB45B1"/>
    <w:rsid w:val="54CF22DF"/>
    <w:rsid w:val="54E0494C"/>
    <w:rsid w:val="54E171CD"/>
    <w:rsid w:val="54E7784F"/>
    <w:rsid w:val="550C4BD7"/>
    <w:rsid w:val="55322669"/>
    <w:rsid w:val="5539470A"/>
    <w:rsid w:val="554C1D56"/>
    <w:rsid w:val="55572986"/>
    <w:rsid w:val="555761AA"/>
    <w:rsid w:val="555E236D"/>
    <w:rsid w:val="55805785"/>
    <w:rsid w:val="55925435"/>
    <w:rsid w:val="55A82C22"/>
    <w:rsid w:val="55C062DD"/>
    <w:rsid w:val="55C84FE2"/>
    <w:rsid w:val="55CB0F14"/>
    <w:rsid w:val="55E822CC"/>
    <w:rsid w:val="5607446A"/>
    <w:rsid w:val="56081243"/>
    <w:rsid w:val="56182C00"/>
    <w:rsid w:val="56245CC2"/>
    <w:rsid w:val="56330E85"/>
    <w:rsid w:val="565340FA"/>
    <w:rsid w:val="565C3ECA"/>
    <w:rsid w:val="56636EEC"/>
    <w:rsid w:val="56790914"/>
    <w:rsid w:val="567D64C6"/>
    <w:rsid w:val="568E01E7"/>
    <w:rsid w:val="569A7860"/>
    <w:rsid w:val="56AB74C9"/>
    <w:rsid w:val="56B25952"/>
    <w:rsid w:val="56FC519F"/>
    <w:rsid w:val="5716333A"/>
    <w:rsid w:val="571B3688"/>
    <w:rsid w:val="571F4860"/>
    <w:rsid w:val="5723343E"/>
    <w:rsid w:val="573D7EAB"/>
    <w:rsid w:val="57580904"/>
    <w:rsid w:val="57750D23"/>
    <w:rsid w:val="578057C8"/>
    <w:rsid w:val="578231ED"/>
    <w:rsid w:val="57856002"/>
    <w:rsid w:val="57893184"/>
    <w:rsid w:val="57A66BAB"/>
    <w:rsid w:val="57AA18F7"/>
    <w:rsid w:val="57D21B1D"/>
    <w:rsid w:val="57D744C3"/>
    <w:rsid w:val="57DD34B9"/>
    <w:rsid w:val="57E6392C"/>
    <w:rsid w:val="57F706C9"/>
    <w:rsid w:val="58017793"/>
    <w:rsid w:val="58244E5C"/>
    <w:rsid w:val="58685C59"/>
    <w:rsid w:val="58697500"/>
    <w:rsid w:val="5874230E"/>
    <w:rsid w:val="58843841"/>
    <w:rsid w:val="5891308F"/>
    <w:rsid w:val="589236B1"/>
    <w:rsid w:val="58C86B99"/>
    <w:rsid w:val="58DB0E48"/>
    <w:rsid w:val="5904102E"/>
    <w:rsid w:val="590A564B"/>
    <w:rsid w:val="5919512C"/>
    <w:rsid w:val="59415D84"/>
    <w:rsid w:val="5944577D"/>
    <w:rsid w:val="594D2B53"/>
    <w:rsid w:val="598813E0"/>
    <w:rsid w:val="59914276"/>
    <w:rsid w:val="5999679A"/>
    <w:rsid w:val="599B7268"/>
    <w:rsid w:val="599C38F2"/>
    <w:rsid w:val="59A03BB4"/>
    <w:rsid w:val="59AA0FB1"/>
    <w:rsid w:val="59B91F8C"/>
    <w:rsid w:val="59EF6A42"/>
    <w:rsid w:val="59F20EF7"/>
    <w:rsid w:val="5A1030D6"/>
    <w:rsid w:val="5A2F2CC8"/>
    <w:rsid w:val="5A3A1C71"/>
    <w:rsid w:val="5A6059E2"/>
    <w:rsid w:val="5A673F93"/>
    <w:rsid w:val="5A723722"/>
    <w:rsid w:val="5A7D02BC"/>
    <w:rsid w:val="5A84088B"/>
    <w:rsid w:val="5AAA4EE2"/>
    <w:rsid w:val="5AC95C92"/>
    <w:rsid w:val="5B436D5A"/>
    <w:rsid w:val="5B487697"/>
    <w:rsid w:val="5B570637"/>
    <w:rsid w:val="5B79092D"/>
    <w:rsid w:val="5B7D33AD"/>
    <w:rsid w:val="5B7F28A2"/>
    <w:rsid w:val="5B8E36FB"/>
    <w:rsid w:val="5B9C3F03"/>
    <w:rsid w:val="5BA26962"/>
    <w:rsid w:val="5BA85879"/>
    <w:rsid w:val="5BAF1477"/>
    <w:rsid w:val="5BAF6C35"/>
    <w:rsid w:val="5BB978F4"/>
    <w:rsid w:val="5BC1259B"/>
    <w:rsid w:val="5BEF222A"/>
    <w:rsid w:val="5C10702D"/>
    <w:rsid w:val="5C14136F"/>
    <w:rsid w:val="5C152601"/>
    <w:rsid w:val="5C20614F"/>
    <w:rsid w:val="5C591F03"/>
    <w:rsid w:val="5C697AAA"/>
    <w:rsid w:val="5C8A1B2F"/>
    <w:rsid w:val="5C9257B9"/>
    <w:rsid w:val="5C96399E"/>
    <w:rsid w:val="5C985DA5"/>
    <w:rsid w:val="5CAF3DCD"/>
    <w:rsid w:val="5CEA4062"/>
    <w:rsid w:val="5D2C1215"/>
    <w:rsid w:val="5D4D4133"/>
    <w:rsid w:val="5D857790"/>
    <w:rsid w:val="5D861815"/>
    <w:rsid w:val="5D8936D2"/>
    <w:rsid w:val="5D914004"/>
    <w:rsid w:val="5DA97095"/>
    <w:rsid w:val="5DC6075C"/>
    <w:rsid w:val="5DD80331"/>
    <w:rsid w:val="5DD95E29"/>
    <w:rsid w:val="5DD970EE"/>
    <w:rsid w:val="5DDD16DD"/>
    <w:rsid w:val="5DF41766"/>
    <w:rsid w:val="5E015F08"/>
    <w:rsid w:val="5E615889"/>
    <w:rsid w:val="5E727AB0"/>
    <w:rsid w:val="5E847BF7"/>
    <w:rsid w:val="5E936FAE"/>
    <w:rsid w:val="5EAA1124"/>
    <w:rsid w:val="5EC8520A"/>
    <w:rsid w:val="5ED25050"/>
    <w:rsid w:val="5EEE09E1"/>
    <w:rsid w:val="5F0341A4"/>
    <w:rsid w:val="5F0A7504"/>
    <w:rsid w:val="5F114CB9"/>
    <w:rsid w:val="5F174D94"/>
    <w:rsid w:val="5F4F5E24"/>
    <w:rsid w:val="5F5031D4"/>
    <w:rsid w:val="5F561B72"/>
    <w:rsid w:val="5F811AD3"/>
    <w:rsid w:val="5F8E3288"/>
    <w:rsid w:val="5F92448C"/>
    <w:rsid w:val="5FA13309"/>
    <w:rsid w:val="5FB646B2"/>
    <w:rsid w:val="5FBB0ADC"/>
    <w:rsid w:val="5FC1077B"/>
    <w:rsid w:val="5FC2179D"/>
    <w:rsid w:val="5FE00927"/>
    <w:rsid w:val="5FE24EDD"/>
    <w:rsid w:val="5FE437FC"/>
    <w:rsid w:val="5FED0446"/>
    <w:rsid w:val="5FF87C07"/>
    <w:rsid w:val="60014470"/>
    <w:rsid w:val="602A626F"/>
    <w:rsid w:val="602B07DA"/>
    <w:rsid w:val="603E60FC"/>
    <w:rsid w:val="60504C82"/>
    <w:rsid w:val="606007BB"/>
    <w:rsid w:val="606163EC"/>
    <w:rsid w:val="606963B0"/>
    <w:rsid w:val="60763EE4"/>
    <w:rsid w:val="608E10F9"/>
    <w:rsid w:val="6095423F"/>
    <w:rsid w:val="609814D9"/>
    <w:rsid w:val="60AC7F66"/>
    <w:rsid w:val="60C13070"/>
    <w:rsid w:val="6100382D"/>
    <w:rsid w:val="61042335"/>
    <w:rsid w:val="611E12A8"/>
    <w:rsid w:val="61226064"/>
    <w:rsid w:val="61497909"/>
    <w:rsid w:val="614E0C9F"/>
    <w:rsid w:val="614F0CAD"/>
    <w:rsid w:val="61504A17"/>
    <w:rsid w:val="615744D4"/>
    <w:rsid w:val="615F22A6"/>
    <w:rsid w:val="6189448A"/>
    <w:rsid w:val="61A475B0"/>
    <w:rsid w:val="61A66546"/>
    <w:rsid w:val="61BD42A4"/>
    <w:rsid w:val="61BF10D9"/>
    <w:rsid w:val="61BF1193"/>
    <w:rsid w:val="61DA3D4C"/>
    <w:rsid w:val="61F215C9"/>
    <w:rsid w:val="61F734FF"/>
    <w:rsid w:val="62052E11"/>
    <w:rsid w:val="6265481D"/>
    <w:rsid w:val="626A5412"/>
    <w:rsid w:val="62AC22DC"/>
    <w:rsid w:val="62B22B31"/>
    <w:rsid w:val="62BF2D76"/>
    <w:rsid w:val="62FA4283"/>
    <w:rsid w:val="630871F9"/>
    <w:rsid w:val="630A6917"/>
    <w:rsid w:val="63177FBC"/>
    <w:rsid w:val="632630D2"/>
    <w:rsid w:val="632E40AC"/>
    <w:rsid w:val="633575E4"/>
    <w:rsid w:val="633E67A6"/>
    <w:rsid w:val="63493F8F"/>
    <w:rsid w:val="635251C8"/>
    <w:rsid w:val="6354469B"/>
    <w:rsid w:val="635A3E88"/>
    <w:rsid w:val="635C1FFD"/>
    <w:rsid w:val="63606311"/>
    <w:rsid w:val="63607FA4"/>
    <w:rsid w:val="63724593"/>
    <w:rsid w:val="637833E8"/>
    <w:rsid w:val="63CB31A7"/>
    <w:rsid w:val="63DE0947"/>
    <w:rsid w:val="63F14628"/>
    <w:rsid w:val="63F30799"/>
    <w:rsid w:val="64481274"/>
    <w:rsid w:val="648743E5"/>
    <w:rsid w:val="64941CD4"/>
    <w:rsid w:val="64AF189F"/>
    <w:rsid w:val="64B10E28"/>
    <w:rsid w:val="64BB10E5"/>
    <w:rsid w:val="64C0006E"/>
    <w:rsid w:val="64C210FC"/>
    <w:rsid w:val="64D8014C"/>
    <w:rsid w:val="64DA3BA2"/>
    <w:rsid w:val="64E45EF7"/>
    <w:rsid w:val="64E536C8"/>
    <w:rsid w:val="650D635E"/>
    <w:rsid w:val="651240A3"/>
    <w:rsid w:val="6528541A"/>
    <w:rsid w:val="652C53ED"/>
    <w:rsid w:val="6544472C"/>
    <w:rsid w:val="65465871"/>
    <w:rsid w:val="654866C3"/>
    <w:rsid w:val="654E2D83"/>
    <w:rsid w:val="6555098E"/>
    <w:rsid w:val="658B443E"/>
    <w:rsid w:val="65AE15F5"/>
    <w:rsid w:val="65CD6C1C"/>
    <w:rsid w:val="65D06BA5"/>
    <w:rsid w:val="65E73470"/>
    <w:rsid w:val="65F12154"/>
    <w:rsid w:val="661D63AD"/>
    <w:rsid w:val="6630196A"/>
    <w:rsid w:val="665253D0"/>
    <w:rsid w:val="66815672"/>
    <w:rsid w:val="66873275"/>
    <w:rsid w:val="6691014E"/>
    <w:rsid w:val="66C1066D"/>
    <w:rsid w:val="66C87CCE"/>
    <w:rsid w:val="66D23840"/>
    <w:rsid w:val="66DB676E"/>
    <w:rsid w:val="66E1028C"/>
    <w:rsid w:val="66E73D86"/>
    <w:rsid w:val="66FB490A"/>
    <w:rsid w:val="670006DA"/>
    <w:rsid w:val="67220FA2"/>
    <w:rsid w:val="67592253"/>
    <w:rsid w:val="677435B2"/>
    <w:rsid w:val="6779688C"/>
    <w:rsid w:val="67814D8C"/>
    <w:rsid w:val="678801E7"/>
    <w:rsid w:val="678D2EAE"/>
    <w:rsid w:val="67AC1EB3"/>
    <w:rsid w:val="67E35B9E"/>
    <w:rsid w:val="67EF75F1"/>
    <w:rsid w:val="67F323FA"/>
    <w:rsid w:val="682062DD"/>
    <w:rsid w:val="6828218F"/>
    <w:rsid w:val="68327BBE"/>
    <w:rsid w:val="68836ACA"/>
    <w:rsid w:val="688D5804"/>
    <w:rsid w:val="689736F8"/>
    <w:rsid w:val="68B35F15"/>
    <w:rsid w:val="68B77389"/>
    <w:rsid w:val="68BF230A"/>
    <w:rsid w:val="68C52330"/>
    <w:rsid w:val="69124F16"/>
    <w:rsid w:val="692556B9"/>
    <w:rsid w:val="69280117"/>
    <w:rsid w:val="693022D8"/>
    <w:rsid w:val="694A5205"/>
    <w:rsid w:val="694C59EB"/>
    <w:rsid w:val="69874AA4"/>
    <w:rsid w:val="699B453B"/>
    <w:rsid w:val="69AD518D"/>
    <w:rsid w:val="69CD5C14"/>
    <w:rsid w:val="69CF0D33"/>
    <w:rsid w:val="69D8686C"/>
    <w:rsid w:val="69D96AC3"/>
    <w:rsid w:val="69F567A0"/>
    <w:rsid w:val="6A1A7186"/>
    <w:rsid w:val="6A2D3C19"/>
    <w:rsid w:val="6A36068B"/>
    <w:rsid w:val="6A434A35"/>
    <w:rsid w:val="6A4B2209"/>
    <w:rsid w:val="6A5066CB"/>
    <w:rsid w:val="6A512713"/>
    <w:rsid w:val="6A542D51"/>
    <w:rsid w:val="6A5F0F50"/>
    <w:rsid w:val="6A6030C4"/>
    <w:rsid w:val="6A676547"/>
    <w:rsid w:val="6A767148"/>
    <w:rsid w:val="6A7F05D0"/>
    <w:rsid w:val="6AAB324D"/>
    <w:rsid w:val="6AB235AF"/>
    <w:rsid w:val="6ABD719F"/>
    <w:rsid w:val="6AC13E4D"/>
    <w:rsid w:val="6ADA17F5"/>
    <w:rsid w:val="6AE644C3"/>
    <w:rsid w:val="6AE71A96"/>
    <w:rsid w:val="6AF64E0B"/>
    <w:rsid w:val="6AFD4928"/>
    <w:rsid w:val="6B0F6F0C"/>
    <w:rsid w:val="6B1154FD"/>
    <w:rsid w:val="6B14078A"/>
    <w:rsid w:val="6B175FBC"/>
    <w:rsid w:val="6B297797"/>
    <w:rsid w:val="6B2F4D3E"/>
    <w:rsid w:val="6B303F71"/>
    <w:rsid w:val="6B374E7A"/>
    <w:rsid w:val="6B4317B4"/>
    <w:rsid w:val="6B4A10E4"/>
    <w:rsid w:val="6B5C4B71"/>
    <w:rsid w:val="6B614E02"/>
    <w:rsid w:val="6B623CC4"/>
    <w:rsid w:val="6B7E2908"/>
    <w:rsid w:val="6B9946B3"/>
    <w:rsid w:val="6BF5106A"/>
    <w:rsid w:val="6BFA7EE1"/>
    <w:rsid w:val="6C132065"/>
    <w:rsid w:val="6C211E68"/>
    <w:rsid w:val="6C241930"/>
    <w:rsid w:val="6C2D0A9C"/>
    <w:rsid w:val="6C372961"/>
    <w:rsid w:val="6C4052D5"/>
    <w:rsid w:val="6C431EF3"/>
    <w:rsid w:val="6C4B0DE1"/>
    <w:rsid w:val="6C4E6902"/>
    <w:rsid w:val="6C5B59F4"/>
    <w:rsid w:val="6C6278D3"/>
    <w:rsid w:val="6C662189"/>
    <w:rsid w:val="6C6B22D7"/>
    <w:rsid w:val="6C6C2F38"/>
    <w:rsid w:val="6C7007C7"/>
    <w:rsid w:val="6C8C2B67"/>
    <w:rsid w:val="6C8D38AF"/>
    <w:rsid w:val="6C8D7684"/>
    <w:rsid w:val="6CA13443"/>
    <w:rsid w:val="6CA83959"/>
    <w:rsid w:val="6CB04275"/>
    <w:rsid w:val="6CCD0352"/>
    <w:rsid w:val="6CDC07DA"/>
    <w:rsid w:val="6CDF720B"/>
    <w:rsid w:val="6CEB7CE9"/>
    <w:rsid w:val="6CF92C55"/>
    <w:rsid w:val="6D0D34B8"/>
    <w:rsid w:val="6D21360D"/>
    <w:rsid w:val="6D3A3B10"/>
    <w:rsid w:val="6D415399"/>
    <w:rsid w:val="6D4C7D54"/>
    <w:rsid w:val="6D5E0131"/>
    <w:rsid w:val="6D60703C"/>
    <w:rsid w:val="6D616805"/>
    <w:rsid w:val="6D68310A"/>
    <w:rsid w:val="6D6D4330"/>
    <w:rsid w:val="6D7144E2"/>
    <w:rsid w:val="6D8B0FD6"/>
    <w:rsid w:val="6D915D95"/>
    <w:rsid w:val="6D94625C"/>
    <w:rsid w:val="6D9B53CB"/>
    <w:rsid w:val="6DA32372"/>
    <w:rsid w:val="6DB63374"/>
    <w:rsid w:val="6DE76850"/>
    <w:rsid w:val="6DF8337B"/>
    <w:rsid w:val="6E030A47"/>
    <w:rsid w:val="6E1A3980"/>
    <w:rsid w:val="6E2B50E3"/>
    <w:rsid w:val="6E506EFF"/>
    <w:rsid w:val="6E8059E4"/>
    <w:rsid w:val="6E930639"/>
    <w:rsid w:val="6E9E45BF"/>
    <w:rsid w:val="6EA34CC4"/>
    <w:rsid w:val="6EAB4FC1"/>
    <w:rsid w:val="6EC00BE3"/>
    <w:rsid w:val="6EE14809"/>
    <w:rsid w:val="6EE54F57"/>
    <w:rsid w:val="6F055DD7"/>
    <w:rsid w:val="6F2E0D5F"/>
    <w:rsid w:val="6F395B8B"/>
    <w:rsid w:val="6F4A6530"/>
    <w:rsid w:val="6F586491"/>
    <w:rsid w:val="6F6B76CB"/>
    <w:rsid w:val="6F6E0ACF"/>
    <w:rsid w:val="6F6F075E"/>
    <w:rsid w:val="6F730C2E"/>
    <w:rsid w:val="6F753C1F"/>
    <w:rsid w:val="6F964F3B"/>
    <w:rsid w:val="6F993A2D"/>
    <w:rsid w:val="6FB20BD4"/>
    <w:rsid w:val="6FB650F7"/>
    <w:rsid w:val="6FB75277"/>
    <w:rsid w:val="6FBA59BE"/>
    <w:rsid w:val="6FBE55C6"/>
    <w:rsid w:val="6FD64135"/>
    <w:rsid w:val="6FE74798"/>
    <w:rsid w:val="6FF16C9A"/>
    <w:rsid w:val="6FF2418B"/>
    <w:rsid w:val="6FF3192C"/>
    <w:rsid w:val="702726F0"/>
    <w:rsid w:val="70296B3E"/>
    <w:rsid w:val="704255C1"/>
    <w:rsid w:val="704751B9"/>
    <w:rsid w:val="70497291"/>
    <w:rsid w:val="705B357E"/>
    <w:rsid w:val="70611204"/>
    <w:rsid w:val="70B91115"/>
    <w:rsid w:val="70BF0EE0"/>
    <w:rsid w:val="70C20C9C"/>
    <w:rsid w:val="70C57C29"/>
    <w:rsid w:val="70D01410"/>
    <w:rsid w:val="70D036E5"/>
    <w:rsid w:val="70D32204"/>
    <w:rsid w:val="70F15847"/>
    <w:rsid w:val="710A582E"/>
    <w:rsid w:val="71147BFE"/>
    <w:rsid w:val="713116FD"/>
    <w:rsid w:val="71370AC8"/>
    <w:rsid w:val="713D46C5"/>
    <w:rsid w:val="71434E47"/>
    <w:rsid w:val="71486F7F"/>
    <w:rsid w:val="715F2A54"/>
    <w:rsid w:val="71662A10"/>
    <w:rsid w:val="71926986"/>
    <w:rsid w:val="71982A8B"/>
    <w:rsid w:val="719E27A4"/>
    <w:rsid w:val="71A17BB2"/>
    <w:rsid w:val="72204649"/>
    <w:rsid w:val="722C5869"/>
    <w:rsid w:val="72320113"/>
    <w:rsid w:val="72450FB0"/>
    <w:rsid w:val="72487743"/>
    <w:rsid w:val="725E1213"/>
    <w:rsid w:val="727D6954"/>
    <w:rsid w:val="72844D41"/>
    <w:rsid w:val="72862C7E"/>
    <w:rsid w:val="728976DF"/>
    <w:rsid w:val="72936E2F"/>
    <w:rsid w:val="72CF4F19"/>
    <w:rsid w:val="72EA7F26"/>
    <w:rsid w:val="72EC79FB"/>
    <w:rsid w:val="72F67BF9"/>
    <w:rsid w:val="731178E3"/>
    <w:rsid w:val="73240DF9"/>
    <w:rsid w:val="732C6F33"/>
    <w:rsid w:val="733D16A9"/>
    <w:rsid w:val="73425548"/>
    <w:rsid w:val="73445350"/>
    <w:rsid w:val="73514DB1"/>
    <w:rsid w:val="736A73D7"/>
    <w:rsid w:val="737C5261"/>
    <w:rsid w:val="738A77D2"/>
    <w:rsid w:val="73A553FF"/>
    <w:rsid w:val="73AC15DC"/>
    <w:rsid w:val="73E07E7C"/>
    <w:rsid w:val="73F27930"/>
    <w:rsid w:val="74121260"/>
    <w:rsid w:val="742E508B"/>
    <w:rsid w:val="743462D3"/>
    <w:rsid w:val="74365CEE"/>
    <w:rsid w:val="743E7D5E"/>
    <w:rsid w:val="7441374C"/>
    <w:rsid w:val="744149C3"/>
    <w:rsid w:val="74474E71"/>
    <w:rsid w:val="74A93E5A"/>
    <w:rsid w:val="74C633BB"/>
    <w:rsid w:val="74FA2C30"/>
    <w:rsid w:val="751D1A0B"/>
    <w:rsid w:val="752027FC"/>
    <w:rsid w:val="753B09F7"/>
    <w:rsid w:val="754D5C4B"/>
    <w:rsid w:val="756C78B0"/>
    <w:rsid w:val="75775737"/>
    <w:rsid w:val="757939B3"/>
    <w:rsid w:val="757E50F6"/>
    <w:rsid w:val="75855224"/>
    <w:rsid w:val="75A05064"/>
    <w:rsid w:val="75A85DA3"/>
    <w:rsid w:val="75AB5440"/>
    <w:rsid w:val="75CB06B8"/>
    <w:rsid w:val="75CB60C0"/>
    <w:rsid w:val="75D56485"/>
    <w:rsid w:val="75E76F6F"/>
    <w:rsid w:val="75EC127C"/>
    <w:rsid w:val="75F142DB"/>
    <w:rsid w:val="75F23E97"/>
    <w:rsid w:val="760B3F34"/>
    <w:rsid w:val="76334397"/>
    <w:rsid w:val="765B4F30"/>
    <w:rsid w:val="766C4E79"/>
    <w:rsid w:val="766D6FAF"/>
    <w:rsid w:val="767D07C6"/>
    <w:rsid w:val="768F7316"/>
    <w:rsid w:val="76A143E8"/>
    <w:rsid w:val="76BF1D66"/>
    <w:rsid w:val="76C240A7"/>
    <w:rsid w:val="76C8773D"/>
    <w:rsid w:val="76DB0DCF"/>
    <w:rsid w:val="76F263F7"/>
    <w:rsid w:val="770F3331"/>
    <w:rsid w:val="77285125"/>
    <w:rsid w:val="77315AC4"/>
    <w:rsid w:val="773F4EBA"/>
    <w:rsid w:val="775246B7"/>
    <w:rsid w:val="77583C37"/>
    <w:rsid w:val="775974AF"/>
    <w:rsid w:val="77705994"/>
    <w:rsid w:val="778264A7"/>
    <w:rsid w:val="77930B55"/>
    <w:rsid w:val="77977DAD"/>
    <w:rsid w:val="77CA234A"/>
    <w:rsid w:val="77E539CD"/>
    <w:rsid w:val="781E69D1"/>
    <w:rsid w:val="782A2DF7"/>
    <w:rsid w:val="788D27B5"/>
    <w:rsid w:val="78DE4305"/>
    <w:rsid w:val="78E712F1"/>
    <w:rsid w:val="79091C23"/>
    <w:rsid w:val="797F0359"/>
    <w:rsid w:val="7988495F"/>
    <w:rsid w:val="79962040"/>
    <w:rsid w:val="799A2861"/>
    <w:rsid w:val="79A4105F"/>
    <w:rsid w:val="79BC014A"/>
    <w:rsid w:val="79BC34FC"/>
    <w:rsid w:val="79C95D86"/>
    <w:rsid w:val="79D042C8"/>
    <w:rsid w:val="79D90DD4"/>
    <w:rsid w:val="7A263B6B"/>
    <w:rsid w:val="7A2A6E84"/>
    <w:rsid w:val="7A2D01BD"/>
    <w:rsid w:val="7A447E0C"/>
    <w:rsid w:val="7A573C85"/>
    <w:rsid w:val="7A6D67DD"/>
    <w:rsid w:val="7A7106D0"/>
    <w:rsid w:val="7A8E7E6B"/>
    <w:rsid w:val="7A9F3904"/>
    <w:rsid w:val="7AF46346"/>
    <w:rsid w:val="7AF753E6"/>
    <w:rsid w:val="7B0F5EBF"/>
    <w:rsid w:val="7B125252"/>
    <w:rsid w:val="7B130FB9"/>
    <w:rsid w:val="7B14483E"/>
    <w:rsid w:val="7B1C0A25"/>
    <w:rsid w:val="7B2611AB"/>
    <w:rsid w:val="7B4E6A0D"/>
    <w:rsid w:val="7B641BCE"/>
    <w:rsid w:val="7B6E5366"/>
    <w:rsid w:val="7B770612"/>
    <w:rsid w:val="7B875F34"/>
    <w:rsid w:val="7BDD6F19"/>
    <w:rsid w:val="7BF64EDE"/>
    <w:rsid w:val="7C10151B"/>
    <w:rsid w:val="7C141428"/>
    <w:rsid w:val="7C221C6B"/>
    <w:rsid w:val="7C370186"/>
    <w:rsid w:val="7C400C1E"/>
    <w:rsid w:val="7C8415C1"/>
    <w:rsid w:val="7C99714C"/>
    <w:rsid w:val="7CA07DE8"/>
    <w:rsid w:val="7CA53FD5"/>
    <w:rsid w:val="7CB50883"/>
    <w:rsid w:val="7CBE6D5D"/>
    <w:rsid w:val="7CCF481C"/>
    <w:rsid w:val="7CDD1808"/>
    <w:rsid w:val="7CF57CC1"/>
    <w:rsid w:val="7D0B5456"/>
    <w:rsid w:val="7D1E1C21"/>
    <w:rsid w:val="7D234847"/>
    <w:rsid w:val="7D2B12B1"/>
    <w:rsid w:val="7D352792"/>
    <w:rsid w:val="7D563551"/>
    <w:rsid w:val="7D6F6791"/>
    <w:rsid w:val="7D7558BB"/>
    <w:rsid w:val="7D830B9D"/>
    <w:rsid w:val="7D905E8D"/>
    <w:rsid w:val="7DB23C3E"/>
    <w:rsid w:val="7DBE58DA"/>
    <w:rsid w:val="7DD11708"/>
    <w:rsid w:val="7DE5430C"/>
    <w:rsid w:val="7DE64899"/>
    <w:rsid w:val="7DF813B2"/>
    <w:rsid w:val="7DFC32D8"/>
    <w:rsid w:val="7DFD7978"/>
    <w:rsid w:val="7E0763E6"/>
    <w:rsid w:val="7E1202A7"/>
    <w:rsid w:val="7E156055"/>
    <w:rsid w:val="7E2D7872"/>
    <w:rsid w:val="7E522C19"/>
    <w:rsid w:val="7E5C0F61"/>
    <w:rsid w:val="7E786F03"/>
    <w:rsid w:val="7E7B37EB"/>
    <w:rsid w:val="7E8E6EBF"/>
    <w:rsid w:val="7EAA7A04"/>
    <w:rsid w:val="7EAD21C3"/>
    <w:rsid w:val="7EBD579E"/>
    <w:rsid w:val="7EC167BD"/>
    <w:rsid w:val="7ED56D33"/>
    <w:rsid w:val="7EFA4BE7"/>
    <w:rsid w:val="7EFC345C"/>
    <w:rsid w:val="7F1A6960"/>
    <w:rsid w:val="7F272D9E"/>
    <w:rsid w:val="7F2F201D"/>
    <w:rsid w:val="7F376DBE"/>
    <w:rsid w:val="7F381544"/>
    <w:rsid w:val="7F397426"/>
    <w:rsid w:val="7F507488"/>
    <w:rsid w:val="7F657C66"/>
    <w:rsid w:val="7F687D9B"/>
    <w:rsid w:val="7F7848F6"/>
    <w:rsid w:val="7FA73C83"/>
    <w:rsid w:val="7FF54CAF"/>
    <w:rsid w:val="7FF66B58"/>
    <w:rsid w:val="7FFD53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99"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nhideWhenUsed="0" w:uiPriority="9"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qFormat="1" w:unhideWhenUsed="0" w:uiPriority="0" w:semiHidden="0" w:name="toc 9"/>
    <w:lsdException w:qFormat="1" w:unhideWhenUsed="0" w:uiPriority="99"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qFormat="1" w:uiPriority="99" w:semiHidden="0" w:name="endnote reference"/>
    <w:lsdException w:uiPriority="99" w:name="endnote text"/>
    <w:lsdException w:qFormat="1" w:unhideWhenUsed="0" w:uiPriority="99" w:semiHidden="0" w:name="table of authorities"/>
    <w:lsdException w:uiPriority="99" w:name="macro"/>
    <w:lsdException w:uiPriority="99" w:name="toa heading"/>
    <w:lsdException w:qFormat="1" w:uiPriority="99" w:semiHidden="0"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qFormat="1" w:unhideWhenUsed="0" w:uiPriority="99" w:semiHidden="0"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7"/>
    <w:autoRedefine/>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48"/>
    <w:autoRedefine/>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49"/>
    <w:autoRedefine/>
    <w:qFormat/>
    <w:uiPriority w:val="99"/>
    <w:pPr>
      <w:keepNext/>
      <w:keepLines/>
      <w:spacing w:before="260" w:after="260" w:line="416" w:lineRule="auto"/>
      <w:outlineLvl w:val="2"/>
    </w:pPr>
    <w:rPr>
      <w:b/>
      <w:bCs/>
      <w:sz w:val="32"/>
      <w:szCs w:val="32"/>
    </w:rPr>
  </w:style>
  <w:style w:type="paragraph" w:styleId="5">
    <w:name w:val="heading 4"/>
    <w:basedOn w:val="1"/>
    <w:next w:val="1"/>
    <w:link w:val="50"/>
    <w:autoRedefine/>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7"/>
    <w:link w:val="51"/>
    <w:autoRedefine/>
    <w:qFormat/>
    <w:uiPriority w:val="9"/>
    <w:pPr>
      <w:keepNext/>
      <w:keepLines/>
      <w:spacing w:before="280" w:after="290" w:line="376" w:lineRule="auto"/>
      <w:outlineLvl w:val="4"/>
    </w:pPr>
    <w:rPr>
      <w:b/>
      <w:bCs/>
      <w:sz w:val="28"/>
      <w:szCs w:val="28"/>
    </w:rPr>
  </w:style>
  <w:style w:type="paragraph" w:styleId="8">
    <w:name w:val="heading 8"/>
    <w:basedOn w:val="1"/>
    <w:next w:val="1"/>
    <w:link w:val="52"/>
    <w:autoRedefine/>
    <w:qFormat/>
    <w:uiPriority w:val="9"/>
    <w:pPr>
      <w:keepNext/>
      <w:keepLines/>
      <w:spacing w:before="240" w:after="64" w:line="320" w:lineRule="auto"/>
      <w:outlineLvl w:val="7"/>
    </w:pPr>
    <w:rPr>
      <w:rFonts w:ascii="等线 Light" w:hAnsi="等线 Light" w:eastAsia="等线 Light"/>
      <w:sz w:val="24"/>
    </w:rPr>
  </w:style>
  <w:style w:type="character" w:default="1" w:styleId="34">
    <w:name w:val="Default Paragraph Font"/>
    <w:autoRedefine/>
    <w:unhideWhenUsed/>
    <w:qFormat/>
    <w:uiPriority w:val="1"/>
  </w:style>
  <w:style w:type="table" w:default="1" w:styleId="32">
    <w:name w:val="Normal Table"/>
    <w:autoRedefine/>
    <w:unhideWhenUsed/>
    <w:qFormat/>
    <w:uiPriority w:val="99"/>
    <w:tblPr>
      <w:tblCellMar>
        <w:top w:w="0" w:type="dxa"/>
        <w:left w:w="108" w:type="dxa"/>
        <w:bottom w:w="0" w:type="dxa"/>
        <w:right w:w="108" w:type="dxa"/>
      </w:tblCellMar>
    </w:tblPr>
  </w:style>
  <w:style w:type="paragraph" w:styleId="7">
    <w:name w:val="Normal Indent"/>
    <w:basedOn w:val="1"/>
    <w:autoRedefine/>
    <w:qFormat/>
    <w:uiPriority w:val="99"/>
    <w:pPr>
      <w:ind w:firstLine="420"/>
    </w:pPr>
    <w:rPr>
      <w:szCs w:val="20"/>
    </w:rPr>
  </w:style>
  <w:style w:type="paragraph" w:styleId="9">
    <w:name w:val="table of authorities"/>
    <w:basedOn w:val="1"/>
    <w:next w:val="1"/>
    <w:autoRedefine/>
    <w:qFormat/>
    <w:uiPriority w:val="99"/>
    <w:pPr>
      <w:ind w:left="420" w:leftChars="200"/>
    </w:pPr>
    <w:rPr>
      <w:rFonts w:ascii="Calibri" w:hAnsi="Calibri"/>
    </w:rPr>
  </w:style>
  <w:style w:type="paragraph" w:styleId="10">
    <w:name w:val="index 8"/>
    <w:basedOn w:val="1"/>
    <w:next w:val="1"/>
    <w:autoRedefine/>
    <w:qFormat/>
    <w:uiPriority w:val="0"/>
    <w:pPr>
      <w:ind w:left="2940"/>
    </w:pPr>
  </w:style>
  <w:style w:type="paragraph" w:styleId="11">
    <w:name w:val="List Number"/>
    <w:basedOn w:val="1"/>
    <w:autoRedefine/>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12">
    <w:name w:val="caption"/>
    <w:basedOn w:val="1"/>
    <w:next w:val="1"/>
    <w:autoRedefine/>
    <w:qFormat/>
    <w:uiPriority w:val="0"/>
    <w:rPr>
      <w:rFonts w:ascii="DejaVu Sans" w:hAnsi="DejaVu Sans" w:eastAsia="方正黑体_GBK"/>
      <w:sz w:val="20"/>
    </w:rPr>
  </w:style>
  <w:style w:type="paragraph" w:styleId="13">
    <w:name w:val="annotation text"/>
    <w:basedOn w:val="1"/>
    <w:link w:val="44"/>
    <w:autoRedefine/>
    <w:qFormat/>
    <w:uiPriority w:val="99"/>
    <w:pPr>
      <w:jc w:val="left"/>
    </w:pPr>
  </w:style>
  <w:style w:type="paragraph" w:styleId="14">
    <w:name w:val="Body Text 3"/>
    <w:basedOn w:val="1"/>
    <w:link w:val="53"/>
    <w:autoRedefine/>
    <w:unhideWhenUsed/>
    <w:qFormat/>
    <w:uiPriority w:val="99"/>
    <w:pPr>
      <w:spacing w:after="120"/>
    </w:pPr>
    <w:rPr>
      <w:sz w:val="16"/>
      <w:szCs w:val="16"/>
    </w:rPr>
  </w:style>
  <w:style w:type="paragraph" w:styleId="15">
    <w:name w:val="Body Text"/>
    <w:basedOn w:val="1"/>
    <w:next w:val="1"/>
    <w:link w:val="54"/>
    <w:autoRedefine/>
    <w:unhideWhenUsed/>
    <w:qFormat/>
    <w:uiPriority w:val="0"/>
    <w:pPr>
      <w:spacing w:after="120"/>
    </w:pPr>
  </w:style>
  <w:style w:type="paragraph" w:styleId="16">
    <w:name w:val="Body Text Indent"/>
    <w:basedOn w:val="1"/>
    <w:next w:val="17"/>
    <w:link w:val="43"/>
    <w:autoRedefine/>
    <w:qFormat/>
    <w:uiPriority w:val="99"/>
    <w:pPr>
      <w:ind w:firstLine="830" w:firstLineChars="352"/>
    </w:pPr>
    <w:rPr>
      <w:rFonts w:ascii="仿宋_GB2312" w:eastAsia="仿宋_GB2312"/>
      <w:kern w:val="0"/>
      <w:sz w:val="32"/>
      <w:szCs w:val="20"/>
    </w:rPr>
  </w:style>
  <w:style w:type="paragraph" w:styleId="17">
    <w:name w:val="annotation subject"/>
    <w:basedOn w:val="13"/>
    <w:next w:val="1"/>
    <w:link w:val="45"/>
    <w:autoRedefine/>
    <w:qFormat/>
    <w:uiPriority w:val="99"/>
    <w:rPr>
      <w:b/>
      <w:bCs/>
    </w:rPr>
  </w:style>
  <w:style w:type="paragraph" w:styleId="18">
    <w:name w:val="List 2"/>
    <w:basedOn w:val="1"/>
    <w:autoRedefine/>
    <w:unhideWhenUsed/>
    <w:qFormat/>
    <w:uiPriority w:val="99"/>
    <w:pPr>
      <w:ind w:left="100" w:leftChars="200" w:hanging="200" w:hangingChars="200"/>
      <w:contextualSpacing/>
    </w:pPr>
  </w:style>
  <w:style w:type="paragraph" w:styleId="19">
    <w:name w:val="toc 3"/>
    <w:basedOn w:val="1"/>
    <w:next w:val="1"/>
    <w:autoRedefine/>
    <w:unhideWhenUsed/>
    <w:qFormat/>
    <w:uiPriority w:val="39"/>
    <w:pPr>
      <w:ind w:left="840" w:leftChars="400"/>
    </w:pPr>
  </w:style>
  <w:style w:type="paragraph" w:styleId="20">
    <w:name w:val="Plain Text"/>
    <w:basedOn w:val="1"/>
    <w:next w:val="5"/>
    <w:link w:val="55"/>
    <w:autoRedefine/>
    <w:qFormat/>
    <w:uiPriority w:val="0"/>
    <w:rPr>
      <w:rFonts w:ascii="宋体" w:hAnsi="Courier New"/>
      <w:kern w:val="0"/>
      <w:sz w:val="20"/>
      <w:szCs w:val="21"/>
    </w:rPr>
  </w:style>
  <w:style w:type="paragraph" w:styleId="21">
    <w:name w:val="Date"/>
    <w:basedOn w:val="1"/>
    <w:next w:val="1"/>
    <w:link w:val="56"/>
    <w:autoRedefine/>
    <w:unhideWhenUsed/>
    <w:qFormat/>
    <w:uiPriority w:val="99"/>
    <w:pPr>
      <w:ind w:left="100" w:leftChars="2500"/>
    </w:pPr>
  </w:style>
  <w:style w:type="paragraph" w:styleId="22">
    <w:name w:val="Balloon Text"/>
    <w:basedOn w:val="1"/>
    <w:autoRedefine/>
    <w:semiHidden/>
    <w:qFormat/>
    <w:uiPriority w:val="0"/>
    <w:rPr>
      <w:sz w:val="18"/>
      <w:szCs w:val="18"/>
    </w:rPr>
  </w:style>
  <w:style w:type="paragraph" w:styleId="23">
    <w:name w:val="footer"/>
    <w:basedOn w:val="1"/>
    <w:link w:val="57"/>
    <w:autoRedefine/>
    <w:unhideWhenUsed/>
    <w:qFormat/>
    <w:uiPriority w:val="99"/>
    <w:pPr>
      <w:tabs>
        <w:tab w:val="center" w:pos="4153"/>
        <w:tab w:val="right" w:pos="8306"/>
      </w:tabs>
      <w:snapToGrid w:val="0"/>
      <w:jc w:val="left"/>
    </w:pPr>
    <w:rPr>
      <w:kern w:val="0"/>
      <w:sz w:val="18"/>
      <w:szCs w:val="18"/>
    </w:rPr>
  </w:style>
  <w:style w:type="paragraph" w:styleId="24">
    <w:name w:val="header"/>
    <w:basedOn w:val="1"/>
    <w:link w:val="58"/>
    <w:autoRedefine/>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5">
    <w:name w:val="toc 1"/>
    <w:basedOn w:val="1"/>
    <w:next w:val="1"/>
    <w:autoRedefine/>
    <w:unhideWhenUsed/>
    <w:qFormat/>
    <w:uiPriority w:val="39"/>
  </w:style>
  <w:style w:type="paragraph" w:styleId="26">
    <w:name w:val="List"/>
    <w:basedOn w:val="1"/>
    <w:autoRedefine/>
    <w:unhideWhenUsed/>
    <w:qFormat/>
    <w:uiPriority w:val="99"/>
    <w:pPr>
      <w:ind w:left="200" w:hanging="200" w:hangingChars="200"/>
      <w:contextualSpacing/>
    </w:pPr>
  </w:style>
  <w:style w:type="paragraph" w:styleId="27">
    <w:name w:val="toc 2"/>
    <w:basedOn w:val="1"/>
    <w:next w:val="1"/>
    <w:autoRedefine/>
    <w:unhideWhenUsed/>
    <w:qFormat/>
    <w:uiPriority w:val="39"/>
    <w:pPr>
      <w:tabs>
        <w:tab w:val="right" w:leader="dot" w:pos="8296"/>
      </w:tabs>
      <w:ind w:left="420" w:leftChars="200"/>
    </w:pPr>
  </w:style>
  <w:style w:type="paragraph" w:styleId="28">
    <w:name w:val="toc 9"/>
    <w:next w:val="1"/>
    <w:autoRedefine/>
    <w:qFormat/>
    <w:uiPriority w:val="0"/>
    <w:pPr>
      <w:widowControl w:val="0"/>
      <w:tabs>
        <w:tab w:val="right" w:leader="dot" w:pos="9185"/>
      </w:tabs>
      <w:adjustRightInd w:val="0"/>
      <w:spacing w:line="312" w:lineRule="atLeast"/>
      <w:ind w:left="3360"/>
      <w:jc w:val="both"/>
      <w:textAlignment w:val="baseline"/>
    </w:pPr>
    <w:rPr>
      <w:rFonts w:ascii="Times New Roman" w:hAnsi="Times New Roman" w:eastAsia="宋体" w:cs="Times New Roman"/>
      <w:kern w:val="0"/>
      <w:sz w:val="21"/>
      <w:szCs w:val="20"/>
      <w:lang w:val="en-US" w:eastAsia="zh-CN" w:bidi="ar-SA"/>
    </w:rPr>
  </w:style>
  <w:style w:type="paragraph" w:styleId="29">
    <w:name w:val="Normal (Web)"/>
    <w:basedOn w:val="1"/>
    <w:autoRedefine/>
    <w:unhideWhenUsed/>
    <w:qFormat/>
    <w:uiPriority w:val="99"/>
    <w:rPr>
      <w:rFonts w:ascii="Calibri" w:hAnsi="Calibri"/>
      <w:kern w:val="0"/>
      <w:sz w:val="24"/>
    </w:rPr>
  </w:style>
  <w:style w:type="paragraph" w:styleId="30">
    <w:name w:val="Body Text First Indent"/>
    <w:basedOn w:val="15"/>
    <w:autoRedefine/>
    <w:qFormat/>
    <w:uiPriority w:val="0"/>
    <w:pPr>
      <w:ind w:firstLine="420" w:firstLineChars="100"/>
    </w:pPr>
  </w:style>
  <w:style w:type="paragraph" w:styleId="31">
    <w:name w:val="Body Text First Indent 2"/>
    <w:basedOn w:val="16"/>
    <w:link w:val="46"/>
    <w:autoRedefine/>
    <w:qFormat/>
    <w:uiPriority w:val="99"/>
    <w:pPr>
      <w:autoSpaceDE w:val="0"/>
      <w:autoSpaceDN w:val="0"/>
      <w:spacing w:after="120" w:line="360" w:lineRule="auto"/>
      <w:ind w:left="420" w:leftChars="200" w:firstLine="420" w:firstLineChars="200"/>
    </w:pPr>
    <w:rPr>
      <w:sz w:val="21"/>
      <w:szCs w:val="24"/>
    </w:rPr>
  </w:style>
  <w:style w:type="table" w:styleId="33">
    <w:name w:val="Table Grid"/>
    <w:basedOn w:val="32"/>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5">
    <w:name w:val="Strong"/>
    <w:basedOn w:val="34"/>
    <w:autoRedefine/>
    <w:qFormat/>
    <w:uiPriority w:val="22"/>
    <w:rPr>
      <w:b/>
    </w:rPr>
  </w:style>
  <w:style w:type="character" w:styleId="36">
    <w:name w:val="endnote reference"/>
    <w:autoRedefine/>
    <w:unhideWhenUsed/>
    <w:qFormat/>
    <w:uiPriority w:val="99"/>
    <w:rPr>
      <w:vertAlign w:val="superscript"/>
    </w:rPr>
  </w:style>
  <w:style w:type="character" w:styleId="37">
    <w:name w:val="page number"/>
    <w:autoRedefine/>
    <w:qFormat/>
    <w:uiPriority w:val="0"/>
  </w:style>
  <w:style w:type="character" w:styleId="38">
    <w:name w:val="FollowedHyperlink"/>
    <w:autoRedefine/>
    <w:unhideWhenUsed/>
    <w:qFormat/>
    <w:uiPriority w:val="99"/>
    <w:rPr>
      <w:color w:val="800080"/>
      <w:u w:val="single"/>
    </w:rPr>
  </w:style>
  <w:style w:type="character" w:styleId="39">
    <w:name w:val="Emphasis"/>
    <w:basedOn w:val="34"/>
    <w:autoRedefine/>
    <w:qFormat/>
    <w:uiPriority w:val="20"/>
    <w:rPr>
      <w:i/>
    </w:rPr>
  </w:style>
  <w:style w:type="character" w:styleId="40">
    <w:name w:val="Hyperlink"/>
    <w:autoRedefine/>
    <w:unhideWhenUsed/>
    <w:qFormat/>
    <w:uiPriority w:val="99"/>
    <w:rPr>
      <w:color w:val="0000FF"/>
      <w:u w:val="single"/>
    </w:rPr>
  </w:style>
  <w:style w:type="character" w:styleId="41">
    <w:name w:val="annotation reference"/>
    <w:autoRedefine/>
    <w:qFormat/>
    <w:uiPriority w:val="99"/>
    <w:rPr>
      <w:sz w:val="21"/>
      <w:szCs w:val="21"/>
    </w:rPr>
  </w:style>
  <w:style w:type="paragraph" w:customStyle="1" w:styleId="42">
    <w:name w:val="Heading2"/>
    <w:basedOn w:val="1"/>
    <w:next w:val="1"/>
    <w:autoRedefine/>
    <w:qFormat/>
    <w:uiPriority w:val="0"/>
    <w:pPr>
      <w:keepNext/>
      <w:keepLines/>
      <w:spacing w:before="260" w:after="260" w:line="416" w:lineRule="auto"/>
    </w:pPr>
    <w:rPr>
      <w:rFonts w:ascii="Arial" w:hAnsi="Arial" w:eastAsia="黑体" w:cs="Times New Roman"/>
      <w:b/>
      <w:bCs/>
      <w:kern w:val="0"/>
      <w:sz w:val="32"/>
      <w:szCs w:val="32"/>
    </w:rPr>
  </w:style>
  <w:style w:type="character" w:customStyle="1" w:styleId="43">
    <w:name w:val="正文文本缩进 字符"/>
    <w:link w:val="16"/>
    <w:autoRedefine/>
    <w:qFormat/>
    <w:uiPriority w:val="99"/>
    <w:rPr>
      <w:rFonts w:ascii="仿宋_GB2312" w:hAnsi="Times New Roman" w:eastAsia="仿宋_GB2312" w:cs="Times New Roman"/>
      <w:sz w:val="32"/>
      <w:szCs w:val="20"/>
    </w:rPr>
  </w:style>
  <w:style w:type="character" w:customStyle="1" w:styleId="44">
    <w:name w:val="批注文字 字符2"/>
    <w:link w:val="13"/>
    <w:autoRedefine/>
    <w:qFormat/>
    <w:uiPriority w:val="99"/>
    <w:rPr>
      <w:rFonts w:ascii="Times New Roman" w:hAnsi="Times New Roman"/>
      <w:kern w:val="2"/>
      <w:sz w:val="21"/>
      <w:szCs w:val="24"/>
    </w:rPr>
  </w:style>
  <w:style w:type="character" w:customStyle="1" w:styleId="45">
    <w:name w:val="批注主题 字符"/>
    <w:link w:val="17"/>
    <w:autoRedefine/>
    <w:qFormat/>
    <w:uiPriority w:val="99"/>
    <w:rPr>
      <w:rFonts w:ascii="Times New Roman" w:hAnsi="Times New Roman"/>
      <w:b/>
      <w:bCs/>
      <w:kern w:val="2"/>
      <w:sz w:val="21"/>
      <w:szCs w:val="24"/>
    </w:rPr>
  </w:style>
  <w:style w:type="character" w:customStyle="1" w:styleId="46">
    <w:name w:val="正文首行缩进 2 字符"/>
    <w:link w:val="31"/>
    <w:autoRedefine/>
    <w:qFormat/>
    <w:uiPriority w:val="99"/>
    <w:rPr>
      <w:kern w:val="2"/>
      <w:sz w:val="21"/>
      <w:szCs w:val="24"/>
    </w:rPr>
  </w:style>
  <w:style w:type="character" w:customStyle="1" w:styleId="47">
    <w:name w:val="标题 1 字符"/>
    <w:link w:val="2"/>
    <w:autoRedefine/>
    <w:qFormat/>
    <w:uiPriority w:val="99"/>
    <w:rPr>
      <w:b/>
      <w:bCs/>
      <w:kern w:val="44"/>
      <w:sz w:val="44"/>
      <w:szCs w:val="44"/>
    </w:rPr>
  </w:style>
  <w:style w:type="character" w:customStyle="1" w:styleId="48">
    <w:name w:val="标题 2 字符"/>
    <w:link w:val="3"/>
    <w:autoRedefine/>
    <w:qFormat/>
    <w:uiPriority w:val="9"/>
    <w:rPr>
      <w:rFonts w:ascii="Cambria" w:hAnsi="Cambria" w:eastAsia="宋体" w:cs="Times New Roman"/>
      <w:b/>
      <w:bCs/>
      <w:kern w:val="2"/>
      <w:sz w:val="32"/>
      <w:szCs w:val="32"/>
    </w:rPr>
  </w:style>
  <w:style w:type="character" w:customStyle="1" w:styleId="49">
    <w:name w:val="标题 3 字符"/>
    <w:link w:val="4"/>
    <w:autoRedefine/>
    <w:qFormat/>
    <w:uiPriority w:val="99"/>
    <w:rPr>
      <w:b/>
      <w:bCs/>
      <w:kern w:val="2"/>
      <w:sz w:val="32"/>
      <w:szCs w:val="32"/>
    </w:rPr>
  </w:style>
  <w:style w:type="character" w:customStyle="1" w:styleId="50">
    <w:name w:val="标题 4 字符"/>
    <w:link w:val="5"/>
    <w:autoRedefine/>
    <w:qFormat/>
    <w:uiPriority w:val="9"/>
    <w:rPr>
      <w:rFonts w:ascii="Arial" w:hAnsi="Arial" w:eastAsia="黑体"/>
      <w:b/>
      <w:kern w:val="2"/>
      <w:sz w:val="28"/>
      <w:szCs w:val="24"/>
    </w:rPr>
  </w:style>
  <w:style w:type="character" w:customStyle="1" w:styleId="51">
    <w:name w:val="标题 5 字符"/>
    <w:link w:val="6"/>
    <w:autoRedefine/>
    <w:qFormat/>
    <w:uiPriority w:val="9"/>
    <w:rPr>
      <w:rFonts w:ascii="Times New Roman" w:hAnsi="Times New Roman"/>
      <w:b/>
      <w:bCs/>
      <w:kern w:val="2"/>
      <w:sz w:val="28"/>
      <w:szCs w:val="28"/>
    </w:rPr>
  </w:style>
  <w:style w:type="character" w:customStyle="1" w:styleId="52">
    <w:name w:val="标题 8 字符"/>
    <w:link w:val="8"/>
    <w:autoRedefine/>
    <w:semiHidden/>
    <w:qFormat/>
    <w:uiPriority w:val="9"/>
    <w:rPr>
      <w:rFonts w:ascii="等线 Light" w:hAnsi="等线 Light" w:eastAsia="等线 Light" w:cs="Times New Roman"/>
      <w:kern w:val="2"/>
      <w:sz w:val="24"/>
      <w:szCs w:val="24"/>
    </w:rPr>
  </w:style>
  <w:style w:type="character" w:customStyle="1" w:styleId="53">
    <w:name w:val="正文文本 3 字符"/>
    <w:link w:val="14"/>
    <w:autoRedefine/>
    <w:semiHidden/>
    <w:qFormat/>
    <w:uiPriority w:val="99"/>
    <w:rPr>
      <w:kern w:val="2"/>
      <w:sz w:val="16"/>
      <w:szCs w:val="16"/>
    </w:rPr>
  </w:style>
  <w:style w:type="character" w:customStyle="1" w:styleId="54">
    <w:name w:val="正文文本 字符1"/>
    <w:link w:val="15"/>
    <w:autoRedefine/>
    <w:qFormat/>
    <w:uiPriority w:val="0"/>
    <w:rPr>
      <w:rFonts w:ascii="Times New Roman" w:hAnsi="Times New Roman"/>
      <w:kern w:val="2"/>
      <w:sz w:val="21"/>
      <w:szCs w:val="24"/>
    </w:rPr>
  </w:style>
  <w:style w:type="character" w:customStyle="1" w:styleId="55">
    <w:name w:val="纯文本 字符3"/>
    <w:link w:val="20"/>
    <w:autoRedefine/>
    <w:qFormat/>
    <w:uiPriority w:val="0"/>
    <w:rPr>
      <w:rFonts w:ascii="宋体" w:hAnsi="Courier New" w:eastAsia="宋体" w:cs="Courier New"/>
      <w:szCs w:val="21"/>
    </w:rPr>
  </w:style>
  <w:style w:type="character" w:customStyle="1" w:styleId="56">
    <w:name w:val="日期 字符"/>
    <w:link w:val="21"/>
    <w:autoRedefine/>
    <w:semiHidden/>
    <w:qFormat/>
    <w:uiPriority w:val="99"/>
    <w:rPr>
      <w:rFonts w:ascii="Times New Roman" w:hAnsi="Times New Roman"/>
      <w:kern w:val="2"/>
      <w:sz w:val="21"/>
      <w:szCs w:val="24"/>
    </w:rPr>
  </w:style>
  <w:style w:type="character" w:customStyle="1" w:styleId="57">
    <w:name w:val="页脚 字符"/>
    <w:link w:val="23"/>
    <w:autoRedefine/>
    <w:qFormat/>
    <w:uiPriority w:val="99"/>
    <w:rPr>
      <w:sz w:val="18"/>
      <w:szCs w:val="18"/>
    </w:rPr>
  </w:style>
  <w:style w:type="character" w:customStyle="1" w:styleId="58">
    <w:name w:val="页眉 字符"/>
    <w:link w:val="24"/>
    <w:autoRedefine/>
    <w:qFormat/>
    <w:uiPriority w:val="99"/>
    <w:rPr>
      <w:sz w:val="18"/>
      <w:szCs w:val="18"/>
    </w:rPr>
  </w:style>
  <w:style w:type="character" w:customStyle="1" w:styleId="59">
    <w:name w:val="textcontents"/>
    <w:autoRedefine/>
    <w:qFormat/>
    <w:uiPriority w:val="0"/>
  </w:style>
  <w:style w:type="character" w:customStyle="1" w:styleId="60">
    <w:name w:val="标题 2 Char"/>
    <w:autoRedefine/>
    <w:qFormat/>
    <w:uiPriority w:val="99"/>
    <w:rPr>
      <w:rFonts w:ascii="Cambria" w:hAnsi="Cambria" w:eastAsia="宋体" w:cs="Times New Roman"/>
      <w:b/>
      <w:bCs/>
      <w:kern w:val="2"/>
      <w:sz w:val="32"/>
      <w:szCs w:val="32"/>
    </w:rPr>
  </w:style>
  <w:style w:type="character" w:customStyle="1" w:styleId="61">
    <w:name w:val="正文文本 (26) + 间距 0 pt"/>
    <w:autoRedefine/>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62">
    <w:name w:val="纯文本 字符2"/>
    <w:autoRedefine/>
    <w:qFormat/>
    <w:uiPriority w:val="0"/>
    <w:rPr>
      <w:rFonts w:ascii="宋体" w:hAnsi="Courier New" w:eastAsia="宋体" w:cs="Courier New"/>
      <w:szCs w:val="21"/>
    </w:rPr>
  </w:style>
  <w:style w:type="character" w:customStyle="1" w:styleId="63">
    <w:name w:val="正文文本 字符"/>
    <w:autoRedefine/>
    <w:qFormat/>
    <w:uiPriority w:val="0"/>
    <w:rPr>
      <w:rFonts w:ascii="Times New Roman" w:hAnsi="Times New Roman"/>
      <w:kern w:val="2"/>
      <w:sz w:val="21"/>
      <w:szCs w:val="24"/>
    </w:rPr>
  </w:style>
  <w:style w:type="character" w:customStyle="1" w:styleId="64">
    <w:name w:val="批注文字 字符1"/>
    <w:autoRedefine/>
    <w:qFormat/>
    <w:uiPriority w:val="0"/>
    <w:rPr>
      <w:rFonts w:ascii="Times New Roman" w:hAnsi="Times New Roman"/>
      <w:kern w:val="2"/>
      <w:sz w:val="21"/>
      <w:szCs w:val="24"/>
    </w:rPr>
  </w:style>
  <w:style w:type="character" w:customStyle="1" w:styleId="65">
    <w:name w:val="正文文本 Char"/>
    <w:autoRedefine/>
    <w:qFormat/>
    <w:uiPriority w:val="99"/>
    <w:rPr>
      <w:rFonts w:ascii="Times New Roman" w:hAnsi="Times New Roman"/>
      <w:kern w:val="2"/>
      <w:sz w:val="21"/>
      <w:szCs w:val="24"/>
    </w:rPr>
  </w:style>
  <w:style w:type="character" w:customStyle="1" w:styleId="66">
    <w:name w:val="纯文本 字符"/>
    <w:autoRedefine/>
    <w:qFormat/>
    <w:uiPriority w:val="0"/>
    <w:rPr>
      <w:rFonts w:ascii="宋体" w:hAnsi="Courier New" w:eastAsia="宋体" w:cs="Courier New"/>
      <w:szCs w:val="21"/>
    </w:rPr>
  </w:style>
  <w:style w:type="character" w:customStyle="1" w:styleId="67">
    <w:name w:val="标题 1 字符1"/>
    <w:autoRedefine/>
    <w:qFormat/>
    <w:uiPriority w:val="0"/>
    <w:rPr>
      <w:b/>
      <w:bCs/>
      <w:kern w:val="44"/>
      <w:sz w:val="44"/>
      <w:szCs w:val="44"/>
    </w:rPr>
  </w:style>
  <w:style w:type="character" w:customStyle="1" w:styleId="68">
    <w:name w:val="正文2 Char Char"/>
    <w:link w:val="69"/>
    <w:autoRedefine/>
    <w:qFormat/>
    <w:uiPriority w:val="0"/>
    <w:rPr>
      <w:sz w:val="24"/>
    </w:rPr>
  </w:style>
  <w:style w:type="paragraph" w:customStyle="1" w:styleId="69">
    <w:name w:val="正文2"/>
    <w:basedOn w:val="1"/>
    <w:link w:val="68"/>
    <w:autoRedefine/>
    <w:qFormat/>
    <w:uiPriority w:val="0"/>
    <w:pPr>
      <w:adjustRightInd w:val="0"/>
      <w:spacing w:before="156" w:line="360" w:lineRule="auto"/>
      <w:ind w:firstLine="510" w:firstLineChars="200"/>
    </w:pPr>
    <w:rPr>
      <w:kern w:val="0"/>
      <w:sz w:val="24"/>
      <w:szCs w:val="20"/>
    </w:rPr>
  </w:style>
  <w:style w:type="character" w:customStyle="1" w:styleId="70">
    <w:name w:val="标题 8 Char"/>
    <w:autoRedefine/>
    <w:qFormat/>
    <w:uiPriority w:val="0"/>
    <w:rPr>
      <w:rFonts w:ascii="Arial" w:hAnsi="Arial" w:eastAsia="黑体"/>
      <w:kern w:val="2"/>
      <w:sz w:val="24"/>
      <w:szCs w:val="24"/>
    </w:rPr>
  </w:style>
  <w:style w:type="character" w:customStyle="1" w:styleId="71">
    <w:name w:val="纯文本 Char"/>
    <w:autoRedefine/>
    <w:qFormat/>
    <w:uiPriority w:val="99"/>
    <w:rPr>
      <w:rFonts w:ascii="宋体" w:hAnsi="Courier New" w:eastAsia="宋体" w:cs="Courier New"/>
      <w:szCs w:val="21"/>
    </w:rPr>
  </w:style>
  <w:style w:type="character" w:customStyle="1" w:styleId="72">
    <w:name w:val="批注文字 Char"/>
    <w:autoRedefine/>
    <w:qFormat/>
    <w:uiPriority w:val="99"/>
    <w:rPr>
      <w:rFonts w:ascii="Times New Roman" w:hAnsi="Times New Roman"/>
      <w:kern w:val="2"/>
      <w:sz w:val="21"/>
      <w:szCs w:val="24"/>
    </w:rPr>
  </w:style>
  <w:style w:type="character" w:customStyle="1" w:styleId="73">
    <w:name w:val="纯文本 字符1"/>
    <w:autoRedefine/>
    <w:qFormat/>
    <w:uiPriority w:val="0"/>
    <w:rPr>
      <w:rFonts w:ascii="宋体" w:hAnsi="Courier New"/>
    </w:rPr>
  </w:style>
  <w:style w:type="character" w:customStyle="1" w:styleId="74">
    <w:name w:val="未处理的提及"/>
    <w:autoRedefine/>
    <w:unhideWhenUsed/>
    <w:qFormat/>
    <w:uiPriority w:val="99"/>
    <w:rPr>
      <w:color w:val="605E5C"/>
      <w:shd w:val="clear" w:color="auto" w:fill="E1DFDD"/>
    </w:rPr>
  </w:style>
  <w:style w:type="character" w:customStyle="1" w:styleId="75">
    <w:name w:val="apple-style-span"/>
    <w:autoRedefine/>
    <w:qFormat/>
    <w:uiPriority w:val="0"/>
  </w:style>
  <w:style w:type="character" w:customStyle="1" w:styleId="76">
    <w:name w:val="批注文字 字符"/>
    <w:autoRedefine/>
    <w:qFormat/>
    <w:uiPriority w:val="0"/>
    <w:rPr>
      <w:rFonts w:ascii="Times New Roman" w:hAnsi="Times New Roman"/>
      <w:kern w:val="2"/>
      <w:sz w:val="21"/>
      <w:szCs w:val="24"/>
    </w:rPr>
  </w:style>
  <w:style w:type="paragraph" w:customStyle="1" w:styleId="77">
    <w:name w:val="正文 A"/>
    <w:autoRedefine/>
    <w:qFormat/>
    <w:uiPriority w:val="99"/>
    <w:pPr>
      <w:widowControl w:val="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78">
    <w:name w:val="表头"/>
    <w:basedOn w:val="1"/>
    <w:autoRedefine/>
    <w:qFormat/>
    <w:uiPriority w:val="0"/>
    <w:pPr>
      <w:widowControl/>
      <w:jc w:val="center"/>
    </w:pPr>
    <w:rPr>
      <w:rFonts w:ascii="仿宋_GB2312" w:hAnsi="宋体" w:eastAsia="仿宋_GB2312" w:cs="等线"/>
      <w:b/>
      <w:bCs/>
      <w:kern w:val="0"/>
      <w:sz w:val="24"/>
    </w:rPr>
  </w:style>
  <w:style w:type="paragraph" w:customStyle="1" w:styleId="79">
    <w:name w:val="TOC Heading"/>
    <w:basedOn w:val="2"/>
    <w:next w:val="1"/>
    <w:autoRedefine/>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rPr>
  </w:style>
  <w:style w:type="paragraph" w:customStyle="1" w:styleId="80">
    <w:name w:val="_Style 3"/>
    <w:next w:val="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1">
    <w:name w:val="表内文字"/>
    <w:basedOn w:val="1"/>
    <w:autoRedefine/>
    <w:qFormat/>
    <w:uiPriority w:val="0"/>
    <w:pPr>
      <w:snapToGrid w:val="0"/>
      <w:spacing w:before="50" w:after="50"/>
      <w:jc w:val="center"/>
    </w:pPr>
    <w:rPr>
      <w:rFonts w:ascii="仿宋_GB2312" w:hAnsi="宋体" w:eastAsia="仿宋_GB2312"/>
      <w:b/>
      <w:color w:val="000000"/>
      <w:sz w:val="32"/>
      <w:szCs w:val="32"/>
    </w:rPr>
  </w:style>
  <w:style w:type="paragraph" w:customStyle="1" w:styleId="82">
    <w:name w:val="Char Char Char Char"/>
    <w:basedOn w:val="1"/>
    <w:autoRedefine/>
    <w:qFormat/>
    <w:uiPriority w:val="0"/>
    <w:pPr>
      <w:widowControl/>
      <w:spacing w:after="160" w:line="240" w:lineRule="exact"/>
      <w:jc w:val="left"/>
    </w:pPr>
  </w:style>
  <w:style w:type="paragraph" w:customStyle="1" w:styleId="83">
    <w:name w:val="样式5"/>
    <w:basedOn w:val="1"/>
    <w:autoRedefine/>
    <w:qFormat/>
    <w:uiPriority w:val="0"/>
    <w:pPr>
      <w:adjustRightInd w:val="0"/>
      <w:spacing w:line="440" w:lineRule="exact"/>
      <w:ind w:left="2" w:firstLine="480" w:firstLineChars="200"/>
    </w:pPr>
    <w:rPr>
      <w:rFonts w:ascii="仿宋_GB2312" w:hAnsi="仿宋" w:eastAsia="仿宋_GB2312"/>
      <w:sz w:val="24"/>
    </w:rPr>
  </w:style>
  <w:style w:type="paragraph" w:customStyle="1" w:styleId="84">
    <w:name w:val="列出段落3"/>
    <w:basedOn w:val="1"/>
    <w:autoRedefine/>
    <w:unhideWhenUsed/>
    <w:qFormat/>
    <w:uiPriority w:val="99"/>
    <w:pPr>
      <w:ind w:firstLine="420"/>
    </w:pPr>
  </w:style>
  <w:style w:type="paragraph" w:customStyle="1" w:styleId="85">
    <w:name w:val="Table Paragraph"/>
    <w:basedOn w:val="1"/>
    <w:autoRedefine/>
    <w:qFormat/>
    <w:uiPriority w:val="1"/>
    <w:pPr>
      <w:jc w:val="left"/>
    </w:pPr>
    <w:rPr>
      <w:rFonts w:ascii="Calibri" w:hAnsi="Calibri"/>
      <w:kern w:val="0"/>
      <w:sz w:val="22"/>
      <w:szCs w:val="22"/>
      <w:lang w:eastAsia="en-US"/>
    </w:rPr>
  </w:style>
  <w:style w:type="paragraph" w:customStyle="1" w:styleId="86">
    <w:name w:val="列出段落2"/>
    <w:basedOn w:val="1"/>
    <w:autoRedefine/>
    <w:unhideWhenUsed/>
    <w:qFormat/>
    <w:uiPriority w:val="99"/>
    <w:pPr>
      <w:spacing w:line="360" w:lineRule="auto"/>
      <w:ind w:firstLine="420" w:firstLineChars="200"/>
    </w:pPr>
    <w:rPr>
      <w:rFonts w:ascii="Calibri" w:hAnsi="Calibri" w:eastAsia="仿宋"/>
      <w:sz w:val="28"/>
      <w:szCs w:val="22"/>
    </w:rPr>
  </w:style>
  <w:style w:type="paragraph" w:customStyle="1" w:styleId="8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88">
    <w:name w:val="表格内容"/>
    <w:basedOn w:val="1"/>
    <w:autoRedefine/>
    <w:qFormat/>
    <w:uiPriority w:val="0"/>
    <w:pPr>
      <w:widowControl/>
      <w:jc w:val="left"/>
    </w:pPr>
    <w:rPr>
      <w:rFonts w:ascii="仿宋_GB2312" w:hAnsi="宋体" w:cs="等线"/>
      <w:kern w:val="0"/>
      <w:sz w:val="24"/>
    </w:rPr>
  </w:style>
  <w:style w:type="paragraph" w:styleId="89">
    <w:name w:val="List Paragraph"/>
    <w:basedOn w:val="1"/>
    <w:autoRedefine/>
    <w:qFormat/>
    <w:uiPriority w:val="34"/>
    <w:pPr>
      <w:ind w:firstLine="420" w:firstLineChars="200"/>
    </w:pPr>
  </w:style>
  <w:style w:type="paragraph" w:customStyle="1" w:styleId="90">
    <w:name w:val="默认段落字体 Para Char Char Char Char Char Char Char Char Char1 Char Char Char Char"/>
    <w:basedOn w:val="1"/>
    <w:autoRedefine/>
    <w:qFormat/>
    <w:uiPriority w:val="0"/>
    <w:rPr>
      <w:rFonts w:ascii="Tahoma" w:hAnsi="Tahoma"/>
      <w:sz w:val="24"/>
      <w:szCs w:val="20"/>
    </w:rPr>
  </w:style>
  <w:style w:type="paragraph" w:customStyle="1" w:styleId="91">
    <w:name w:val="正文缩进1"/>
    <w:basedOn w:val="1"/>
    <w:next w:val="16"/>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92">
    <w:name w:val="正文-2字符首行缩进"/>
    <w:basedOn w:val="1"/>
    <w:qFormat/>
    <w:uiPriority w:val="0"/>
    <w:pPr>
      <w:spacing w:line="360" w:lineRule="auto"/>
      <w:ind w:firstLine="200" w:firstLineChars="200"/>
    </w:pPr>
    <w:rPr>
      <w:rFonts w:ascii="仿宋_GB2312" w:hAnsi="宋体" w:eastAsia="仿宋_GB2312"/>
      <w:sz w:val="28"/>
      <w:szCs w:val="22"/>
    </w:rPr>
  </w:style>
  <w:style w:type="paragraph" w:customStyle="1" w:styleId="93">
    <w:name w:val="样式1"/>
    <w:basedOn w:val="1"/>
    <w:qFormat/>
    <w:uiPriority w:val="0"/>
    <w:pPr>
      <w:numPr>
        <w:ilvl w:val="2"/>
        <w:numId w:val="1"/>
      </w:numPr>
    </w:pPr>
  </w:style>
  <w:style w:type="paragraph" w:customStyle="1" w:styleId="94">
    <w:name w:val="样式 0正文 + 首行缩进:  2 字符1"/>
    <w:autoRedefine/>
    <w:qFormat/>
    <w:uiPriority w:val="99"/>
    <w:pPr>
      <w:widowControl w:val="0"/>
      <w:spacing w:line="360" w:lineRule="auto"/>
      <w:ind w:firstLine="200" w:firstLineChars="200"/>
      <w:jc w:val="both"/>
    </w:pPr>
    <w:rPr>
      <w:rFonts w:ascii="Times New Roman" w:hAnsi="Times New Roman" w:eastAsia="宋体" w:cs="Times New Roman"/>
      <w:kern w:val="2"/>
      <w:sz w:val="21"/>
      <w:lang w:val="en-US" w:eastAsia="zh-CN" w:bidi="ar-SA"/>
    </w:rPr>
  </w:style>
  <w:style w:type="paragraph" w:customStyle="1" w:styleId="95">
    <w:name w:val="正文首行缩进两字"/>
    <w:autoRedefine/>
    <w:qFormat/>
    <w:uiPriority w:val="0"/>
    <w:pPr>
      <w:widowControl w:val="0"/>
      <w:spacing w:line="360" w:lineRule="auto"/>
      <w:ind w:right="245"/>
      <w:jc w:val="center"/>
    </w:pPr>
    <w:rPr>
      <w:rFonts w:ascii="Arial" w:hAnsi="Arial" w:eastAsia="宋体" w:cs="Arial"/>
      <w:bCs/>
      <w:sz w:val="24"/>
      <w:szCs w:val="24"/>
      <w:lang w:val="en-US" w:eastAsia="zh-CN" w:bidi="ar-SA"/>
    </w:rPr>
  </w:style>
  <w:style w:type="paragraph" w:customStyle="1" w:styleId="96">
    <w:name w:val="Revision"/>
    <w:unhideWhenUsed/>
    <w:qFormat/>
    <w:uiPriority w:val="99"/>
    <w:rPr>
      <w:rFonts w:ascii="Times New Roman" w:hAnsi="Times New Roman" w:eastAsia="宋体" w:cs="Times New Roman"/>
      <w:kern w:val="2"/>
      <w:sz w:val="21"/>
      <w:szCs w:val="24"/>
      <w:lang w:val="en-US" w:eastAsia="zh-CN" w:bidi="ar-SA"/>
    </w:rPr>
  </w:style>
  <w:style w:type="paragraph" w:customStyle="1" w:styleId="97">
    <w:name w:val="列出段落1"/>
    <w:basedOn w:val="1"/>
    <w:autoRedefine/>
    <w:qFormat/>
    <w:uiPriority w:val="34"/>
    <w:pPr>
      <w:ind w:firstLine="42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广西云龙招标有限公司</Company>
  <Pages>105</Pages>
  <Words>18164</Words>
  <Characters>19636</Characters>
  <Lines>460</Lines>
  <Paragraphs>129</Paragraphs>
  <TotalTime>95</TotalTime>
  <ScaleCrop>false</ScaleCrop>
  <LinksUpToDate>false</LinksUpToDate>
  <CharactersWithSpaces>19744</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2023-11-01T08:20:00Z</dcterms:created>
  <dc:creator>唐冰</dc:creator>
  <cp:lastModifiedBy>欧明聪</cp:lastModifiedBy>
  <cp:lastPrinted>2021-08-26T02:26:00Z</cp:lastPrinted>
  <dcterms:modified xsi:type="dcterms:W3CDTF">2025-06-13T09:58:53Z</dcterms:modified>
  <dc:title>竞争性谈判文件规范</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9B7DE77B775E403484D10108950ED3B6_13</vt:lpwstr>
  </property>
  <property fmtid="{D5CDD505-2E9C-101B-9397-08002B2CF9AE}" pid="4" name="KSOTemplateDocerSaveRecord">
    <vt:lpwstr>eyJoZGlkIjoiNjIxYjVlZjBiYTRlN2Y3YTNhNzAyNGNjMTRjNWNhZWYiLCJ1c2VySWQiOiIxNTkyMzIxODc0In0=</vt:lpwstr>
  </property>
</Properties>
</file>