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D87577">
      <w:pPr>
        <w:spacing w:before="120" w:beforeLines="50" w:line="360" w:lineRule="auto"/>
        <w:jc w:val="center"/>
        <w:rPr>
          <w:rFonts w:hint="eastAsia" w:eastAsia="宋体"/>
          <w:color w:val="auto"/>
          <w:sz w:val="52"/>
          <w:szCs w:val="52"/>
          <w:highlight w:val="none"/>
          <w:lang w:eastAsia="zh-CN"/>
        </w:rPr>
      </w:pPr>
    </w:p>
    <w:p w14:paraId="4ACF99A4">
      <w:pPr>
        <w:jc w:val="center"/>
        <w:rPr>
          <w:rFonts w:hint="eastAsia" w:ascii="宋体" w:hAnsi="宋体" w:cs="宋体"/>
          <w:color w:val="auto"/>
          <w:sz w:val="52"/>
          <w:szCs w:val="52"/>
          <w:highlight w:val="none"/>
        </w:rPr>
      </w:pPr>
      <w:r>
        <w:rPr>
          <w:rFonts w:hint="eastAsia" w:ascii="宋体" w:hAnsi="宋体" w:cs="宋体"/>
          <w:color w:val="auto"/>
          <w:sz w:val="52"/>
          <w:szCs w:val="52"/>
          <w:highlight w:val="none"/>
        </w:rPr>
        <w:t>广西科联招标中心有限公司</w:t>
      </w:r>
    </w:p>
    <w:p w14:paraId="50716D77">
      <w:pPr>
        <w:jc w:val="center"/>
        <w:rPr>
          <w:rFonts w:hint="eastAsia" w:ascii="宋体" w:hAnsi="宋体" w:cs="宋体"/>
          <w:b/>
          <w:color w:val="auto"/>
          <w:sz w:val="32"/>
          <w:szCs w:val="32"/>
          <w:highlight w:val="none"/>
        </w:rPr>
      </w:pPr>
    </w:p>
    <w:p w14:paraId="6816E8DF">
      <w:pPr>
        <w:jc w:val="center"/>
        <w:rPr>
          <w:color w:val="auto"/>
          <w:highlight w:val="none"/>
        </w:rPr>
      </w:pPr>
    </w:p>
    <w:p w14:paraId="6DDDF937">
      <w:pPr>
        <w:jc w:val="center"/>
        <w:rPr>
          <w:rFonts w:hint="eastAsia" w:ascii="宋体" w:hAnsi="宋体" w:cs="宋体"/>
          <w:b/>
          <w:bCs/>
          <w:color w:val="auto"/>
          <w:kern w:val="0"/>
          <w:sz w:val="30"/>
          <w:szCs w:val="30"/>
          <w:highlight w:val="none"/>
        </w:rPr>
      </w:pPr>
    </w:p>
    <w:p w14:paraId="327B4B7B">
      <w:pPr>
        <w:pStyle w:val="22"/>
        <w:jc w:val="center"/>
        <w:rPr>
          <w:color w:val="auto"/>
          <w:highlight w:val="none"/>
        </w:rPr>
      </w:pPr>
    </w:p>
    <w:p w14:paraId="109D0176">
      <w:pPr>
        <w:spacing w:before="240" w:beforeLines="100" w:after="120" w:afterLines="50"/>
        <w:jc w:val="center"/>
        <w:rPr>
          <w:rFonts w:hint="eastAsia" w:ascii="宋体" w:hAnsi="宋体" w:cs="宋体"/>
          <w:b/>
          <w:color w:val="auto"/>
          <w:sz w:val="44"/>
          <w:szCs w:val="44"/>
          <w:highlight w:val="none"/>
        </w:rPr>
      </w:pPr>
      <w:r>
        <w:rPr>
          <w:rFonts w:hint="eastAsia" w:ascii="宋体" w:hAnsi="宋体" w:cs="宋体"/>
          <w:color w:val="auto"/>
          <w:spacing w:val="116"/>
          <w:sz w:val="52"/>
          <w:highlight w:val="none"/>
        </w:rPr>
        <w:t xml:space="preserve"> </w:t>
      </w:r>
      <w:r>
        <w:rPr>
          <w:rFonts w:hint="eastAsia" w:ascii="宋体" w:hAnsi="宋体" w:cs="宋体"/>
          <w:b/>
          <w:bCs/>
          <w:color w:val="auto"/>
          <w:spacing w:val="100"/>
          <w:sz w:val="84"/>
          <w:szCs w:val="84"/>
          <w:highlight w:val="none"/>
        </w:rPr>
        <w:t>竞争性磋商文</w:t>
      </w:r>
      <w:r>
        <w:rPr>
          <w:rFonts w:hint="eastAsia" w:ascii="宋体" w:hAnsi="宋体" w:cs="宋体"/>
          <w:b/>
          <w:bCs/>
          <w:color w:val="auto"/>
          <w:sz w:val="84"/>
          <w:szCs w:val="84"/>
          <w:highlight w:val="none"/>
        </w:rPr>
        <w:t>件</w:t>
      </w:r>
    </w:p>
    <w:p w14:paraId="1E71E991">
      <w:pPr>
        <w:spacing w:before="240" w:beforeLines="100" w:after="120" w:afterLines="50" w:line="360" w:lineRule="auto"/>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（全流程电子化评标）</w:t>
      </w:r>
    </w:p>
    <w:p w14:paraId="430B33BB">
      <w:pPr>
        <w:jc w:val="center"/>
        <w:rPr>
          <w:rFonts w:hint="eastAsia" w:ascii="宋体" w:hAnsi="宋体" w:cs="宋体"/>
          <w:b/>
          <w:color w:val="auto"/>
          <w:sz w:val="32"/>
          <w:szCs w:val="32"/>
          <w:highlight w:val="none"/>
        </w:rPr>
      </w:pPr>
    </w:p>
    <w:p w14:paraId="3DA67076">
      <w:pPr>
        <w:jc w:val="center"/>
        <w:rPr>
          <w:color w:val="auto"/>
          <w:highlight w:val="none"/>
        </w:rPr>
      </w:pPr>
    </w:p>
    <w:p w14:paraId="0F102A23">
      <w:pPr>
        <w:jc w:val="center"/>
        <w:rPr>
          <w:rFonts w:hint="eastAsia" w:ascii="宋体" w:hAnsi="宋体" w:cs="宋体"/>
          <w:b/>
          <w:bCs/>
          <w:color w:val="auto"/>
          <w:kern w:val="0"/>
          <w:sz w:val="30"/>
          <w:szCs w:val="30"/>
          <w:highlight w:val="none"/>
        </w:rPr>
      </w:pPr>
    </w:p>
    <w:p w14:paraId="36C10F6E">
      <w:pPr>
        <w:pStyle w:val="22"/>
        <w:jc w:val="center"/>
        <w:rPr>
          <w:color w:val="auto"/>
          <w:highlight w:val="none"/>
        </w:rPr>
      </w:pPr>
    </w:p>
    <w:p w14:paraId="78F694DE">
      <w:pPr>
        <w:snapToGrid w:val="0"/>
        <w:spacing w:before="50" w:after="120" w:line="360" w:lineRule="auto"/>
        <w:jc w:val="center"/>
        <w:rPr>
          <w:rFonts w:hint="eastAsia" w:ascii="宋体" w:hAnsi="宋体" w:eastAsia="宋体" w:cs="宋体"/>
          <w:b/>
          <w:bCs/>
          <w:color w:val="auto"/>
          <w:kern w:val="0"/>
          <w:sz w:val="30"/>
          <w:szCs w:val="30"/>
          <w:highlight w:val="none"/>
          <w:lang w:eastAsia="zh-CN"/>
        </w:rPr>
      </w:pPr>
      <w:r>
        <w:rPr>
          <w:rFonts w:hint="eastAsia" w:ascii="宋体" w:hAnsi="宋体" w:cs="宋体"/>
          <w:b/>
          <w:bCs/>
          <w:color w:val="auto"/>
          <w:kern w:val="0"/>
          <w:sz w:val="30"/>
          <w:szCs w:val="30"/>
          <w:highlight w:val="none"/>
        </w:rPr>
        <w:t>项目</w:t>
      </w:r>
      <w:r>
        <w:rPr>
          <w:rFonts w:hint="eastAsia" w:ascii="宋体" w:hAnsi="宋体" w:cs="宋体"/>
          <w:b/>
          <w:bCs/>
          <w:color w:val="auto"/>
          <w:w w:val="95"/>
          <w:kern w:val="0"/>
          <w:sz w:val="30"/>
          <w:szCs w:val="30"/>
          <w:highlight w:val="none"/>
        </w:rPr>
        <w:t>名称</w:t>
      </w:r>
      <w:r>
        <w:rPr>
          <w:rFonts w:hint="eastAsia" w:ascii="宋体" w:hAnsi="宋体" w:cs="宋体"/>
          <w:b/>
          <w:bCs/>
          <w:color w:val="auto"/>
          <w:kern w:val="0"/>
          <w:sz w:val="30"/>
          <w:szCs w:val="30"/>
          <w:highlight w:val="none"/>
        </w:rPr>
        <w:t>：</w:t>
      </w:r>
      <w:r>
        <w:rPr>
          <w:rFonts w:hint="eastAsia" w:ascii="宋体" w:hAnsi="宋体" w:cs="宋体"/>
          <w:b/>
          <w:bCs/>
          <w:color w:val="auto"/>
          <w:kern w:val="0"/>
          <w:sz w:val="30"/>
          <w:szCs w:val="30"/>
          <w:highlight w:val="none"/>
          <w:lang w:eastAsia="zh-CN"/>
        </w:rPr>
        <w:t>广西社会治安综合治理信息平台建设项目</w:t>
      </w:r>
    </w:p>
    <w:p w14:paraId="3C0A21DA">
      <w:pPr>
        <w:snapToGrid w:val="0"/>
        <w:spacing w:before="50" w:after="120" w:line="360" w:lineRule="auto"/>
        <w:jc w:val="center"/>
        <w:rPr>
          <w:rFonts w:hint="eastAsia" w:ascii="宋体" w:hAnsi="宋体" w:eastAsia="宋体" w:cs="宋体"/>
          <w:b/>
          <w:bCs/>
          <w:color w:val="auto"/>
          <w:kern w:val="0"/>
          <w:sz w:val="30"/>
          <w:szCs w:val="30"/>
          <w:highlight w:val="none"/>
          <w:lang w:eastAsia="zh-CN"/>
        </w:rPr>
      </w:pPr>
      <w:r>
        <w:rPr>
          <w:rFonts w:hint="eastAsia" w:ascii="宋体" w:hAnsi="宋体" w:cs="宋体"/>
          <w:b/>
          <w:bCs/>
          <w:color w:val="auto"/>
          <w:kern w:val="0"/>
          <w:sz w:val="30"/>
          <w:szCs w:val="30"/>
          <w:highlight w:val="none"/>
        </w:rPr>
        <w:t>项目编号：</w:t>
      </w:r>
      <w:r>
        <w:rPr>
          <w:rFonts w:hint="eastAsia" w:ascii="宋体" w:hAnsi="宋体" w:cs="宋体"/>
          <w:b/>
          <w:bCs/>
          <w:color w:val="auto"/>
          <w:kern w:val="0"/>
          <w:sz w:val="30"/>
          <w:szCs w:val="30"/>
          <w:highlight w:val="none"/>
          <w:lang w:eastAsia="zh-CN"/>
        </w:rPr>
        <w:t>GXZC2025-C3-003415-GXKL</w:t>
      </w:r>
    </w:p>
    <w:p w14:paraId="078A401A">
      <w:pPr>
        <w:jc w:val="center"/>
        <w:rPr>
          <w:rFonts w:hint="eastAsia" w:ascii="宋体" w:hAnsi="宋体" w:cs="宋体"/>
          <w:b/>
          <w:color w:val="auto"/>
          <w:sz w:val="32"/>
          <w:szCs w:val="32"/>
          <w:highlight w:val="none"/>
        </w:rPr>
      </w:pPr>
    </w:p>
    <w:p w14:paraId="4AF7347E">
      <w:pPr>
        <w:jc w:val="center"/>
        <w:rPr>
          <w:color w:val="auto"/>
          <w:highlight w:val="none"/>
        </w:rPr>
      </w:pPr>
    </w:p>
    <w:p w14:paraId="5C22AA58">
      <w:pPr>
        <w:jc w:val="center"/>
        <w:rPr>
          <w:rFonts w:hint="eastAsia" w:ascii="宋体" w:hAnsi="宋体" w:cs="宋体"/>
          <w:b/>
          <w:bCs/>
          <w:color w:val="auto"/>
          <w:kern w:val="0"/>
          <w:sz w:val="30"/>
          <w:szCs w:val="30"/>
          <w:highlight w:val="none"/>
        </w:rPr>
      </w:pPr>
    </w:p>
    <w:p w14:paraId="49987072">
      <w:pPr>
        <w:pStyle w:val="22"/>
        <w:jc w:val="center"/>
        <w:rPr>
          <w:color w:val="auto"/>
          <w:highlight w:val="none"/>
        </w:rPr>
      </w:pPr>
    </w:p>
    <w:p w14:paraId="4A1369D2">
      <w:pPr>
        <w:pStyle w:val="22"/>
        <w:jc w:val="center"/>
        <w:rPr>
          <w:rFonts w:hint="eastAsia" w:ascii="宋体" w:hAnsi="宋体" w:cs="宋体"/>
          <w:b/>
          <w:bCs/>
          <w:color w:val="auto"/>
          <w:sz w:val="30"/>
          <w:szCs w:val="30"/>
          <w:highlight w:val="none"/>
        </w:rPr>
      </w:pPr>
    </w:p>
    <w:p w14:paraId="27B75A77">
      <w:pPr>
        <w:jc w:val="center"/>
        <w:rPr>
          <w:color w:val="auto"/>
          <w:highlight w:val="none"/>
        </w:rPr>
      </w:pPr>
    </w:p>
    <w:p w14:paraId="00F409E9">
      <w:pPr>
        <w:snapToGrid w:val="0"/>
        <w:spacing w:before="50" w:after="120" w:line="360" w:lineRule="auto"/>
        <w:jc w:val="center"/>
        <w:rPr>
          <w:rFonts w:hint="eastAsia" w:ascii="宋体" w:hAnsi="宋体" w:eastAsia="宋体" w:cs="宋体"/>
          <w:b/>
          <w:bCs/>
          <w:color w:val="auto"/>
          <w:kern w:val="0"/>
          <w:sz w:val="30"/>
          <w:szCs w:val="30"/>
          <w:highlight w:val="none"/>
          <w:lang w:eastAsia="zh-CN"/>
        </w:rPr>
      </w:pPr>
      <w:r>
        <w:rPr>
          <w:rFonts w:hint="eastAsia" w:ascii="宋体" w:hAnsi="宋体" w:cs="宋体"/>
          <w:b/>
          <w:bCs/>
          <w:color w:val="auto"/>
          <w:kern w:val="0"/>
          <w:sz w:val="30"/>
          <w:szCs w:val="30"/>
          <w:highlight w:val="none"/>
        </w:rPr>
        <w:t>采购人：</w:t>
      </w:r>
      <w:r>
        <w:rPr>
          <w:rFonts w:hint="eastAsia" w:ascii="宋体" w:hAnsi="宋体" w:cs="宋体"/>
          <w:b/>
          <w:bCs/>
          <w:color w:val="auto"/>
          <w:kern w:val="0"/>
          <w:sz w:val="30"/>
          <w:szCs w:val="30"/>
          <w:highlight w:val="none"/>
          <w:lang w:eastAsia="zh-CN"/>
        </w:rPr>
        <w:t>中国共产党广西壮族自治区委员会政法委员会</w:t>
      </w:r>
    </w:p>
    <w:p w14:paraId="2E452637">
      <w:pPr>
        <w:snapToGrid w:val="0"/>
        <w:spacing w:before="50" w:after="120" w:line="360" w:lineRule="auto"/>
        <w:jc w:val="center"/>
        <w:rPr>
          <w:rFonts w:hint="eastAsia"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采购代理机构：</w:t>
      </w:r>
      <w:bookmarkStart w:id="0" w:name="PO_3000001866_PM031"/>
      <w:r>
        <w:rPr>
          <w:rFonts w:hint="eastAsia" w:ascii="宋体" w:hAnsi="宋体" w:cs="宋体"/>
          <w:b/>
          <w:bCs/>
          <w:color w:val="auto"/>
          <w:kern w:val="0"/>
          <w:sz w:val="30"/>
          <w:szCs w:val="30"/>
          <w:highlight w:val="none"/>
        </w:rPr>
        <w:t>广西科联招标中心有限公司</w:t>
      </w:r>
      <w:bookmarkEnd w:id="0"/>
    </w:p>
    <w:p w14:paraId="5CD44A42">
      <w:pPr>
        <w:pStyle w:val="22"/>
        <w:jc w:val="center"/>
        <w:rPr>
          <w:color w:val="auto"/>
          <w:highlight w:val="none"/>
        </w:rPr>
      </w:pPr>
    </w:p>
    <w:p w14:paraId="52FB2C4D">
      <w:pPr>
        <w:jc w:val="center"/>
        <w:rPr>
          <w:color w:val="auto"/>
          <w:highlight w:val="none"/>
        </w:rPr>
      </w:pPr>
    </w:p>
    <w:p w14:paraId="65F3A448">
      <w:pPr>
        <w:snapToGrid w:val="0"/>
        <w:spacing w:before="50" w:after="120" w:line="360" w:lineRule="auto"/>
        <w:jc w:val="center"/>
        <w:rPr>
          <w:rFonts w:hint="eastAsia" w:ascii="宋体" w:hAnsi="宋体" w:eastAsia="宋体" w:cs="宋体"/>
          <w:b/>
          <w:bCs/>
          <w:color w:val="auto"/>
          <w:w w:val="95"/>
          <w:kern w:val="0"/>
          <w:sz w:val="30"/>
          <w:szCs w:val="30"/>
          <w:highlight w:val="none"/>
          <w:lang w:eastAsia="zh-CN"/>
        </w:rPr>
      </w:pPr>
      <w:r>
        <w:rPr>
          <w:rFonts w:hint="eastAsia" w:ascii="宋体" w:hAnsi="宋体" w:cs="宋体"/>
          <w:b/>
          <w:bCs/>
          <w:color w:val="auto"/>
          <w:w w:val="95"/>
          <w:kern w:val="0"/>
          <w:sz w:val="30"/>
          <w:szCs w:val="30"/>
          <w:highlight w:val="none"/>
        </w:rPr>
        <w:t xml:space="preserve"> 2025年</w:t>
      </w:r>
      <w:r>
        <w:rPr>
          <w:rFonts w:hint="eastAsia" w:ascii="宋体" w:hAnsi="宋体" w:cs="宋体"/>
          <w:b/>
          <w:bCs/>
          <w:color w:val="auto"/>
          <w:w w:val="95"/>
          <w:kern w:val="0"/>
          <w:sz w:val="30"/>
          <w:szCs w:val="30"/>
          <w:highlight w:val="none"/>
          <w:lang w:eastAsia="zh-CN"/>
        </w:rPr>
        <w:t>11月13日</w:t>
      </w:r>
    </w:p>
    <w:p w14:paraId="554ECA8E">
      <w:pPr>
        <w:pStyle w:val="13"/>
        <w:ind w:firstLine="803"/>
        <w:jc w:val="center"/>
        <w:rPr>
          <w:rFonts w:hint="eastAsia" w:ascii="宋体" w:hAnsi="宋体" w:cs="宋体"/>
          <w:b/>
          <w:bCs/>
          <w:color w:val="auto"/>
          <w:w w:val="95"/>
          <w:sz w:val="30"/>
          <w:szCs w:val="30"/>
          <w:highlight w:val="none"/>
        </w:rPr>
        <w:sectPr>
          <w:headerReference r:id="rId3" w:type="default"/>
          <w:footerReference r:id="rId4" w:type="default"/>
          <w:footerReference r:id="rId5" w:type="even"/>
          <w:pgSz w:w="11911" w:h="16838"/>
          <w:pgMar w:top="1134" w:right="1134" w:bottom="1134" w:left="1134" w:header="720" w:footer="720" w:gutter="0"/>
          <w:pgNumType w:start="1"/>
          <w:cols w:space="720" w:num="1"/>
          <w:titlePg/>
          <w:docGrid w:linePitch="331" w:charSpace="0"/>
        </w:sectPr>
      </w:pPr>
    </w:p>
    <w:p w14:paraId="6C9C2A8E">
      <w:pPr>
        <w:spacing w:before="360" w:beforeLines="150" w:after="360" w:afterLines="150" w:line="360" w:lineRule="auto"/>
        <w:jc w:val="center"/>
        <w:rPr>
          <w:b/>
          <w:color w:val="auto"/>
          <w:sz w:val="44"/>
          <w:szCs w:val="44"/>
          <w:highlight w:val="none"/>
        </w:rPr>
      </w:pPr>
      <w:r>
        <w:rPr>
          <w:rFonts w:hint="eastAsia"/>
          <w:b/>
          <w:color w:val="auto"/>
          <w:sz w:val="44"/>
          <w:szCs w:val="44"/>
          <w:highlight w:val="none"/>
        </w:rPr>
        <w:t>目   录</w:t>
      </w:r>
    </w:p>
    <w:p w14:paraId="4E8ED126">
      <w:pPr>
        <w:spacing w:line="400" w:lineRule="exact"/>
        <w:jc w:val="center"/>
        <w:rPr>
          <w:b/>
          <w:color w:val="auto"/>
          <w:sz w:val="44"/>
          <w:szCs w:val="44"/>
          <w:highlight w:val="none"/>
        </w:rPr>
      </w:pPr>
    </w:p>
    <w:p w14:paraId="1759B3CB">
      <w:pPr>
        <w:pStyle w:val="24"/>
        <w:tabs>
          <w:tab w:val="right" w:leader="dot" w:pos="9643"/>
        </w:tabs>
        <w:spacing w:line="480" w:lineRule="auto"/>
        <w:rPr>
          <w:rFonts w:hint="eastAsia" w:ascii="宋体" w:hAnsi="宋体" w:cs="宋体"/>
          <w:b/>
          <w:bCs/>
          <w:color w:val="auto"/>
          <w:sz w:val="32"/>
          <w:szCs w:val="32"/>
          <w:highlight w:val="none"/>
        </w:rPr>
      </w:pPr>
      <w:r>
        <w:rPr>
          <w:rFonts w:hint="eastAsia" w:ascii="宋体" w:hAnsi="宋体" w:cs="宋体"/>
          <w:b/>
          <w:bCs/>
          <w:color w:val="auto"/>
          <w:sz w:val="24"/>
          <w:highlight w:val="none"/>
        </w:rPr>
        <w:fldChar w:fldCharType="begin"/>
      </w:r>
      <w:r>
        <w:rPr>
          <w:rFonts w:hint="eastAsia" w:ascii="宋体" w:hAnsi="宋体" w:cs="宋体"/>
          <w:b/>
          <w:bCs/>
          <w:color w:val="auto"/>
          <w:sz w:val="24"/>
          <w:highlight w:val="none"/>
        </w:rPr>
        <w:instrText xml:space="preserve">TOC \o "1-1" \h \u </w:instrText>
      </w:r>
      <w:r>
        <w:rPr>
          <w:rFonts w:hint="eastAsia" w:ascii="宋体" w:hAnsi="宋体" w:cs="宋体"/>
          <w:b/>
          <w:bCs/>
          <w:color w:val="auto"/>
          <w:sz w:val="24"/>
          <w:highlight w:val="none"/>
        </w:rPr>
        <w:fldChar w:fldCharType="separate"/>
      </w:r>
      <w:r>
        <w:rPr>
          <w:color w:val="auto"/>
          <w:highlight w:val="none"/>
        </w:rPr>
        <w:fldChar w:fldCharType="begin"/>
      </w:r>
      <w:r>
        <w:rPr>
          <w:color w:val="auto"/>
          <w:highlight w:val="none"/>
        </w:rPr>
        <w:instrText xml:space="preserve"> HYPERLINK \l "_Toc32264" </w:instrText>
      </w:r>
      <w:r>
        <w:rPr>
          <w:color w:val="auto"/>
          <w:highlight w:val="none"/>
        </w:rPr>
        <w:fldChar w:fldCharType="separate"/>
      </w:r>
      <w:r>
        <w:rPr>
          <w:rFonts w:hint="eastAsia" w:ascii="宋体" w:hAnsi="宋体" w:cs="宋体"/>
          <w:b/>
          <w:bCs/>
          <w:color w:val="auto"/>
          <w:sz w:val="32"/>
          <w:szCs w:val="32"/>
          <w:highlight w:val="none"/>
        </w:rPr>
        <w:t>第一章  竞争性磋</w:t>
      </w:r>
      <w:bookmarkStart w:id="1" w:name="_Hlt135924181"/>
      <w:r>
        <w:rPr>
          <w:rFonts w:hint="eastAsia" w:ascii="宋体" w:hAnsi="宋体" w:cs="宋体"/>
          <w:b/>
          <w:bCs/>
          <w:color w:val="auto"/>
          <w:sz w:val="32"/>
          <w:szCs w:val="32"/>
          <w:highlight w:val="none"/>
        </w:rPr>
        <w:t>商</w:t>
      </w:r>
      <w:bookmarkEnd w:id="1"/>
      <w:r>
        <w:rPr>
          <w:rFonts w:hint="eastAsia" w:ascii="宋体" w:hAnsi="宋体" w:cs="宋体"/>
          <w:b/>
          <w:bCs/>
          <w:color w:val="auto"/>
          <w:sz w:val="32"/>
          <w:szCs w:val="32"/>
          <w:highlight w:val="none"/>
        </w:rPr>
        <w:t>公告</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_Toc32264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3</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09FABCE7">
      <w:pPr>
        <w:pStyle w:val="24"/>
        <w:tabs>
          <w:tab w:val="right" w:leader="dot" w:pos="9643"/>
        </w:tabs>
        <w:spacing w:line="480" w:lineRule="auto"/>
        <w:rPr>
          <w:rFonts w:hint="eastAsia"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"_Toc26836" </w:instrText>
      </w:r>
      <w:r>
        <w:rPr>
          <w:color w:val="auto"/>
          <w:highlight w:val="none"/>
        </w:rPr>
        <w:fldChar w:fldCharType="separate"/>
      </w:r>
      <w:r>
        <w:rPr>
          <w:rFonts w:hint="eastAsia" w:ascii="宋体" w:hAnsi="宋体" w:cs="宋体"/>
          <w:b/>
          <w:bCs/>
          <w:color w:val="auto"/>
          <w:sz w:val="32"/>
          <w:szCs w:val="32"/>
          <w:highlight w:val="none"/>
        </w:rPr>
        <w:t>第二章  采购需</w:t>
      </w:r>
      <w:bookmarkStart w:id="2" w:name="_Hlt137127195"/>
      <w:r>
        <w:rPr>
          <w:rFonts w:hint="eastAsia" w:ascii="宋体" w:hAnsi="宋体" w:cs="宋体"/>
          <w:b/>
          <w:bCs/>
          <w:color w:val="auto"/>
          <w:sz w:val="32"/>
          <w:szCs w:val="32"/>
          <w:highlight w:val="none"/>
        </w:rPr>
        <w:t>求</w:t>
      </w:r>
      <w:bookmarkEnd w:id="2"/>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_Toc26836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6</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290D1A5C">
      <w:pPr>
        <w:pStyle w:val="24"/>
        <w:tabs>
          <w:tab w:val="right" w:leader="dot" w:pos="9643"/>
        </w:tabs>
        <w:spacing w:line="480" w:lineRule="auto"/>
        <w:rPr>
          <w:rFonts w:hint="eastAsia"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"_Toc2072" </w:instrText>
      </w:r>
      <w:r>
        <w:rPr>
          <w:color w:val="auto"/>
          <w:highlight w:val="none"/>
        </w:rPr>
        <w:fldChar w:fldCharType="separate"/>
      </w:r>
      <w:r>
        <w:rPr>
          <w:rFonts w:hint="eastAsia" w:ascii="宋体" w:hAnsi="宋体" w:cs="宋体"/>
          <w:b/>
          <w:bCs/>
          <w:color w:val="auto"/>
          <w:sz w:val="32"/>
          <w:szCs w:val="32"/>
          <w:highlight w:val="none"/>
        </w:rPr>
        <w:t>第三章  供应</w:t>
      </w:r>
      <w:bookmarkStart w:id="3" w:name="_Hlt135905307"/>
      <w:r>
        <w:rPr>
          <w:rFonts w:hint="eastAsia" w:ascii="宋体" w:hAnsi="宋体" w:cs="宋体"/>
          <w:b/>
          <w:bCs/>
          <w:color w:val="auto"/>
          <w:sz w:val="32"/>
          <w:szCs w:val="32"/>
          <w:highlight w:val="none"/>
        </w:rPr>
        <w:t>商</w:t>
      </w:r>
      <w:bookmarkEnd w:id="3"/>
      <w:r>
        <w:rPr>
          <w:rFonts w:hint="eastAsia" w:ascii="宋体" w:hAnsi="宋体" w:cs="宋体"/>
          <w:b/>
          <w:bCs/>
          <w:color w:val="auto"/>
          <w:sz w:val="32"/>
          <w:szCs w:val="32"/>
          <w:highlight w:val="none"/>
        </w:rPr>
        <w:t>须知</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_Toc2072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29</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26B6B251">
      <w:pPr>
        <w:pStyle w:val="24"/>
        <w:tabs>
          <w:tab w:val="right" w:leader="dot" w:pos="9643"/>
        </w:tabs>
        <w:spacing w:line="480" w:lineRule="auto"/>
        <w:rPr>
          <w:rFonts w:hint="eastAsia"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"_Toc1088" </w:instrText>
      </w:r>
      <w:r>
        <w:rPr>
          <w:color w:val="auto"/>
          <w:highlight w:val="none"/>
        </w:rPr>
        <w:fldChar w:fldCharType="separate"/>
      </w:r>
      <w:r>
        <w:rPr>
          <w:rFonts w:hint="eastAsia" w:ascii="宋体" w:hAnsi="宋体" w:cs="宋体"/>
          <w:b/>
          <w:bCs/>
          <w:color w:val="auto"/>
          <w:sz w:val="32"/>
          <w:szCs w:val="32"/>
          <w:highlight w:val="none"/>
        </w:rPr>
        <w:t>第四章  评审程序、评审方法和评审标准</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_Toc1088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48</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20570A87">
      <w:pPr>
        <w:pStyle w:val="24"/>
        <w:tabs>
          <w:tab w:val="right" w:leader="dot" w:pos="9643"/>
        </w:tabs>
        <w:spacing w:line="480" w:lineRule="auto"/>
        <w:rPr>
          <w:rFonts w:hint="eastAsia"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"_Toc22302" </w:instrText>
      </w:r>
      <w:r>
        <w:rPr>
          <w:color w:val="auto"/>
          <w:highlight w:val="none"/>
        </w:rPr>
        <w:fldChar w:fldCharType="separate"/>
      </w:r>
      <w:r>
        <w:rPr>
          <w:rFonts w:hint="eastAsia" w:ascii="宋体" w:hAnsi="宋体" w:cs="宋体"/>
          <w:b/>
          <w:bCs/>
          <w:color w:val="auto"/>
          <w:sz w:val="32"/>
          <w:szCs w:val="32"/>
          <w:highlight w:val="none"/>
        </w:rPr>
        <w:t>第五章  响应文</w:t>
      </w:r>
      <w:bookmarkStart w:id="4" w:name="_Hlt135897173"/>
      <w:bookmarkStart w:id="5" w:name="_Hlt135897174"/>
      <w:r>
        <w:rPr>
          <w:rFonts w:hint="eastAsia" w:ascii="宋体" w:hAnsi="宋体" w:cs="宋体"/>
          <w:b/>
          <w:bCs/>
          <w:color w:val="auto"/>
          <w:sz w:val="32"/>
          <w:szCs w:val="32"/>
          <w:highlight w:val="none"/>
        </w:rPr>
        <w:t>件</w:t>
      </w:r>
      <w:bookmarkEnd w:id="4"/>
      <w:bookmarkEnd w:id="5"/>
      <w:r>
        <w:rPr>
          <w:rFonts w:hint="eastAsia" w:ascii="宋体" w:hAnsi="宋体" w:cs="宋体"/>
          <w:b/>
          <w:bCs/>
          <w:color w:val="auto"/>
          <w:sz w:val="32"/>
          <w:szCs w:val="32"/>
          <w:highlight w:val="none"/>
        </w:rPr>
        <w:t>格式</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_Toc22302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59</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2E5331F1">
      <w:pPr>
        <w:pStyle w:val="24"/>
        <w:tabs>
          <w:tab w:val="right" w:leader="dot" w:pos="9643"/>
        </w:tabs>
        <w:spacing w:line="480" w:lineRule="auto"/>
        <w:rPr>
          <w:rFonts w:hint="eastAsia"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"_Toc18676" </w:instrText>
      </w:r>
      <w:r>
        <w:rPr>
          <w:color w:val="auto"/>
          <w:highlight w:val="none"/>
        </w:rPr>
        <w:fldChar w:fldCharType="separate"/>
      </w:r>
      <w:r>
        <w:rPr>
          <w:rFonts w:hint="eastAsia" w:ascii="宋体" w:hAnsi="宋体" w:cs="宋体"/>
          <w:b/>
          <w:bCs/>
          <w:color w:val="auto"/>
          <w:sz w:val="32"/>
          <w:szCs w:val="32"/>
          <w:highlight w:val="none"/>
        </w:rPr>
        <w:t>第六章  合同</w:t>
      </w:r>
      <w:bookmarkStart w:id="6" w:name="_Hlt137127064"/>
      <w:bookmarkStart w:id="7" w:name="_Hlt135924190"/>
      <w:bookmarkStart w:id="8" w:name="_Hlt137127063"/>
      <w:r>
        <w:rPr>
          <w:rFonts w:hint="eastAsia" w:ascii="宋体" w:hAnsi="宋体" w:cs="宋体"/>
          <w:b/>
          <w:bCs/>
          <w:color w:val="auto"/>
          <w:sz w:val="32"/>
          <w:szCs w:val="32"/>
          <w:highlight w:val="none"/>
        </w:rPr>
        <w:t>文</w:t>
      </w:r>
      <w:bookmarkEnd w:id="6"/>
      <w:bookmarkEnd w:id="7"/>
      <w:bookmarkEnd w:id="8"/>
      <w:bookmarkStart w:id="9" w:name="_Hlt135924167"/>
      <w:bookmarkStart w:id="10" w:name="_Hlt135924166"/>
      <w:r>
        <w:rPr>
          <w:rFonts w:hint="eastAsia" w:ascii="宋体" w:hAnsi="宋体" w:cs="宋体"/>
          <w:b/>
          <w:bCs/>
          <w:color w:val="auto"/>
          <w:sz w:val="32"/>
          <w:szCs w:val="32"/>
          <w:highlight w:val="none"/>
        </w:rPr>
        <w:t>本</w:t>
      </w:r>
      <w:bookmarkEnd w:id="9"/>
      <w:bookmarkEnd w:id="10"/>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_Toc18676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88</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4F1D6B93">
      <w:pPr>
        <w:pStyle w:val="24"/>
        <w:tabs>
          <w:tab w:val="right" w:leader="dot" w:pos="9643"/>
        </w:tabs>
        <w:spacing w:line="480" w:lineRule="auto"/>
        <w:rPr>
          <w:b/>
          <w:bCs/>
          <w:color w:val="auto"/>
          <w:sz w:val="32"/>
          <w:szCs w:val="32"/>
          <w:highlight w:val="none"/>
        </w:rPr>
      </w:pPr>
      <w:r>
        <w:rPr>
          <w:color w:val="auto"/>
          <w:highlight w:val="none"/>
        </w:rPr>
        <w:fldChar w:fldCharType="begin"/>
      </w:r>
      <w:r>
        <w:rPr>
          <w:color w:val="auto"/>
          <w:highlight w:val="none"/>
        </w:rPr>
        <w:instrText xml:space="preserve"> HYPERLINK \l "_Toc13011" </w:instrText>
      </w:r>
      <w:r>
        <w:rPr>
          <w:color w:val="auto"/>
          <w:highlight w:val="none"/>
        </w:rPr>
        <w:fldChar w:fldCharType="separate"/>
      </w:r>
      <w:r>
        <w:rPr>
          <w:rFonts w:hint="eastAsia" w:ascii="宋体" w:hAnsi="宋体" w:cs="宋体"/>
          <w:b/>
          <w:bCs/>
          <w:color w:val="auto"/>
          <w:sz w:val="32"/>
          <w:szCs w:val="32"/>
          <w:highlight w:val="none"/>
        </w:rPr>
        <w:t>第七章  质疑、投诉</w:t>
      </w:r>
      <w:bookmarkStart w:id="11" w:name="_Hlt137580638"/>
      <w:bookmarkStart w:id="12" w:name="_Hlt137580637"/>
      <w:r>
        <w:rPr>
          <w:rFonts w:hint="eastAsia" w:ascii="宋体" w:hAnsi="宋体" w:cs="宋体"/>
          <w:b/>
          <w:bCs/>
          <w:color w:val="auto"/>
          <w:sz w:val="32"/>
          <w:szCs w:val="32"/>
          <w:highlight w:val="none"/>
        </w:rPr>
        <w:t>材</w:t>
      </w:r>
      <w:bookmarkEnd w:id="11"/>
      <w:bookmarkEnd w:id="12"/>
      <w:r>
        <w:rPr>
          <w:rFonts w:hint="eastAsia" w:ascii="宋体" w:hAnsi="宋体" w:cs="宋体"/>
          <w:b/>
          <w:bCs/>
          <w:color w:val="auto"/>
          <w:sz w:val="32"/>
          <w:szCs w:val="32"/>
          <w:highlight w:val="none"/>
        </w:rPr>
        <w:t>料格式</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_Toc13011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100</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3420BD13">
      <w:pPr>
        <w:pStyle w:val="26"/>
        <w:spacing w:line="480" w:lineRule="auto"/>
        <w:rPr>
          <w:b/>
          <w:color w:val="auto"/>
          <w:sz w:val="32"/>
          <w:szCs w:val="32"/>
          <w:highlight w:val="none"/>
        </w:rPr>
      </w:pPr>
      <w:r>
        <w:rPr>
          <w:rFonts w:hint="eastAsia" w:ascii="宋体" w:hAnsi="宋体" w:cs="宋体"/>
          <w:b/>
          <w:bCs/>
          <w:color w:val="auto"/>
          <w:sz w:val="24"/>
          <w:highlight w:val="none"/>
        </w:rPr>
        <w:fldChar w:fldCharType="end"/>
      </w:r>
    </w:p>
    <w:p w14:paraId="7C96D038">
      <w:pPr>
        <w:spacing w:line="400" w:lineRule="exact"/>
        <w:rPr>
          <w:b/>
          <w:color w:val="auto"/>
          <w:sz w:val="32"/>
          <w:szCs w:val="32"/>
          <w:highlight w:val="none"/>
        </w:rPr>
        <w:sectPr>
          <w:headerReference r:id="rId7" w:type="first"/>
          <w:footerReference r:id="rId9" w:type="first"/>
          <w:headerReference r:id="rId6" w:type="default"/>
          <w:footerReference r:id="rId8" w:type="default"/>
          <w:pgSz w:w="11911" w:h="16838"/>
          <w:pgMar w:top="1134" w:right="1134" w:bottom="1134" w:left="1134" w:header="720" w:footer="720" w:gutter="0"/>
          <w:cols w:space="720" w:num="1"/>
          <w:docGrid w:linePitch="312" w:charSpace="0"/>
        </w:sectPr>
      </w:pPr>
    </w:p>
    <w:p w14:paraId="069EEDC6">
      <w:pPr>
        <w:pStyle w:val="2"/>
        <w:spacing w:before="360" w:after="360" w:line="400" w:lineRule="exact"/>
        <w:jc w:val="center"/>
        <w:rPr>
          <w:rFonts w:ascii="Calibri" w:hAnsi="Calibri"/>
          <w:color w:val="auto"/>
          <w:highlight w:val="none"/>
        </w:rPr>
      </w:pPr>
      <w:bookmarkStart w:id="13" w:name="_Toc12242"/>
      <w:bookmarkStart w:id="14" w:name="_Toc15624"/>
      <w:bookmarkStart w:id="15" w:name="_Toc32264"/>
      <w:bookmarkStart w:id="16" w:name="_Toc18838"/>
      <w:bookmarkStart w:id="17" w:name="_Toc11989"/>
      <w:bookmarkStart w:id="18" w:name="_Toc80886925"/>
      <w:bookmarkStart w:id="19" w:name="_Toc27000"/>
      <w:bookmarkStart w:id="20" w:name="_Toc11382"/>
      <w:r>
        <w:rPr>
          <w:rFonts w:hint="eastAsia" w:ascii="Calibri" w:hAnsi="Calibri"/>
          <w:color w:val="auto"/>
          <w:highlight w:val="none"/>
        </w:rPr>
        <w:t>第一章 竞争性磋商公告</w:t>
      </w:r>
      <w:bookmarkEnd w:id="13"/>
      <w:bookmarkEnd w:id="14"/>
      <w:bookmarkEnd w:id="15"/>
      <w:bookmarkEnd w:id="16"/>
      <w:bookmarkEnd w:id="17"/>
      <w:bookmarkEnd w:id="18"/>
      <w:bookmarkEnd w:id="19"/>
      <w:bookmarkEnd w:id="20"/>
      <w:bookmarkStart w:id="21" w:name="_Toc35393629"/>
      <w:bookmarkStart w:id="22" w:name="_Toc28359089"/>
      <w:bookmarkStart w:id="23" w:name="_Toc28359081"/>
      <w:bookmarkStart w:id="24" w:name="_Toc28359004"/>
      <w:bookmarkStart w:id="25" w:name="_Toc35393623"/>
      <w:bookmarkStart w:id="26" w:name="_Toc35393792"/>
      <w:bookmarkStart w:id="27" w:name="_Toc35393798"/>
      <w:bookmarkStart w:id="28" w:name="_Toc28359012"/>
      <w:bookmarkStart w:id="29" w:name="_Toc44229878"/>
    </w:p>
    <w:p w14:paraId="7C284ACD">
      <w:pPr>
        <w:spacing w:line="360" w:lineRule="auto"/>
        <w:jc w:val="center"/>
        <w:rPr>
          <w:b/>
          <w:color w:val="auto"/>
          <w:sz w:val="21"/>
          <w:szCs w:val="21"/>
          <w:highlight w:val="none"/>
        </w:rPr>
      </w:pPr>
    </w:p>
    <w:p w14:paraId="188AA9C1">
      <w:pPr>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广西科联招标中心有限公司关于</w:t>
      </w:r>
      <w:r>
        <w:rPr>
          <w:rFonts w:hint="eastAsia" w:ascii="宋体" w:hAnsi="宋体" w:cs="宋体"/>
          <w:b/>
          <w:color w:val="auto"/>
          <w:sz w:val="32"/>
          <w:szCs w:val="32"/>
          <w:highlight w:val="none"/>
          <w:lang w:eastAsia="zh-CN"/>
        </w:rPr>
        <w:t>广西社会治安综合治理信息平台建设项目</w:t>
      </w:r>
      <w:r>
        <w:rPr>
          <w:rFonts w:hint="eastAsia" w:ascii="宋体" w:hAnsi="宋体" w:cs="宋体"/>
          <w:b/>
          <w:color w:val="auto"/>
          <w:sz w:val="32"/>
          <w:szCs w:val="32"/>
          <w:highlight w:val="none"/>
        </w:rPr>
        <w:t>（</w:t>
      </w:r>
      <w:r>
        <w:rPr>
          <w:rFonts w:hint="eastAsia" w:ascii="宋体" w:hAnsi="宋体" w:cs="宋体"/>
          <w:b/>
          <w:color w:val="auto"/>
          <w:sz w:val="32"/>
          <w:szCs w:val="32"/>
          <w:highlight w:val="none"/>
          <w:lang w:eastAsia="zh-CN"/>
        </w:rPr>
        <w:t>GXZC2025-C3-003415-GXKL</w:t>
      </w:r>
      <w:r>
        <w:rPr>
          <w:rFonts w:hint="eastAsia" w:ascii="宋体" w:hAnsi="宋体" w:cs="宋体"/>
          <w:b/>
          <w:color w:val="auto"/>
          <w:sz w:val="32"/>
          <w:szCs w:val="32"/>
          <w:highlight w:val="none"/>
        </w:rPr>
        <w:t>）的竞争性磋商公告</w:t>
      </w:r>
    </w:p>
    <w:p w14:paraId="1B631DA0">
      <w:pPr>
        <w:pStyle w:val="22"/>
        <w:rPr>
          <w:color w:val="auto"/>
          <w:highlight w:val="none"/>
        </w:rPr>
      </w:pPr>
    </w:p>
    <w:bookmarkEnd w:id="21"/>
    <w:bookmarkEnd w:id="22"/>
    <w:bookmarkEnd w:id="23"/>
    <w:bookmarkEnd w:id="24"/>
    <w:bookmarkEnd w:id="25"/>
    <w:bookmarkEnd w:id="26"/>
    <w:bookmarkEnd w:id="27"/>
    <w:bookmarkEnd w:id="28"/>
    <w:bookmarkEnd w:id="29"/>
    <w:tbl>
      <w:tblPr>
        <w:tblStyle w:val="31"/>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14:paraId="2A56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9" w:type="dxa"/>
          </w:tcPr>
          <w:p w14:paraId="1C2CDB98">
            <w:pPr>
              <w:keepNext w:val="0"/>
              <w:keepLines w:val="0"/>
              <w:suppressLineNumbers w:val="0"/>
              <w:spacing w:before="0" w:beforeAutospacing="0" w:after="0" w:afterAutospacing="0" w:line="360" w:lineRule="auto"/>
              <w:ind w:left="0" w:right="0"/>
              <w:rPr>
                <w:rFonts w:hint="default"/>
                <w:color w:val="auto"/>
                <w:szCs w:val="21"/>
                <w:highlight w:val="none"/>
              </w:rPr>
            </w:pPr>
            <w:r>
              <w:rPr>
                <w:rFonts w:hint="eastAsia"/>
                <w:color w:val="auto"/>
                <w:szCs w:val="21"/>
                <w:highlight w:val="none"/>
              </w:rPr>
              <w:t>项目概况：</w:t>
            </w:r>
          </w:p>
          <w:p w14:paraId="212552CE">
            <w:pPr>
              <w:keepNext w:val="0"/>
              <w:keepLines w:val="0"/>
              <w:suppressLineNumbers w:val="0"/>
              <w:spacing w:before="0" w:beforeAutospacing="0" w:after="0" w:afterAutospacing="0" w:line="360" w:lineRule="auto"/>
              <w:ind w:left="0" w:right="0" w:firstLine="420" w:firstLineChars="200"/>
              <w:rPr>
                <w:rFonts w:hint="eastAsia" w:ascii="黑体" w:hAnsi="黑体" w:eastAsia="黑体" w:cs="宋体"/>
                <w:bCs/>
                <w:color w:val="auto"/>
                <w:sz w:val="24"/>
                <w:highlight w:val="none"/>
              </w:rPr>
            </w:pPr>
            <w:r>
              <w:rPr>
                <w:rFonts w:hint="eastAsia" w:ascii="宋体" w:hAnsi="宋体" w:cs="宋体"/>
                <w:color w:val="auto"/>
                <w:szCs w:val="21"/>
                <w:highlight w:val="none"/>
                <w:u w:val="single"/>
                <w:lang w:eastAsia="zh-CN"/>
              </w:rPr>
              <w:t>广西社会治安综合治理信息平台建设项目</w:t>
            </w:r>
            <w:r>
              <w:rPr>
                <w:rFonts w:hint="eastAsia" w:ascii="宋体" w:hAnsi="宋体" w:cs="宋体"/>
                <w:color w:val="auto"/>
                <w:szCs w:val="21"/>
                <w:highlight w:val="none"/>
              </w:rPr>
              <w:t>采购项目的潜在供应商应在广西政府采购云平台（https://www.gcy.zfcg.gxzf.gov.cn/）获取采购文件，并于2025年</w:t>
            </w:r>
            <w:r>
              <w:rPr>
                <w:rFonts w:hint="eastAsia" w:ascii="宋体" w:hAnsi="宋体" w:cs="宋体"/>
                <w:color w:val="auto"/>
                <w:szCs w:val="21"/>
                <w:highlight w:val="none"/>
                <w:lang w:eastAsia="zh-CN"/>
              </w:rPr>
              <w:t>11月24日</w:t>
            </w:r>
            <w:r>
              <w:rPr>
                <w:rFonts w:hint="eastAsia" w:ascii="宋体" w:hAnsi="宋体" w:cs="宋体"/>
                <w:color w:val="auto"/>
                <w:szCs w:val="21"/>
                <w:highlight w:val="none"/>
              </w:rPr>
              <w:t>09:00:00（北京时间）前提交响应文件。</w:t>
            </w:r>
          </w:p>
        </w:tc>
      </w:tr>
    </w:tbl>
    <w:p w14:paraId="01191127">
      <w:pPr>
        <w:spacing w:line="39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一、项目基本情况</w:t>
      </w:r>
    </w:p>
    <w:p w14:paraId="129064E0">
      <w:pPr>
        <w:spacing w:line="360" w:lineRule="auto"/>
        <w:ind w:firstLine="422" w:firstLineChars="200"/>
        <w:rPr>
          <w:rFonts w:hint="eastAsia" w:ascii="宋体" w:hAnsi="宋体" w:eastAsia="宋体"/>
          <w:color w:val="auto"/>
          <w:szCs w:val="21"/>
          <w:highlight w:val="none"/>
          <w:lang w:eastAsia="zh-CN"/>
        </w:rPr>
      </w:pPr>
      <w:r>
        <w:rPr>
          <w:rFonts w:hint="eastAsia" w:ascii="宋体" w:hAnsi="宋体"/>
          <w:b/>
          <w:bCs/>
          <w:color w:val="auto"/>
          <w:szCs w:val="21"/>
          <w:highlight w:val="none"/>
        </w:rPr>
        <w:t>项目编号：</w:t>
      </w:r>
      <w:r>
        <w:rPr>
          <w:rFonts w:hint="eastAsia" w:ascii="宋体" w:hAnsi="宋体"/>
          <w:color w:val="auto"/>
          <w:szCs w:val="21"/>
          <w:highlight w:val="none"/>
          <w:lang w:eastAsia="zh-CN"/>
        </w:rPr>
        <w:t>GXZC2025-C3-003415-GXKL</w:t>
      </w:r>
    </w:p>
    <w:p w14:paraId="6BE25CE3">
      <w:pPr>
        <w:spacing w:line="360" w:lineRule="auto"/>
        <w:ind w:firstLine="422" w:firstLineChars="200"/>
        <w:rPr>
          <w:rFonts w:hint="eastAsia" w:ascii="宋体" w:hAnsi="宋体" w:eastAsia="宋体"/>
          <w:color w:val="auto"/>
          <w:szCs w:val="21"/>
          <w:highlight w:val="none"/>
          <w:lang w:eastAsia="zh-CN"/>
        </w:rPr>
      </w:pPr>
      <w:r>
        <w:rPr>
          <w:rFonts w:hint="eastAsia" w:ascii="宋体" w:hAnsi="宋体"/>
          <w:b/>
          <w:bCs/>
          <w:color w:val="auto"/>
          <w:szCs w:val="21"/>
          <w:highlight w:val="none"/>
        </w:rPr>
        <w:t>项目名称：</w:t>
      </w:r>
      <w:r>
        <w:rPr>
          <w:rFonts w:hint="eastAsia" w:ascii="宋体" w:hAnsi="宋体"/>
          <w:color w:val="auto"/>
          <w:szCs w:val="21"/>
          <w:highlight w:val="none"/>
          <w:lang w:eastAsia="zh-CN"/>
        </w:rPr>
        <w:t>广西社会治安综合治理信息平台建设项目</w:t>
      </w:r>
    </w:p>
    <w:p w14:paraId="5B560E39">
      <w:pPr>
        <w:spacing w:line="360" w:lineRule="auto"/>
        <w:ind w:firstLine="422" w:firstLineChars="200"/>
        <w:rPr>
          <w:rFonts w:hint="eastAsia" w:ascii="宋体" w:hAnsi="宋体"/>
          <w:color w:val="auto"/>
          <w:szCs w:val="21"/>
          <w:highlight w:val="none"/>
        </w:rPr>
      </w:pPr>
      <w:r>
        <w:rPr>
          <w:rFonts w:hint="eastAsia" w:ascii="宋体" w:hAnsi="宋体"/>
          <w:b/>
          <w:bCs/>
          <w:color w:val="auto"/>
          <w:szCs w:val="21"/>
          <w:highlight w:val="none"/>
        </w:rPr>
        <w:t>采购方式：</w:t>
      </w:r>
      <w:r>
        <w:rPr>
          <w:rFonts w:hint="eastAsia" w:ascii="宋体" w:hAnsi="宋体"/>
          <w:color w:val="auto"/>
          <w:szCs w:val="21"/>
          <w:highlight w:val="none"/>
        </w:rPr>
        <w:t>竞争性磋商</w:t>
      </w:r>
    </w:p>
    <w:p w14:paraId="7ECAAABA">
      <w:pPr>
        <w:spacing w:line="360" w:lineRule="auto"/>
        <w:ind w:firstLine="422" w:firstLineChars="200"/>
        <w:rPr>
          <w:rFonts w:hint="eastAsia" w:ascii="宋体" w:hAnsi="宋体"/>
          <w:color w:val="auto"/>
          <w:szCs w:val="21"/>
          <w:highlight w:val="none"/>
          <w:lang w:val="en-US" w:eastAsia="zh-CN"/>
        </w:rPr>
      </w:pPr>
      <w:r>
        <w:rPr>
          <w:rFonts w:hint="eastAsia" w:ascii="宋体" w:hAnsi="宋体"/>
          <w:b/>
          <w:bCs/>
          <w:color w:val="auto"/>
          <w:szCs w:val="21"/>
          <w:highlight w:val="none"/>
        </w:rPr>
        <w:t>预算</w:t>
      </w:r>
      <w:r>
        <w:rPr>
          <w:rFonts w:hint="eastAsia" w:ascii="宋体" w:hAnsi="宋体"/>
          <w:b/>
          <w:bCs/>
          <w:color w:val="auto"/>
          <w:szCs w:val="21"/>
          <w:highlight w:val="none"/>
          <w:lang w:val="en-US" w:eastAsia="zh-CN"/>
        </w:rPr>
        <w:t>总</w:t>
      </w:r>
      <w:r>
        <w:rPr>
          <w:rFonts w:hint="eastAsia" w:ascii="宋体" w:hAnsi="宋体"/>
          <w:b/>
          <w:bCs/>
          <w:color w:val="auto"/>
          <w:szCs w:val="21"/>
          <w:highlight w:val="none"/>
        </w:rPr>
        <w:t>金额（元）</w:t>
      </w:r>
      <w:r>
        <w:rPr>
          <w:rFonts w:hint="eastAsia" w:ascii="宋体" w:hAnsi="宋体"/>
          <w:color w:val="auto"/>
          <w:szCs w:val="21"/>
          <w:highlight w:val="none"/>
        </w:rPr>
        <w:t>：</w:t>
      </w:r>
      <w:r>
        <w:rPr>
          <w:rFonts w:hint="eastAsia" w:ascii="宋体" w:hAnsi="宋体"/>
          <w:color w:val="auto"/>
          <w:szCs w:val="21"/>
          <w:highlight w:val="none"/>
          <w:lang w:val="en-US" w:eastAsia="zh-CN"/>
        </w:rPr>
        <w:t>9962000.00</w:t>
      </w:r>
    </w:p>
    <w:p w14:paraId="46853973">
      <w:pPr>
        <w:spacing w:line="360" w:lineRule="auto"/>
        <w:ind w:firstLine="422" w:firstLineChars="200"/>
        <w:rPr>
          <w:rFonts w:hint="eastAsia" w:ascii="宋体" w:hAnsi="宋体"/>
          <w:b/>
          <w:bCs/>
          <w:color w:val="auto"/>
          <w:szCs w:val="21"/>
          <w:highlight w:val="none"/>
        </w:rPr>
      </w:pPr>
      <w:r>
        <w:rPr>
          <w:rFonts w:hint="eastAsia" w:ascii="宋体" w:hAnsi="宋体"/>
          <w:b/>
          <w:bCs/>
          <w:color w:val="auto"/>
          <w:szCs w:val="21"/>
          <w:highlight w:val="none"/>
        </w:rPr>
        <w:t>采购需求：</w:t>
      </w:r>
    </w:p>
    <w:p w14:paraId="78082680">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标项名称:</w:t>
      </w:r>
      <w:r>
        <w:rPr>
          <w:rFonts w:hint="eastAsia" w:ascii="宋体" w:hAnsi="宋体"/>
          <w:color w:val="auto"/>
          <w:szCs w:val="21"/>
          <w:highlight w:val="none"/>
          <w:lang w:eastAsia="zh-CN"/>
        </w:rPr>
        <w:t>广西社会治安综合治理信息平台建设项目</w:t>
      </w:r>
    </w:p>
    <w:p w14:paraId="1B26A03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数量:1</w:t>
      </w:r>
    </w:p>
    <w:p w14:paraId="0EFE6CD0">
      <w:pPr>
        <w:spacing w:line="360" w:lineRule="auto"/>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预算金额（元）:</w:t>
      </w:r>
      <w:r>
        <w:rPr>
          <w:rFonts w:hint="eastAsia" w:ascii="宋体" w:hAnsi="宋体"/>
          <w:color w:val="auto"/>
          <w:szCs w:val="21"/>
          <w:highlight w:val="none"/>
          <w:lang w:val="en-US" w:eastAsia="zh-CN"/>
        </w:rPr>
        <w:t>9962000.00</w:t>
      </w:r>
    </w:p>
    <w:p w14:paraId="657D85B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简要规格描述或项目基本概况介绍、用途：广西社会治安综合治理信息平台1项、数据中台系统1项、AI智能应用系统1项、智能密码钥匙10个、CA证书10套、SSL站点证书2套、国密浏览器10套、国产化数据库7套、国产化中间件7套，详见本</w:t>
      </w:r>
      <w:r>
        <w:rPr>
          <w:rFonts w:hint="eastAsia"/>
          <w:color w:val="auto"/>
          <w:highlight w:val="none"/>
        </w:rPr>
        <w:t>竞争性磋商公告</w:t>
      </w:r>
      <w:r>
        <w:rPr>
          <w:rFonts w:hint="eastAsia" w:ascii="宋体" w:hAnsi="宋体"/>
          <w:color w:val="auto"/>
          <w:szCs w:val="21"/>
          <w:highlight w:val="none"/>
        </w:rPr>
        <w:t>附件。</w:t>
      </w:r>
    </w:p>
    <w:p w14:paraId="6733468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最高限价（如有）：/</w:t>
      </w:r>
    </w:p>
    <w:p w14:paraId="6AC74123">
      <w:pPr>
        <w:spacing w:line="360" w:lineRule="auto"/>
        <w:ind w:firstLine="420" w:firstLineChars="200"/>
        <w:rPr>
          <w:rFonts w:hint="eastAsia" w:ascii="宋体" w:hAnsi="宋体"/>
          <w:color w:val="auto"/>
          <w:szCs w:val="21"/>
          <w:highlight w:val="none"/>
        </w:rPr>
      </w:pPr>
      <w:r>
        <w:rPr>
          <w:rFonts w:hint="eastAsia" w:ascii="宋体" w:hAnsi="宋体" w:eastAsia="宋体" w:cs="Times New Roman"/>
          <w:color w:val="auto"/>
          <w:szCs w:val="21"/>
          <w:highlight w:val="none"/>
        </w:rPr>
        <w:t>合同履约期限：</w:t>
      </w:r>
      <w:r>
        <w:rPr>
          <w:rFonts w:hint="eastAsia" w:ascii="宋体" w:hAnsi="宋体" w:cs="Times New Roman"/>
          <w:color w:val="auto"/>
          <w:szCs w:val="21"/>
          <w:highlight w:val="none"/>
          <w:lang w:eastAsia="zh-CN"/>
        </w:rPr>
        <w:t>2027年4月30日前。其中2025年12月15日前须完成第一阶段项目建设。</w:t>
      </w:r>
      <w:bookmarkStart w:id="333" w:name="_GoBack"/>
      <w:bookmarkEnd w:id="333"/>
    </w:p>
    <w:p w14:paraId="325E35B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本标项（否）接受联合体竞标。</w:t>
      </w:r>
    </w:p>
    <w:p w14:paraId="389871F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备注：无</w:t>
      </w:r>
    </w:p>
    <w:p w14:paraId="76C211FF">
      <w:pPr>
        <w:spacing w:line="390" w:lineRule="exact"/>
        <w:ind w:firstLine="482" w:firstLineChars="200"/>
        <w:rPr>
          <w:rFonts w:hint="eastAsia" w:ascii="宋体" w:hAnsi="宋体" w:cs="宋体"/>
          <w:b/>
          <w:bCs/>
          <w:color w:val="auto"/>
          <w:sz w:val="24"/>
          <w:highlight w:val="none"/>
        </w:rPr>
      </w:pPr>
      <w:bookmarkStart w:id="30" w:name="_Toc35393799"/>
      <w:bookmarkStart w:id="31" w:name="_Toc28359090"/>
      <w:bookmarkStart w:id="32" w:name="_Toc35393630"/>
      <w:bookmarkStart w:id="33" w:name="_Toc28359013"/>
      <w:bookmarkStart w:id="34" w:name="_Toc44229879"/>
      <w:r>
        <w:rPr>
          <w:rFonts w:hint="eastAsia" w:ascii="宋体" w:hAnsi="宋体" w:cs="宋体"/>
          <w:b/>
          <w:bCs/>
          <w:color w:val="auto"/>
          <w:sz w:val="24"/>
          <w:highlight w:val="none"/>
        </w:rPr>
        <w:t>二、申请人的资格</w:t>
      </w:r>
      <w:bookmarkEnd w:id="30"/>
      <w:bookmarkEnd w:id="31"/>
      <w:bookmarkEnd w:id="32"/>
      <w:bookmarkEnd w:id="33"/>
      <w:bookmarkEnd w:id="34"/>
      <w:r>
        <w:rPr>
          <w:rFonts w:hint="eastAsia" w:ascii="宋体" w:hAnsi="宋体" w:cs="宋体"/>
          <w:b/>
          <w:bCs/>
          <w:color w:val="auto"/>
          <w:sz w:val="24"/>
          <w:highlight w:val="none"/>
        </w:rPr>
        <w:t>要求</w:t>
      </w:r>
    </w:p>
    <w:p w14:paraId="3106D26E">
      <w:pPr>
        <w:spacing w:line="39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55ED252F">
      <w:pPr>
        <w:spacing w:line="39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2.落实政府采购政策需满足的资格要求：无；</w:t>
      </w:r>
    </w:p>
    <w:p w14:paraId="325705C3">
      <w:pPr>
        <w:spacing w:line="39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3.本项目的特定资格要求：无。</w:t>
      </w:r>
    </w:p>
    <w:p w14:paraId="3EC46CC2">
      <w:pPr>
        <w:spacing w:line="39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三、获取采购文件</w:t>
      </w:r>
    </w:p>
    <w:p w14:paraId="669C1CC7">
      <w:pPr>
        <w:spacing w:line="390" w:lineRule="exact"/>
        <w:ind w:firstLine="420" w:firstLineChars="200"/>
        <w:rPr>
          <w:rFonts w:hint="eastAsia" w:ascii="宋体" w:hAnsi="宋体" w:cs="宋体"/>
          <w:bCs/>
          <w:color w:val="auto"/>
          <w:kern w:val="0"/>
          <w:szCs w:val="21"/>
          <w:highlight w:val="none"/>
        </w:rPr>
      </w:pPr>
      <w:bookmarkStart w:id="35" w:name="_Toc35393624"/>
      <w:bookmarkStart w:id="36" w:name="_Toc28359005"/>
      <w:bookmarkStart w:id="37" w:name="_Toc35393793"/>
      <w:bookmarkStart w:id="38" w:name="_Toc28359082"/>
      <w:r>
        <w:rPr>
          <w:rFonts w:hint="eastAsia" w:ascii="宋体" w:hAnsi="宋体" w:cs="宋体"/>
          <w:bCs/>
          <w:color w:val="auto"/>
          <w:kern w:val="0"/>
          <w:szCs w:val="21"/>
          <w:highlight w:val="none"/>
        </w:rPr>
        <w:t>时间：2025年</w:t>
      </w:r>
      <w:r>
        <w:rPr>
          <w:rFonts w:hint="eastAsia" w:ascii="宋体" w:hAnsi="宋体" w:cs="宋体"/>
          <w:bCs/>
          <w:color w:val="auto"/>
          <w:kern w:val="0"/>
          <w:szCs w:val="21"/>
          <w:highlight w:val="none"/>
          <w:lang w:eastAsia="zh-CN"/>
        </w:rPr>
        <w:t>11月13日</w:t>
      </w:r>
      <w:r>
        <w:rPr>
          <w:rFonts w:hint="eastAsia" w:ascii="宋体" w:hAnsi="宋体" w:cs="宋体"/>
          <w:bCs/>
          <w:color w:val="auto"/>
          <w:kern w:val="0"/>
          <w:szCs w:val="21"/>
          <w:highlight w:val="none"/>
        </w:rPr>
        <w:t>至2025年</w:t>
      </w:r>
      <w:r>
        <w:rPr>
          <w:rFonts w:hint="eastAsia" w:ascii="宋体" w:hAnsi="宋体" w:cs="宋体"/>
          <w:bCs/>
          <w:color w:val="auto"/>
          <w:kern w:val="0"/>
          <w:szCs w:val="21"/>
          <w:highlight w:val="none"/>
          <w:lang w:eastAsia="zh-CN"/>
        </w:rPr>
        <w:t>11月20日</w:t>
      </w:r>
      <w:r>
        <w:rPr>
          <w:rFonts w:hint="eastAsia" w:ascii="宋体" w:hAnsi="宋体" w:cs="宋体"/>
          <w:bCs/>
          <w:color w:val="auto"/>
          <w:kern w:val="0"/>
          <w:szCs w:val="21"/>
          <w:highlight w:val="none"/>
        </w:rPr>
        <w:t>，每天上午00:00至11:59，下午12:00至23:59（北京时间，法定节假日除外）；</w:t>
      </w:r>
    </w:p>
    <w:p w14:paraId="0B461F52">
      <w:pPr>
        <w:spacing w:line="390" w:lineRule="exact"/>
        <w:ind w:firstLine="420" w:firstLineChars="200"/>
        <w:rPr>
          <w:rFonts w:hint="eastAsia" w:ascii="宋体" w:hAnsi="宋体" w:cs="宋体"/>
          <w:color w:val="auto"/>
          <w:szCs w:val="21"/>
          <w:highlight w:val="none"/>
        </w:rPr>
      </w:pPr>
      <w:r>
        <w:rPr>
          <w:rFonts w:hint="eastAsia" w:ascii="宋体" w:hAnsi="宋体" w:cs="宋体"/>
          <w:bCs/>
          <w:color w:val="auto"/>
          <w:kern w:val="0"/>
          <w:szCs w:val="21"/>
          <w:highlight w:val="none"/>
        </w:rPr>
        <w:t>地点（网址）：</w:t>
      </w:r>
      <w:r>
        <w:rPr>
          <w:rFonts w:hint="eastAsia" w:ascii="宋体" w:hAnsi="宋体" w:cs="宋体"/>
          <w:color w:val="auto"/>
          <w:szCs w:val="21"/>
          <w:highlight w:val="none"/>
        </w:rPr>
        <w:t>广西政府采购云平台（https://www.gcy.zfcg.gxzf.gov.cn/）</w:t>
      </w:r>
    </w:p>
    <w:p w14:paraId="44B896BA">
      <w:pPr>
        <w:pStyle w:val="13"/>
        <w:spacing w:line="390" w:lineRule="exact"/>
        <w:rPr>
          <w:rFonts w:hint="eastAsia" w:ascii="宋体" w:hAnsi="宋体" w:cs="宋体"/>
          <w:b/>
          <w:bCs/>
          <w:color w:val="auto"/>
          <w:sz w:val="24"/>
          <w:highlight w:val="none"/>
        </w:rPr>
      </w:pPr>
      <w:r>
        <w:rPr>
          <w:rFonts w:hint="eastAsia" w:ascii="宋体" w:hAnsi="宋体" w:cs="宋体"/>
          <w:color w:val="auto"/>
          <w:szCs w:val="21"/>
          <w:highlight w:val="none"/>
        </w:rPr>
        <w:t>　　方式：网上下载。本项目不发放纸质文件，潜在供应商可自行登录广西政府采购云平台下载采购文件，电子响应文件制作需要基于广西政府采购云平台获取的采购文件编制。</w:t>
      </w:r>
    </w:p>
    <w:p w14:paraId="5E5D39B8">
      <w:pPr>
        <w:snapToGrid w:val="0"/>
        <w:spacing w:line="39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售价（元）：0</w:t>
      </w:r>
    </w:p>
    <w:p w14:paraId="10C3C094">
      <w:pPr>
        <w:spacing w:line="39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四、</w:t>
      </w:r>
      <w:bookmarkEnd w:id="35"/>
      <w:bookmarkEnd w:id="36"/>
      <w:bookmarkEnd w:id="37"/>
      <w:bookmarkEnd w:id="38"/>
      <w:r>
        <w:rPr>
          <w:rFonts w:hint="eastAsia" w:ascii="宋体" w:hAnsi="宋体" w:cs="宋体"/>
          <w:b/>
          <w:bCs/>
          <w:color w:val="auto"/>
          <w:sz w:val="24"/>
          <w:highlight w:val="none"/>
        </w:rPr>
        <w:t>响应文件提交</w:t>
      </w:r>
    </w:p>
    <w:p w14:paraId="28F66F64">
      <w:pPr>
        <w:spacing w:line="390" w:lineRule="exact"/>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rPr>
        <w:t>1、首次响应文件提交截止时间</w:t>
      </w:r>
      <w:r>
        <w:rPr>
          <w:rFonts w:hint="eastAsia" w:ascii="宋体" w:hAnsi="宋体" w:cs="宋体"/>
          <w:bCs/>
          <w:color w:val="auto"/>
          <w:szCs w:val="21"/>
          <w:highlight w:val="none"/>
        </w:rPr>
        <w:t>：2025年</w:t>
      </w:r>
      <w:r>
        <w:rPr>
          <w:rFonts w:hint="eastAsia" w:ascii="宋体" w:hAnsi="宋体" w:cs="宋体"/>
          <w:bCs/>
          <w:color w:val="auto"/>
          <w:szCs w:val="21"/>
          <w:highlight w:val="none"/>
          <w:lang w:eastAsia="zh-CN"/>
        </w:rPr>
        <w:t>11月24日</w:t>
      </w:r>
      <w:r>
        <w:rPr>
          <w:rFonts w:hint="eastAsia" w:ascii="宋体" w:hAnsi="宋体" w:cs="宋体"/>
          <w:bCs/>
          <w:color w:val="auto"/>
          <w:szCs w:val="21"/>
          <w:highlight w:val="none"/>
        </w:rPr>
        <w:t>09:00:00（北京时间）</w:t>
      </w:r>
    </w:p>
    <w:p w14:paraId="240224BC">
      <w:pPr>
        <w:spacing w:line="39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2、首次响应文件提交地点：广西政府采购云平台（https://www.gcy.zfcg.gxzf.gov.cn/）</w:t>
      </w:r>
    </w:p>
    <w:p w14:paraId="17390889">
      <w:pPr>
        <w:spacing w:line="39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五、开启（首次响应文件开启时间）</w:t>
      </w:r>
    </w:p>
    <w:p w14:paraId="6897BD0A">
      <w:pPr>
        <w:spacing w:line="390" w:lineRule="exact"/>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rPr>
        <w:t>时间：2025年</w:t>
      </w:r>
      <w:r>
        <w:rPr>
          <w:rFonts w:hint="eastAsia" w:ascii="宋体" w:hAnsi="宋体" w:cs="宋体"/>
          <w:color w:val="auto"/>
          <w:szCs w:val="21"/>
          <w:highlight w:val="none"/>
          <w:lang w:eastAsia="zh-CN"/>
        </w:rPr>
        <w:t>11月24日</w:t>
      </w:r>
      <w:r>
        <w:rPr>
          <w:rFonts w:hint="eastAsia" w:ascii="宋体" w:hAnsi="宋体" w:cs="宋体"/>
          <w:color w:val="auto"/>
          <w:szCs w:val="21"/>
          <w:highlight w:val="none"/>
        </w:rPr>
        <w:t>09:00:00</w:t>
      </w:r>
      <w:r>
        <w:rPr>
          <w:rFonts w:hint="eastAsia" w:ascii="宋体" w:hAnsi="宋体" w:cs="宋体"/>
          <w:bCs/>
          <w:color w:val="auto"/>
          <w:szCs w:val="21"/>
          <w:highlight w:val="none"/>
        </w:rPr>
        <w:t>（北京时间）</w:t>
      </w:r>
      <w:r>
        <w:rPr>
          <w:rFonts w:hint="eastAsia" w:ascii="宋体" w:hAnsi="宋体" w:cs="宋体"/>
          <w:color w:val="auto"/>
          <w:szCs w:val="21"/>
          <w:highlight w:val="none"/>
        </w:rPr>
        <w:t>后</w:t>
      </w:r>
    </w:p>
    <w:p w14:paraId="5C388A89">
      <w:pPr>
        <w:spacing w:line="390" w:lineRule="exact"/>
        <w:ind w:firstLine="420" w:firstLineChars="200"/>
        <w:rPr>
          <w:rFonts w:hint="eastAsia" w:ascii="宋体" w:hAnsi="宋体" w:cs="宋体"/>
          <w:bCs/>
          <w:color w:val="auto"/>
          <w:szCs w:val="21"/>
          <w:highlight w:val="none"/>
          <w:u w:val="single"/>
        </w:rPr>
      </w:pPr>
      <w:r>
        <w:rPr>
          <w:rFonts w:hint="eastAsia" w:ascii="宋体" w:hAnsi="宋体" w:cs="宋体"/>
          <w:color w:val="auto"/>
          <w:szCs w:val="21"/>
          <w:highlight w:val="none"/>
        </w:rPr>
        <w:t>地点：广西政府采购云平台电子开标大厅</w:t>
      </w:r>
    </w:p>
    <w:p w14:paraId="36673332">
      <w:pPr>
        <w:spacing w:line="390" w:lineRule="exact"/>
        <w:ind w:firstLine="482" w:firstLineChars="200"/>
        <w:rPr>
          <w:rFonts w:hint="eastAsia" w:ascii="宋体" w:hAnsi="宋体" w:cs="宋体"/>
          <w:b/>
          <w:bCs/>
          <w:color w:val="auto"/>
          <w:sz w:val="24"/>
          <w:highlight w:val="none"/>
        </w:rPr>
      </w:pPr>
      <w:bookmarkStart w:id="39" w:name="_Toc28359007"/>
      <w:bookmarkStart w:id="40" w:name="_Toc35393625"/>
      <w:bookmarkStart w:id="41" w:name="_Toc28359084"/>
      <w:bookmarkStart w:id="42" w:name="_Toc35393794"/>
      <w:r>
        <w:rPr>
          <w:rFonts w:hint="eastAsia" w:ascii="宋体" w:hAnsi="宋体" w:cs="宋体"/>
          <w:b/>
          <w:bCs/>
          <w:color w:val="auto"/>
          <w:sz w:val="24"/>
          <w:highlight w:val="none"/>
        </w:rPr>
        <w:t>六、公告期限</w:t>
      </w:r>
      <w:bookmarkEnd w:id="39"/>
      <w:bookmarkEnd w:id="40"/>
      <w:bookmarkEnd w:id="41"/>
      <w:bookmarkEnd w:id="42"/>
    </w:p>
    <w:p w14:paraId="7B3C92C3">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4813F24A">
      <w:pPr>
        <w:spacing w:line="390" w:lineRule="exact"/>
        <w:ind w:firstLine="482" w:firstLineChars="200"/>
        <w:rPr>
          <w:rFonts w:hint="eastAsia" w:ascii="宋体" w:hAnsi="宋体" w:cs="宋体"/>
          <w:b/>
          <w:bCs/>
          <w:color w:val="auto"/>
          <w:sz w:val="24"/>
          <w:highlight w:val="none"/>
        </w:rPr>
      </w:pPr>
      <w:bookmarkStart w:id="43" w:name="_Toc35393626"/>
      <w:bookmarkStart w:id="44" w:name="_Toc35393795"/>
      <w:r>
        <w:rPr>
          <w:rFonts w:hint="eastAsia" w:ascii="宋体" w:hAnsi="宋体" w:cs="宋体"/>
          <w:b/>
          <w:bCs/>
          <w:color w:val="auto"/>
          <w:sz w:val="24"/>
          <w:highlight w:val="none"/>
        </w:rPr>
        <w:t>七、其他补充事宜</w:t>
      </w:r>
      <w:bookmarkEnd w:id="43"/>
      <w:bookmarkEnd w:id="44"/>
    </w:p>
    <w:p w14:paraId="3F8275E2">
      <w:pPr>
        <w:spacing w:line="390" w:lineRule="exact"/>
        <w:ind w:firstLine="420" w:firstLineChars="200"/>
        <w:rPr>
          <w:rFonts w:hint="eastAsia" w:ascii="宋体" w:hAnsi="宋体" w:cs="宋体"/>
          <w:color w:val="auto"/>
          <w:kern w:val="0"/>
          <w:szCs w:val="21"/>
          <w:highlight w:val="none"/>
        </w:rPr>
      </w:pPr>
      <w:bookmarkStart w:id="45" w:name="_Hlk37429585"/>
      <w:r>
        <w:rPr>
          <w:rFonts w:hint="eastAsia" w:ascii="宋体" w:hAnsi="宋体" w:cs="宋体"/>
          <w:color w:val="auto"/>
          <w:kern w:val="0"/>
          <w:szCs w:val="21"/>
          <w:highlight w:val="none"/>
        </w:rPr>
        <w:t>1.磋商保证金：</w:t>
      </w:r>
    </w:p>
    <w:p w14:paraId="3E730E38">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磋商保证金金额：¥</w:t>
      </w:r>
      <w:r>
        <w:rPr>
          <w:rFonts w:hint="eastAsia" w:ascii="宋体" w:hAnsi="宋体" w:cs="宋体"/>
          <w:color w:val="auto"/>
          <w:kern w:val="0"/>
          <w:szCs w:val="21"/>
          <w:highlight w:val="none"/>
          <w:lang w:val="en-US" w:eastAsia="zh-CN"/>
        </w:rPr>
        <w:t>99600</w:t>
      </w:r>
      <w:r>
        <w:rPr>
          <w:rFonts w:hint="eastAsia" w:ascii="宋体" w:hAnsi="宋体" w:cs="宋体"/>
          <w:color w:val="auto"/>
          <w:kern w:val="0"/>
          <w:szCs w:val="21"/>
          <w:highlight w:val="none"/>
        </w:rPr>
        <w:t>.00元</w:t>
      </w:r>
    </w:p>
    <w:p w14:paraId="3215222E">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磋商保证金的缴纳方式：银行转账、支票、汇票、本票或者金融机构、担保机构出具的保函等非现金形式提交。采用银行转账方式的，在首次响应文件提交截止时间前交至采购代理机构指定账户并且到账；缴纳磋商保证金指定账户的信息：</w:t>
      </w:r>
    </w:p>
    <w:p w14:paraId="6E6E4275">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开户名称：广西科联招标中心有限公司</w:t>
      </w:r>
    </w:p>
    <w:p w14:paraId="03499FAE">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开户银行：招商银行南宁市金浦路支行</w:t>
      </w:r>
    </w:p>
    <w:p w14:paraId="337B962A">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银行账号：7719011969103333000011099</w:t>
      </w:r>
    </w:p>
    <w:p w14:paraId="1C1C326B">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开户行行号：308611000112</w:t>
      </w:r>
    </w:p>
    <w:p w14:paraId="41915CDE">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采用支票、汇票、本票或者保函等方式的，供应商必须在首次响应文件提交截止时间前将支票、汇票、本票或者金融机构、担保机构出具的保函（电子保函除外）等原件提交给采购代理机构。否则视为无效磋商保证金。</w:t>
      </w:r>
    </w:p>
    <w:p w14:paraId="229989A7">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w:t>
      </w:r>
      <w:bookmarkStart w:id="46" w:name="_Hlk37429595"/>
      <w:r>
        <w:rPr>
          <w:rFonts w:hint="eastAsia" w:ascii="宋体" w:hAnsi="宋体" w:cs="宋体"/>
          <w:color w:val="auto"/>
          <w:kern w:val="0"/>
          <w:szCs w:val="21"/>
          <w:highlight w:val="none"/>
        </w:rPr>
        <w:t>网上查询地址</w:t>
      </w:r>
    </w:p>
    <w:bookmarkEnd w:id="45"/>
    <w:bookmarkEnd w:id="46"/>
    <w:p w14:paraId="3F5E26E1">
      <w:pPr>
        <w:spacing w:line="390" w:lineRule="exact"/>
        <w:ind w:firstLine="420" w:firstLineChars="200"/>
        <w:rPr>
          <w:rFonts w:hint="eastAsia" w:ascii="宋体" w:hAnsi="宋体" w:cs="宋体"/>
          <w:color w:val="auto"/>
          <w:kern w:val="0"/>
          <w:szCs w:val="21"/>
          <w:highlight w:val="none"/>
        </w:rPr>
      </w:pPr>
      <w:bookmarkStart w:id="47" w:name="_Hlk37429674"/>
      <w:r>
        <w:rPr>
          <w:rFonts w:hint="eastAsia" w:ascii="宋体" w:hAnsi="宋体" w:cs="宋体"/>
          <w:color w:val="auto"/>
          <w:kern w:val="0"/>
          <w:szCs w:val="21"/>
          <w:highlight w:val="none"/>
        </w:rPr>
        <w:t>http://www.ccgp-guangxi.gov.cn/ (中国政府采购网广西分网，推送中国政府采购网)。</w:t>
      </w:r>
    </w:p>
    <w:bookmarkEnd w:id="47"/>
    <w:p w14:paraId="4FC5B5E2">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 本项目需要落实的政府采购政策</w:t>
      </w:r>
    </w:p>
    <w:p w14:paraId="0C7D58F4">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0EA208C8">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1FF1934E">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7EAF9523">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6209D6BA">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05580E32">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7A60BB3">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EEAB73C">
      <w:pPr>
        <w:spacing w:line="390" w:lineRule="exact"/>
        <w:ind w:firstLine="422" w:firstLineChars="20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6.在线竞标的有关说明：</w:t>
      </w:r>
    </w:p>
    <w:p w14:paraId="396243AA">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（1）响应文件提交方式：本项目为全流程电子化项目，通过广西政府采购云平台（https://www.gcy.zfcg.gxzf.gov.cn/）实行在线电子响应，</w:t>
      </w:r>
      <w:r>
        <w:rPr>
          <w:rFonts w:hint="eastAsia"/>
          <w:color w:val="auto"/>
          <w:highlight w:val="none"/>
        </w:rPr>
        <w:t>供应商应先安装广西政府采购云平台新版客户端（新版客户端下载路径：广西政府采购网（访问地</w:t>
      </w:r>
      <w:r>
        <w:rPr>
          <w:rFonts w:hint="eastAsia" w:ascii="宋体" w:hAnsi="宋体" w:cs="宋体"/>
          <w:color w:val="auto"/>
          <w:highlight w:val="none"/>
        </w:rPr>
        <w:t>址http://zfcg.gxzf.gov.cn/</w:t>
      </w:r>
      <w:r>
        <w:rPr>
          <w:rFonts w:hint="eastAsia"/>
          <w:color w:val="auto"/>
          <w:highlight w:val="none"/>
        </w:rPr>
        <w:t>）—办事服务—下载专区）</w:t>
      </w:r>
      <w:r>
        <w:rPr>
          <w:rFonts w:hint="eastAsia" w:ascii="宋体" w:hAnsi="宋体" w:cs="宋体"/>
          <w:color w:val="auto"/>
          <w:kern w:val="0"/>
          <w:szCs w:val="21"/>
          <w:highlight w:val="none"/>
        </w:rPr>
        <w:t>，并按照本项目采购文件和广西政府采购云平台的要求编制、加密后在响应文件提交截止时间前通过网络上传至广西政府采购云平台，</w:t>
      </w:r>
      <w:r>
        <w:rPr>
          <w:rFonts w:hint="eastAsia" w:ascii="宋体" w:hAnsi="宋体" w:cs="宋体"/>
          <w:b/>
          <w:bCs/>
          <w:color w:val="auto"/>
          <w:kern w:val="0"/>
          <w:szCs w:val="21"/>
          <w:highlight w:val="none"/>
        </w:rPr>
        <w:t>供应商在广西政府采购云平台提交电子版响应文件时，请填写参加远程开标活动经办人联系方式</w:t>
      </w:r>
      <w:r>
        <w:rPr>
          <w:rFonts w:hint="eastAsia" w:ascii="宋体" w:hAnsi="宋体" w:cs="宋体"/>
          <w:color w:val="auto"/>
          <w:kern w:val="0"/>
          <w:szCs w:val="21"/>
          <w:highlight w:val="none"/>
        </w:rPr>
        <w:t>。</w:t>
      </w:r>
    </w:p>
    <w:p w14:paraId="2C7B0206">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（2）未进行网上注册并办理数字证书（CA认证）的供应商将无法参与本项目政府采购活动，潜在供应商应当在首次响应文件提交截止时间前，完成电子交易平台上的CA数字证书办理及响应文件的提交。</w:t>
      </w:r>
    </w:p>
    <w:p w14:paraId="26DD4E3A">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70D14184">
      <w:pPr>
        <w:spacing w:line="390" w:lineRule="exact"/>
        <w:ind w:firstLine="422" w:firstLineChars="20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文件提交截止时间前未完成上传、递交的，视为撤回响应文件。响应文件提交截止时间以后上传递交的响应文件的，广西政府采购云平台将予以拒收。</w:t>
      </w:r>
    </w:p>
    <w:p w14:paraId="7D8B39D3">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（4）CA证书在线解密：首次响应文件开启时，需要供应商携带制作响应文件时用来加密的有效数字证书（CA认证）登录广西政府采购云平台电子开标大厅现场按规定时间对加密的响应文件进行解密。</w:t>
      </w:r>
    </w:p>
    <w:p w14:paraId="666733FC">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（5）供应商需要在具备有摄像头及语音功能且互联网网络状况良好的电脑登录广西政府采购云平台远程开标大厅参与本次磋商，否则后果自负。</w:t>
      </w:r>
    </w:p>
    <w:p w14:paraId="48323742">
      <w:pPr>
        <w:spacing w:line="39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7. 若对项目采购电子交易系统操作有疑问，可登录广西政府采购云平台（https://www.gcy.zfcg.gxzf.gov.cn/），点击右侧咨询小采，获取采小蜜智能服务管家帮助，或拨打广西政府采购云平台服务热线95763获取热线服务帮助。 </w:t>
      </w:r>
    </w:p>
    <w:p w14:paraId="26B6411F">
      <w:pPr>
        <w:spacing w:line="390" w:lineRule="exact"/>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w:t>
      </w:r>
      <w:r>
        <w:rPr>
          <w:rFonts w:ascii="黑体" w:hAnsi="黑体" w:eastAsia="黑体" w:cs="宋体"/>
          <w:b/>
          <w:color w:val="auto"/>
          <w:kern w:val="44"/>
          <w:sz w:val="24"/>
          <w:highlight w:val="none"/>
        </w:rPr>
        <w:t>以下方式</w:t>
      </w:r>
      <w:r>
        <w:rPr>
          <w:rFonts w:hint="eastAsia" w:ascii="黑体" w:hAnsi="黑体" w:eastAsia="黑体" w:cs="宋体"/>
          <w:b/>
          <w:color w:val="auto"/>
          <w:kern w:val="44"/>
          <w:sz w:val="24"/>
          <w:highlight w:val="none"/>
        </w:rPr>
        <w:t>联系。</w:t>
      </w:r>
    </w:p>
    <w:p w14:paraId="2FB7DEF3">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1.采购人信息</w:t>
      </w:r>
    </w:p>
    <w:p w14:paraId="4D7A79A5">
      <w:pPr>
        <w:spacing w:line="360" w:lineRule="auto"/>
        <w:ind w:firstLine="630" w:firstLineChars="3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名称：</w:t>
      </w:r>
      <w:r>
        <w:rPr>
          <w:rFonts w:hint="eastAsia" w:ascii="宋体" w:hAnsi="宋体" w:cs="宋体"/>
          <w:color w:val="auto"/>
          <w:kern w:val="0"/>
          <w:szCs w:val="21"/>
          <w:highlight w:val="none"/>
          <w:lang w:eastAsia="zh-CN"/>
        </w:rPr>
        <w:t>中国共产党广西壮族自治区委员会政法委员会</w:t>
      </w:r>
    </w:p>
    <w:p w14:paraId="6E24FF60">
      <w:pPr>
        <w:spacing w:line="360" w:lineRule="auto"/>
        <w:ind w:firstLine="630" w:firstLineChars="3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地址：</w:t>
      </w:r>
      <w:r>
        <w:rPr>
          <w:rFonts w:hint="eastAsia" w:ascii="宋体" w:hAnsi="宋体" w:cs="宋体"/>
          <w:color w:val="auto"/>
          <w:kern w:val="0"/>
          <w:szCs w:val="21"/>
          <w:highlight w:val="none"/>
          <w:lang w:eastAsia="zh-CN"/>
        </w:rPr>
        <w:t>南宁市金洲路15号</w:t>
      </w:r>
    </w:p>
    <w:p w14:paraId="45C3DEB6">
      <w:pPr>
        <w:spacing w:line="360" w:lineRule="auto"/>
        <w:ind w:firstLine="630" w:firstLineChars="3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项目联系人：</w:t>
      </w:r>
      <w:r>
        <w:rPr>
          <w:rFonts w:hint="eastAsia" w:ascii="宋体" w:hAnsi="宋体" w:cs="宋体"/>
          <w:color w:val="auto"/>
          <w:kern w:val="0"/>
          <w:szCs w:val="21"/>
          <w:highlight w:val="none"/>
          <w:lang w:eastAsia="zh-CN"/>
        </w:rPr>
        <w:t>黄馥</w:t>
      </w:r>
    </w:p>
    <w:p w14:paraId="5F523283">
      <w:pPr>
        <w:spacing w:line="360" w:lineRule="auto"/>
        <w:ind w:firstLine="630" w:firstLineChars="3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项目联系方式：</w:t>
      </w:r>
      <w:r>
        <w:rPr>
          <w:rFonts w:hint="eastAsia" w:ascii="宋体" w:hAnsi="宋体" w:cs="宋体"/>
          <w:color w:val="auto"/>
          <w:kern w:val="0"/>
          <w:szCs w:val="21"/>
          <w:highlight w:val="none"/>
          <w:lang w:eastAsia="zh-CN"/>
        </w:rPr>
        <w:t>0771-6119171</w:t>
      </w:r>
    </w:p>
    <w:p w14:paraId="71E98227">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2.采购代理机构信息</w:t>
      </w:r>
    </w:p>
    <w:p w14:paraId="6854F592">
      <w:pPr>
        <w:spacing w:line="360" w:lineRule="auto"/>
        <w:ind w:firstLine="630" w:firstLineChars="300"/>
        <w:rPr>
          <w:rFonts w:hint="eastAsia" w:ascii="宋体" w:hAnsi="宋体" w:cs="宋体"/>
          <w:color w:val="auto"/>
          <w:kern w:val="0"/>
          <w:szCs w:val="21"/>
          <w:highlight w:val="none"/>
        </w:rPr>
      </w:pPr>
      <w:r>
        <w:rPr>
          <w:rFonts w:hint="eastAsia" w:ascii="宋体" w:hAnsi="宋体" w:cs="宋体"/>
          <w:color w:val="auto"/>
          <w:kern w:val="0"/>
          <w:szCs w:val="21"/>
          <w:highlight w:val="none"/>
        </w:rPr>
        <w:t>名称：</w:t>
      </w:r>
      <w:bookmarkStart w:id="48" w:name="PO_3000001866_PM031_1"/>
      <w:r>
        <w:rPr>
          <w:rFonts w:hint="eastAsia" w:ascii="宋体" w:hAnsi="宋体" w:cs="宋体"/>
          <w:color w:val="auto"/>
          <w:kern w:val="0"/>
          <w:szCs w:val="21"/>
          <w:highlight w:val="none"/>
        </w:rPr>
        <w:t>广西科联招标中心有限公司</w:t>
      </w:r>
      <w:bookmarkEnd w:id="48"/>
    </w:p>
    <w:p w14:paraId="7B5703CA">
      <w:pPr>
        <w:spacing w:line="360" w:lineRule="auto"/>
        <w:ind w:firstLine="630" w:firstLineChars="300"/>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bookmarkStart w:id="49" w:name="PO_3000001866_PM035_1"/>
      <w:r>
        <w:rPr>
          <w:rFonts w:hint="eastAsia" w:ascii="宋体" w:hAnsi="宋体" w:cs="宋体"/>
          <w:color w:val="auto"/>
          <w:kern w:val="0"/>
          <w:szCs w:val="21"/>
          <w:highlight w:val="none"/>
        </w:rPr>
        <w:t>广西南宁市大学东路170号</w:t>
      </w:r>
      <w:bookmarkEnd w:id="49"/>
    </w:p>
    <w:p w14:paraId="66C0A1FF">
      <w:pPr>
        <w:spacing w:line="360" w:lineRule="auto"/>
        <w:ind w:firstLine="630" w:firstLineChars="3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项目联系人：韦毅锋</w:t>
      </w:r>
      <w:r>
        <w:rPr>
          <w:rFonts w:hint="eastAsia" w:ascii="宋体" w:hAnsi="宋体" w:cs="宋体"/>
          <w:color w:val="auto"/>
          <w:kern w:val="0"/>
          <w:szCs w:val="21"/>
          <w:highlight w:val="none"/>
          <w:lang w:eastAsia="zh-CN"/>
        </w:rPr>
        <w:t>、黎旭华</w:t>
      </w:r>
    </w:p>
    <w:p w14:paraId="7C60F00B">
      <w:pPr>
        <w:spacing w:line="360" w:lineRule="auto"/>
        <w:ind w:firstLine="630" w:firstLineChars="300"/>
        <w:rPr>
          <w:color w:val="auto"/>
          <w:sz w:val="32"/>
          <w:szCs w:val="32"/>
          <w:highlight w:val="none"/>
        </w:rPr>
      </w:pPr>
      <w:r>
        <w:rPr>
          <w:rFonts w:hint="eastAsia" w:ascii="宋体" w:hAnsi="宋体" w:cs="宋体"/>
          <w:color w:val="auto"/>
          <w:kern w:val="0"/>
          <w:szCs w:val="21"/>
          <w:highlight w:val="none"/>
        </w:rPr>
        <w:t>项目联系方式：0771-2203982</w:t>
      </w:r>
    </w:p>
    <w:p w14:paraId="0177F5BF">
      <w:pPr>
        <w:rPr>
          <w:rFonts w:ascii="Cambria" w:hAnsi="Cambria"/>
          <w:color w:val="auto"/>
          <w:sz w:val="32"/>
          <w:szCs w:val="32"/>
          <w:highlight w:val="none"/>
        </w:rPr>
      </w:pPr>
      <w:bookmarkStart w:id="50" w:name="_Toc11093"/>
      <w:bookmarkStart w:id="51" w:name="_Toc22325"/>
      <w:bookmarkStart w:id="52" w:name="_Toc26836"/>
      <w:bookmarkStart w:id="53" w:name="_Toc80886926"/>
      <w:bookmarkStart w:id="54" w:name="_Toc7184"/>
      <w:bookmarkStart w:id="55" w:name="_Toc9127"/>
      <w:bookmarkStart w:id="56" w:name="_Toc25520"/>
      <w:bookmarkStart w:id="57" w:name="_Toc22760"/>
      <w:r>
        <w:rPr>
          <w:rFonts w:hint="eastAsia" w:ascii="Cambria" w:hAnsi="Cambria"/>
          <w:color w:val="auto"/>
          <w:sz w:val="32"/>
          <w:szCs w:val="32"/>
          <w:highlight w:val="none"/>
        </w:rPr>
        <w:br w:type="page"/>
      </w:r>
    </w:p>
    <w:p w14:paraId="7FD923AA">
      <w:pPr>
        <w:pStyle w:val="2"/>
        <w:spacing w:before="100" w:after="90" w:line="240" w:lineRule="auto"/>
        <w:jc w:val="center"/>
        <w:rPr>
          <w:rFonts w:ascii="Cambria" w:hAnsi="Cambria"/>
          <w:bCs w:val="0"/>
          <w:color w:val="auto"/>
          <w:sz w:val="32"/>
          <w:szCs w:val="32"/>
          <w:highlight w:val="none"/>
        </w:rPr>
      </w:pPr>
      <w:r>
        <w:rPr>
          <w:rFonts w:hint="eastAsia" w:ascii="Cambria" w:hAnsi="Cambria"/>
          <w:bCs w:val="0"/>
          <w:color w:val="auto"/>
          <w:sz w:val="32"/>
          <w:szCs w:val="32"/>
          <w:highlight w:val="none"/>
        </w:rPr>
        <w:t>第二章 采购需求</w:t>
      </w:r>
      <w:bookmarkEnd w:id="50"/>
      <w:bookmarkEnd w:id="51"/>
      <w:bookmarkEnd w:id="52"/>
      <w:bookmarkEnd w:id="53"/>
      <w:bookmarkEnd w:id="54"/>
      <w:bookmarkEnd w:id="55"/>
      <w:bookmarkEnd w:id="56"/>
    </w:p>
    <w:bookmarkEnd w:id="57"/>
    <w:p w14:paraId="05BD7765">
      <w:pPr>
        <w:spacing w:line="450" w:lineRule="exact"/>
        <w:jc w:val="left"/>
        <w:rPr>
          <w:rFonts w:cs="宋体"/>
          <w:b/>
          <w:bCs/>
          <w:color w:val="auto"/>
          <w:szCs w:val="21"/>
          <w:highlight w:val="none"/>
        </w:rPr>
      </w:pPr>
      <w:r>
        <w:rPr>
          <w:rFonts w:hint="eastAsia" w:cs="宋体"/>
          <w:b/>
          <w:bCs/>
          <w:color w:val="auto"/>
          <w:szCs w:val="21"/>
          <w:highlight w:val="none"/>
        </w:rPr>
        <w:t>说明：</w:t>
      </w:r>
    </w:p>
    <w:p w14:paraId="0585CEDF">
      <w:pPr>
        <w:spacing w:line="450" w:lineRule="exact"/>
        <w:ind w:firstLine="420" w:firstLineChars="200"/>
        <w:jc w:val="left"/>
        <w:rPr>
          <w:rFonts w:hint="eastAsia" w:ascii="宋体" w:hAnsi="宋体" w:cs="宋体"/>
          <w:color w:val="auto"/>
          <w:szCs w:val="21"/>
          <w:highlight w:val="none"/>
        </w:rPr>
      </w:pPr>
      <w:r>
        <w:rPr>
          <w:rFonts w:hint="eastAsia" w:ascii="宋体" w:hAnsi="宋体" w:cs="宋体"/>
          <w:color w:val="auto"/>
          <w:highlight w:val="none"/>
        </w:rPr>
        <w:t>1、为落实政府采购政策需满足的要求：</w:t>
      </w:r>
    </w:p>
    <w:p w14:paraId="7F60E4E9">
      <w:pPr>
        <w:spacing w:line="45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（1）本竞争性磋商文件所称中小企业必须符合《政府采购促进中小企业发展管理办法》（财库〔2020〕46号）的规定。</w:t>
      </w:r>
    </w:p>
    <w:p w14:paraId="725FCB37">
      <w:pPr>
        <w:spacing w:line="45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有效期内的节能产品认证证书复印件（加盖供应商公章），</w:t>
      </w:r>
      <w:r>
        <w:rPr>
          <w:rFonts w:hint="eastAsia" w:ascii="宋体" w:hAnsi="宋体" w:cs="宋体"/>
          <w:b/>
          <w:bCs/>
          <w:color w:val="auto"/>
          <w:szCs w:val="21"/>
          <w:highlight w:val="none"/>
        </w:rPr>
        <w:t>否则响应文件按无效处理</w:t>
      </w:r>
      <w:r>
        <w:rPr>
          <w:rFonts w:hint="eastAsia" w:ascii="宋体" w:hAnsi="宋体" w:cs="宋体"/>
          <w:color w:val="auto"/>
          <w:szCs w:val="21"/>
          <w:highlight w:val="none"/>
        </w:rPr>
        <w:t xml:space="preserve">。如本项目包含的配套货物属于品目清单内非标注“★”的产品时，应优先采购，具体详见“第四章 </w:t>
      </w:r>
      <w:r>
        <w:rPr>
          <w:rStyle w:val="38"/>
          <w:rFonts w:hint="eastAsia" w:ascii="宋体" w:hAnsi="宋体" w:cs="宋体"/>
          <w:color w:val="auto"/>
          <w:highlight w:val="none"/>
        </w:rPr>
        <w:t>评审程序、评审方法和评审标准</w:t>
      </w:r>
      <w:r>
        <w:rPr>
          <w:rFonts w:hint="eastAsia" w:ascii="宋体" w:hAnsi="宋体" w:cs="宋体"/>
          <w:color w:val="auto"/>
          <w:szCs w:val="21"/>
          <w:highlight w:val="none"/>
        </w:rPr>
        <w:t>”。</w:t>
      </w:r>
    </w:p>
    <w:p w14:paraId="590A0520">
      <w:pPr>
        <w:spacing w:line="450" w:lineRule="exact"/>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rPr>
        <w:t>2、“实质性要求”是指磋商文件中已经指明不满足响应文件则按无效响应处理的条款，或者不能负偏离的条款，或者采购需求中带“▲”的条款。</w:t>
      </w:r>
    </w:p>
    <w:p w14:paraId="120A1FF7">
      <w:pPr>
        <w:pStyle w:val="13"/>
        <w:spacing w:line="450" w:lineRule="exact"/>
        <w:ind w:firstLine="420" w:firstLineChars="200"/>
        <w:rPr>
          <w:rFonts w:hint="eastAsia" w:ascii="宋体" w:hAnsi="宋体" w:cs="宋体"/>
          <w:color w:val="auto"/>
          <w:highlight w:val="none"/>
        </w:rPr>
      </w:pPr>
      <w:r>
        <w:rPr>
          <w:rFonts w:hint="eastAsia" w:ascii="宋体" w:hAnsi="宋体" w:cs="宋体"/>
          <w:color w:val="auto"/>
          <w:highlight w:val="none"/>
        </w:rPr>
        <w:t>3、如竞标产品存在侵犯他人的知识产权或者专利成果行为的，应承担相应法律责任。</w:t>
      </w:r>
    </w:p>
    <w:p w14:paraId="10045518">
      <w:pPr>
        <w:pStyle w:val="13"/>
        <w:spacing w:line="450" w:lineRule="exact"/>
        <w:ind w:firstLine="420" w:firstLineChars="200"/>
        <w:rPr>
          <w:rFonts w:hint="eastAsia"/>
          <w:color w:val="auto"/>
          <w:highlight w:val="none"/>
        </w:rPr>
      </w:pPr>
      <w:r>
        <w:rPr>
          <w:rFonts w:hint="eastAsia" w:ascii="宋体" w:hAnsi="宋体" w:cs="宋体"/>
          <w:color w:val="auto"/>
          <w:szCs w:val="21"/>
          <w:highlight w:val="none"/>
        </w:rPr>
        <w:t>4、</w:t>
      </w:r>
      <w:r>
        <w:rPr>
          <w:rFonts w:hint="eastAsia"/>
          <w:color w:val="auto"/>
          <w:highlight w:val="none"/>
        </w:rPr>
        <w:t>供应商必须自行为其竞标产品侵犯他人的知识产权或者专利成果的行为承担相应法律责任。</w:t>
      </w:r>
    </w:p>
    <w:p w14:paraId="2031BA4C">
      <w:pPr>
        <w:pStyle w:val="13"/>
        <w:spacing w:line="45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5、本采购需求中，如表示为“免费”的内容，均为成交供应商负责提供，价格包含在报价内，采购人不另付费。</w:t>
      </w:r>
    </w:p>
    <w:p w14:paraId="7538BA1B">
      <w:pPr>
        <w:pStyle w:val="13"/>
        <w:spacing w:line="450" w:lineRule="exact"/>
        <w:ind w:firstLine="420" w:firstLineChars="200"/>
        <w:rPr>
          <w:rFonts w:hint="eastAsia" w:ascii="宋体" w:hAnsi="宋体" w:cs="宋体"/>
          <w:i/>
          <w:iCs/>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、采购标的对应的中小企业划分标准所属行业名称：</w:t>
      </w:r>
      <w:r>
        <w:rPr>
          <w:rFonts w:hint="eastAsia" w:ascii="宋体" w:hAnsi="宋体" w:cs="宋体"/>
          <w:b/>
          <w:bCs/>
          <w:color w:val="auto"/>
          <w:szCs w:val="21"/>
          <w:highlight w:val="none"/>
          <w:u w:val="single"/>
        </w:rPr>
        <w:t>软件和信息技术服务业</w:t>
      </w:r>
      <w:r>
        <w:rPr>
          <w:rFonts w:hint="eastAsia" w:ascii="宋体" w:hAnsi="宋体" w:cs="宋体"/>
          <w:color w:val="auto"/>
          <w:szCs w:val="21"/>
          <w:highlight w:val="none"/>
        </w:rPr>
        <w:t>。中小企业划分标准详见本章附件1。</w:t>
      </w:r>
    </w:p>
    <w:p w14:paraId="4AD9D47B">
      <w:pPr>
        <w:widowControl w:val="0"/>
        <w:shd w:val="clear" w:color="auto" w:fill="auto"/>
        <w:spacing w:line="420" w:lineRule="exact"/>
        <w:jc w:val="left"/>
        <w:rPr>
          <w:rFonts w:hint="eastAsia" w:ascii="Times New Roman" w:hAnsi="Times New Roman" w:eastAsia="宋体" w:cs="Times New Roman"/>
          <w:color w:val="auto"/>
          <w:kern w:val="2"/>
          <w:sz w:val="21"/>
          <w:szCs w:val="24"/>
          <w:highlight w:val="none"/>
          <w:lang w:val="en-US" w:eastAsia="zh-CN" w:bidi="ar-SA"/>
        </w:rPr>
      </w:pPr>
    </w:p>
    <w:tbl>
      <w:tblPr>
        <w:tblStyle w:val="31"/>
        <w:tblW w:w="96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05"/>
        <w:gridCol w:w="325"/>
        <w:gridCol w:w="1096"/>
        <w:gridCol w:w="467"/>
        <w:gridCol w:w="472"/>
        <w:gridCol w:w="6853"/>
      </w:tblGrid>
      <w:tr w14:paraId="1DF228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618" w:type="dxa"/>
            <w:gridSpan w:val="6"/>
            <w:tcBorders>
              <w:top w:val="single" w:color="auto" w:sz="4" w:space="0"/>
              <w:left w:val="single" w:color="auto" w:sz="4" w:space="0"/>
              <w:right w:val="single" w:color="auto" w:sz="4" w:space="0"/>
            </w:tcBorders>
            <w:noWrap w:val="0"/>
            <w:vAlign w:val="center"/>
          </w:tcPr>
          <w:p w14:paraId="7071B7F1">
            <w:pPr>
              <w:keepNext w:val="0"/>
              <w:keepLines w:val="0"/>
              <w:suppressLineNumbers w:val="0"/>
              <w:shd w:val="clear" w:color="auto" w:fill="auto"/>
              <w:spacing w:before="0" w:beforeAutospacing="0" w:after="0" w:afterAutospacing="0" w:line="240" w:lineRule="auto"/>
              <w:ind w:left="0" w:right="0"/>
              <w:jc w:val="center"/>
              <w:rPr>
                <w:rFonts w:hint="eastAsia" w:ascii="宋体" w:hAnsi="宋体" w:eastAsia="宋体" w:cs="宋体"/>
                <w:b/>
                <w:color w:val="auto"/>
                <w:szCs w:val="21"/>
                <w:highlight w:val="none"/>
              </w:rPr>
            </w:pPr>
            <w:r>
              <w:rPr>
                <w:rFonts w:hint="eastAsia" w:ascii="仿宋_GB2312" w:hAnsi="宋体" w:eastAsia="仿宋_GB2312" w:cs="Arial"/>
                <w:b/>
                <w:color w:val="auto"/>
                <w:sz w:val="28"/>
                <w:szCs w:val="28"/>
                <w:highlight w:val="none"/>
              </w:rPr>
              <w:t>服务需求一览表</w:t>
            </w:r>
          </w:p>
        </w:tc>
      </w:tr>
      <w:tr w14:paraId="0C692E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26" w:type="dxa"/>
            <w:gridSpan w:val="3"/>
            <w:tcBorders>
              <w:top w:val="single" w:color="auto" w:sz="4" w:space="0"/>
              <w:left w:val="single" w:color="auto" w:sz="4" w:space="0"/>
              <w:right w:val="single" w:color="auto" w:sz="4" w:space="0"/>
            </w:tcBorders>
            <w:noWrap w:val="0"/>
            <w:vAlign w:val="center"/>
          </w:tcPr>
          <w:p w14:paraId="592EDD63">
            <w:pPr>
              <w:keepNext w:val="0"/>
              <w:keepLines w:val="0"/>
              <w:suppressLineNumbers w:val="0"/>
              <w:shd w:val="clear" w:color="auto" w:fill="auto"/>
              <w:spacing w:before="0" w:beforeAutospacing="0" w:after="0" w:afterAutospacing="0" w:line="32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分标</w:t>
            </w:r>
          </w:p>
        </w:tc>
        <w:tc>
          <w:tcPr>
            <w:tcW w:w="7792" w:type="dxa"/>
            <w:gridSpan w:val="3"/>
            <w:tcBorders>
              <w:top w:val="single" w:color="auto" w:sz="4" w:space="0"/>
              <w:left w:val="single" w:color="auto" w:sz="4" w:space="0"/>
              <w:right w:val="single" w:color="auto" w:sz="4" w:space="0"/>
            </w:tcBorders>
            <w:noWrap w:val="0"/>
            <w:vAlign w:val="center"/>
          </w:tcPr>
          <w:p w14:paraId="476B5D29">
            <w:pPr>
              <w:keepNext w:val="0"/>
              <w:keepLines w:val="0"/>
              <w:suppressLineNumbers w:val="0"/>
              <w:shd w:val="clear" w:color="auto" w:fill="auto"/>
              <w:spacing w:before="0" w:beforeAutospacing="0" w:after="0" w:afterAutospacing="0" w:line="320" w:lineRule="exact"/>
              <w:ind w:left="0" w:right="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w:t>
            </w:r>
          </w:p>
        </w:tc>
      </w:tr>
      <w:tr w14:paraId="327506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5" w:type="dxa"/>
            <w:vMerge w:val="restart"/>
            <w:tcBorders>
              <w:top w:val="single" w:color="auto" w:sz="4" w:space="0"/>
              <w:left w:val="single" w:color="auto" w:sz="4" w:space="0"/>
              <w:right w:val="single" w:color="auto" w:sz="4" w:space="0"/>
            </w:tcBorders>
            <w:noWrap w:val="0"/>
            <w:vAlign w:val="center"/>
          </w:tcPr>
          <w:p w14:paraId="1204D66B">
            <w:pPr>
              <w:keepNext w:val="0"/>
              <w:keepLines w:val="0"/>
              <w:suppressLineNumbers w:val="0"/>
              <w:shd w:val="clear" w:color="auto" w:fill="auto"/>
              <w:spacing w:before="0" w:beforeAutospacing="0" w:after="0" w:afterAutospacing="0"/>
              <w:ind w:left="0" w:right="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采购清单及</w:t>
            </w:r>
            <w:r>
              <w:rPr>
                <w:rFonts w:hint="eastAsia" w:ascii="宋体" w:hAnsi="宋体" w:eastAsia="宋体" w:cs="宋体"/>
                <w:b/>
                <w:bCs/>
                <w:color w:val="auto"/>
                <w:szCs w:val="21"/>
                <w:highlight w:val="none"/>
                <w:lang w:val="en-US" w:eastAsia="zh-CN"/>
              </w:rPr>
              <w:t>服务</w:t>
            </w:r>
            <w:r>
              <w:rPr>
                <w:rFonts w:hint="eastAsia" w:ascii="宋体" w:hAnsi="宋体" w:eastAsia="宋体" w:cs="宋体"/>
                <w:b/>
                <w:bCs/>
                <w:color w:val="auto"/>
                <w:szCs w:val="21"/>
                <w:highlight w:val="none"/>
              </w:rPr>
              <w:t>参数</w:t>
            </w:r>
          </w:p>
        </w:tc>
        <w:tc>
          <w:tcPr>
            <w:tcW w:w="32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499CDE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484D27E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标的名称</w:t>
            </w:r>
          </w:p>
        </w:tc>
        <w:tc>
          <w:tcPr>
            <w:tcW w:w="467" w:type="dxa"/>
            <w:tcBorders>
              <w:top w:val="single" w:color="auto" w:sz="4" w:space="0"/>
              <w:left w:val="single" w:color="auto" w:sz="4" w:space="0"/>
              <w:bottom w:val="single" w:color="auto" w:sz="4" w:space="0"/>
              <w:right w:val="single" w:color="auto" w:sz="4" w:space="0"/>
            </w:tcBorders>
            <w:noWrap w:val="0"/>
            <w:vAlign w:val="center"/>
          </w:tcPr>
          <w:p w14:paraId="35C8052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472" w:type="dxa"/>
            <w:tcBorders>
              <w:top w:val="single" w:color="auto" w:sz="4" w:space="0"/>
              <w:left w:val="single" w:color="auto" w:sz="4" w:space="0"/>
              <w:bottom w:val="single" w:color="auto" w:sz="4" w:space="0"/>
              <w:right w:val="single" w:color="auto" w:sz="4" w:space="0"/>
            </w:tcBorders>
            <w:noWrap w:val="0"/>
            <w:vAlign w:val="center"/>
          </w:tcPr>
          <w:p w14:paraId="06CE0E7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6853" w:type="dxa"/>
            <w:tcBorders>
              <w:top w:val="single" w:color="auto" w:sz="4" w:space="0"/>
              <w:left w:val="single" w:color="auto" w:sz="4" w:space="0"/>
              <w:bottom w:val="single" w:color="auto" w:sz="4" w:space="0"/>
              <w:right w:val="single" w:color="auto" w:sz="4" w:space="0"/>
            </w:tcBorders>
            <w:noWrap w:val="0"/>
            <w:vAlign w:val="center"/>
          </w:tcPr>
          <w:p w14:paraId="21D413B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技术要求</w:t>
            </w:r>
          </w:p>
        </w:tc>
      </w:tr>
      <w:tr w14:paraId="37FF58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5" w:type="dxa"/>
            <w:vMerge w:val="continue"/>
            <w:tcBorders>
              <w:left w:val="single" w:color="auto" w:sz="4" w:space="0"/>
              <w:right w:val="single" w:color="auto" w:sz="4" w:space="0"/>
            </w:tcBorders>
            <w:noWrap w:val="0"/>
            <w:vAlign w:val="center"/>
          </w:tcPr>
          <w:p w14:paraId="37992F3C">
            <w:pPr>
              <w:keepNext w:val="0"/>
              <w:keepLines w:val="0"/>
              <w:suppressLineNumbers w:val="0"/>
              <w:shd w:val="clear" w:color="auto" w:fill="auto"/>
              <w:spacing w:before="0" w:beforeAutospacing="0" w:after="0" w:afterAutospacing="0" w:line="240" w:lineRule="exact"/>
              <w:ind w:left="0" w:right="0"/>
              <w:jc w:val="center"/>
              <w:rPr>
                <w:rFonts w:hint="eastAsia" w:ascii="宋体" w:hAnsi="宋体" w:eastAsia="宋体" w:cs="宋体"/>
                <w:b/>
                <w:bCs/>
                <w:color w:val="auto"/>
                <w:szCs w:val="21"/>
                <w:highlight w:val="none"/>
              </w:rPr>
            </w:pPr>
          </w:p>
        </w:tc>
        <w:tc>
          <w:tcPr>
            <w:tcW w:w="325" w:type="dxa"/>
            <w:tcBorders>
              <w:top w:val="single" w:color="auto" w:sz="4" w:space="0"/>
              <w:left w:val="single" w:color="auto" w:sz="4" w:space="0"/>
              <w:right w:val="single" w:color="auto" w:sz="4" w:space="0"/>
            </w:tcBorders>
            <w:noWrap w:val="0"/>
            <w:vAlign w:val="center"/>
          </w:tcPr>
          <w:p w14:paraId="67588E9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1096" w:type="dxa"/>
            <w:tcBorders>
              <w:top w:val="single" w:color="auto" w:sz="4" w:space="0"/>
              <w:left w:val="single" w:color="auto" w:sz="4" w:space="0"/>
              <w:right w:val="single" w:color="auto" w:sz="4" w:space="0"/>
            </w:tcBorders>
            <w:noWrap w:val="0"/>
            <w:vAlign w:val="center"/>
          </w:tcPr>
          <w:p w14:paraId="5B3DC5E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广西社会治安综合治理信息平台</w:t>
            </w:r>
          </w:p>
        </w:tc>
        <w:tc>
          <w:tcPr>
            <w:tcW w:w="467" w:type="dxa"/>
            <w:tcBorders>
              <w:top w:val="single" w:color="auto" w:sz="4" w:space="0"/>
              <w:left w:val="single" w:color="auto" w:sz="4" w:space="0"/>
              <w:right w:val="single" w:color="auto" w:sz="4" w:space="0"/>
            </w:tcBorders>
            <w:noWrap w:val="0"/>
            <w:vAlign w:val="center"/>
          </w:tcPr>
          <w:p w14:paraId="5FFA6B31">
            <w:pPr>
              <w:keepNext w:val="0"/>
              <w:keepLines w:val="0"/>
              <w:suppressLineNumbers w:val="0"/>
              <w:shd w:val="clear" w:color="auto" w:fill="auto"/>
              <w:spacing w:before="0" w:beforeAutospacing="0" w:after="0" w:afterAutospacing="0" w:line="320" w:lineRule="exact"/>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472" w:type="dxa"/>
            <w:tcBorders>
              <w:top w:val="single" w:color="auto" w:sz="4" w:space="0"/>
              <w:left w:val="single" w:color="auto" w:sz="4" w:space="0"/>
              <w:right w:val="single" w:color="auto" w:sz="4" w:space="0"/>
            </w:tcBorders>
            <w:noWrap w:val="0"/>
            <w:vAlign w:val="center"/>
          </w:tcPr>
          <w:p w14:paraId="466B6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w:t>
            </w:r>
          </w:p>
        </w:tc>
        <w:tc>
          <w:tcPr>
            <w:tcW w:w="6853" w:type="dxa"/>
            <w:tcBorders>
              <w:top w:val="single" w:color="auto" w:sz="4" w:space="0"/>
              <w:left w:val="single" w:color="auto" w:sz="4" w:space="0"/>
              <w:right w:val="single" w:color="auto" w:sz="4" w:space="0"/>
            </w:tcBorders>
            <w:noWrap w:val="0"/>
            <w:vAlign w:val="center"/>
          </w:tcPr>
          <w:p w14:paraId="0DDE2296">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1、统一门户</w:t>
            </w:r>
          </w:p>
          <w:p w14:paraId="4EB1737B">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（1）登录</w:t>
            </w:r>
          </w:p>
          <w:p w14:paraId="712CC9D0">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登录模块需提供安全登录功能，支持密码认证与短信验证。密码需符合复杂度、长度及禁用规则，支持登录失败次数达到设定阈值将锁定账户。支持记录登录日志，支持识别异常登录行为。支持密码过期、历史密码限制策略，提供密码修改、强度检测与弱密码提示等功能，确保账户安全。</w:t>
            </w:r>
          </w:p>
          <w:p w14:paraId="6428FC36">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（2）系统管理</w:t>
            </w:r>
          </w:p>
          <w:p w14:paraId="7A4EC511">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系统管理模块需提供账号、日志、消息、短信及用户权限与组织的管理功能。支持账号管理，日志记录与查询，消息中心管理，短信模板配置，基于层级的权限与组织架构管理等功能，确保用户、权限及信息的有效管控。</w:t>
            </w:r>
          </w:p>
          <w:p w14:paraId="3FB6A02B">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（3）工作台</w:t>
            </w:r>
          </w:p>
          <w:p w14:paraId="247CC300">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工作台模块需提供工作视图与领导视图等功能。工作视图需包含待办事项功能，支持多维度时间筛选，展示矛盾纠纷案件、调解成功率等指标，并集中管理待审核、待签收等各类待办事件。领导视图支持通过数据看板提供新增事项、办理数、办结数等数据统计，支持区域、事项来源、类型、调解结果、回访率及满意率的趋势分析与可视化展示。</w:t>
            </w:r>
          </w:p>
          <w:p w14:paraId="1EC3B600">
            <w:pPr>
              <w:keepNext w:val="0"/>
              <w:keepLines w:val="0"/>
              <w:suppressLineNumbers w:val="0"/>
              <w:spacing w:before="0" w:beforeAutospacing="0" w:after="0" w:afterAutospacing="0" w:line="260" w:lineRule="exact"/>
              <w:ind w:left="0" w:right="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2、矛盾纠纷化解</w:t>
            </w:r>
          </w:p>
          <w:p w14:paraId="56278FEC">
            <w:pPr>
              <w:keepNext w:val="0"/>
              <w:keepLines w:val="0"/>
              <w:suppressLineNumbers w:val="0"/>
              <w:spacing w:before="0" w:beforeAutospacing="0" w:after="0" w:afterAutospacing="0" w:line="260" w:lineRule="exact"/>
              <w:ind w:left="0" w:right="0"/>
              <w:rPr>
                <w:rFonts w:hint="eastAsia" w:ascii="宋体" w:hAnsi="宋体"/>
                <w:color w:val="auto"/>
                <w:szCs w:val="21"/>
                <w:highlight w:val="none"/>
              </w:rPr>
            </w:pPr>
            <w:r>
              <w:rPr>
                <w:rFonts w:hint="eastAsia" w:ascii="宋体" w:hAnsi="宋体"/>
                <w:color w:val="auto"/>
                <w:szCs w:val="21"/>
                <w:highlight w:val="none"/>
              </w:rPr>
              <w:t>需</w:t>
            </w:r>
            <w:r>
              <w:rPr>
                <w:rFonts w:hint="eastAsia" w:ascii="宋体" w:hAnsi="宋体"/>
                <w:color w:val="auto"/>
                <w:szCs w:val="21"/>
                <w:highlight w:val="none"/>
                <w:lang w:eastAsia="zh-CN"/>
              </w:rPr>
              <w:t>按照</w:t>
            </w:r>
            <w:r>
              <w:rPr>
                <w:rFonts w:hint="eastAsia" w:ascii="宋体" w:hAnsi="宋体"/>
                <w:color w:val="auto"/>
                <w:szCs w:val="21"/>
                <w:highlight w:val="none"/>
              </w:rPr>
              <w:t>矛盾纠纷化解法治化“路线图”的要求，具备矛盾纠纷事件从受理登记直到最后跟踪回访的业务全流程。</w:t>
            </w:r>
          </w:p>
          <w:p w14:paraId="72CB457A">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（1）</w:t>
            </w:r>
            <w:r>
              <w:rPr>
                <w:rFonts w:hint="eastAsia" w:ascii="宋体" w:hAnsi="宋体" w:cs="Times New Roman"/>
                <w:color w:val="auto"/>
                <w:szCs w:val="21"/>
                <w:highlight w:val="none"/>
                <w:lang w:eastAsia="zh-CN"/>
              </w:rPr>
              <w:t>登记功能</w:t>
            </w:r>
          </w:p>
          <w:p w14:paraId="168D441C">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lang w:eastAsia="zh-CN"/>
              </w:rPr>
              <w:t>具备登记功能，登记后可根据事件类型选择后续处理步骤（如转至其他单位或进行受理等）。</w:t>
            </w:r>
          </w:p>
          <w:p w14:paraId="056CCBD9">
            <w:pPr>
              <w:keepNext w:val="0"/>
              <w:keepLines w:val="0"/>
              <w:suppressLineNumbers w:val="0"/>
              <w:spacing w:before="0" w:beforeAutospacing="0" w:after="0" w:afterAutospacing="0" w:line="260" w:lineRule="exact"/>
              <w:ind w:left="0" w:right="0"/>
              <w:rPr>
                <w:rFonts w:hint="default" w:ascii="宋体" w:hAnsi="宋体" w:eastAsia="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受理功能，需整合综治中心、窗口/部门、调解员/专家、线上预约、部门推送等多渠道登记功能，实现信息共享与流程优化。支持来访等多种登记方式，建立事件台账，实现登记、查询、办理、导出等功能，可以调用OCR识别工具进行快捷识别。具备综合查询、人物画像（</w:t>
            </w:r>
            <w:r>
              <w:rPr>
                <w:rFonts w:hint="eastAsia" w:ascii="宋体" w:hAnsi="宋体"/>
                <w:color w:val="auto"/>
                <w:szCs w:val="21"/>
                <w:highlight w:val="none"/>
              </w:rPr>
              <w:t>支持对人员涉及的历史纠纷事件进行后台自动关联；支持根据后台对历史数据的智能分析结果，自动对人员风险进行预警，预警内容应包含风险预警类型以及对人员风险预警分值，并对该人员相关的其他人员进行关系图展示</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）、受理预警（未办结、重点人员）、一案一码等功能，通过编码规则实现事件唯一标识与全量归集，一案一码扫描后需要通过实名认证方可查看。</w:t>
            </w:r>
          </w:p>
          <w:p w14:paraId="25C4E86C">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其中一案一码功能详细要求如下：</w:t>
            </w:r>
          </w:p>
          <w:p w14:paraId="7A434A8E">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赋码引擎：</w:t>
            </w:r>
          </w:p>
          <w:p w14:paraId="2542C69D">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①编码规则库：用于存储和管理各种编码规则，规则将详细规定编码的长度、具体格式、字符集使用等关键要素，以确保每个矛盾纠纷事件都能被赋予一个独一无二且易于识别的标识码。规则库包括以下功能：</w:t>
            </w:r>
          </w:p>
          <w:p w14:paraId="01C72E98">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总编码规则管理：支持总编码规则名称、总位数设置、修改、删除、保存等功能。总编码规则设置完成后，平台支持对总编码规则下的自编码规则进行管理，主要功能包括子编码规则新增、删除、修改、设置、查看等功能，子编码规则在设置时支持对子编码项进行新增、录入、删除、修改。</w:t>
            </w:r>
          </w:p>
          <w:p w14:paraId="78CA11E2">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②编码生成器：根据编码规则库中的规则，生成相应的编码。区县和部门在新增纠纷事件时先调用赋码引擎，再将生成的编码赋给相应的事件。</w:t>
            </w:r>
          </w:p>
          <w:p w14:paraId="0C6E6D4E">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③编码识别：识别和解析编码，方便对事件进行跟踪和管理。</w:t>
            </w:r>
          </w:p>
          <w:p w14:paraId="262366D7">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④编码查询系统：该编码查询系统包含赋码查询列表、事件分类查询、查询列表自定义、赋码结果查询、赋码详情查询及事件编码接口查询功能，支持管理员对已分配编码的事件进行查询、筛选、自定义显示及查看详情与接口信息。</w:t>
            </w:r>
          </w:p>
          <w:p w14:paraId="332AF02A">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甄别去重：</w:t>
            </w:r>
          </w:p>
          <w:p w14:paraId="7CD7C215">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甄别规则库：支持包含多项规则与配置功能。支持身份证号全匹配及多当事人匹配规则，可设置时间窗跨度和地域匹配的时空复合规则，以及基于关键词的内容相似度规则（0%～100%）。支持涉事人数、事件类型等其他规则设定。系统通过多维度加权决策矩阵，对身份证、时间、人数、地域等条件进行加权计算，生成去重甄别系数，系数越高相似度越高。支持高权重维度配置，默认身份证不匹配直接否决，管理员可对否决维度进行增删改查等操作。支持规则执行顺序调整，可上移或下移规则层级。具备柔性处理机制，在高层级规则因数据缺失不可用时自动降至次级规则，并触发告警通知运维账号。决策优先级遵循特定树形结构：身份证完全匹配优先于时间+地点复合匹配，群体特征匹配优先于单要素匹配，高权重维度具有一票否决权。</w:t>
            </w:r>
          </w:p>
          <w:p w14:paraId="39E72C9B">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②事件疑似库：按照甄别规则设定，平台支持将相似度较高的矛盾纠纷事件整合成疑似库，自动推送给相应层级的综治中心形成人工判定清单。</w:t>
            </w:r>
          </w:p>
          <w:p w14:paraId="0D8A52FB">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③人工判定：支持综治中心工作人员收到人工判定清单后，进行同一事件的比对分析，确认是否为同一事件。</w:t>
            </w:r>
          </w:p>
          <w:p w14:paraId="123E8CAB">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rPr>
              <w:t>）分流转办</w:t>
            </w:r>
          </w:p>
          <w:p w14:paraId="5D3559D7">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系统实现矛盾纠纷事件的分流与转办，支持按事权分级转送至上级、同级或下级综治中心、部门、调解员。事件经登记后进入受理环节，通过权限控制实现分级分类管理，全程可溯源。工作人员需在时限内确认并通知当事人。系统需包含个人待办、已办事项、上报、延期、挂起、全部事项等清单，支持查询、详情查看、导出功能。</w:t>
            </w:r>
          </w:p>
          <w:p w14:paraId="19261E3C">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rPr>
              <w:t>）多元化解</w:t>
            </w:r>
          </w:p>
          <w:p w14:paraId="346A9CF6">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多元化解功能，需涵盖纠纷化解记录、标准文书、办理时限与结果管理。其中标准文书管理，支持设置办理《结果反馈函》《工作提示函》《风险预警函》的自动生成功能，可支持打印。支持个人待办/已办统计、事项录入与查询，实现数据概览及多维度分析。具备上报、挂起、延期、结案等审批流程。提供多元调解、部门协作与上下级贯通机制，支持自主调解、交办、上报、资源申请等操作。</w:t>
            </w:r>
          </w:p>
          <w:p w14:paraId="6D34A9EF">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5</w:t>
            </w:r>
            <w:r>
              <w:rPr>
                <w:rFonts w:hint="eastAsia" w:ascii="宋体" w:hAnsi="宋体" w:eastAsia="宋体" w:cs="Times New Roman"/>
                <w:color w:val="auto"/>
                <w:szCs w:val="21"/>
                <w:highlight w:val="none"/>
              </w:rPr>
              <w:t>）评估反馈</w:t>
            </w:r>
          </w:p>
          <w:p w14:paraId="56C0556E">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评估反馈功能围绕案件办理后的评估反馈与回访管理展开，涵盖群众满意度评价、意见建议收集与回复。群众可对办理过程、结果、人员进行星级评分并提交反馈。</w:t>
            </w:r>
            <w:r>
              <w:rPr>
                <w:rFonts w:hint="eastAsia" w:ascii="宋体" w:hAnsi="宋体"/>
                <w:color w:val="auto"/>
                <w:szCs w:val="21"/>
                <w:highlight w:val="none"/>
              </w:rPr>
              <w:t>默认为好评，后续可以继续追加评价</w:t>
            </w:r>
            <w:r>
              <w:rPr>
                <w:rFonts w:hint="eastAsia" w:ascii="宋体" w:hAnsi="宋体"/>
                <w:color w:val="auto"/>
                <w:szCs w:val="21"/>
                <w:highlight w:val="none"/>
                <w:lang w:eastAsia="zh-CN"/>
              </w:rPr>
              <w:t>。</w:t>
            </w:r>
            <w:r>
              <w:rPr>
                <w:rFonts w:hint="eastAsia" w:ascii="宋体" w:hAnsi="宋体" w:eastAsia="宋体" w:cs="Times New Roman"/>
                <w:color w:val="auto"/>
                <w:szCs w:val="21"/>
                <w:highlight w:val="none"/>
              </w:rPr>
              <w:t>系统支持评价管理，包括未评价和已评价任务的查询、评分与修改。支持回访管理分为随机与指定回访，通过待回访、已回访列表及台账实现全流程跟踪。支持新增回访记录、结束回访、多维度查询与详情查看。</w:t>
            </w:r>
          </w:p>
          <w:p w14:paraId="62866D12">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6</w:t>
            </w:r>
            <w:r>
              <w:rPr>
                <w:rFonts w:hint="eastAsia" w:ascii="宋体" w:hAnsi="宋体" w:eastAsia="宋体" w:cs="Times New Roman"/>
                <w:color w:val="auto"/>
                <w:szCs w:val="21"/>
                <w:highlight w:val="none"/>
              </w:rPr>
              <w:t>）跟踪督办</w:t>
            </w:r>
          </w:p>
          <w:p w14:paraId="692E6484">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跟踪督办功能需涵盖新增、受理、办理、结案、评价、评估等环节跟踪督办和查询功能。需具备预警提醒功能，对临近或超时节点自动推送提醒。支持事件督办、上级中心干预，对超期或高风险事件进行红黄标注并升级处置。通过评价应用对调解效能进行分析，实施奖惩。需提供全流程追踪、督办管理、预警提醒、上级中心干预、典型案例库等功能，涵盖延期、挂起、上报、结案等环节的审批与查询，确保纠纷高效妥善处理。</w:t>
            </w:r>
          </w:p>
          <w:p w14:paraId="7692C990">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7</w:t>
            </w:r>
            <w:r>
              <w:rPr>
                <w:rFonts w:hint="eastAsia" w:ascii="宋体" w:hAnsi="宋体" w:eastAsia="宋体" w:cs="Times New Roman"/>
                <w:color w:val="auto"/>
                <w:szCs w:val="21"/>
                <w:highlight w:val="none"/>
              </w:rPr>
              <w:t>）分析研判</w:t>
            </w:r>
          </w:p>
          <w:p w14:paraId="11513C3F">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分析研判功能围绕矛盾纠纷工作的分析研判。需依托数据中台整合的公安、司法、信访等多部门数据，建立案事件与人员数据中心，实现数据查询与分析。其中报告中心支持模板化报表的周期性生成与管理。提供来源、事项、调解结果、事项类型、办理节点、上报、调解员、办理情况、窗口等多维度统计分析功能，支持按时间、区域组合查询、下钻查看详情及导出，为管理者提供决策依据。</w:t>
            </w:r>
          </w:p>
          <w:p w14:paraId="19FAD83E">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8</w:t>
            </w:r>
            <w:r>
              <w:rPr>
                <w:rFonts w:hint="eastAsia" w:ascii="宋体" w:hAnsi="宋体" w:eastAsia="宋体" w:cs="Times New Roman"/>
                <w:color w:val="auto"/>
                <w:szCs w:val="21"/>
                <w:highlight w:val="none"/>
              </w:rPr>
              <w:t>）通用配置</w:t>
            </w:r>
          </w:p>
          <w:p w14:paraId="785BDDE0">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通用配置模块涵盖考核管理、纠纷类型、组织库、专家库、专业窗口及办理时限管理等功能。支持通过考核指标、策略与任务管理，实现对调解工作的人、事、组织的量化考评；支持通过纠纷类型、组织库、专家库配置，规范纠纷分类与调解资源管理；支持统一管理调解机构与专家信息，支持多维度查询与维护；支持专业窗口与办理时限配置，明确窗口职能、权限及业务办理时效，支撑调解业务高效运行。</w:t>
            </w:r>
          </w:p>
          <w:p w14:paraId="185D89B9">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9</w:t>
            </w:r>
            <w:r>
              <w:rPr>
                <w:rFonts w:hint="eastAsia" w:ascii="宋体" w:hAnsi="宋体" w:eastAsia="宋体" w:cs="Times New Roman"/>
                <w:color w:val="auto"/>
                <w:szCs w:val="21"/>
                <w:highlight w:val="none"/>
              </w:rPr>
              <w:t>）运行状态检测</w:t>
            </w:r>
          </w:p>
          <w:p w14:paraId="544F2BF1">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运行状态检测模块，支持包括用户总量、在线人数、分层级及地域分布的统计分析，支持按区域、角色等维度查询用户数、在线状态、访问量。</w:t>
            </w:r>
          </w:p>
          <w:p w14:paraId="2A5D2C9C">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10</w:t>
            </w:r>
            <w:r>
              <w:rPr>
                <w:rFonts w:hint="eastAsia" w:ascii="宋体" w:hAnsi="宋体" w:eastAsia="宋体" w:cs="Times New Roman"/>
                <w:color w:val="auto"/>
                <w:szCs w:val="21"/>
                <w:highlight w:val="none"/>
              </w:rPr>
              <w:t>）法律计算器</w:t>
            </w:r>
          </w:p>
          <w:p w14:paraId="297BC4D1">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法律计算器功能提供多种法律相关费用与权益的在线计算服务。 涵盖工伤赔偿、人身损害赔偿、劳动争议（加班工资、离职补偿、假期权益）、诉讼费、仲裁费、保全费、执行申请费、刑期折抵等。 </w:t>
            </w:r>
          </w:p>
          <w:p w14:paraId="1A653F0D">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w:t>
            </w:r>
            <w:r>
              <w:rPr>
                <w:rFonts w:hint="eastAsia" w:ascii="宋体" w:hAnsi="宋体" w:cs="Times New Roman"/>
                <w:color w:val="auto"/>
                <w:szCs w:val="21"/>
                <w:highlight w:val="none"/>
                <w:lang w:val="en-US" w:eastAsia="zh-CN"/>
              </w:rPr>
              <w:t>1</w:t>
            </w:r>
            <w:r>
              <w:rPr>
                <w:rFonts w:hint="eastAsia" w:ascii="宋体" w:hAnsi="宋体" w:eastAsia="宋体" w:cs="Times New Roman"/>
                <w:color w:val="auto"/>
                <w:szCs w:val="21"/>
                <w:highlight w:val="none"/>
              </w:rPr>
              <w:t>）工作人员移动端</w:t>
            </w:r>
          </w:p>
          <w:p w14:paraId="51B57273">
            <w:pPr>
              <w:keepNext w:val="0"/>
              <w:keepLines w:val="0"/>
              <w:suppressLineNumbers w:val="0"/>
              <w:spacing w:before="0" w:beforeAutospacing="0" w:after="0" w:afterAutospacing="0" w:line="260" w:lineRule="exact"/>
              <w:ind w:left="0" w:right="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工作人员移动端需集成于智桂通APP，支持通过身份证号、手机验证码登录，支持对接综治系统进行身份认证，支持多账号关联与多身份切换。支持纠纷录入、风险隐患上报功能，支持文字、图片、语音等多种信息采集及离线上报。支持任务中心，实现任务接收、状态跟踪、进度更新与反馈闭环，并支持即时通讯与资料交互，包括语音、文字、文件的传输与状态追踪。支持个人中心功能，用于信息管理与密码重置。支持“一案一码”纠纷化解管理，可全程跟踪事件处理状态。 支持辖区整体态势与矛盾隐患趋势分析功能，以图表展示事件分布、处理效率及风险预警。 </w:t>
            </w:r>
          </w:p>
          <w:p w14:paraId="32D33280">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）群众服务移动端</w:t>
            </w:r>
          </w:p>
          <w:p w14:paraId="77167ECE">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群众服务移动端需集成于智桂通APP。需具备首页背景展示、事项查询、纠纷预约、我的反馈、进度查询、满意度评价及法律计算器功能，支持分类导航与关键词检索。 支持智能咨询服务，群众可进行法律法规咨询。 支持“一案一码”扫码查询及纠纷预约。 法律计算器支持工伤赔偿、人身损害、劳动争议、诉讼费、仲裁费等多种计算类型，输入相关信息可自动计算并提示风险。 支持事件全程跟踪与反馈，群众可实时查看处理进度，结果完成后推送反馈，提升服务透明度与满意度。</w:t>
            </w:r>
            <w:r>
              <w:rPr>
                <w:rFonts w:hint="eastAsia" w:ascii="宋体" w:hAnsi="宋体"/>
                <w:color w:val="auto"/>
                <w:szCs w:val="21"/>
                <w:highlight w:val="none"/>
              </w:rPr>
              <w:t>最大并发访问量支持不少于800。</w:t>
            </w:r>
          </w:p>
          <w:p w14:paraId="4C3995B4">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3、重点群体信息采集</w:t>
            </w:r>
          </w:p>
          <w:p w14:paraId="67C21AE8">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（1）重点人员一人一档</w:t>
            </w:r>
          </w:p>
          <w:p w14:paraId="43B5446C">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重点人员一人一档模块是重点人员“一人一档”管理模块，重点人员需要覆盖吸毒人员、严重精神障碍患者、刑释人员、社区矫正对象、重点青少年、重点上访人员、三失一偏人员及孤寡病弱、单亲失亲、事实无人抚养儿童等关怀对象。 每类人员信息需包含基础信息、详情信息、走访记录（部分类型）、关联事件等，支持一人一档的编辑、删除、导出。 </w:t>
            </w:r>
          </w:p>
          <w:p w14:paraId="7D4FDA87">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（2）一人一档查询</w:t>
            </w:r>
          </w:p>
          <w:p w14:paraId="7C865639">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一人一档查询模块，需要包括全文检索和标签检索。 其中全文检索支持关键字、同音、拼音、模糊、范围、组合及指定字段检索，可对姓名、身份证号、事件编号等进行快速查询。 检索结果支持以卡片式展示，支持显示命中条数及详情。标签检索支持通过单一标签、多标签组合或与其他条件组合进行检索。</w:t>
            </w:r>
          </w:p>
          <w:p w14:paraId="20881435">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4、风险统计分析</w:t>
            </w:r>
          </w:p>
          <w:p w14:paraId="22B5789A">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（1）统计分析</w:t>
            </w:r>
          </w:p>
          <w:p w14:paraId="7DAEDA3E">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需提供全面的统计分析功能，涵盖矛盾纠纷和社会风险两大领域。 其中矛盾纠纷统计支持按新增、办理中、已办结、已回访状态，从时间、类型、区域、窗口、领域等维度进行多角度分析，并支持办理时限统计。 社会风险统计需覆盖治安隐患、重点人员异常、部门推送、纠纷衍生风险等，支持按区域、类型、时间、窗口、领域进行多维统计与异常识别。系统需具备风险量化、趋势分析、预警提示等功能，支持生成矛盾纠纷及社会风险的</w:t>
            </w:r>
            <w:r>
              <w:rPr>
                <w:rFonts w:hint="eastAsia" w:ascii="宋体" w:hAnsi="宋体" w:cs="Times New Roman"/>
                <w:color w:val="auto"/>
                <w:szCs w:val="21"/>
                <w:highlight w:val="none"/>
                <w:lang w:eastAsia="zh-CN"/>
              </w:rPr>
              <w:t>周度、</w:t>
            </w:r>
            <w:r>
              <w:rPr>
                <w:rFonts w:hint="eastAsia" w:ascii="宋体" w:hAnsi="宋体" w:eastAsia="宋体" w:cs="Times New Roman"/>
                <w:color w:val="auto"/>
                <w:szCs w:val="21"/>
                <w:highlight w:val="none"/>
              </w:rPr>
              <w:t>月度、季度、年度报告，包含总量、分布、趋势、重点人员风险等级等内容，支持预览、修改、打印与下载，全面掌握辖区风险态势。</w:t>
            </w:r>
          </w:p>
          <w:p w14:paraId="074EE3D8">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（2）监测预警</w:t>
            </w:r>
          </w:p>
          <w:p w14:paraId="678F2BDF">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监测预警模块需提供重点事件、区域、行业、人员的监测预警功能。 支持基于人员规模、资金、跨区域、关联案件等特征，对扬言、群体、个人极端等风险进行持续监测，通过加权计算风险指数，超阈值时自动预警。支持按行政区域聚合数据，计算区域风险指数，识别高风险区域并推送预警。支持针对行业整合经营异常、涉诉等数据，计算行业风险指数并预警。支持对中高风险纠纷当事人及重点人员，结合历史与多源数据，监测异常行为，计算人员风险指数并预警。支持通过人-人、人-事、人-风险等关系图谱开展关联分析，动态识别潜在风险。支持预警信息推送至权责部门，实现闭环管理。支持对需稳控对象下发常态化任务，依据风险等级定期回访跟踪，动态更新状态。</w:t>
            </w:r>
          </w:p>
          <w:p w14:paraId="4AEF7AF1">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5、可视化云图</w:t>
            </w:r>
          </w:p>
          <w:p w14:paraId="4252AEBE">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（1）驾驶舱云图</w:t>
            </w:r>
          </w:p>
          <w:p w14:paraId="7D69A000">
            <w:pPr>
              <w:keepNext w:val="0"/>
              <w:keepLines w:val="0"/>
              <w:suppressLineNumbers w:val="0"/>
              <w:spacing w:before="0" w:beforeAutospacing="0" w:after="0" w:afterAutospacing="0" w:line="260" w:lineRule="exact"/>
              <w:ind w:left="0" w:right="0"/>
              <w:rPr>
                <w:rFonts w:hint="eastAsia" w:ascii="宋体" w:hAnsi="宋体"/>
                <w:color w:val="auto"/>
                <w:szCs w:val="21"/>
                <w:highlight w:val="none"/>
              </w:rPr>
            </w:pPr>
            <w:r>
              <w:rPr>
                <w:rFonts w:hint="eastAsia" w:ascii="宋体" w:hAnsi="宋体"/>
                <w:color w:val="auto"/>
                <w:szCs w:val="21"/>
                <w:highlight w:val="none"/>
              </w:rPr>
              <w:t>驾驶舱云图展示</w:t>
            </w:r>
            <w:r>
              <w:rPr>
                <w:rFonts w:hint="eastAsia" w:ascii="宋体" w:hAnsi="宋体"/>
                <w:color w:val="auto"/>
                <w:szCs w:val="21"/>
                <w:highlight w:val="none"/>
                <w:lang w:eastAsia="zh-CN"/>
              </w:rPr>
              <w:t>相关</w:t>
            </w:r>
            <w:r>
              <w:rPr>
                <w:rFonts w:hint="eastAsia" w:ascii="宋体" w:hAnsi="宋体"/>
                <w:color w:val="auto"/>
                <w:szCs w:val="21"/>
                <w:highlight w:val="none"/>
              </w:rPr>
              <w:t>部门纠纷事件</w:t>
            </w:r>
            <w:r>
              <w:rPr>
                <w:rFonts w:hint="eastAsia" w:ascii="宋体" w:hAnsi="宋体"/>
                <w:color w:val="auto"/>
                <w:szCs w:val="21"/>
                <w:highlight w:val="none"/>
                <w:lang w:eastAsia="zh-CN"/>
              </w:rPr>
              <w:t>数量</w:t>
            </w:r>
            <w:r>
              <w:rPr>
                <w:rFonts w:hint="eastAsia" w:ascii="宋体" w:hAnsi="宋体"/>
                <w:color w:val="auto"/>
                <w:szCs w:val="21"/>
                <w:highlight w:val="none"/>
              </w:rPr>
              <w:t>，</w:t>
            </w:r>
            <w:r>
              <w:rPr>
                <w:rFonts w:hint="eastAsia" w:ascii="宋体" w:hAnsi="宋体"/>
                <w:color w:val="auto"/>
                <w:szCs w:val="21"/>
                <w:highlight w:val="none"/>
                <w:lang w:eastAsia="zh-CN"/>
              </w:rPr>
              <w:t>可查看数据列表展示，并支持查看数据详情</w:t>
            </w:r>
            <w:r>
              <w:rPr>
                <w:rFonts w:hint="eastAsia" w:ascii="宋体" w:hAnsi="宋体"/>
                <w:color w:val="auto"/>
                <w:szCs w:val="21"/>
                <w:highlight w:val="none"/>
              </w:rPr>
              <w:t>。通过柱状图、折线图分别展示纠纷与风险预警数量、部门数据会商趋势及矛盾纠纷年度变化。重点风险人员以环状图显示占比，可点击查看列表及详情。</w:t>
            </w:r>
            <w:r>
              <w:rPr>
                <w:rFonts w:hint="eastAsia" w:ascii="宋体" w:hAnsi="宋体"/>
                <w:color w:val="auto"/>
                <w:szCs w:val="21"/>
                <w:highlight w:val="none"/>
                <w:lang w:eastAsia="zh-CN"/>
              </w:rPr>
              <w:t>可</w:t>
            </w:r>
            <w:r>
              <w:rPr>
                <w:rFonts w:hint="eastAsia" w:ascii="宋体" w:hAnsi="宋体"/>
                <w:color w:val="auto"/>
                <w:szCs w:val="21"/>
                <w:highlight w:val="none"/>
              </w:rPr>
              <w:t>全面呈现辖区矛盾纠纷调解工作全貌，构建集化解成效和调解状态统计、成功案例溯源、纠纷类型分析及趋势动态研判于一体的云图展示内容。包括但不限于辖区内化解率，部门协同事件数量，调解成功事件列表及事件详情，各类</w:t>
            </w:r>
            <w:r>
              <w:rPr>
                <w:rFonts w:hint="eastAsia" w:ascii="宋体" w:hAnsi="宋体"/>
                <w:color w:val="auto"/>
                <w:szCs w:val="21"/>
                <w:highlight w:val="none"/>
                <w:lang w:eastAsia="zh-CN"/>
              </w:rPr>
              <w:t>化</w:t>
            </w:r>
            <w:r>
              <w:rPr>
                <w:rFonts w:hint="eastAsia" w:ascii="宋体" w:hAnsi="宋体"/>
                <w:color w:val="auto"/>
                <w:szCs w:val="21"/>
                <w:highlight w:val="none"/>
              </w:rPr>
              <w:t>解方式中纠纷事件的数量和比例，辖区内本年和去年矛盾纠纷数量的变化趋势等。纠纷事件类型发生数量的排名列出前10。</w:t>
            </w:r>
          </w:p>
          <w:p w14:paraId="794F78D0">
            <w:pPr>
              <w:keepNext w:val="0"/>
              <w:keepLines w:val="0"/>
              <w:suppressLineNumbers w:val="0"/>
              <w:spacing w:before="0" w:beforeAutospacing="0" w:after="0" w:afterAutospacing="0" w:line="260" w:lineRule="exact"/>
              <w:ind w:left="0" w:right="0"/>
              <w:rPr>
                <w:rFonts w:hint="eastAsia" w:ascii="宋体" w:hAnsi="宋体"/>
                <w:color w:val="auto"/>
                <w:szCs w:val="21"/>
                <w:highlight w:val="none"/>
              </w:rPr>
            </w:pPr>
            <w:r>
              <w:rPr>
                <w:rFonts w:hint="eastAsia" w:ascii="宋体" w:hAnsi="宋体"/>
                <w:color w:val="auto"/>
                <w:szCs w:val="21"/>
                <w:highlight w:val="none"/>
              </w:rPr>
              <w:t>（2）纠纷化解云图</w:t>
            </w:r>
          </w:p>
          <w:p w14:paraId="6D916E66">
            <w:pPr>
              <w:keepNext w:val="0"/>
              <w:keepLines w:val="0"/>
              <w:suppressLineNumbers w:val="0"/>
              <w:spacing w:before="0" w:beforeAutospacing="0" w:after="0" w:afterAutospacing="0" w:line="260" w:lineRule="exact"/>
              <w:ind w:left="0" w:right="0"/>
              <w:rPr>
                <w:rFonts w:hint="eastAsia" w:ascii="宋体" w:hAnsi="宋体"/>
                <w:color w:val="auto"/>
                <w:szCs w:val="21"/>
                <w:highlight w:val="none"/>
              </w:rPr>
            </w:pPr>
            <w:r>
              <w:rPr>
                <w:rFonts w:hint="eastAsia" w:ascii="宋体" w:hAnsi="宋体"/>
                <w:color w:val="auto"/>
                <w:szCs w:val="21"/>
                <w:highlight w:val="none"/>
                <w:lang w:eastAsia="zh-CN"/>
              </w:rPr>
              <w:t>云图</w:t>
            </w:r>
            <w:r>
              <w:rPr>
                <w:rFonts w:hint="eastAsia" w:ascii="宋体" w:hAnsi="宋体"/>
                <w:color w:val="auto"/>
                <w:szCs w:val="21"/>
                <w:highlight w:val="none"/>
              </w:rPr>
              <w:t>围绕矛盾纠纷全周期管理，构建“总量掌控—处置效能—类型趋势”三位一体的监测分析框架，通过核心指标量化与趋势可视化，全面呈现辖区矛盾纠纷的规模增量、响应效率及类别演化态势。包括但不限于辖区内矛盾纠纷总数，昨日新增数量；辖区内事件办结、中心处置、部门处置的平均时长；各种类型矛盾纠纷事件数量变化趋势等。数据动态刷新响应时间不大于3秒。</w:t>
            </w:r>
          </w:p>
          <w:p w14:paraId="160BCE13">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6、指挥调度</w:t>
            </w:r>
          </w:p>
          <w:p w14:paraId="7F2DA3AD">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（1）地图展示</w:t>
            </w:r>
          </w:p>
          <w:p w14:paraId="3499C6FC">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地图展示模块需对接自治区自然资源厅GIS地图引擎API获取电子地图、影像图层及各项服务许可。对接完成后支持提供放大、缩小、全图、全屏、地址查询等基础功能。支持在地图上展示综治中心、重点单位、重点人员、非公组织等位置，点击可查看详情，支持模糊查询与框选统计。支持自定义图层、添加标注，实现多图层叠加分析。支持网格边界显示、预警信息弹窗提示，并以热力图形式按类型、时间段展示矛盾纠纷分布态势。</w:t>
            </w:r>
          </w:p>
          <w:p w14:paraId="42BDD505">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（2）指挥调度</w:t>
            </w:r>
          </w:p>
          <w:p w14:paraId="3D8E242B">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指挥调度需同即时通讯功能，支持综治中心与工作人员通过聊天窗口进行文字、图片会话。支持创建群组，实现</w:t>
            </w:r>
            <w:r>
              <w:rPr>
                <w:rFonts w:hint="eastAsia" w:ascii="宋体" w:hAnsi="宋体" w:cs="Times New Roman"/>
                <w:color w:val="auto"/>
                <w:szCs w:val="21"/>
                <w:highlight w:val="none"/>
                <w:lang w:eastAsia="zh-CN"/>
              </w:rPr>
              <w:t>自治区、市、</w:t>
            </w:r>
            <w:r>
              <w:rPr>
                <w:rFonts w:hint="eastAsia" w:ascii="宋体" w:hAnsi="宋体" w:eastAsia="宋体" w:cs="Times New Roman"/>
                <w:color w:val="auto"/>
                <w:szCs w:val="21"/>
                <w:highlight w:val="none"/>
              </w:rPr>
              <w:t>县</w:t>
            </w:r>
            <w:r>
              <w:rPr>
                <w:rFonts w:hint="eastAsia" w:ascii="宋体" w:hAnsi="宋体" w:cs="Times New Roman"/>
                <w:color w:val="auto"/>
                <w:szCs w:val="21"/>
                <w:highlight w:val="none"/>
                <w:lang w:eastAsia="zh-CN"/>
              </w:rPr>
              <w:t>（区）</w:t>
            </w:r>
            <w:r>
              <w:rPr>
                <w:rFonts w:hint="eastAsia" w:ascii="宋体" w:hAnsi="宋体" w:eastAsia="宋体" w:cs="Times New Roman"/>
                <w:color w:val="auto"/>
                <w:szCs w:val="21"/>
                <w:highlight w:val="none"/>
              </w:rPr>
              <w:t>、</w:t>
            </w:r>
            <w:r>
              <w:rPr>
                <w:rFonts w:hint="eastAsia" w:ascii="宋体" w:hAnsi="宋体"/>
                <w:color w:val="auto"/>
                <w:szCs w:val="21"/>
                <w:highlight w:val="none"/>
              </w:rPr>
              <w:t>乡镇（街道）、村（社区）</w:t>
            </w:r>
            <w:r>
              <w:rPr>
                <w:rFonts w:hint="eastAsia" w:ascii="宋体" w:hAnsi="宋体" w:eastAsia="宋体" w:cs="Times New Roman"/>
                <w:color w:val="auto"/>
                <w:szCs w:val="21"/>
                <w:highlight w:val="none"/>
              </w:rPr>
              <w:t>综治中心及人员间的统一沟通。支持群创建、修改、成员管理、消息屏蔽和名称修改功能。群组支持按事件组建，群内可进行文字、图片交流，并可添加或删除成员，支持群消息与单人消息两种会话模式。</w:t>
            </w:r>
          </w:p>
          <w:p w14:paraId="005BD1F1">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（3）雪亮工程专题</w:t>
            </w:r>
          </w:p>
          <w:p w14:paraId="292515EE">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雪亮工程专题模块通过地图展示视频点位的经纬度、设备名称等信息，支持点击摄像头播放实时视频。视频组织列表支持从自治区级视频共享平台同步，按层级展示至村</w:t>
            </w:r>
            <w:r>
              <w:rPr>
                <w:rFonts w:hint="eastAsia" w:ascii="宋体" w:hAnsi="宋体" w:cs="Times New Roman"/>
                <w:color w:val="auto"/>
                <w:szCs w:val="21"/>
                <w:highlight w:val="none"/>
                <w:lang w:eastAsia="zh-CN"/>
              </w:rPr>
              <w:t>（社区）</w:t>
            </w:r>
            <w:r>
              <w:rPr>
                <w:rFonts w:hint="eastAsia" w:ascii="宋体" w:hAnsi="宋体" w:eastAsia="宋体" w:cs="Times New Roman"/>
                <w:color w:val="auto"/>
                <w:szCs w:val="21"/>
                <w:highlight w:val="none"/>
              </w:rPr>
              <w:t>级，显示在线状态及各组织视频点位总数。支持查看实时视频与历史视频。支持对无GIS坐标的视频在地图上进行位置标记与名称修改，并可通过组织列表修改点位位置与名称。</w:t>
            </w:r>
          </w:p>
          <w:p w14:paraId="3F5B1CB7">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（4）可视化任务下派</w:t>
            </w:r>
          </w:p>
          <w:p w14:paraId="1ABED22B">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可视化任务下派模块支持通过组织列表树展示各级组织及人员，综治中心可向下派发任务，内容包括时间、类型、紧急程度、责任人、任务内容、关联事件及附件。支持任务列表查看、待办处理、继续下派、关键字模糊查询，可查看进度、回复、追溯执行情况，并对完成情况评价。</w:t>
            </w:r>
          </w:p>
          <w:p w14:paraId="2F27B01B">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7、现有系统业务协同</w:t>
            </w:r>
          </w:p>
          <w:p w14:paraId="6D78F72B">
            <w:pPr>
              <w:keepNext w:val="0"/>
              <w:keepLines w:val="0"/>
              <w:suppressLineNumbers w:val="0"/>
              <w:spacing w:before="0" w:beforeAutospacing="0" w:after="0" w:afterAutospacing="0" w:line="260" w:lineRule="exact"/>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（1）业务协同</w:t>
            </w:r>
          </w:p>
          <w:p w14:paraId="7C1030D4">
            <w:pPr>
              <w:keepNext w:val="0"/>
              <w:keepLines w:val="0"/>
              <w:suppressLineNumbers w:val="0"/>
              <w:spacing w:before="0" w:beforeAutospacing="0" w:after="0" w:afterAutospacing="0" w:line="260" w:lineRule="exact"/>
              <w:ind w:left="0" w:right="0"/>
              <w:rPr>
                <w:rFonts w:hint="eastAsia" w:ascii="宋体" w:hAnsi="宋体" w:eastAsia="宋体" w:cs="宋体"/>
                <w:color w:val="auto"/>
                <w:szCs w:val="21"/>
                <w:highlight w:val="none"/>
                <w:lang w:eastAsia="zh-CN"/>
              </w:rPr>
            </w:pPr>
            <w:r>
              <w:rPr>
                <w:rFonts w:hint="eastAsia" w:ascii="宋体" w:hAnsi="宋体" w:eastAsia="宋体" w:cs="Times New Roman"/>
                <w:color w:val="auto"/>
                <w:szCs w:val="21"/>
                <w:highlight w:val="none"/>
              </w:rPr>
              <w:t>本项目依托广西一体化智能化公共数据平台实现跨部门业务协同，通过数据中台与社会治安综合治理信息平台进行数据交互。公安、司法、检察、法院、信访、人社等部门可将矛盾纠纷、治安风险等信息推送至平台，综治中心亦可向各部门推送事件，双方通过数据中台获取信息并进行签收、退回、处置结果反馈等操作，实现闭环管理。</w:t>
            </w:r>
          </w:p>
        </w:tc>
      </w:tr>
      <w:tr w14:paraId="18176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5" w:type="dxa"/>
            <w:vMerge w:val="continue"/>
            <w:tcBorders>
              <w:left w:val="single" w:color="auto" w:sz="4" w:space="0"/>
              <w:right w:val="single" w:color="auto" w:sz="4" w:space="0"/>
            </w:tcBorders>
            <w:noWrap w:val="0"/>
            <w:vAlign w:val="center"/>
          </w:tcPr>
          <w:p w14:paraId="5E2B3D84">
            <w:pPr>
              <w:keepNext w:val="0"/>
              <w:keepLines w:val="0"/>
              <w:suppressLineNumbers w:val="0"/>
              <w:shd w:val="clear" w:color="auto" w:fill="auto"/>
              <w:spacing w:before="0" w:beforeAutospacing="0" w:after="0" w:afterAutospacing="0" w:line="240" w:lineRule="exact"/>
              <w:ind w:left="0" w:right="0"/>
              <w:jc w:val="center"/>
              <w:rPr>
                <w:rFonts w:hint="eastAsia" w:ascii="宋体" w:hAnsi="宋体" w:eastAsia="宋体" w:cs="宋体"/>
                <w:b/>
                <w:bCs/>
                <w:color w:val="auto"/>
                <w:szCs w:val="21"/>
                <w:highlight w:val="none"/>
              </w:rPr>
            </w:pPr>
          </w:p>
        </w:tc>
        <w:tc>
          <w:tcPr>
            <w:tcW w:w="325" w:type="dxa"/>
            <w:tcBorders>
              <w:top w:val="single" w:color="auto" w:sz="4" w:space="0"/>
              <w:left w:val="single" w:color="auto" w:sz="4" w:space="0"/>
              <w:right w:val="single" w:color="auto" w:sz="4" w:space="0"/>
            </w:tcBorders>
            <w:noWrap w:val="0"/>
            <w:vAlign w:val="center"/>
          </w:tcPr>
          <w:p w14:paraId="5A35F85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1096" w:type="dxa"/>
            <w:tcBorders>
              <w:top w:val="single" w:color="auto" w:sz="4" w:space="0"/>
              <w:left w:val="single" w:color="auto" w:sz="4" w:space="0"/>
              <w:right w:val="single" w:color="auto" w:sz="4" w:space="0"/>
            </w:tcBorders>
            <w:noWrap w:val="0"/>
            <w:vAlign w:val="center"/>
          </w:tcPr>
          <w:p w14:paraId="13FC48E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数据中台系统</w:t>
            </w:r>
          </w:p>
        </w:tc>
        <w:tc>
          <w:tcPr>
            <w:tcW w:w="467" w:type="dxa"/>
            <w:tcBorders>
              <w:top w:val="single" w:color="auto" w:sz="4" w:space="0"/>
              <w:left w:val="single" w:color="auto" w:sz="4" w:space="0"/>
              <w:right w:val="single" w:color="auto" w:sz="4" w:space="0"/>
            </w:tcBorders>
            <w:noWrap w:val="0"/>
            <w:vAlign w:val="center"/>
          </w:tcPr>
          <w:p w14:paraId="558A8618">
            <w:pPr>
              <w:keepNext w:val="0"/>
              <w:keepLines w:val="0"/>
              <w:suppressLineNumbers w:val="0"/>
              <w:shd w:val="clear" w:color="auto" w:fill="auto"/>
              <w:spacing w:before="0" w:beforeAutospacing="0" w:after="0" w:afterAutospacing="0" w:line="320" w:lineRule="exact"/>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472" w:type="dxa"/>
            <w:tcBorders>
              <w:top w:val="single" w:color="auto" w:sz="4" w:space="0"/>
              <w:left w:val="single" w:color="auto" w:sz="4" w:space="0"/>
              <w:right w:val="single" w:color="auto" w:sz="4" w:space="0"/>
            </w:tcBorders>
            <w:noWrap w:val="0"/>
            <w:vAlign w:val="center"/>
          </w:tcPr>
          <w:p w14:paraId="2A1F2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w:t>
            </w:r>
          </w:p>
        </w:tc>
        <w:tc>
          <w:tcPr>
            <w:tcW w:w="6853" w:type="dxa"/>
            <w:tcBorders>
              <w:top w:val="single" w:color="auto" w:sz="4" w:space="0"/>
              <w:left w:val="single" w:color="auto" w:sz="4" w:space="0"/>
              <w:right w:val="single" w:color="auto" w:sz="4" w:space="0"/>
            </w:tcBorders>
            <w:noWrap w:val="0"/>
            <w:vAlign w:val="center"/>
          </w:tcPr>
          <w:p w14:paraId="4AE8C02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一、数据中台软件开发</w:t>
            </w:r>
          </w:p>
          <w:p w14:paraId="4A73696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（一）政法数据工作台</w:t>
            </w:r>
          </w:p>
          <w:p w14:paraId="11B8E17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1、专家库数据量展示：支持统计并展示专家库相关核心指标，包括模型库总数、字段总数、数据字典数量、数据标准数量，以及识别算法、转换算法、稽核算法的数量，便于用户全面掌握专家知识体系规模。</w:t>
            </w:r>
          </w:p>
          <w:p w14:paraId="3D52FBA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2、数据资产量展示：支持展示当前平台中数据资产总量，细化展示由模型生成的资产数量、外部导入的资产数量及二者的占比，辅助用户评估资产来源与建设成效。</w:t>
            </w:r>
          </w:p>
          <w:p w14:paraId="7B7E19F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3、告警信息展示：提供告警状态可视化展示功能，包含告警实例数量、对应的监控模块及告警级别分布，便于快速识别风险来源和告警严重程度。</w:t>
            </w:r>
          </w:p>
          <w:p w14:paraId="1EC45CF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4、数据流与控制流运行监控：支持展示平台中所有数据流和控制流任务的运行统计信息，包括任务总数、执行成功率及失败率，辅助用户及时掌握任务执行状态与运行稳定性。</w:t>
            </w:r>
          </w:p>
          <w:p w14:paraId="3545FD8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（二）政法数据规划</w:t>
            </w:r>
          </w:p>
          <w:p w14:paraId="7E6A5053">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1、规划概览</w:t>
            </w:r>
          </w:p>
          <w:p w14:paraId="184C4D4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数据规划配置：数据规划模块用于设定平台的标准业务流程体系、业务领域划分及数据分层分域结构，构建统一的数据治理框架与规划体系。</w:t>
            </w:r>
          </w:p>
          <w:p w14:paraId="7F5D0F9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分层分域可视化展示：支持以图形化方式查看当前数据的分层结构、资源域及业务域的规划情况，并可查看各层级下的数据资源数量分布，提升数据体系透明度。</w:t>
            </w:r>
          </w:p>
          <w:p w14:paraId="460432C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战略文档查看管理：支持查看最新发布的数据规划和流程规范文档，便于用户获取最新数据制度与业务指导内容，实现文档统一管理与知识传递。</w:t>
            </w:r>
          </w:p>
          <w:p w14:paraId="75A2E96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2、平台规划：支持用户上传相关文档或直接在线编辑，便于组织内部共享与持续更新，为平台数据运营与决策提供制度保障与文档依据。</w:t>
            </w:r>
          </w:p>
          <w:p w14:paraId="73C8942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3、分层规划</w:t>
            </w:r>
          </w:p>
          <w:p w14:paraId="1B90DEC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数据分层设计：数据分层用于对数据模型进行整体架构设计和用途划分，将不同用途、不同阶段的数据归类至不同层级。</w:t>
            </w:r>
          </w:p>
          <w:p w14:paraId="2A2047C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数据分层维护管理：支持对已设定的数据分层结构进行在线编辑与维护，包括层级名称、描述、顺序等内容，确保数据分层体系在业务变化中的灵活调整与持续优化。</w:t>
            </w:r>
          </w:p>
          <w:p w14:paraId="48D215E3">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4、业务域规划</w:t>
            </w:r>
          </w:p>
          <w:p w14:paraId="40933CB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业务分类支持：支持通过业务分类对数据资源进行区分管理，便于构建以业务为导向的数据组织体系，提升数据定位与使用效率。</w:t>
            </w:r>
          </w:p>
          <w:p w14:paraId="073AD81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业务资源域创建与管理：支持创建业务资源域，配置名称、用途、责任人等关键信息，并提供资源域详情查看功能，实现资源的精细化管理与责任划分。</w:t>
            </w:r>
          </w:p>
          <w:p w14:paraId="36AE761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业务域与数据分层绑定：支持将业务资源域与数据分层结构进行绑定，构建业务与数据架构的映射关系，提升数据体系结构的统一性与可管理性。</w:t>
            </w:r>
          </w:p>
          <w:p w14:paraId="1282D50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以上平台规划、分层规划、业务域规划功能，系统支持数据规范知识图谱功能，按照社会治安综合治理风险监测预警指标维度智能提取所汇聚矛盾纠纷事件数据中的风险实体与关联关系，并以知识图谱形式进行可视化呈现，形成直观数据规范图谱，服务风险态势预警。支持上传政法数据保密规范、政法数据使用规范、政法数据治理规范、数据考核规范、数据共享共治协同标准等不少于五类制度文件。文档可在线编辑维护；支持创建空白文档功能，创建后支持在线编辑。</w:t>
            </w:r>
          </w:p>
          <w:p w14:paraId="2D5AB08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（三）政法数据采集</w:t>
            </w:r>
          </w:p>
          <w:p w14:paraId="00B9989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1、数据源管理</w:t>
            </w:r>
          </w:p>
          <w:p w14:paraId="5E7F0C1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①数据源目录化管理：支持以目录结构对数据源进行分类管理，便于统一查看与维护。支持数据源的新增、编辑、删除等操作，实现数据源接入过程的标准化与可控化管理。</w:t>
            </w:r>
          </w:p>
          <w:p w14:paraId="6004BAF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支持包含但不限于关系型数据库、非关系型数据库等在内的不少于39种数据源接入组件，可实现与标准化接口的数据进行对接，快速获取数据。</w:t>
            </w:r>
          </w:p>
          <w:p w14:paraId="37EF93A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②多类型数据源支持：平台兼容主流数据库类型，包括关系型数据库、非关系型数据库、时序数据库、分布式数据库以及国产信创数据库。同时支持 Kafka、ActiveMQ、Rest-API、WebSocket 等消息队列与接口类型数据源接入，以及文件类与互联网应用类的数据接入能力，覆盖广泛的异构数据源接入场景。</w:t>
            </w:r>
          </w:p>
          <w:p w14:paraId="3EE7716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2、数据连接器</w:t>
            </w:r>
          </w:p>
          <w:p w14:paraId="4D134E5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支持数据连接器功能。</w:t>
            </w:r>
          </w:p>
          <w:p w14:paraId="373F6E2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①第三方数据接入方式支持：支持通过监听与轮询两种方式实时接收第三方数据。</w:t>
            </w:r>
          </w:p>
          <w:p w14:paraId="2864477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②监听协议支持：监听方式兼容多种协议，包括 TCP、HTTP、KAFKA、Avro、UDP、MQTT、CoAP、Webservice、ActiveMQ、RabbitMQ、WebSocket 等，支持自定义扩展协议。</w:t>
            </w:r>
          </w:p>
          <w:p w14:paraId="0FA5294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③轮询协议支持：轮询方式支持 HTTP、资产数据源及 Webservice 接口确保数据更新的及时性与稳定性。</w:t>
            </w:r>
          </w:p>
          <w:p w14:paraId="42F4641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④多格式数据解析与转换：支持以 JSON 或自定义格式对接收数据进行解析，支持多层级嵌套结构，支持复杂 JSON 结构处理、行转列转换、MVEL 表达式解析等方式对数据进行转换输出。</w:t>
            </w:r>
          </w:p>
          <w:p w14:paraId="6177A8C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灵活数据告警配置：支持基于字段值、逻辑判断条件进行告警规则配置，可设置“同时满足”或“单个满足”的触发逻辑，实现精准告警机制。</w:t>
            </w:r>
          </w:p>
          <w:p w14:paraId="096255D3">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IoT联动告警支持：支持与 IoT 设备联动规则进行集成，当满足预设告警条件时，可触发设备联动响应。</w:t>
            </w:r>
          </w:p>
          <w:p w14:paraId="1FF82E7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多通道告警推送：支持通过站内通知、短信、邮件、消息队列等多种方式推送数据告警信息，支持配置单次推送或循环推送模式，确保告警信息及时送达。</w:t>
            </w:r>
          </w:p>
          <w:p w14:paraId="5FEC74B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⑤多种输出目标支持：支持将处理后的数据输出至平台数据资产，也支持输出至多种数据库或接口服务，支持按加载规则进行配置。</w:t>
            </w:r>
          </w:p>
          <w:p w14:paraId="65DF349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（四）政法数据存储</w:t>
            </w:r>
          </w:p>
          <w:p w14:paraId="1AB44A9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数据仓库连接：以分布式文件系统HDFS为基础，支持时序数据库InfluxDB、列存储数据库HBase、数据仓库Hive，同时支持Neo4j图数据库技术以及Oracle、MySQL等关系型数据库。</w:t>
            </w:r>
          </w:p>
          <w:p w14:paraId="426D53F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（五）政法数据集成</w:t>
            </w:r>
          </w:p>
          <w:p w14:paraId="2B9EFF3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流可视化编排与计算处理：支持数据流、控制流功能，可通过可视化界面对数据流进行算子级编排，至少需包含5种输入节点模型、9种输出节点模型、10种基本转换节点模型、3种数学函数、2种格式化节点模型、2种聚合节点模型、7种高级算子模型、3种连接联合节点模型、3种数据安全节点模型。</w:t>
            </w:r>
          </w:p>
          <w:p w14:paraId="0845693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2、跨源计算与引擎隔离：计算引擎支持跨数据源连接与计算，自动屏蔽不同物理计算引擎间的差异，实现逻辑与物理解耦。</w:t>
            </w:r>
          </w:p>
          <w:p w14:paraId="7F90953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3、数据流调度执行配置：支持数据流任务通过手动执行或调度器触发执行，并可设置调度间隔、起止时间与激活状态，满足复杂调度需求。</w:t>
            </w:r>
          </w:p>
          <w:p w14:paraId="6D341CE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4、数据流列表管理与分类：支持数据流任务的统一列表管理，可查看执行历史记录，并支持按目录对数据流任务进行分类管理，便于组织与维护。</w:t>
            </w:r>
          </w:p>
          <w:p w14:paraId="11C787E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5、控制流统一编排处理：支持将数据流、业务流、控制流、服务编排、Java/Python 脚本、存储过程、FTP上传/下载、延时节点、数据操作等任务节点纳入统一控制流中进行编排，构建一体化的流程调度体系，实现多类型任务协同处理。</w:t>
            </w:r>
          </w:p>
          <w:p w14:paraId="605F6B1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6、控制流调度配置与触发：控制流任务支持手动执行或通过调度器自动触发，可设置任务调度间隔、起止时间、启用状态等，适配多样化流程调度场景。</w:t>
            </w:r>
          </w:p>
          <w:p w14:paraId="26470DD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7、控制流列表管理与分类：支持对控制流任务进行统一管理，可查看任务的执行历史，并支持通过目录方式进行分类管理，提升流程治理效率与可维护性。</w:t>
            </w:r>
          </w:p>
          <w:p w14:paraId="76112F8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（六）政法数据治理</w:t>
            </w:r>
          </w:p>
          <w:p w14:paraId="7F01061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1、数据抽取：实现从各个业务系统的数据快速抽取接入，支持JDBC抽取、Oracle抽取、XML抽取、HDFS文本抽取、DB2抽取、HBase抽取、Hive抽取等方式。</w:t>
            </w:r>
          </w:p>
          <w:p w14:paraId="66C12BB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数据转换：将从数据源获取的数据按照业务需求，转换成目的数据源要求的形式，并对错误、不一致的数据进行清洗和加工；支持对数据进行过滤、连接、剔重、合并、排序、转换、行转列、数据同步等加工处理。</w:t>
            </w:r>
          </w:p>
          <w:p w14:paraId="2239E5B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3、数据加载：将经转换处理后的数据加载到目标数据库或文件，支持HDFS文本加载、文本加载、JDBC加载、XML加载、Oracle加载、HBase加载、Hive加载、Greenplum加载、管控加载、Redis加载、SparkSQL加载、Neo4j加载等。</w:t>
            </w:r>
          </w:p>
          <w:p w14:paraId="012FAD4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数据清洗：支持通过系统中预设的规则快速发现并纠正数据文件中可识别的错误，包括检查数据完整性、有效性、一致性、规范性，处理无效值和缺失值等。系统将错误检测与清理紧密结合起来，可通过直观的图形化界面指定清理操作，且能立即看到此时的清理结果。</w:t>
            </w:r>
          </w:p>
          <w:p w14:paraId="191788B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5、数据加工：通过平台中封装好的加工算子，对目标数据按照一定规则进行加工处理转换。</w:t>
            </w:r>
          </w:p>
          <w:p w14:paraId="53F2145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6、数据建模：通过将平台中各类数据智能算子，结合实际的业务目标，通过可视化任务流程配置成数据处理模型。在屏蔽复杂的底层代码的同时，提供了后期维护的视图，能够对算子参数及模型结构进行细致调整。</w:t>
            </w:r>
          </w:p>
          <w:p w14:paraId="11211C7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（七）政法数据开发</w:t>
            </w:r>
          </w:p>
          <w:p w14:paraId="28E0960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1、数据分析仪</w:t>
            </w:r>
          </w:p>
          <w:p w14:paraId="622E79C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①多工作区数据独立分析支持：同一份数据可通过设置多个工作区进行隔离分析，避免数据混用干扰，提升分析灵活性。</w:t>
            </w:r>
          </w:p>
          <w:p w14:paraId="20F6922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②字段预处理能力：提供对字段的数据预处理能力。基础预处理支持排序、统计、计数、过滤、翻译、别名、精度控制、累计汇总、差异计算等操作；高级预处理支持补值、数据缓存、高级过滤、TOPN筛选等功能，满足不同复杂度的字段处理需求。</w:t>
            </w:r>
          </w:p>
          <w:p w14:paraId="6E68159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③可视化图表组件支持：内置50种以上可视化图表组件，涵盖散点图、直线面积图、分组柱状图等多种图形，满足用户在不同分析场景下的可视化展示需求。</w:t>
            </w:r>
          </w:p>
          <w:p w14:paraId="5D114DE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提供常用的数据分析图表类型，包括折线图、柱状图、面积图、饼图、仪表图、地图及自定义图表等。支持选择表格字段、图表类型，将已经治理好的矛盾纠纷数据资产，生成矛盾纠纷事件类型占比的分析图表，可下载数据统计表格，可分享给其他工作人员。</w:t>
            </w:r>
          </w:p>
          <w:p w14:paraId="038F239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④图表样式自定义配置：支持用户对图表进行丰富的样式定制，实现视觉效果统一与个性化呈现。</w:t>
            </w:r>
          </w:p>
          <w:p w14:paraId="552DC50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⑤图表高级配置能力：支持对图表进行高级个性化配置，增强图表交互与表现力。</w:t>
            </w:r>
          </w:p>
          <w:p w14:paraId="51FAD01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图表预警规则配置：支持用户根据数据资产字段等设定预警规则，便于实现可视化图表级的数据异常监测。</w:t>
            </w:r>
          </w:p>
          <w:p w14:paraId="087FCCE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⑥辅助分析能力：提供智能辅助分析功能，支持数据标签、图表智能推荐、多层钻取、辅助线设置、变量定义、图表明细查看、全部明细导出、二次分析与预警规则设定，全面提升用户数据洞察能力。</w:t>
            </w:r>
          </w:p>
          <w:p w14:paraId="05AB9BC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⑦复杂表格配置支持：支持配置复杂表格的结构和样式，支持对单元格类型设置字体、配色、字号等样式，实现精细化报表展示。</w:t>
            </w:r>
          </w:p>
          <w:p w14:paraId="1143EF6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2、数据智能分析</w:t>
            </w:r>
          </w:p>
          <w:p w14:paraId="75E4F6A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①智能数据解读：支持基于AI算法对表格数据进行自动分析与文本生成，输出结构化数据背后的解读内容，帮助用户无需人工统计即可理解数据含义。</w:t>
            </w:r>
          </w:p>
          <w:p w14:paraId="200BD4A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②时序分析能力：支持对时序类数据进行趋势分析和异常识别，帮助用户掌握数据变化的时间演化过程。</w:t>
            </w:r>
          </w:p>
          <w:p w14:paraId="1F4B709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③整体趋势分析：通过历史数据对指标变化趋势进行可视化分析，帮助用户从宏观角度了解数据的总体走向与发展方向。</w:t>
            </w:r>
          </w:p>
          <w:p w14:paraId="7D7F729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④周期探测分析：支持对数据进行按日、周、年等周期粒度的波动分析，识别数据的周期性规律，辅助用户理解数据背后的周期模式，从而制定更加精准的运营和业务策略。</w:t>
            </w:r>
          </w:p>
          <w:p w14:paraId="7A879BA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⑤时序异常检测与设置：支持用户设置异常检测规则，系统可在时序数据中自动识别突变点或波动异常，提示可能存在的业务或系统问题，便于及时排查与修复。</w:t>
            </w:r>
          </w:p>
          <w:p w14:paraId="3BBA5F1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⑥主因子影响分析：支持用户选择一个主因子并添加多个分析变量，系统将计算每个变量对主因子的影响程度及排序。</w:t>
            </w:r>
          </w:p>
          <w:p w14:paraId="0873105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⑦群集检测能力：支持对数据进行智能聚类分析，系统默认在2至6类之间自动判断最优聚类数量。</w:t>
            </w:r>
          </w:p>
          <w:p w14:paraId="187A09D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⑧特征探索分析：支持对数据进行多维度特征拆解与对比分析，系统自动识别对目标指标影响最大和最小的关键因素。</w:t>
            </w:r>
          </w:p>
          <w:p w14:paraId="691848B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⑨根因定位分析：系统支持对问题事件进行快速追溯，帮助用户精准识别根本原因，辅助做出及时有效的业务决策。</w:t>
            </w:r>
          </w:p>
          <w:p w14:paraId="1BEA1CB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3、数据大屏</w:t>
            </w:r>
          </w:p>
          <w:p w14:paraId="7EA059D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包含案事件数据中心、人员数据中心等数据大屏。</w:t>
            </w:r>
          </w:p>
          <w:p w14:paraId="77087D7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①布局编辑：支持大屏布局编辑能力，包括组件拖拽布局、图层控制、分组管理等操作，可进行复制、粘贴、组合、对齐、分布、锁定、撤销等操作，提升布局效率。支持内容自由布局功能，布局构建完成后，可一键进行效果预览。</w:t>
            </w:r>
          </w:p>
          <w:p w14:paraId="488184B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②页面管理：支持多页面创建与管理，适用于构建多场景、多业务主题的多页展示大屏，可设置页面跳转与顺序调整。</w:t>
            </w:r>
          </w:p>
          <w:p w14:paraId="1DDFB0C3">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③图层管理：提供大屏图层可见性与层级控制能力，支持图层的锁定、隐藏、显示顺序调整、组合、重命名、删除等操作，便于图层结构管理。</w:t>
            </w:r>
          </w:p>
          <w:p w14:paraId="6FD859E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④可视化组件：提供丰富的可视化组件类型，覆盖图表、图形、媒体、输入、交互等，组件种类不少于90种，组件样式与参数支持自定义配置，满足多种可视化场景需要。</w:t>
            </w:r>
          </w:p>
          <w:p w14:paraId="5C01159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⑤模板卡片：提供大屏模板及行业模板资源，支持快速套用模板进行展示；内置150+类型模板，支持组件组合保存为卡片，复用至其他页面，提升搭建效率。</w:t>
            </w:r>
          </w:p>
          <w:p w14:paraId="1CEA6C8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⑥主题样式：提供多种预置主题样式，可快速选择切换，并支持继承和配置预置主题形成自定义主题。支持对组件进行样式配置，同时支持高级 CSS、JSON 样式，用户能够更灵活地定制组件的外观。</w:t>
            </w:r>
          </w:p>
          <w:p w14:paraId="60C20F6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⑦数据配置：支持表格静态数据、分析仪、数据资产三种数据来源配置。</w:t>
            </w:r>
          </w:p>
          <w:p w14:paraId="5C7E577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⑧交互配置：支持大屏交互配置，通过组件变量+页面变量配置逻辑交互。支持组件联动，将图表分为主动源和被动源，通过在一个图表上的操作，自动触发并更新其他图表的数据展示，可联动的图表包括折线图、柱状图、面积图、饼图。提供应用图表下钻功能，支持根据角色进行数据过滤。</w:t>
            </w:r>
          </w:p>
          <w:p w14:paraId="6CE716E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⑨多端适配：支持大屏在PC、移动端、电视端等多终端自动适配，满足不同终端展示需求，支持分辨率自适应、响应式布局。</w:t>
            </w:r>
          </w:p>
          <w:p w14:paraId="67B7909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⑩协同共享：支持通过链接、二维码或权限方式进行协同查看与数据共享，支持同一项目多角色并行协作编辑与查看权限配置。</w:t>
            </w:r>
          </w:p>
          <w:p w14:paraId="0851B77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大屏管理：提供大屏空间与项目管理能力，支持空间与大屏的分组分类管理。支持大屏支持多页面管理。新增的页面可设为默认页面，并可关联母版。支持新增数据大屏母版以及多个页面，并可编辑母版。</w:t>
            </w:r>
          </w:p>
          <w:p w14:paraId="54216B1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4、数据文档</w:t>
            </w:r>
          </w:p>
          <w:p w14:paraId="0BE7335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至少包含案事件数据文档中心与人员数据文档中心。</w:t>
            </w:r>
          </w:p>
          <w:p w14:paraId="29655A1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①文档管理：支持数据文档按个人空间、团队空间、共享空间等维度进行目录分类，提供新增、修改、删除、复制、预览、分享、收藏、模板导入等功能，实现数据文档统一管理。案事件数据文档中心需支持政法工作日报、周报、月报以及矛盾纠纷事件类型分析文档、社会治安综合治理风险监测预警指标分析文档等内容。人员数据文档中心需支持8类重点人员一人一档专题分析文档。</w:t>
            </w:r>
          </w:p>
          <w:p w14:paraId="01DD989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②文档编辑：</w:t>
            </w:r>
          </w:p>
          <w:p w14:paraId="1ED8D32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支持自助式数据文档报告编辑能力，支持在线编辑，提供模板管理，基于模板快速创建数据报告，支持报告的历史版本管理等能力。</w:t>
            </w:r>
          </w:p>
          <w:p w14:paraId="78BAEED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导出为word、源文件、图片等格式，支持快速打印。支持通过编辑文档录入非结构化信息，支持字体、颜色、段落、导航目录等文档编辑能力。支持数据分析仪图表插入功能，数据实时更新，确保数据报告保持数据鲜活度，方便汇报人员快速获取报告。</w:t>
            </w:r>
          </w:p>
          <w:p w14:paraId="1300613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文档内容支持在线编辑，支持文字、图片、图表等元素插入，支持文档内容保存为模板。</w:t>
            </w:r>
          </w:p>
          <w:p w14:paraId="58B3ADC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③文档协同共享：数据文档支持分享功能，可通过链接分享至其他政法工作人员，满足日常决策需求。同时可对分享的访问域名和链接有效期进行限制。支持基于组织、用户、角色等不同维度的快速共享。</w:t>
            </w:r>
          </w:p>
          <w:p w14:paraId="42FAEDB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5、数据报表</w:t>
            </w:r>
          </w:p>
          <w:p w14:paraId="41E0E75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①报表设计：支持以类Excel的形式对数据资产进行在线处理、分析和呈现。支持数据集字段引入，可将数据集字段拖曳至单元格内，且允许同一字段多次拖动到不同单元格内。支持父格依赖、资产自定义字段。支持单元格数据配置，包括数据绑定、数据展示、过滤排序、翻译以及空值占位，可以建立单元格之间的关系，构成数据集，从而在报表预览中获得实际展现结果。支持自定义变量、逻辑控制、超链接设置，完成下钻和与其他模块联动交互操作。</w:t>
            </w:r>
          </w:p>
          <w:p w14:paraId="4E4F20A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②数据计算：支持在线报表的公式计算，内嵌8大类、100多种计算函数。支持多种数据源类型，例如mysql、oracel、rest-api、 TiDB、StarRocks、Hive等。</w:t>
            </w:r>
          </w:p>
          <w:p w14:paraId="563817C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③报表预览：支持报表预览、打印，可将报表嵌入应用，与上层应用无缝融合，无需二开集成。</w:t>
            </w:r>
          </w:p>
          <w:p w14:paraId="59FA18F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（八）政法数据开放</w:t>
            </w:r>
          </w:p>
          <w:p w14:paraId="4FEC5DC3">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1、产品编目</w:t>
            </w:r>
          </w:p>
          <w:p w14:paraId="6C1B136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①资源编目与审批发布：支持对已开发完成的资源进行编目管理，用户可提交编目信息，资源经审批通过后将自动上线，供其他用户检索与申请使用，实现资源的标准化发布与共享。</w:t>
            </w:r>
          </w:p>
          <w:p w14:paraId="595F6AC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②多类型资源编目支持：支持多种类型的数据产品进行编目，覆盖平台内各类核心数据成果，满足不同场景的资源发布需求。</w:t>
            </w:r>
          </w:p>
          <w:p w14:paraId="72709BF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2、数据产品市场</w:t>
            </w:r>
          </w:p>
          <w:p w14:paraId="296899B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数据产品全量展示：支持在平台中集中展示所有已发布的数据产品，涵盖各类数据资产与服务。</w:t>
            </w:r>
          </w:p>
          <w:p w14:paraId="64DE5E1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数据产品快速搜索：提供关键词搜索功能，支持基于产品名称、类型等条件快速检索目标数据产品。</w:t>
            </w:r>
          </w:p>
          <w:p w14:paraId="55968C3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数据产品详情查看：支持查看其详细信息，包括产品基本属性、使用说明、调用方式及关联文档等。</w:t>
            </w:r>
          </w:p>
          <w:p w14:paraId="1DC1C2E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数据产品使用申请：支持对选中产品发起申请操作，包括订阅、调用、使用等多种申请方式，确保数据资源在授权范围内高效、安全地使用。</w:t>
            </w:r>
          </w:p>
          <w:p w14:paraId="30944D3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3、个人中心</w:t>
            </w:r>
          </w:p>
          <w:p w14:paraId="0854AD9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用户申请记录展示：支持展示当前用户申请过的所有数据产品记录，包含产品名称、产品类型、申请时间、审批状态等信息。</w:t>
            </w:r>
          </w:p>
          <w:p w14:paraId="6468DF5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用户可用产品信息展示：支持展示当前用户已获授权的数据产品列表，提供产品名称、类型、版本等详细信息。</w:t>
            </w:r>
          </w:p>
          <w:p w14:paraId="157D764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（九）政法数据服务</w:t>
            </w:r>
          </w:p>
          <w:p w14:paraId="307F297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1、服务管理</w:t>
            </w:r>
          </w:p>
          <w:p w14:paraId="063F221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服务列表目录式管理：支持以目录结构对服务进行统一管理，并可按服务名称、服务类型、开放条件等维度进行筛选，提高服务维护与检索效率。</w:t>
            </w:r>
          </w:p>
          <w:p w14:paraId="0CE1B2F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服务订阅与调用监控：支持用户订阅服务，订阅者可查看服务接口的调用信息，便于掌握服务使用情况与接口调用行为。</w:t>
            </w:r>
          </w:p>
          <w:p w14:paraId="1E77D77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服务授权控制：支持对有开放条件的服务进行授权配置，实现服务访问权限的精细化控制。</w:t>
            </w:r>
          </w:p>
          <w:p w14:paraId="41C4DDB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服务版本管理与打包发布：支持服务版本管理，支持服务的打包下载、安装部署，支持导入导出业务数据与资产。</w:t>
            </w:r>
          </w:p>
          <w:p w14:paraId="263C372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2、内部服务</w:t>
            </w:r>
          </w:p>
          <w:p w14:paraId="493323F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多类型RESTful接口封装与数据操作：支持通过 RESTful 接口方式对外提供已封装的数据服务接口，支持对数据资产进行增、删、改、查操作，并支持通过通用事务类型实现接口级事务控制，满足多样化系统集成需求。</w:t>
            </w:r>
          </w:p>
          <w:p w14:paraId="44ABAC5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多格式数据下载能力：支持用户以 Json、XML、CSV、Excel 等多种格式下载数据资产内容，并支持全量下载或按字段/条件选择部分数据下载。</w:t>
            </w:r>
          </w:p>
          <w:p w14:paraId="3C37F6E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WebService服务集成：支持通过 WebService 接口及 Soap 协议接入，保障新旧系统间的数据互通与功能对接。</w:t>
            </w:r>
          </w:p>
          <w:p w14:paraId="76A2BD8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3、外部服务</w:t>
            </w:r>
          </w:p>
          <w:p w14:paraId="3BE00C5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第三方接口服务托管与转发：支持将外部第三方接口服务接入平台，进行统一配置与托管管理，平台可对接收到的请求进行转发处理，实现接口能力集中管理与集成调用，提升平台的服务聚合能力与扩展性。</w:t>
            </w:r>
          </w:p>
          <w:p w14:paraId="08D89A6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4、积木服务</w:t>
            </w:r>
          </w:p>
          <w:p w14:paraId="5B40CF1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图形化服务逻辑封装：支持通过图形化编排方式封装服务，提供控制、数据、变量、调用等15+类型算子组件，支持实现逻辑判断、数据处理、接口调用等服务逻辑。。</w:t>
            </w:r>
          </w:p>
          <w:p w14:paraId="38B3EA9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5、搜索服务</w:t>
            </w:r>
          </w:p>
          <w:p w14:paraId="49B967C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搜索单元服务封装：支持通过配置搜索单元对服务进行封装，为平台内外提供统一的搜索服务能力。</w:t>
            </w:r>
          </w:p>
          <w:p w14:paraId="5549CFF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6、服务监控</w:t>
            </w:r>
          </w:p>
          <w:p w14:paraId="00B32CF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数据服务使用指标监控：支持对数据服务的使用情况进行多维度监控，包括服务调用次数、数据文件下载量、接口访问频率等关键指标。</w:t>
            </w:r>
          </w:p>
          <w:p w14:paraId="12AF6BD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7、服务日志</w:t>
            </w:r>
          </w:p>
          <w:p w14:paraId="21FB6593">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服务日志审计：支持对服务操作进行日志审计，记录服务类型、操作类型、操作人、操作时间等关键信息，确保服务使用过程可追溯、可回溯，满足安全审计与合规监管需求。</w:t>
            </w:r>
          </w:p>
          <w:p w14:paraId="2535EC2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（十）政法数据生命周期管理</w:t>
            </w:r>
          </w:p>
          <w:p w14:paraId="03B37E0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1、数据资产管理</w:t>
            </w:r>
          </w:p>
          <w:p w14:paraId="1C50B02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（1）数据资产检索</w:t>
            </w:r>
          </w:p>
          <w:p w14:paraId="6964E223">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数据资产管理、数据资产采集、数据标签管理功能。支持对数据资产进行灵活筛选，筛选条件可按照资产名称、数据源类型、元数据标签、所属目录等灵活组合。数据资产管理中，政法数据至少包括政法委、公安、法院等多类综治相关数据资产，支持查看资产详情，详情内容包括但不限于资产数据、资产配置、数据结构、关联关系、血缘关系、分析图表、数据权限、生命周期等。</w:t>
            </w:r>
          </w:p>
          <w:p w14:paraId="51881E9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（2）资产管理</w:t>
            </w:r>
          </w:p>
          <w:p w14:paraId="07EE195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目录化数据资产管理：支持以目录结构对数据资产进行管理，提供数据资产预览、配置详情查看、数据结构展示、关联关系与血缘分析、可视化图表呈现、权限配置及生命周期管理等功能，实现数据中心化的一体化管理模式。</w:t>
            </w:r>
          </w:p>
          <w:p w14:paraId="39DA504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列表式数据资产管理：支持通过列表方式对数据资产进行统一管理，同时支持按目录分类组织，提升资产维护与操作效率。</w:t>
            </w:r>
          </w:p>
          <w:p w14:paraId="07B764F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物理建模支持：支持对接入的数据源进行物理建模，便于根据业务逻辑设计与规范构建实体表结构，统一资产建模标准。</w:t>
            </w:r>
          </w:p>
          <w:p w14:paraId="28B0E993">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自动加载数据模型与资产创建：系统支持自动加载数据库模型，并基于模型结构快速创建物理表和对应的数据资产，简化建模流程，提高建模效率。</w:t>
            </w:r>
          </w:p>
          <w:p w14:paraId="5016707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模型融合与数据流生成：支持将多个数据模型自动融合为统一结构，生成融合后的数据流与对应的数据资产。</w:t>
            </w:r>
          </w:p>
          <w:p w14:paraId="6B1EC23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智能推荐字段映射与数据流生成：系统可基于预设规则自动推荐数据表与字段之间的映射关系，支持用户手动调整推荐结果，并自动生成表间关联关系及对应数据流，提升模型落地效率与一致性管理能力。</w:t>
            </w:r>
          </w:p>
          <w:p w14:paraId="50451CA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数据治理模型构建功能。模型库功能支持模型表单信息输入，录入内容包含但不限于模型名称、默认表名、模型描述等；支持关联推荐，可通过选择已有的数据模型和既定的数据源，自动匹配出相关数据表；支持智能推荐，可根据所选的相关数据表，自动推荐当前数据库下与当前数据表中字段和类型相同的数据表，或者某个字段数据交集比较多的数据表；支持识别规则和所选字段自动带入功能，可根据所选择的自动推荐数据表，带入模型构建的表单中，保存后可新增数据治理模型。</w:t>
            </w:r>
          </w:p>
          <w:p w14:paraId="008BCA0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（3）数据资产采集</w:t>
            </w:r>
          </w:p>
          <w:p w14:paraId="67C53F6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元数据采集与调度配置：支持对接入的数据源执行元数据采集操作，用户可按需配置采集规则与周期，并可查看采集任务的历史记录，实现元数据的动态更新与可追溯管理。</w:t>
            </w:r>
          </w:p>
          <w:p w14:paraId="42285A8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源流程创建与采集筛选：在创建数据源时，系统提供数据源类型列表供选择，支持通过已建数据源快速创建数据流程。支持基于数据治理模型生成数据资产功能。支持将新增后的模型进行模型加载、模型映射推荐并自动生成数据流任务。支持数据流管理功能，可设置数据流任务的调度周期、调度间隔、起止时间、是否激活等内容，满足多样化场景下的数据流调度需求，完成数据治理任务，形成数据资产。支持对 MySQL、Oracle、SQLServer 等类型数据源进行资产选择性生成，并可对 Schema 与 Table/View 名称进行筛选配置，同时支持定时调度采集，确保数据资产按需同步、持续更新。</w:t>
            </w:r>
          </w:p>
          <w:p w14:paraId="16C87D8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（4）数据标签管理</w:t>
            </w:r>
          </w:p>
          <w:p w14:paraId="68C2D3D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标签目录化管理：支持以目录结构对标签进行分类管理，提升标签组织的规范性与可维护性。</w:t>
            </w:r>
          </w:p>
          <w:p w14:paraId="1B036B8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标签与数据资产关联：支持将标签与数据资产进行关联，用于标识数据属性、用途或所属业务领域，增强资产的可检索性与语义识别能力，便于实现标签驱动的数据治理与资产分类管理。</w:t>
            </w:r>
          </w:p>
          <w:p w14:paraId="72057E4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2、数据质量管理</w:t>
            </w:r>
          </w:p>
          <w:p w14:paraId="6AD02CB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（1）数据质量报告</w:t>
            </w:r>
          </w:p>
          <w:p w14:paraId="6951384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稽核结果展示与分析：支持查看稽核任务的执行结果，帮助用户全面评估数据质量状况。</w:t>
            </w:r>
          </w:p>
          <w:p w14:paraId="6B2DB66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按资产查看稽核任务：支持用户选择具体资产查看其绑定的稽核任务，便于聚焦于关键数据对象的质量监控。</w:t>
            </w:r>
          </w:p>
          <w:p w14:paraId="4C3D9CA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任务与资产快速检索：支持通过输入任务名称或资产名称进行快速搜索，提升稽核任务定位效率。</w:t>
            </w:r>
          </w:p>
          <w:p w14:paraId="7C29BBD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稽核明细查看支持：支持查看稽核任务的具体结果明细，便于用户深入分析数据质量问题。</w:t>
            </w:r>
          </w:p>
          <w:p w14:paraId="359E248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（2）质量稽核任务</w:t>
            </w:r>
          </w:p>
          <w:p w14:paraId="3227952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目录化稽核任务管理：支持按照目录结构对稽核任务进行分类管理，便于按业务或数据对象归档管理。</w:t>
            </w:r>
          </w:p>
          <w:p w14:paraId="41CC81B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稽核任务多条件搜索：支持基于任务名称、资产名称、稽核状态等维度进行快速搜索，帮助用户高效定位目标任务。</w:t>
            </w:r>
          </w:p>
          <w:p w14:paraId="78D2108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稽核任务全流程操作：支持对稽核任务执行新增、编辑、修改、执行、历史记录查看及调度配置等操作，实现稽核任务的完整生命周期管理。</w:t>
            </w:r>
          </w:p>
          <w:p w14:paraId="343AC39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多粒度稽核规则配置：支持在稽核任务中配置表级与字段级的质量稽核规则，满足对数据完整性、准确性、及时性等多维度的质量监控需求。</w:t>
            </w:r>
          </w:p>
          <w:p w14:paraId="444FFE6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3、数据安全管理</w:t>
            </w:r>
          </w:p>
          <w:p w14:paraId="2945F30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（1）密钥生命周期管理：支持对密钥进行全生命周期管理，确保密钥在有效期内可控使用，提升数据加密安全性。</w:t>
            </w:r>
          </w:p>
          <w:p w14:paraId="3E02349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加密规则配置支持：支持配置多种主流加密算法，包括 AES（128/192/256 位）、RSA、MD5 等，满足不同业务场景下的安全加密需求。</w:t>
            </w:r>
          </w:p>
          <w:p w14:paraId="7E8226E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自定义数据模糊化规则：支持用户根据业务需求自定义数据模糊处理规则，用于对敏感信息进行脱敏或遮掩显示，保障数据隐私安全。</w:t>
            </w:r>
          </w:p>
          <w:p w14:paraId="561013E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4、数据运维管理</w:t>
            </w:r>
          </w:p>
          <w:p w14:paraId="061C093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（1）调度管理</w:t>
            </w:r>
          </w:p>
          <w:p w14:paraId="3B03792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调度任务展示与查询：支持集中展示系统中所有已配置的调度任务，便于用户快速查询与定位调度任务。</w:t>
            </w:r>
          </w:p>
          <w:p w14:paraId="3A94A9E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调度配置与异常处理操作：支持对调度任务进行启停操作，可按任务级别精准控制执行状态；当调度任务异常中断时，支持手动修改调度计划时间，重新拉起前期未完成的流程任务，保障调度任务的连续性与恢复能力。</w:t>
            </w:r>
          </w:p>
          <w:p w14:paraId="70872EF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（2）任务监控</w:t>
            </w:r>
          </w:p>
          <w:p w14:paraId="566924B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系统任务统一监控：支持对系统内各类任务进行集中监控管理，实时掌握任务执行状态与异常情况，提升任务运行的可视性与运维效率。</w:t>
            </w:r>
          </w:p>
          <w:p w14:paraId="2BDFDE4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（3）告警管理</w:t>
            </w:r>
          </w:p>
          <w:p w14:paraId="0A3D6AE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告警规则配置与管理：支持设置和管理告警规则，可指定对应的监控模块、监控时间段以及故障维修责任人，实现告警的精细化触发与责任归属。</w:t>
            </w:r>
          </w:p>
          <w:p w14:paraId="7ECA691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告警事件展示与查询：支持对系统中所有告警监控事件进行集中展示与查询，便于用户快速定位异常情况并进行后续处理。</w:t>
            </w:r>
          </w:p>
          <w:p w14:paraId="426CB9C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告警详情与处理操作：支持查看告警详细信息，同时支持对告警进行关闭与确认处理，实现闭环管理与问题追踪。</w:t>
            </w:r>
          </w:p>
          <w:p w14:paraId="0765B37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（十一）政法专家库</w:t>
            </w:r>
          </w:p>
          <w:p w14:paraId="37697AE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1、模型库</w:t>
            </w:r>
          </w:p>
          <w:p w14:paraId="7118497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模型目录分类管理：支持以自定义目录的形式对数据模型进行分类管理，支持目录的新增、编辑和删除，提升模型资产的组织性与结构化维护能力。</w:t>
            </w:r>
          </w:p>
          <w:p w14:paraId="03D4535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可按照政法数据模型、重点群体模型、风险指标模型等维度进行归类。政法数据模型至少应包含政法委、公安、法院等多类综治相关数据模型。重点群体模型至少应包括吸毒人员、严重精神障碍患者、三失一偏人员等8类数据模型。</w:t>
            </w:r>
          </w:p>
          <w:p w14:paraId="6E276EC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模型管理与维护：支持在自定义目录下对模型进行统一管理，满足模型全生命周期的灵活维护需求。</w:t>
            </w:r>
          </w:p>
          <w:p w14:paraId="6C055B1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模型发现与半自动构建：支持通过模型发现功能进行半自动化建模。</w:t>
            </w:r>
          </w:p>
          <w:p w14:paraId="3D8AA69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模型智能推荐与字段构建：支持基于已有模型在目标数据源与 Schema 中自动匹配相似数据表。</w:t>
            </w:r>
          </w:p>
          <w:p w14:paraId="01F581F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表识别规则配置：支持对模型的表识别规则进行配置，同时支持设置识别优先级与标签分组，提升模型构建的智能化与准确性。</w:t>
            </w:r>
          </w:p>
          <w:p w14:paraId="7FFB9F8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2、字段库</w:t>
            </w:r>
          </w:p>
          <w:p w14:paraId="02A6AE6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字段目录分类管理：支持以自定义目录的形式对字段进行分类管理，支持目录的新增、编辑与删除，便于字段资源的有序组织与结构化维护。</w:t>
            </w:r>
          </w:p>
          <w:p w14:paraId="1648174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字段管理与维护：支持在自定义目录下对字段进行集中管理，包括字段的新增、编辑、搜索与删除操作，实现字段资产的精细化管理。</w:t>
            </w:r>
          </w:p>
          <w:p w14:paraId="10AE0F1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字段自定义配置：支持对字段配置多个维度的信息属性，包括基础属性、技术属性、关联数据标准、质量规则、元数据识别规则、内容识别规则、转换规则、安全规则等，构建字段的完整元信息体系。</w:t>
            </w:r>
          </w:p>
          <w:p w14:paraId="7DE3D54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元数据识别规则配置：支持为字段配置元数据识别规则，如基于字段名称、字段注释等进行自动识别匹配，提升字段标准化识别效率。</w:t>
            </w:r>
          </w:p>
          <w:p w14:paraId="145F197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内容识别规则配置：支持对字段配置内容识别规则，可从算法库中选用识别算法，设定识别算法的取数条数与匹配阈值，用于字段内容的智能识别与标签标注。</w:t>
            </w:r>
          </w:p>
          <w:p w14:paraId="4F05B67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模型字段导入：支持从模型库中导入字段，可按需选择指定模型中的字段资源进行快速导入，提升字段建模效率与一致性。</w:t>
            </w:r>
          </w:p>
          <w:p w14:paraId="2D6F9DF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3、标准库</w:t>
            </w:r>
          </w:p>
          <w:p w14:paraId="2B42718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数据字典目录管理：支持以自定义目录结构对数据字典进行分类管理，支持目录的新增、编辑与删除，便于统一归类和维护数据字典信息。</w:t>
            </w:r>
          </w:p>
          <w:p w14:paraId="0F7408C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数据字典管理维护：支持在自定义目录下对数据字典内容进行统一管理，包括字典项的新增、编辑、搜索与删除，提升数据字典的维护效率与一致性。</w:t>
            </w:r>
          </w:p>
          <w:p w14:paraId="33ACB88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数据字典内容配置：支持配置数据字典的具体内容，包括中英文名称、字典值、字典排序值等信息，满足多语言与规范编码要求。</w:t>
            </w:r>
          </w:p>
          <w:p w14:paraId="07BC33B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数据标准目录管理：支持以自定义目录形式对数据标准进行分类管理，支持目录的新增、编辑与删除，实现标准资产的结构化组织。</w:t>
            </w:r>
          </w:p>
          <w:p w14:paraId="0E5034D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数据标准管理维护：支持在目录下对数据标准进行新增、编辑、搜索和删除操作，便于标准定义的统一管理与动态维护。</w:t>
            </w:r>
          </w:p>
          <w:p w14:paraId="2D76D99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数据标准内容配置：支持配置数据标准的具体内容，涵盖基础属性、业务属性、技术属性和管理属性，满足从业务到技术的多维度标准定义需求。</w:t>
            </w:r>
          </w:p>
          <w:p w14:paraId="3CF0FF3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数据标准引用查看：支持查看数据标准在字段库与模型字段中的引用情况，便于分析标准应用范围及影响范围，实现标准追溯与合规检查。</w:t>
            </w:r>
          </w:p>
          <w:p w14:paraId="24EBFD6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数据标准导出：支持将已配置的数据标准导出为 Excel 文件，便于线下审阅、归档管理与共享使用。</w:t>
            </w:r>
          </w:p>
          <w:p w14:paraId="21375C5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4、算法库</w:t>
            </w:r>
          </w:p>
          <w:p w14:paraId="4752807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支持对识别算法进行统一管理，并进行具体配置，支持以自定义目录形式对转换算法进行分类管理，支持在目录下对转换算法进行统一管理，支持使用 SparkSQL 语法对转换算法进行配置，支持通过自定义目录对稽核算法进行分类管理，支持在目录结构下对稽核算法进行集中管理，支持采用 SparkSQL 语法进行稽核算法配置。</w:t>
            </w:r>
          </w:p>
          <w:p w14:paraId="57B6A94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5、标签库</w:t>
            </w:r>
          </w:p>
          <w:p w14:paraId="2C78358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支持以自定义目录结构对标签进行分类管理，和统一管理，提供标签的新增、编辑、搜索和删除功能，便于快速定位与灵活维护，提高标签治理效率。</w:t>
            </w:r>
          </w:p>
          <w:p w14:paraId="24E3CAD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（十二）权限管理</w:t>
            </w:r>
          </w:p>
          <w:p w14:paraId="6FCC45C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1、组织管理</w:t>
            </w:r>
          </w:p>
          <w:p w14:paraId="0091797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支持以树形结构展示组织架构信息，清晰呈现各级部门及其隶属关系，支持对组织结构中的节点进行新增、编辑、删除操作，实现组织架构的灵活配置与动态调整，满足平台发展过程中的组织变更管理需求。</w:t>
            </w:r>
          </w:p>
          <w:p w14:paraId="118D5B8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2、角色管理</w:t>
            </w:r>
          </w:p>
          <w:p w14:paraId="7CC8595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支持以树形结构展示系统中的角色与角色组，清晰展现角色的层级关系与组织结构，支持对角色及角色组进行新增、编辑、删除等操作，满足组织在不同业务场景下对权限角色的灵活配置与动态调整需求。</w:t>
            </w:r>
          </w:p>
          <w:p w14:paraId="2E6091D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3、账户管理</w:t>
            </w:r>
          </w:p>
          <w:p w14:paraId="0AAE652E">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支持以列表形式展示系统中所有账号信息，包括账户名称、所属角色、状态等关键字段，支持对已添加账户执行移除操作，系统在移除前提供确认提示，防止误操作，提升账号管理的安全性与可控性。</w:t>
            </w:r>
          </w:p>
          <w:p w14:paraId="26AE964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4、菜单管理</w:t>
            </w:r>
          </w:p>
          <w:p w14:paraId="1D948CC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支持为系统角色分配菜单访问权限，未分配权限的角色将无法访问对应菜单功能模块，实现系统操作范围的精细化管控，确保不同角色按职责访问对应功能区域。</w:t>
            </w:r>
          </w:p>
          <w:p w14:paraId="5F409A3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5、资源管理</w:t>
            </w:r>
          </w:p>
          <w:p w14:paraId="2F695FD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支持为系统角色分配指定数据资源的访问权限，仅授权角色可查看、使用对应数据资源，确保数据在权限控制下按需使用，提升数据安全性与权限管理的灵活性。</w:t>
            </w:r>
          </w:p>
          <w:p w14:paraId="44FFD65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二、数据治理服务</w:t>
            </w:r>
          </w:p>
          <w:p w14:paraId="0DD8CE23">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（一）数据标准服务</w:t>
            </w:r>
          </w:p>
          <w:p w14:paraId="7345157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依据国家、自治区相关政策要求及行业标准，在项目建设过程中，将组建专业大数据分析师团队与政法业务专家团队，结合政法委实际业务情况，梳理一套社会治安综合治理业务数据标准规范体系。</w:t>
            </w:r>
          </w:p>
          <w:p w14:paraId="13651003">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1、风险数据归集标准：根据数据来源情况（舆情、单位报送、视频巡查等渠道）多方印证，包括数据去重、去伪、去旧标准。</w:t>
            </w:r>
          </w:p>
          <w:p w14:paraId="401BF0B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2、矛盾纠纷化解业务风险管理标准：根据矛盾纠纷化解与风险防控业务过程所形成的数据资源，按照社会治安综合治理风险监测预警指标维度细化广西社会治安综合治理业务数据风险管理指标。</w:t>
            </w:r>
          </w:p>
          <w:p w14:paraId="268942C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考核评估标准：按照各类事件处置过程及最终结果，考虑重大案件事故发生因素综合设置广西矛盾纠纷化解业务考核评估标准，梳理符合广西特色的考核评估体系，用于指导各级综治中心开展工作，推进维护社会稳定责任落实。</w:t>
            </w:r>
          </w:p>
          <w:p w14:paraId="700692C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（二）数据治理服务</w:t>
            </w:r>
          </w:p>
          <w:p w14:paraId="5B78EE9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1、现场调研服务</w:t>
            </w:r>
          </w:p>
          <w:p w14:paraId="6D49DF6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来源系统摸底：根据项目实施范围及要求，提供来源系统情况摸底服务，包括数据库连接方式、表存储信息、表/字段详细信息、数据来源情况等信息摸底。</w:t>
            </w:r>
          </w:p>
          <w:p w14:paraId="1E6E4F9C">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业务探查服务：提供每张表的数据来源单位、所属应用系统、业务含义描述、安全性要求、主外键名称、表关联关系、是否为字典表、要素类型勘探等业务信息探查获取服务，引用来源系统摸底得到的台账信息，对每张表资源和字段信息进行更为深入探查。</w:t>
            </w:r>
          </w:p>
          <w:p w14:paraId="77025AB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接入方式探查服务：提供接入方式探查服务，包括环境探查、来源系统探查、存储位置探查、访问要求探查、提供方式探查等</w:t>
            </w:r>
          </w:p>
          <w:p w14:paraId="2C8E182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字段探查服务：提供字段探查服务，包括甄别关键业务字段服务、探查字段信息服务</w:t>
            </w:r>
          </w:p>
          <w:p w14:paraId="0FE007A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数据项集探查服务：提供数据项集探查服务，包括数据项集标准探查服务、数据项集规模探查服务</w:t>
            </w:r>
          </w:p>
          <w:p w14:paraId="2DC4447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问题数据探查服务：提供问题数据探查服务，包括问题数据类别分类界定服务、问题数据探查服务</w:t>
            </w:r>
          </w:p>
          <w:p w14:paraId="3DEFE6C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探查清单管理实施服务：通过人工针对数据探查清单信息进行探查，并将探查的结果维护到数据探查清单信息模块中。</w:t>
            </w:r>
          </w:p>
          <w:p w14:paraId="323A3EC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2、数据资产管理服务</w:t>
            </w:r>
          </w:p>
          <w:p w14:paraId="4263C608">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（1）数据目录体系管理：主要包括需求分析、数据识别和收集、数据清理和整理、数据目录设计、元数据管理、数据目录实施和发布、数据分类分级等服务内容。</w:t>
            </w:r>
          </w:p>
          <w:p w14:paraId="6054660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数据集成服务：按照标准要求，配置来源方和目标方通道接入参数，串接汇聚端点，在大数据局平台、社会治安综合治理信息系统与数据中台之间分别组成汇聚通道，实现针对政法委、法院、检察院、公安、民政、司法行政、人力资源社会保障、住房城乡建设、卫生健康、工会、妇联、信访等12个职能部门社会治安综合治理相关数据，12345政务服务热线，历史矛盾纠纷事件（2020年-2024年）数据以及本次新建广西社会治安综合治理信息系统数据的风险数据归集服务。主要包括需求分析、数据源接入和管理、数据源识别和配置、主数据管理、数据映射和配置、数据转换和配置、数据加载和配置、数据集成后的优化、数据共享交换等服务内容。</w:t>
            </w:r>
          </w:p>
          <w:p w14:paraId="7717AEF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迁移服务：按照标准要求，评估项目数据迁移需求，提供数据跨网迁移服务。主要包括需求分析、数据源识别和评估、数据迁移目标定义、数据映射和配置、数据迁移计划编制、数据迁移实施、迁移数据验证、数据迁移后的优化等服务内容。</w:t>
            </w:r>
          </w:p>
          <w:p w14:paraId="7C45CA4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（4）数据架构和模型管理：数据架构设计、数据模型创建、数据字典管理、元数据管理、数据模型管理标准制定、数据模型和架构调优、数据架构和模型文档化、数据治理管理等服务内容。</w:t>
            </w:r>
          </w:p>
          <w:p w14:paraId="0A74D1F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3、数据质量管理服务</w:t>
            </w:r>
          </w:p>
          <w:p w14:paraId="650F26F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制定数据质量检测标准，对汇聚的数据从完整性、有效性、正确性、唯一性、及时性和业务合理性六个维度进行质量检测。</w:t>
            </w:r>
          </w:p>
          <w:p w14:paraId="13934502">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质量标准管理：主要包括质量需求分析、数据质量审查、质量标准制定、质量标准验证、质量标准实施服务、标准运行情况监控、标准的持续改进、数据质量指标度量和评估方法设计、不同数据质量标准整合协调等服务内容。</w:t>
            </w:r>
          </w:p>
          <w:p w14:paraId="548600F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（2）数据清洗服务：主要包括数据识别与审核、数据清洗规则制定、数据清洗执行与监控、数据验证、数据清洗报告编制、数据清洗持续性管理等服务内容。</w:t>
            </w:r>
          </w:p>
          <w:p w14:paraId="6521F97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（3）数据质量审计和监控服务：包括数据质量审计、建立质量监控机制、数据质量审计报告、质量改进建议报告、数据质量监控持续改进计划制定等服务内容。</w:t>
            </w:r>
          </w:p>
          <w:p w14:paraId="43E02D11">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（4）数据校验服务：定义校验规则、数据完整性校验、数据一致性校验、数据逻辑校验、数据唯一性校验、引用完整性校验、范围和合理性校验、数据质量度量校验、数据错误处理、数据校验报告等服务内容。</w:t>
            </w:r>
          </w:p>
          <w:p w14:paraId="22132EF9">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4、数据安全保护服务</w:t>
            </w:r>
          </w:p>
          <w:p w14:paraId="706E46FD">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安全分级和访问控制服务：数据的安全分级规划、制定数据访问权限规划和控制规则、建立身份验证和授权管理机制、访问控制策略的技术实施、数据安全审计和监控访问活动策略的技术实施等服务内容。</w:t>
            </w:r>
          </w:p>
          <w:p w14:paraId="73F3452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（2）身份认证和授权管理服务：包括身份验证机制设计、用户账号管理、角色和权限管理、访问控制策略制定、权限审批和授权、会话管理、日志记录和审计、身份管理工具和技术实施等内容。</w:t>
            </w:r>
          </w:p>
          <w:p w14:paraId="639B3F8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加密和脱敏服务：包括敏感数据识别和分类、数据加密策略制定、数据加密实施、密钥管理和保护策略、数据脱敏策略制定、数据脱敏实施、加密和脱敏的性能优化、数据加密和脱敏的验证和测试、加密和脱敏的监控和审计等内容。</w:t>
            </w:r>
          </w:p>
          <w:p w14:paraId="7FA068F6">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数据安全事件监测和响应服务：安全事件的实时监测、安全事件的分类和优先级划分、安全事件的响应和处置、安全事件的调查和分析、安全事件的报告和通知、安全事件的恢复和修复、安全事件的后续分析和改进等内容。</w:t>
            </w:r>
          </w:p>
          <w:p w14:paraId="6900F5A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5）数据备份和恢复管理：数据备份策略制定、备份工具选择和实施、备份数据的存储和管理、备份数据的加密和压缩、数据备份策略的实施、数据恢复计划制定、备份数据恢复能力测试、备份数据安全保护策略、数据灾备计划演练、数据恢复能力实施、数据恢复和备份过程审计等内容。</w:t>
            </w:r>
          </w:p>
          <w:p w14:paraId="2336EB7B">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（6）数据安全审计服务：安全审计计划制定和数据准备、安全控制和策略审查、安全事件调查、安全控制测试和评估等内容。</w:t>
            </w:r>
          </w:p>
          <w:p w14:paraId="0C9A01E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5、数据分析挖掘服务</w:t>
            </w:r>
          </w:p>
          <w:p w14:paraId="0AD506A0">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数据仓库和数据湖设计：需求分析、数据模型设计、数据抽取、转换和加载（ETL）方案制定和技术实施、数据存储和管理方案制定和技术实施、数据质量保证策略制定、数据安全和权限管理、数据查询和分析工具开发等内容。</w:t>
            </w:r>
          </w:p>
          <w:p w14:paraId="595A50D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（2）数据挖掘和机器学习：数据问题定义和目标设定、挖掘和分析数据准备和预处理、数据特征工程、算法选择和模型构建、模型训练和调优、模型对齐、模型评估和验证、模型部署和应用等内容。</w:t>
            </w:r>
          </w:p>
          <w:p w14:paraId="7DB3212F">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数据可视化建设：利用数据中台建设的成果进行加工，建立数据决策分析应用提供支撑。主要工作包括需求分析、数据准备和预处理、可视化设计、可视化开发、交互功能开发、数据驱动的故事叙述、用户测试和可视化产品交付等工作，围绕基础数据分析、展现功能和一系列针对性数据决策分析应用开展。根据实际需求，并能够满足个性化、动态发展的要求，实现各类管理、业务主题分析和管理驾驶舱的数据决策分析应用。分析应用对数据的分析直观、准确，能够根据管理需要深入挖掘和钻取下层数据，帮助管理精细化；具备可扩展性，能够动态适应学院需求调整和管理发展；可操作性良好、用户界面美观，方便各类人员快速查看所关注的数据和分析结果。</w:t>
            </w:r>
          </w:p>
          <w:p w14:paraId="21A5C8AA">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大数据处理和分析服务：包括需求分析和数据收集、数据采集和存储、数据预处理和清洗、特征工程、大数据分析算法选择和实施、分布式计算和并行处理、可视化和报告、模型评估和开发阶段优化等服务内容。</w:t>
            </w:r>
          </w:p>
          <w:p w14:paraId="1B32CA75">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5）实时数据处理和分析服务：包括需求调研、实时数据流采集和传输、实时数据处理和转换、实时数据分析和挖掘等工作的方案制定和技术实施、实时数据可视化技术实施和相关报告编制、实时决策支持技术实施、传输和处理性能优化和技术实施等服务内容。</w:t>
            </w:r>
          </w:p>
          <w:p w14:paraId="0F6E5277">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（6）人工智能模型构建和应用：包括需求分析、数据准备和预处理</w:t>
            </w:r>
          </w:p>
          <w:p w14:paraId="452AE1A4">
            <w:pPr>
              <w:keepNext w:val="0"/>
              <w:keepLines w:val="0"/>
              <w:widowControl w:val="0"/>
              <w:suppressLineNumbers w:val="0"/>
              <w:tabs>
                <w:tab w:val="left" w:pos="142"/>
                <w:tab w:val="left" w:pos="284"/>
              </w:tabs>
              <w:adjustRightInd w:val="0"/>
              <w:snapToGrid w:val="0"/>
              <w:spacing w:before="0" w:beforeAutospacing="0" w:after="0" w:afterAutospacing="0"/>
              <w:ind w:left="0" w:right="0"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数据特征工程、模型选择和构建、模型训练和调优、模型评估和验证、模型部署和应用等服务内容。</w:t>
            </w:r>
          </w:p>
        </w:tc>
      </w:tr>
      <w:tr w14:paraId="077B6B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5" w:type="dxa"/>
            <w:vMerge w:val="continue"/>
            <w:tcBorders>
              <w:left w:val="single" w:color="auto" w:sz="4" w:space="0"/>
              <w:right w:val="single" w:color="auto" w:sz="4" w:space="0"/>
            </w:tcBorders>
            <w:noWrap w:val="0"/>
            <w:vAlign w:val="center"/>
          </w:tcPr>
          <w:p w14:paraId="37B10609">
            <w:pPr>
              <w:keepNext w:val="0"/>
              <w:keepLines w:val="0"/>
              <w:suppressLineNumbers w:val="0"/>
              <w:shd w:val="clear" w:color="auto" w:fill="auto"/>
              <w:spacing w:before="0" w:beforeAutospacing="0" w:after="0" w:afterAutospacing="0" w:line="240" w:lineRule="exact"/>
              <w:ind w:left="0" w:right="0"/>
              <w:jc w:val="center"/>
              <w:rPr>
                <w:rFonts w:hint="eastAsia" w:ascii="宋体" w:hAnsi="宋体" w:eastAsia="宋体" w:cs="宋体"/>
                <w:b/>
                <w:bCs/>
                <w:color w:val="auto"/>
                <w:szCs w:val="21"/>
                <w:highlight w:val="none"/>
              </w:rPr>
            </w:pPr>
          </w:p>
        </w:tc>
        <w:tc>
          <w:tcPr>
            <w:tcW w:w="325" w:type="dxa"/>
            <w:tcBorders>
              <w:top w:val="single" w:color="auto" w:sz="4" w:space="0"/>
              <w:left w:val="single" w:color="auto" w:sz="4" w:space="0"/>
              <w:right w:val="single" w:color="auto" w:sz="4" w:space="0"/>
            </w:tcBorders>
            <w:noWrap w:val="0"/>
            <w:vAlign w:val="center"/>
          </w:tcPr>
          <w:p w14:paraId="09884473">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1096" w:type="dxa"/>
            <w:tcBorders>
              <w:top w:val="single" w:color="auto" w:sz="4" w:space="0"/>
              <w:left w:val="single" w:color="auto" w:sz="4" w:space="0"/>
              <w:right w:val="single" w:color="auto" w:sz="4" w:space="0"/>
            </w:tcBorders>
            <w:noWrap w:val="0"/>
            <w:vAlign w:val="center"/>
          </w:tcPr>
          <w:p w14:paraId="57FE04A0">
            <w:pPr>
              <w:keepNext w:val="0"/>
              <w:keepLines w:val="0"/>
              <w:widowControl/>
              <w:suppressLineNumbers w:val="0"/>
              <w:shd w:val="clear" w:color="auto" w:fill="auto"/>
              <w:spacing w:before="0" w:beforeAutospacing="0" w:after="0" w:afterAutospacing="0"/>
              <w:ind w:left="0" w:right="0"/>
              <w:jc w:val="center"/>
              <w:textAlignment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AI智能应用系统</w:t>
            </w:r>
          </w:p>
        </w:tc>
        <w:tc>
          <w:tcPr>
            <w:tcW w:w="467" w:type="dxa"/>
            <w:tcBorders>
              <w:top w:val="single" w:color="auto" w:sz="4" w:space="0"/>
              <w:left w:val="single" w:color="auto" w:sz="4" w:space="0"/>
              <w:right w:val="single" w:color="auto" w:sz="4" w:space="0"/>
            </w:tcBorders>
            <w:noWrap w:val="0"/>
            <w:vAlign w:val="center"/>
          </w:tcPr>
          <w:p w14:paraId="60BD4C21">
            <w:pPr>
              <w:keepNext w:val="0"/>
              <w:keepLines w:val="0"/>
              <w:suppressLineNumbers w:val="0"/>
              <w:shd w:val="clear" w:color="auto" w:fill="auto"/>
              <w:spacing w:before="0" w:beforeAutospacing="0" w:after="0" w:afterAutospacing="0" w:line="320" w:lineRule="exact"/>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472" w:type="dxa"/>
            <w:tcBorders>
              <w:top w:val="single" w:color="auto" w:sz="4" w:space="0"/>
              <w:left w:val="single" w:color="auto" w:sz="4" w:space="0"/>
              <w:right w:val="single" w:color="auto" w:sz="4" w:space="0"/>
            </w:tcBorders>
            <w:noWrap w:val="0"/>
            <w:vAlign w:val="center"/>
          </w:tcPr>
          <w:p w14:paraId="7051B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w:t>
            </w:r>
          </w:p>
        </w:tc>
        <w:tc>
          <w:tcPr>
            <w:tcW w:w="6853" w:type="dxa"/>
            <w:tcBorders>
              <w:top w:val="single" w:color="auto" w:sz="4" w:space="0"/>
              <w:left w:val="single" w:color="auto" w:sz="4" w:space="0"/>
              <w:right w:val="single" w:color="auto" w:sz="4" w:space="0"/>
            </w:tcBorders>
            <w:noWrap w:val="0"/>
            <w:vAlign w:val="center"/>
          </w:tcPr>
          <w:p w14:paraId="7C81D5A6">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1、矛盾调解的办理指引</w:t>
            </w:r>
          </w:p>
          <w:p w14:paraId="49341972">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（1）智能路由</w:t>
            </w:r>
          </w:p>
          <w:p w14:paraId="2F57E407">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根据实际制度规范，操作和执行规范等，合理规划案件指引，为不同类型案件指引不同路由路径。可以配置不同紧急程度下的路由路径，便于快速处理。</w:t>
            </w:r>
          </w:p>
          <w:p w14:paraId="2AD978E7">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（2）办理指引</w:t>
            </w:r>
          </w:p>
          <w:p w14:paraId="1486991C">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①案件受理、分流交办、化解处置、反馈结案、评价回访等环节，根据已经学习和训练的内容，可以自动生成指引，并给出操作建议。</w:t>
            </w:r>
          </w:p>
          <w:p w14:paraId="35F6FE53">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②系统可根据事件数据，匹配相似案例作为参考依据，可以为工作人员提供便捷服务。</w:t>
            </w:r>
          </w:p>
          <w:p w14:paraId="4ECA9ACC">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（3）模板管理</w:t>
            </w:r>
          </w:p>
          <w:p w14:paraId="5AB33BF6">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系统支持办理指引模板创建及维护，类型包含但不限于民事纠纷模版，经济纠纷模板、家庭纠纷模板等。模板内容包含固定内容和自定义内容，固定内容包含分类、节点、指引方式等，自定义内容可以根据纠纷办理的其他内容进行编辑，编辑完成后系统将根据编辑内容给出智能理解后的结果，供用户确认。</w:t>
            </w:r>
          </w:p>
          <w:p w14:paraId="0203BA77">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支持模板编辑功能，模板编辑中流程节点可配置，可以根据用户需要选择流程节点，</w:t>
            </w:r>
            <w:r>
              <w:rPr>
                <w:rFonts w:hint="eastAsia"/>
                <w:color w:val="auto"/>
                <w:highlight w:val="none"/>
                <w:lang w:val="en-US" w:eastAsia="zh-CN"/>
              </w:rPr>
              <w:t>以</w:t>
            </w:r>
            <w:r>
              <w:rPr>
                <w:rFonts w:hint="eastAsia"/>
                <w:color w:val="auto"/>
                <w:highlight w:val="none"/>
              </w:rPr>
              <w:t>达到为指定节点编辑模板的目的。</w:t>
            </w:r>
          </w:p>
          <w:p w14:paraId="08DD8E74">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模板发布，需要进行必要的审核，模板生效时间范围可进行灵活配置。</w:t>
            </w:r>
          </w:p>
          <w:p w14:paraId="114E93C6">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（4）反馈管理</w:t>
            </w:r>
          </w:p>
          <w:p w14:paraId="52112857">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系统对于已经使用的办理指引，匹配准确性、实用性、时效性反馈机制，在给用户提示的过程中，同样提供反馈提醒。包括但不限于赞、踩；实用、繁琐、待改进等。</w:t>
            </w:r>
          </w:p>
          <w:p w14:paraId="158B3481">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对于用户</w:t>
            </w:r>
            <w:r>
              <w:rPr>
                <w:rFonts w:hint="eastAsia"/>
                <w:color w:val="auto"/>
                <w:highlight w:val="none"/>
                <w:lang w:eastAsia="zh-CN"/>
              </w:rPr>
              <w:t>给予的</w:t>
            </w:r>
            <w:r>
              <w:rPr>
                <w:rFonts w:hint="eastAsia"/>
                <w:color w:val="auto"/>
                <w:highlight w:val="none"/>
              </w:rPr>
              <w:t>反馈内容，系统具备自动分类功能，对于准确、时效、实用内容可自动分类。同时对于每类里面的具体内容，可自动进行子类分类，大类之间可以进行充分关联，形成综合性反馈结果。可提取出其中的关键字，并纳入对应事项的改进计划中。</w:t>
            </w:r>
          </w:p>
          <w:p w14:paraId="2146F8BE">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针对反馈内容可生成反馈报告，支持优化、修订、下载、打印等。</w:t>
            </w:r>
          </w:p>
          <w:p w14:paraId="45C72F3D">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（5）调解提纲</w:t>
            </w:r>
          </w:p>
          <w:p w14:paraId="19134381">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系统支持展示调解过程的必要环节，各环节完成情况等。对于必要环节，其调解情况支持进行分析处理。系统支持关联已开展工作的记录资料，进行直观展示。系统支持指引待开展的工作列表，以树状图形式进行提示。</w:t>
            </w:r>
          </w:p>
          <w:p w14:paraId="4F675392">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（6）办理流程图</w:t>
            </w:r>
          </w:p>
          <w:p w14:paraId="2FD6D2FB">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系统支持通过办理流程图的形式直观对关联的数据进行展示。支持每个节点办理进行的提示，以流程中展示进度。支持每个节点办理资源的关联，在流程图中直观展示。支持纠纷调解流程的图形化节点展示，并展示各节点进度情况。</w:t>
            </w:r>
          </w:p>
          <w:p w14:paraId="7ECFFFFB">
            <w:pPr>
              <w:keepNext w:val="0"/>
              <w:keepLines w:val="0"/>
              <w:suppressLineNumbers w:val="0"/>
              <w:spacing w:before="0" w:beforeAutospacing="0" w:after="0" w:afterAutospacing="0" w:line="240" w:lineRule="auto"/>
              <w:ind w:left="0" w:right="0"/>
              <w:rPr>
                <w:rFonts w:hint="eastAsia"/>
                <w:color w:val="auto"/>
                <w:highlight w:val="none"/>
              </w:rPr>
            </w:pPr>
          </w:p>
          <w:p w14:paraId="3DA45779">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2、法律法规知识问答</w:t>
            </w:r>
          </w:p>
          <w:p w14:paraId="35E615DE">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（1）问答引擎</w:t>
            </w:r>
          </w:p>
          <w:p w14:paraId="305DE56E">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系统支持用户问题的语义理解，通过对问题的语义解析，得到用户真正想问的问题。系统对于用户提出的问题，能够通过问答引擎提供答案的生成与优化，提供给客户较为满意的答复。支持挂载多个知识库，支持检索增强。</w:t>
            </w:r>
          </w:p>
          <w:p w14:paraId="30980C1F">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支持风险提示生成，当用户进行提问时，系统根据用户问题及生成的答案触发风险预警机制当遇到可能存在风险时为用户进行提示，提示内容可根据实际情况进行设定。支持多法律法规的关联分析，即用户提问时并非引用单一法律法规</w:t>
            </w:r>
            <w:r>
              <w:rPr>
                <w:rFonts w:hint="eastAsia"/>
                <w:color w:val="auto"/>
                <w:highlight w:val="none"/>
                <w:lang w:eastAsia="zh-CN"/>
              </w:rPr>
              <w:t>，</w:t>
            </w:r>
            <w:r>
              <w:rPr>
                <w:rFonts w:hint="eastAsia"/>
                <w:color w:val="auto"/>
                <w:highlight w:val="none"/>
              </w:rPr>
              <w:t>而是综合性进行判断，为用户提供更加合理的知识解答。</w:t>
            </w:r>
          </w:p>
          <w:p w14:paraId="670D0D6A">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（2）知识库管理</w:t>
            </w:r>
          </w:p>
          <w:p w14:paraId="442CEE36">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支持对知识进行结构化处理，支持法律条文的分段处理，可以将长篇的法律法规条文整理成段落分布的形式并给每个段落打上标签，方便使用。支持案例事实的要素提取，对于已经采集的或者已经纳入案例库的案例，可以进行关键要素提取。支持审核，对于新纳入的知识可自动进行初审，并由人工进行复核。支持知识版本管理，对于相同领域或相同维度知识不同版本可以进行有效区分。支持知识向量化存储。</w:t>
            </w:r>
          </w:p>
          <w:p w14:paraId="3D194C27">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（3）用户交互</w:t>
            </w:r>
          </w:p>
          <w:p w14:paraId="3F46CED6">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系统支持多轮对话管理，可根据与用户的多轮对话内容进行相应检索。多轮意图的继承，可以实现较为自然的与用户进行交互，从而获取用户的精准意图。</w:t>
            </w:r>
          </w:p>
          <w:p w14:paraId="2D97D19D">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（4）历史管理</w:t>
            </w:r>
          </w:p>
          <w:p w14:paraId="07675EB6">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系统支持问答历史数据的存储，存储时长可配置。支持历史问答记录的查询，历史记录分析，对于高频问题，可从不同维度输出分析记录。</w:t>
            </w:r>
          </w:p>
          <w:p w14:paraId="7EB1456E">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（5）导入导出</w:t>
            </w:r>
          </w:p>
          <w:p w14:paraId="275DE065">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系统支持知识库的批量导入功能，可将已经编辑好的知识库进行批量导入。系统支持知识库批量导出功能，可将系统中已经存在的知识库内容进行批量导出。</w:t>
            </w:r>
          </w:p>
          <w:p w14:paraId="3D6A8482">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（6）安全管理</w:t>
            </w:r>
          </w:p>
          <w:p w14:paraId="136F188D">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支持知识权限的访问控制功能，针对不同用户设置不同权限。系统支持审计日志功能，对操作日志进行完整记录。</w:t>
            </w:r>
          </w:p>
          <w:p w14:paraId="6BC76713">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3、数据图谱应用</w:t>
            </w:r>
          </w:p>
          <w:p w14:paraId="19FA3B4C">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（1）知识图谱构建</w:t>
            </w:r>
          </w:p>
          <w:p w14:paraId="33CD852D">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根据社会治安综合治理风险监测预警指标维度构建数据知识图谱体系。通过从非结构化、半结构化等类型数据中提取信息，利用自然语言处理技术、数据标注、数据向量化等手段，通过数据采集、信息抽取、知识融合、知识存储等环节，以 “实体 - 关系 - 实体” 的三元组形式，构建结构化语义网络，支撑智能检索、推荐和问答等应用。</w:t>
            </w:r>
          </w:p>
          <w:p w14:paraId="3A56BE8C">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（2）知识加工</w:t>
            </w:r>
          </w:p>
          <w:p w14:paraId="38DDB59F">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围绕劳动争议、婚姻家庭、医疗纠纷、房地产物业、征地拆迁、涉法涉诉、教育培训、涉众投资、退役涉访、卫生健康、经济金融、农业农村、交通运输、涉灾、电信诈骗、重点人员、重点事件等领域，基于数据中台数据推送、治理等服务，基于综治高质量数据集建设，根据中政委风险监测预警预测体系标准，通过数据模型与政法业务专家经验，进一步挖掘风险信息关联预警能力，将矛盾纠纷化解与社会治安防控相关结构化数据</w:t>
            </w:r>
            <w:r>
              <w:rPr>
                <w:rFonts w:hint="eastAsia"/>
                <w:color w:val="auto"/>
                <w:highlight w:val="none"/>
                <w:lang w:eastAsia="zh-CN"/>
              </w:rPr>
              <w:t>关联</w:t>
            </w:r>
            <w:r>
              <w:rPr>
                <w:rFonts w:hint="eastAsia"/>
                <w:color w:val="auto"/>
                <w:highlight w:val="none"/>
              </w:rPr>
              <w:t>,定向开展知识库加工服务，建立知识库体系，转换为可检索、生成的知识，支撑智能报表生成等内容，涵盖政策法规类知识、事件累积知识、事件策略知识、专家经验、其他类知识。</w:t>
            </w:r>
          </w:p>
          <w:p w14:paraId="7E1F2693">
            <w:pPr>
              <w:keepNext w:val="0"/>
              <w:keepLines w:val="0"/>
              <w:suppressLineNumbers w:val="0"/>
              <w:spacing w:before="0" w:beforeAutospacing="0" w:after="0" w:afterAutospacing="0" w:line="24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（3）知识图谱存储</w:t>
            </w:r>
          </w:p>
          <w:p w14:paraId="702DC679">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将融合后的结构化知识持久化，方便后续查询与应用。支持图数据库、关系型数据库等多种存储方式集合具体数据应用场景定向选择存储知识图谱。</w:t>
            </w:r>
          </w:p>
          <w:p w14:paraId="441F71E7">
            <w:pPr>
              <w:keepNext w:val="0"/>
              <w:keepLines w:val="0"/>
              <w:suppressLineNumbers w:val="0"/>
              <w:spacing w:before="0" w:beforeAutospacing="0" w:after="0" w:afterAutospacing="0" w:line="24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（4）特定领域语义分析引擎</w:t>
            </w:r>
          </w:p>
          <w:p w14:paraId="10E04C6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针对</w:t>
            </w:r>
            <w:r>
              <w:rPr>
                <w:rFonts w:hint="eastAsia" w:ascii="宋体" w:hAnsi="宋体" w:eastAsia="宋体" w:cs="宋体"/>
                <w:color w:val="auto"/>
                <w:sz w:val="21"/>
                <w:szCs w:val="21"/>
                <w:highlight w:val="none"/>
              </w:rPr>
              <w:t>社会治安综合治理信息平台</w:t>
            </w:r>
            <w:r>
              <w:rPr>
                <w:rFonts w:hint="eastAsia" w:ascii="宋体" w:hAnsi="宋体" w:eastAsia="宋体" w:cs="宋体"/>
                <w:color w:val="auto"/>
                <w:sz w:val="21"/>
                <w:szCs w:val="21"/>
                <w:highlight w:val="none"/>
                <w:lang w:val="en-US" w:eastAsia="zh-CN"/>
              </w:rPr>
              <w:t>矛盾纠纷化解风险监测预警场景提供定制化语义分析引擎开发服务，须具备矛盾纠纷实体信息抽取、事件信息抽取、纠纷类型智能分类、事件聚类分析、重点人员信息采集等能力。</w:t>
            </w:r>
          </w:p>
          <w:p w14:paraId="56BE978B">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（5）特定领域知识图谱引擎</w:t>
            </w:r>
          </w:p>
          <w:p w14:paraId="482D6F78">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实现对事件的数据洞察分析，提取当事人信息、地点信息、事件类型、事件名称、关联法律法规信息、关联类似案例信息、对接外部资源信息，并可识别控制实现针对人、事、区域等信息的快速智能交互，及时获取管理人员关注的信息，实现对人与人、事与事、人与事等潜在关系进行深度挖掘。</w:t>
            </w:r>
          </w:p>
          <w:p w14:paraId="65EE7B55">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（6）关联分析</w:t>
            </w:r>
          </w:p>
          <w:p w14:paraId="16132B20">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支持从大量数据中发现项集之间的关联和相关联系。</w:t>
            </w:r>
          </w:p>
          <w:p w14:paraId="12275BB1">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（7）语义检索</w:t>
            </w:r>
          </w:p>
          <w:p w14:paraId="776A17FF">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基于知识图谱、自然语言和全文检索等技术，为用户提供语义搜索和全文搜索等智能搜索能力。通过理解用户真实意图，为用户提供精准、灵活的搜索体验；为用户模糊搜索、精准搜索，标题搜索、内容搜索等智能搜索相关能力。</w:t>
            </w:r>
          </w:p>
          <w:p w14:paraId="66B5A22B">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（8）智能推荐</w:t>
            </w:r>
          </w:p>
          <w:p w14:paraId="6F9E0C08">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通过用户的历史问题及相关画像，提取画像中用户关心的主题及知识点，通过与数据集仓库碰撞检索、知识图谱</w:t>
            </w:r>
            <w:r>
              <w:rPr>
                <w:rFonts w:hint="eastAsia"/>
                <w:color w:val="auto"/>
                <w:highlight w:val="none"/>
                <w:lang w:val="en-US" w:eastAsia="zh-CN"/>
              </w:rPr>
              <w:t>搜索</w:t>
            </w:r>
            <w:r>
              <w:rPr>
                <w:rFonts w:hint="eastAsia"/>
                <w:color w:val="auto"/>
                <w:highlight w:val="none"/>
              </w:rPr>
              <w:t>，将两个结果集进行融合优化结果集，生成推荐方案及流程指引知识。</w:t>
            </w:r>
          </w:p>
          <w:p w14:paraId="059532E2">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4、</w:t>
            </w:r>
            <w:r>
              <w:rPr>
                <w:rFonts w:hint="default"/>
                <w:color w:val="auto"/>
                <w:highlight w:val="none"/>
              </w:rPr>
              <w:t>系统管理</w:t>
            </w:r>
          </w:p>
          <w:p w14:paraId="12A14E3B">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（1）日志管理</w:t>
            </w:r>
          </w:p>
          <w:p w14:paraId="1845076B">
            <w:pPr>
              <w:keepNext w:val="0"/>
              <w:keepLines w:val="0"/>
              <w:suppressLineNumbers w:val="0"/>
              <w:spacing w:before="0" w:beforeAutospacing="0" w:after="0" w:afterAutospacing="0" w:line="240" w:lineRule="auto"/>
              <w:ind w:left="0" w:right="0"/>
              <w:rPr>
                <w:rFonts w:hint="default"/>
                <w:color w:val="auto"/>
                <w:highlight w:val="none"/>
              </w:rPr>
            </w:pPr>
            <w:r>
              <w:rPr>
                <w:rFonts w:hint="eastAsia"/>
                <w:color w:val="auto"/>
                <w:highlight w:val="none"/>
              </w:rPr>
              <w:t>系统支持操作日志记录，操作类型包含但不限于登录、退出、查询、下载、删除、修改等。还可针对模块，功能项等进行记录，便于分析和查询。支持日志查询功能，管理员可根据用户、模块、类型等不同维度进行日志查询。</w:t>
            </w:r>
          </w:p>
          <w:p w14:paraId="2C111013">
            <w:pPr>
              <w:keepNext w:val="0"/>
              <w:keepLines w:val="0"/>
              <w:suppressLineNumbers w:val="0"/>
              <w:spacing w:before="0" w:beforeAutospacing="0" w:after="0" w:afterAutospacing="0" w:line="240" w:lineRule="auto"/>
              <w:ind w:left="0" w:right="0"/>
              <w:rPr>
                <w:rFonts w:hint="eastAsia"/>
                <w:color w:val="auto"/>
                <w:highlight w:val="none"/>
              </w:rPr>
            </w:pPr>
            <w:r>
              <w:rPr>
                <w:rFonts w:hint="eastAsia"/>
                <w:color w:val="auto"/>
                <w:highlight w:val="none"/>
              </w:rPr>
              <w:t>（2）大模型应用管理</w:t>
            </w:r>
          </w:p>
          <w:p w14:paraId="57F4DD6D">
            <w:pPr>
              <w:keepNext w:val="0"/>
              <w:keepLines w:val="0"/>
              <w:suppressLineNumbers w:val="0"/>
              <w:spacing w:before="0" w:beforeAutospacing="0" w:after="0" w:afterAutospacing="0"/>
              <w:ind w:left="0" w:right="0"/>
              <w:rPr>
                <w:rFonts w:hint="eastAsia"/>
                <w:color w:val="auto"/>
                <w:highlight w:val="none"/>
                <w:lang w:eastAsia="zh-CN"/>
              </w:rPr>
            </w:pPr>
            <w:r>
              <w:rPr>
                <w:rFonts w:hint="eastAsia"/>
                <w:color w:val="auto"/>
                <w:highlight w:val="none"/>
              </w:rPr>
              <w:t>可创建针对特定任务的工作流（含查询、调用、大模型分析等操作），支持为一级工作流添加二级子流程，并配置子流程的名称、类型、执行函数等参数。支持创建/修改智能体，将其与大模型</w:t>
            </w:r>
            <w:r>
              <w:rPr>
                <w:rFonts w:hint="eastAsia"/>
                <w:color w:val="auto"/>
                <w:highlight w:val="none"/>
                <w:lang w:val="en-US" w:eastAsia="zh-CN"/>
              </w:rPr>
              <w:t>能力</w:t>
            </w:r>
            <w:r>
              <w:rPr>
                <w:rFonts w:hint="eastAsia"/>
                <w:color w:val="auto"/>
                <w:highlight w:val="none"/>
              </w:rPr>
              <w:t>绑定以提供算力支撑；可调节智能体的“温度参数”（控制输出灵活性），并为智能体关联提示词模板</w:t>
            </w:r>
            <w:r>
              <w:rPr>
                <w:rFonts w:hint="eastAsia"/>
                <w:color w:val="auto"/>
                <w:highlight w:val="none"/>
                <w:lang w:eastAsia="zh-CN"/>
              </w:rPr>
              <w:t>。</w:t>
            </w:r>
          </w:p>
        </w:tc>
      </w:tr>
      <w:tr w14:paraId="7AE970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5" w:type="dxa"/>
            <w:vMerge w:val="continue"/>
            <w:tcBorders>
              <w:left w:val="single" w:color="auto" w:sz="4" w:space="0"/>
              <w:right w:val="single" w:color="auto" w:sz="4" w:space="0"/>
            </w:tcBorders>
            <w:noWrap w:val="0"/>
            <w:vAlign w:val="center"/>
          </w:tcPr>
          <w:p w14:paraId="3E7C318A">
            <w:pPr>
              <w:keepNext w:val="0"/>
              <w:keepLines w:val="0"/>
              <w:suppressLineNumbers w:val="0"/>
              <w:shd w:val="clear" w:color="auto" w:fill="auto"/>
              <w:spacing w:before="0" w:beforeAutospacing="0" w:after="0" w:afterAutospacing="0" w:line="240" w:lineRule="exact"/>
              <w:ind w:left="0" w:right="0"/>
              <w:jc w:val="center"/>
              <w:rPr>
                <w:rFonts w:hint="eastAsia" w:ascii="宋体" w:hAnsi="宋体" w:eastAsia="宋体" w:cs="宋体"/>
                <w:b/>
                <w:bCs/>
                <w:color w:val="auto"/>
                <w:szCs w:val="21"/>
                <w:highlight w:val="none"/>
              </w:rPr>
            </w:pPr>
          </w:p>
        </w:tc>
        <w:tc>
          <w:tcPr>
            <w:tcW w:w="325" w:type="dxa"/>
            <w:tcBorders>
              <w:top w:val="single" w:color="auto" w:sz="4" w:space="0"/>
              <w:left w:val="single" w:color="auto" w:sz="4" w:space="0"/>
              <w:right w:val="single" w:color="auto" w:sz="4" w:space="0"/>
            </w:tcBorders>
            <w:noWrap w:val="0"/>
            <w:vAlign w:val="center"/>
          </w:tcPr>
          <w:p w14:paraId="01EFF54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096" w:type="dxa"/>
            <w:tcBorders>
              <w:top w:val="single" w:color="auto" w:sz="4" w:space="0"/>
              <w:left w:val="single" w:color="auto" w:sz="4" w:space="0"/>
              <w:right w:val="single" w:color="auto" w:sz="4" w:space="0"/>
            </w:tcBorders>
            <w:noWrap w:val="0"/>
            <w:vAlign w:val="center"/>
          </w:tcPr>
          <w:p w14:paraId="41D10BF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智能密码钥匙</w:t>
            </w:r>
          </w:p>
        </w:tc>
        <w:tc>
          <w:tcPr>
            <w:tcW w:w="467" w:type="dxa"/>
            <w:tcBorders>
              <w:top w:val="single" w:color="auto" w:sz="4" w:space="0"/>
              <w:left w:val="single" w:color="auto" w:sz="4" w:space="0"/>
              <w:right w:val="single" w:color="auto" w:sz="4" w:space="0"/>
            </w:tcBorders>
            <w:noWrap w:val="0"/>
            <w:vAlign w:val="center"/>
          </w:tcPr>
          <w:p w14:paraId="5C4A542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10</w:t>
            </w:r>
          </w:p>
        </w:tc>
        <w:tc>
          <w:tcPr>
            <w:tcW w:w="472" w:type="dxa"/>
            <w:tcBorders>
              <w:top w:val="single" w:color="auto" w:sz="4" w:space="0"/>
              <w:left w:val="single" w:color="auto" w:sz="4" w:space="0"/>
              <w:right w:val="single" w:color="auto" w:sz="4" w:space="0"/>
            </w:tcBorders>
            <w:noWrap w:val="0"/>
            <w:vAlign w:val="center"/>
          </w:tcPr>
          <w:p w14:paraId="6191859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个</w:t>
            </w:r>
          </w:p>
        </w:tc>
        <w:tc>
          <w:tcPr>
            <w:tcW w:w="6853" w:type="dxa"/>
            <w:tcBorders>
              <w:top w:val="single" w:color="auto" w:sz="4" w:space="0"/>
              <w:left w:val="single" w:color="auto" w:sz="4" w:space="0"/>
              <w:right w:val="single" w:color="auto" w:sz="4" w:space="0"/>
            </w:tcBorders>
            <w:noWrap w:val="0"/>
            <w:vAlign w:val="center"/>
          </w:tcPr>
          <w:p w14:paraId="78C2ADEB">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highlight w:val="none"/>
              </w:rPr>
            </w:pPr>
            <w:r>
              <w:rPr>
                <w:rFonts w:hint="eastAsia" w:ascii="宋体" w:hAnsi="宋体" w:eastAsia="宋体" w:cs="宋体"/>
                <w:color w:val="auto"/>
                <w:kern w:val="0"/>
                <w:sz w:val="21"/>
                <w:szCs w:val="21"/>
                <w:highlight w:val="none"/>
              </w:rPr>
              <w:t>1、支持SM2、SM3、SM4、SM9算法；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2、采用物理噪声源生成真随机数；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3、可安全存储密钥、证书等敏感数据；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4、支持国标SKF标准安全中间件接口，支持自定义接口开发；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5、支持无驱设计，支持USB3.0高速传输协议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6、USB：2.0/3.0；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7、支持PIN码验证；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8、具备商用密码产品认证证书（二级）；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9、提供三年原厂维保服务。</w:t>
            </w:r>
          </w:p>
        </w:tc>
      </w:tr>
      <w:tr w14:paraId="31B7AF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5" w:type="dxa"/>
            <w:vMerge w:val="continue"/>
            <w:tcBorders>
              <w:left w:val="single" w:color="auto" w:sz="4" w:space="0"/>
              <w:right w:val="single" w:color="auto" w:sz="4" w:space="0"/>
            </w:tcBorders>
            <w:noWrap w:val="0"/>
            <w:vAlign w:val="center"/>
          </w:tcPr>
          <w:p w14:paraId="0C579EB1">
            <w:pPr>
              <w:keepNext w:val="0"/>
              <w:keepLines w:val="0"/>
              <w:suppressLineNumbers w:val="0"/>
              <w:shd w:val="clear" w:color="auto" w:fill="auto"/>
              <w:spacing w:before="0" w:beforeAutospacing="0" w:after="0" w:afterAutospacing="0" w:line="240" w:lineRule="exact"/>
              <w:ind w:left="0" w:right="0"/>
              <w:jc w:val="center"/>
              <w:rPr>
                <w:rFonts w:hint="eastAsia" w:ascii="宋体" w:hAnsi="宋体" w:eastAsia="宋体" w:cs="宋体"/>
                <w:b/>
                <w:bCs/>
                <w:color w:val="auto"/>
                <w:szCs w:val="21"/>
                <w:highlight w:val="none"/>
              </w:rPr>
            </w:pPr>
          </w:p>
        </w:tc>
        <w:tc>
          <w:tcPr>
            <w:tcW w:w="325" w:type="dxa"/>
            <w:tcBorders>
              <w:top w:val="single" w:color="auto" w:sz="4" w:space="0"/>
              <w:left w:val="single" w:color="auto" w:sz="4" w:space="0"/>
              <w:right w:val="single" w:color="auto" w:sz="4" w:space="0"/>
            </w:tcBorders>
            <w:noWrap w:val="0"/>
            <w:vAlign w:val="center"/>
          </w:tcPr>
          <w:p w14:paraId="562AF0B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1096" w:type="dxa"/>
            <w:tcBorders>
              <w:top w:val="single" w:color="auto" w:sz="4" w:space="0"/>
              <w:left w:val="single" w:color="auto" w:sz="4" w:space="0"/>
              <w:right w:val="single" w:color="auto" w:sz="4" w:space="0"/>
            </w:tcBorders>
            <w:noWrap w:val="0"/>
            <w:vAlign w:val="center"/>
          </w:tcPr>
          <w:p w14:paraId="689BB94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CA证书</w:t>
            </w:r>
          </w:p>
        </w:tc>
        <w:tc>
          <w:tcPr>
            <w:tcW w:w="467" w:type="dxa"/>
            <w:tcBorders>
              <w:top w:val="single" w:color="auto" w:sz="4" w:space="0"/>
              <w:left w:val="single" w:color="auto" w:sz="4" w:space="0"/>
              <w:right w:val="single" w:color="auto" w:sz="4" w:space="0"/>
            </w:tcBorders>
            <w:noWrap w:val="0"/>
            <w:vAlign w:val="center"/>
          </w:tcPr>
          <w:p w14:paraId="3D868EB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10</w:t>
            </w:r>
          </w:p>
        </w:tc>
        <w:tc>
          <w:tcPr>
            <w:tcW w:w="472" w:type="dxa"/>
            <w:tcBorders>
              <w:top w:val="single" w:color="auto" w:sz="4" w:space="0"/>
              <w:left w:val="single" w:color="auto" w:sz="4" w:space="0"/>
              <w:right w:val="single" w:color="auto" w:sz="4" w:space="0"/>
            </w:tcBorders>
            <w:noWrap w:val="0"/>
            <w:vAlign w:val="center"/>
          </w:tcPr>
          <w:p w14:paraId="35E3736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套</w:t>
            </w:r>
          </w:p>
        </w:tc>
        <w:tc>
          <w:tcPr>
            <w:tcW w:w="6853" w:type="dxa"/>
            <w:tcBorders>
              <w:top w:val="single" w:color="auto" w:sz="4" w:space="0"/>
              <w:left w:val="single" w:color="auto" w:sz="4" w:space="0"/>
              <w:right w:val="single" w:color="auto" w:sz="4" w:space="0"/>
            </w:tcBorders>
            <w:noWrap w:val="0"/>
            <w:vAlign w:val="center"/>
          </w:tcPr>
          <w:p w14:paraId="381DE088">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highlight w:val="none"/>
              </w:rPr>
            </w:pPr>
            <w:r>
              <w:rPr>
                <w:rFonts w:hint="eastAsia" w:ascii="宋体" w:hAnsi="宋体" w:eastAsia="宋体" w:cs="宋体"/>
                <w:color w:val="auto"/>
                <w:kern w:val="0"/>
                <w:sz w:val="21"/>
                <w:szCs w:val="21"/>
                <w:highlight w:val="none"/>
              </w:rPr>
              <w:t>权威CA机构签发，提供个人有效身份认证，有效期3年。</w:t>
            </w:r>
          </w:p>
        </w:tc>
      </w:tr>
      <w:tr w14:paraId="458D8B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5" w:type="dxa"/>
            <w:vMerge w:val="continue"/>
            <w:tcBorders>
              <w:left w:val="single" w:color="auto" w:sz="4" w:space="0"/>
              <w:right w:val="single" w:color="auto" w:sz="4" w:space="0"/>
            </w:tcBorders>
            <w:noWrap w:val="0"/>
            <w:vAlign w:val="center"/>
          </w:tcPr>
          <w:p w14:paraId="169055B3">
            <w:pPr>
              <w:keepNext w:val="0"/>
              <w:keepLines w:val="0"/>
              <w:suppressLineNumbers w:val="0"/>
              <w:shd w:val="clear" w:color="auto" w:fill="auto"/>
              <w:spacing w:before="0" w:beforeAutospacing="0" w:after="0" w:afterAutospacing="0" w:line="240" w:lineRule="exact"/>
              <w:ind w:left="0" w:right="0"/>
              <w:jc w:val="center"/>
              <w:rPr>
                <w:rFonts w:hint="eastAsia" w:ascii="宋体" w:hAnsi="宋体" w:eastAsia="宋体" w:cs="宋体"/>
                <w:b/>
                <w:bCs/>
                <w:color w:val="auto"/>
                <w:szCs w:val="21"/>
                <w:highlight w:val="none"/>
              </w:rPr>
            </w:pPr>
          </w:p>
        </w:tc>
        <w:tc>
          <w:tcPr>
            <w:tcW w:w="325" w:type="dxa"/>
            <w:tcBorders>
              <w:top w:val="single" w:color="auto" w:sz="4" w:space="0"/>
              <w:left w:val="single" w:color="auto" w:sz="4" w:space="0"/>
              <w:right w:val="single" w:color="auto" w:sz="4" w:space="0"/>
            </w:tcBorders>
            <w:noWrap w:val="0"/>
            <w:vAlign w:val="center"/>
          </w:tcPr>
          <w:p w14:paraId="14411D8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1096" w:type="dxa"/>
            <w:tcBorders>
              <w:top w:val="single" w:color="auto" w:sz="4" w:space="0"/>
              <w:left w:val="single" w:color="auto" w:sz="4" w:space="0"/>
              <w:right w:val="single" w:color="auto" w:sz="4" w:space="0"/>
            </w:tcBorders>
            <w:noWrap w:val="0"/>
            <w:vAlign w:val="center"/>
          </w:tcPr>
          <w:p w14:paraId="1991653A">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SSL站点证书</w:t>
            </w:r>
          </w:p>
        </w:tc>
        <w:tc>
          <w:tcPr>
            <w:tcW w:w="467" w:type="dxa"/>
            <w:tcBorders>
              <w:top w:val="single" w:color="auto" w:sz="4" w:space="0"/>
              <w:left w:val="single" w:color="auto" w:sz="4" w:space="0"/>
              <w:right w:val="single" w:color="auto" w:sz="4" w:space="0"/>
            </w:tcBorders>
            <w:noWrap w:val="0"/>
            <w:vAlign w:val="center"/>
          </w:tcPr>
          <w:p w14:paraId="5CF1689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2</w:t>
            </w:r>
          </w:p>
        </w:tc>
        <w:tc>
          <w:tcPr>
            <w:tcW w:w="472" w:type="dxa"/>
            <w:tcBorders>
              <w:top w:val="single" w:color="auto" w:sz="4" w:space="0"/>
              <w:left w:val="single" w:color="auto" w:sz="4" w:space="0"/>
              <w:right w:val="single" w:color="auto" w:sz="4" w:space="0"/>
            </w:tcBorders>
            <w:noWrap w:val="0"/>
            <w:vAlign w:val="center"/>
          </w:tcPr>
          <w:p w14:paraId="35DFFBEB">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套</w:t>
            </w:r>
          </w:p>
        </w:tc>
        <w:tc>
          <w:tcPr>
            <w:tcW w:w="6853" w:type="dxa"/>
            <w:tcBorders>
              <w:top w:val="single" w:color="auto" w:sz="4" w:space="0"/>
              <w:left w:val="single" w:color="auto" w:sz="4" w:space="0"/>
              <w:right w:val="single" w:color="auto" w:sz="4" w:space="0"/>
            </w:tcBorders>
            <w:noWrap w:val="0"/>
            <w:vAlign w:val="center"/>
          </w:tcPr>
          <w:p w14:paraId="2AF0CEE6">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highlight w:val="none"/>
              </w:rPr>
            </w:pPr>
            <w:r>
              <w:rPr>
                <w:rFonts w:hint="eastAsia" w:ascii="宋体" w:hAnsi="宋体" w:eastAsia="宋体" w:cs="宋体"/>
                <w:color w:val="auto"/>
                <w:kern w:val="0"/>
                <w:sz w:val="21"/>
                <w:szCs w:val="21"/>
                <w:highlight w:val="none"/>
              </w:rPr>
              <w:t>权威CA机构签发，提供SSL站点身份认证，有效期3年。</w:t>
            </w:r>
          </w:p>
        </w:tc>
      </w:tr>
      <w:tr w14:paraId="616FC2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5" w:type="dxa"/>
            <w:vMerge w:val="continue"/>
            <w:tcBorders>
              <w:left w:val="single" w:color="auto" w:sz="4" w:space="0"/>
              <w:right w:val="single" w:color="auto" w:sz="4" w:space="0"/>
            </w:tcBorders>
            <w:noWrap w:val="0"/>
            <w:vAlign w:val="center"/>
          </w:tcPr>
          <w:p w14:paraId="013214C2">
            <w:pPr>
              <w:keepNext w:val="0"/>
              <w:keepLines w:val="0"/>
              <w:suppressLineNumbers w:val="0"/>
              <w:shd w:val="clear" w:color="auto" w:fill="auto"/>
              <w:spacing w:before="0" w:beforeAutospacing="0" w:after="0" w:afterAutospacing="0" w:line="240" w:lineRule="exact"/>
              <w:ind w:left="0" w:right="0"/>
              <w:jc w:val="center"/>
              <w:rPr>
                <w:rFonts w:hint="eastAsia" w:ascii="宋体" w:hAnsi="宋体" w:eastAsia="宋体" w:cs="宋体"/>
                <w:b/>
                <w:bCs/>
                <w:color w:val="auto"/>
                <w:szCs w:val="21"/>
                <w:highlight w:val="none"/>
              </w:rPr>
            </w:pPr>
          </w:p>
        </w:tc>
        <w:tc>
          <w:tcPr>
            <w:tcW w:w="325" w:type="dxa"/>
            <w:tcBorders>
              <w:top w:val="single" w:color="auto" w:sz="4" w:space="0"/>
              <w:left w:val="single" w:color="auto" w:sz="4" w:space="0"/>
              <w:right w:val="single" w:color="auto" w:sz="4" w:space="0"/>
            </w:tcBorders>
            <w:noWrap w:val="0"/>
            <w:vAlign w:val="center"/>
          </w:tcPr>
          <w:p w14:paraId="6980FD7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1096" w:type="dxa"/>
            <w:tcBorders>
              <w:top w:val="single" w:color="auto" w:sz="4" w:space="0"/>
              <w:left w:val="single" w:color="auto" w:sz="4" w:space="0"/>
              <w:right w:val="single" w:color="auto" w:sz="4" w:space="0"/>
            </w:tcBorders>
            <w:noWrap w:val="0"/>
            <w:vAlign w:val="center"/>
          </w:tcPr>
          <w:p w14:paraId="49F1BE5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国密浏览器</w:t>
            </w:r>
          </w:p>
        </w:tc>
        <w:tc>
          <w:tcPr>
            <w:tcW w:w="467" w:type="dxa"/>
            <w:tcBorders>
              <w:top w:val="single" w:color="auto" w:sz="4" w:space="0"/>
              <w:left w:val="single" w:color="auto" w:sz="4" w:space="0"/>
              <w:right w:val="single" w:color="auto" w:sz="4" w:space="0"/>
            </w:tcBorders>
            <w:noWrap w:val="0"/>
            <w:vAlign w:val="center"/>
          </w:tcPr>
          <w:p w14:paraId="37D3BED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10</w:t>
            </w:r>
          </w:p>
        </w:tc>
        <w:tc>
          <w:tcPr>
            <w:tcW w:w="472" w:type="dxa"/>
            <w:tcBorders>
              <w:top w:val="single" w:color="auto" w:sz="4" w:space="0"/>
              <w:left w:val="single" w:color="auto" w:sz="4" w:space="0"/>
              <w:right w:val="single" w:color="auto" w:sz="4" w:space="0"/>
            </w:tcBorders>
            <w:noWrap w:val="0"/>
            <w:vAlign w:val="center"/>
          </w:tcPr>
          <w:p w14:paraId="3B88DE6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套</w:t>
            </w:r>
          </w:p>
        </w:tc>
        <w:tc>
          <w:tcPr>
            <w:tcW w:w="6853" w:type="dxa"/>
            <w:tcBorders>
              <w:top w:val="single" w:color="auto" w:sz="4" w:space="0"/>
              <w:left w:val="single" w:color="auto" w:sz="4" w:space="0"/>
              <w:right w:val="single" w:color="auto" w:sz="4" w:space="0"/>
            </w:tcBorders>
            <w:noWrap w:val="0"/>
            <w:vAlign w:val="center"/>
          </w:tcPr>
          <w:p w14:paraId="4A48CA2C">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highlight w:val="none"/>
              </w:rPr>
            </w:pPr>
            <w:r>
              <w:rPr>
                <w:rFonts w:hint="eastAsia" w:ascii="宋体" w:hAnsi="宋体" w:eastAsia="宋体" w:cs="宋体"/>
                <w:color w:val="auto"/>
                <w:kern w:val="0"/>
                <w:sz w:val="21"/>
                <w:szCs w:val="21"/>
                <w:highlight w:val="none"/>
              </w:rPr>
              <w:t>1、支持国密网站、国密应用自动识别及国密标识展现；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2、支持国密算法SM2\SM3\SM4，支持 SSL 链接功能，同时支持 SSL 单向及双向链接；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3、支持页面解析、页面标签栏、页面地址栏、前进后退、页面刷新、网址收藏、证书集成、插件集成等浏览器功能；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4、支持屏幕适应、网页缩放、多窗口浏览显示、全屏模式、网页链接显示、文字显示、多媒体内容显示；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5、支持HTTP/1.1、HTTP/2.0、WEBRTC协议；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6、具备商用密码产品认证证书（二级）；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7、提供三年原厂维保服务。</w:t>
            </w:r>
          </w:p>
        </w:tc>
      </w:tr>
      <w:tr w14:paraId="0B83A6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5" w:type="dxa"/>
            <w:vMerge w:val="continue"/>
            <w:tcBorders>
              <w:left w:val="single" w:color="auto" w:sz="4" w:space="0"/>
              <w:right w:val="single" w:color="auto" w:sz="4" w:space="0"/>
            </w:tcBorders>
            <w:noWrap w:val="0"/>
            <w:vAlign w:val="center"/>
          </w:tcPr>
          <w:p w14:paraId="06C41731">
            <w:pPr>
              <w:keepNext w:val="0"/>
              <w:keepLines w:val="0"/>
              <w:suppressLineNumbers w:val="0"/>
              <w:shd w:val="clear" w:color="auto" w:fill="auto"/>
              <w:spacing w:before="0" w:beforeAutospacing="0" w:after="0" w:afterAutospacing="0" w:line="240" w:lineRule="exact"/>
              <w:ind w:left="0" w:right="0"/>
              <w:jc w:val="center"/>
              <w:rPr>
                <w:rFonts w:hint="eastAsia" w:ascii="宋体" w:hAnsi="宋体" w:eastAsia="宋体" w:cs="宋体"/>
                <w:b/>
                <w:bCs/>
                <w:color w:val="auto"/>
                <w:szCs w:val="21"/>
                <w:highlight w:val="none"/>
              </w:rPr>
            </w:pPr>
          </w:p>
        </w:tc>
        <w:tc>
          <w:tcPr>
            <w:tcW w:w="325" w:type="dxa"/>
            <w:tcBorders>
              <w:top w:val="single" w:color="auto" w:sz="4" w:space="0"/>
              <w:left w:val="single" w:color="auto" w:sz="4" w:space="0"/>
              <w:right w:val="single" w:color="auto" w:sz="4" w:space="0"/>
            </w:tcBorders>
            <w:noWrap w:val="0"/>
            <w:vAlign w:val="center"/>
          </w:tcPr>
          <w:p w14:paraId="0240324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1096" w:type="dxa"/>
            <w:tcBorders>
              <w:top w:val="single" w:color="auto" w:sz="4" w:space="0"/>
              <w:left w:val="single" w:color="auto" w:sz="4" w:space="0"/>
              <w:right w:val="single" w:color="auto" w:sz="4" w:space="0"/>
            </w:tcBorders>
            <w:noWrap w:val="0"/>
            <w:vAlign w:val="center"/>
          </w:tcPr>
          <w:p w14:paraId="1DA66796">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国产化数据库</w:t>
            </w:r>
          </w:p>
        </w:tc>
        <w:tc>
          <w:tcPr>
            <w:tcW w:w="467" w:type="dxa"/>
            <w:tcBorders>
              <w:top w:val="single" w:color="auto" w:sz="4" w:space="0"/>
              <w:left w:val="single" w:color="auto" w:sz="4" w:space="0"/>
              <w:right w:val="single" w:color="auto" w:sz="4" w:space="0"/>
            </w:tcBorders>
            <w:noWrap w:val="0"/>
            <w:vAlign w:val="center"/>
          </w:tcPr>
          <w:p w14:paraId="6BF9AE98">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w:t>
            </w:r>
          </w:p>
        </w:tc>
        <w:tc>
          <w:tcPr>
            <w:tcW w:w="472" w:type="dxa"/>
            <w:tcBorders>
              <w:top w:val="single" w:color="auto" w:sz="4" w:space="0"/>
              <w:left w:val="single" w:color="auto" w:sz="4" w:space="0"/>
              <w:right w:val="single" w:color="auto" w:sz="4" w:space="0"/>
            </w:tcBorders>
            <w:noWrap w:val="0"/>
            <w:vAlign w:val="center"/>
          </w:tcPr>
          <w:p w14:paraId="1F89749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套</w:t>
            </w:r>
          </w:p>
        </w:tc>
        <w:tc>
          <w:tcPr>
            <w:tcW w:w="6853" w:type="dxa"/>
            <w:tcBorders>
              <w:top w:val="single" w:color="auto" w:sz="4" w:space="0"/>
              <w:left w:val="single" w:color="auto" w:sz="4" w:space="0"/>
              <w:right w:val="single" w:color="auto" w:sz="4" w:space="0"/>
            </w:tcBorders>
            <w:noWrap w:val="0"/>
            <w:vAlign w:val="center"/>
          </w:tcPr>
          <w:p w14:paraId="0A4294DE">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highlight w:val="none"/>
              </w:rPr>
            </w:pPr>
            <w:r>
              <w:rPr>
                <w:rFonts w:hint="eastAsia" w:ascii="宋体" w:hAnsi="宋体" w:eastAsia="宋体" w:cs="宋体"/>
                <w:color w:val="auto"/>
                <w:kern w:val="0"/>
                <w:sz w:val="21"/>
                <w:szCs w:val="21"/>
                <w:highlight w:val="none"/>
              </w:rPr>
              <w:t>国产化数据库，通过安全可靠测评,提供三年原厂维保服务。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1、支持INTEL、鲲鹏、飞腾等处理器；具有跨操作系统平台的能力，支持Linux、麒麟、UOS等操作系统等；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rPr>
              <w:t>支持读写分离以及故障转移功能</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3、高度兼容Oracle，支持number、date、blob/clob、varchar2等数据类型；</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w:t>
            </w:r>
            <w:r>
              <w:rPr>
                <w:rFonts w:hint="eastAsia" w:ascii="宋体" w:hAnsi="宋体" w:eastAsia="宋体" w:cs="宋体"/>
                <w:color w:val="auto"/>
                <w:sz w:val="21"/>
                <w:szCs w:val="21"/>
                <w:highlight w:val="none"/>
              </w:rPr>
              <w:t>支持ANSI SQL-2003以上标准，PL/pgSQL等过程语言；</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支持ORACLE数据库的常用数据字典，系统函数、系统功能包，存储过程支持自治事务功能；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6、支持自主访问控制、基于安全标签的强制访问控制、用户角色三权分立、审计、加密、身份识别与验证等安全功能。支持安全管理功能和审计功能； </w:t>
            </w:r>
          </w:p>
        </w:tc>
      </w:tr>
      <w:tr w14:paraId="4818B0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5" w:type="dxa"/>
            <w:vMerge w:val="continue"/>
            <w:tcBorders>
              <w:left w:val="single" w:color="auto" w:sz="4" w:space="0"/>
              <w:right w:val="single" w:color="auto" w:sz="4" w:space="0"/>
            </w:tcBorders>
            <w:noWrap w:val="0"/>
            <w:vAlign w:val="center"/>
          </w:tcPr>
          <w:p w14:paraId="4BAA0792">
            <w:pPr>
              <w:keepNext w:val="0"/>
              <w:keepLines w:val="0"/>
              <w:suppressLineNumbers w:val="0"/>
              <w:shd w:val="clear" w:color="auto" w:fill="auto"/>
              <w:spacing w:before="0" w:beforeAutospacing="0" w:after="0" w:afterAutospacing="0" w:line="240" w:lineRule="exact"/>
              <w:ind w:left="0" w:right="0"/>
              <w:jc w:val="center"/>
              <w:rPr>
                <w:rFonts w:hint="eastAsia" w:ascii="宋体" w:hAnsi="宋体" w:eastAsia="宋体" w:cs="宋体"/>
                <w:b/>
                <w:bCs/>
                <w:color w:val="auto"/>
                <w:szCs w:val="21"/>
                <w:highlight w:val="none"/>
              </w:rPr>
            </w:pPr>
          </w:p>
        </w:tc>
        <w:tc>
          <w:tcPr>
            <w:tcW w:w="325" w:type="dxa"/>
            <w:tcBorders>
              <w:top w:val="single" w:color="auto" w:sz="4" w:space="0"/>
              <w:left w:val="single" w:color="auto" w:sz="4" w:space="0"/>
              <w:right w:val="single" w:color="auto" w:sz="4" w:space="0"/>
            </w:tcBorders>
            <w:noWrap w:val="0"/>
            <w:vAlign w:val="center"/>
          </w:tcPr>
          <w:p w14:paraId="3DC234D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1096" w:type="dxa"/>
            <w:tcBorders>
              <w:top w:val="single" w:color="auto" w:sz="4" w:space="0"/>
              <w:left w:val="single" w:color="auto" w:sz="4" w:space="0"/>
              <w:right w:val="single" w:color="auto" w:sz="4" w:space="0"/>
            </w:tcBorders>
            <w:noWrap w:val="0"/>
            <w:vAlign w:val="center"/>
          </w:tcPr>
          <w:p w14:paraId="00DD5764">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国产化中间件</w:t>
            </w:r>
          </w:p>
        </w:tc>
        <w:tc>
          <w:tcPr>
            <w:tcW w:w="467" w:type="dxa"/>
            <w:tcBorders>
              <w:top w:val="single" w:color="auto" w:sz="4" w:space="0"/>
              <w:left w:val="single" w:color="auto" w:sz="4" w:space="0"/>
              <w:right w:val="single" w:color="auto" w:sz="4" w:space="0"/>
            </w:tcBorders>
            <w:noWrap w:val="0"/>
            <w:vAlign w:val="center"/>
          </w:tcPr>
          <w:p w14:paraId="2D37799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w:t>
            </w:r>
          </w:p>
        </w:tc>
        <w:tc>
          <w:tcPr>
            <w:tcW w:w="472" w:type="dxa"/>
            <w:tcBorders>
              <w:top w:val="single" w:color="auto" w:sz="4" w:space="0"/>
              <w:left w:val="single" w:color="auto" w:sz="4" w:space="0"/>
              <w:right w:val="single" w:color="auto" w:sz="4" w:space="0"/>
            </w:tcBorders>
            <w:noWrap w:val="0"/>
            <w:vAlign w:val="center"/>
          </w:tcPr>
          <w:p w14:paraId="66AF5C33">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套</w:t>
            </w:r>
          </w:p>
        </w:tc>
        <w:tc>
          <w:tcPr>
            <w:tcW w:w="6853" w:type="dxa"/>
            <w:tcBorders>
              <w:top w:val="single" w:color="auto" w:sz="4" w:space="0"/>
              <w:left w:val="single" w:color="auto" w:sz="4" w:space="0"/>
              <w:right w:val="single" w:color="auto" w:sz="4" w:space="0"/>
            </w:tcBorders>
            <w:noWrap w:val="0"/>
            <w:vAlign w:val="center"/>
          </w:tcPr>
          <w:p w14:paraId="313777BC">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highlight w:val="none"/>
              </w:rPr>
            </w:pPr>
            <w:r>
              <w:rPr>
                <w:rFonts w:hint="eastAsia" w:ascii="宋体" w:hAnsi="宋体" w:eastAsia="宋体" w:cs="宋体"/>
                <w:color w:val="auto"/>
                <w:kern w:val="0"/>
                <w:sz w:val="21"/>
                <w:szCs w:val="21"/>
                <w:highlight w:val="none"/>
              </w:rPr>
              <w:t>国产化中间件，提供三年原厂维保服务。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1、支持国产操作系统（麒麟、UOS 等）、国产芯片（海光、飞腾等）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2、消息中间件：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 线路备份、动态/静态负载均衡、基于内容的路由、客户端连接池集群 等多核心机制；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（2）支持队列分组机制 实现业务间互不影响；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（3）支持集群部署；</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 JMS1.1 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（5）支持断点续传；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3、缓存中间件：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（1）兼容 Redis 协议；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（2）支持多数据类型存储；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（3）支持发布/订阅模式；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（4）支持国密传输；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（5）支持集群部署；</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4、WEB应用中间件：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（1）符合 Java EE/Jakarta EE 标准，支持主流数据库和操作系统；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（2）支持容器化部署；</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（3）基于 JVM 的最小内核，支持 Web/EJB 核心容器；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（4）集群节点的数量可自动、及时、适当的随着业务量变化增减，且不影响业务的连续运行；</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（5）并发处理：支持≥5,000并发会话，单节点吞吐量≥10,000 TPS。</w:t>
            </w:r>
          </w:p>
        </w:tc>
      </w:tr>
      <w:tr w14:paraId="4920BB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5" w:type="dxa"/>
            <w:tcBorders>
              <w:top w:val="single" w:color="auto" w:sz="4" w:space="0"/>
              <w:left w:val="single" w:color="auto" w:sz="4" w:space="0"/>
              <w:bottom w:val="single" w:color="auto" w:sz="4" w:space="0"/>
              <w:right w:val="single" w:color="auto" w:sz="4" w:space="0"/>
            </w:tcBorders>
            <w:noWrap w:val="0"/>
            <w:vAlign w:val="center"/>
          </w:tcPr>
          <w:p w14:paraId="5AC8C5A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◆商务条款</w:t>
            </w:r>
          </w:p>
        </w:tc>
        <w:tc>
          <w:tcPr>
            <w:tcW w:w="9213" w:type="dxa"/>
            <w:gridSpan w:val="5"/>
            <w:tcBorders>
              <w:top w:val="single" w:color="auto" w:sz="4" w:space="0"/>
              <w:left w:val="single" w:color="auto" w:sz="4" w:space="0"/>
              <w:bottom w:val="single" w:color="auto" w:sz="4" w:space="0"/>
              <w:right w:val="single" w:color="auto" w:sz="4" w:space="0"/>
            </w:tcBorders>
            <w:noWrap w:val="0"/>
            <w:vAlign w:val="center"/>
          </w:tcPr>
          <w:p w14:paraId="2B238388">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▲一、合同签订期：成交通知书发出之日起25日内</w:t>
            </w:r>
            <w:r>
              <w:rPr>
                <w:rFonts w:hint="eastAsia" w:ascii="宋体" w:hAnsi="宋体" w:eastAsia="宋体" w:cs="宋体"/>
                <w:color w:val="auto"/>
                <w:highlight w:val="none"/>
                <w:lang w:eastAsia="zh-CN"/>
              </w:rPr>
              <w:t>。</w:t>
            </w:r>
          </w:p>
          <w:p w14:paraId="424B7567">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Times New Roman" w:hAnsi="Times New Roman" w:eastAsia="宋体" w:cs="Times New Roman"/>
                <w:color w:val="auto"/>
                <w:highlight w:val="none"/>
              </w:rPr>
            </w:pPr>
            <w:r>
              <w:rPr>
                <w:rFonts w:hint="eastAsia" w:ascii="宋体" w:hAnsi="宋体" w:eastAsia="宋体" w:cs="宋体"/>
                <w:color w:val="auto"/>
                <w:highlight w:val="none"/>
              </w:rPr>
              <w:t>▲二、</w:t>
            </w:r>
            <w:r>
              <w:rPr>
                <w:rFonts w:hint="eastAsia"/>
                <w:color w:val="auto"/>
                <w:highlight w:val="none"/>
                <w:lang w:eastAsia="zh-CN"/>
              </w:rPr>
              <w:t>免费运维期：项目通过竣工验收起</w:t>
            </w:r>
            <w:r>
              <w:rPr>
                <w:rFonts w:hint="eastAsia"/>
                <w:color w:val="auto"/>
                <w:highlight w:val="none"/>
                <w:lang w:val="en-US" w:eastAsia="zh-CN"/>
              </w:rPr>
              <w:t>1年。</w:t>
            </w:r>
          </w:p>
          <w:p w14:paraId="4581827F">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三、</w:t>
            </w:r>
            <w:r>
              <w:rPr>
                <w:rFonts w:hint="eastAsia" w:ascii="宋体" w:hAnsi="宋体" w:cs="宋体"/>
                <w:color w:val="auto"/>
                <w:highlight w:val="none"/>
                <w:lang w:eastAsia="zh-CN"/>
              </w:rPr>
              <w:t>交付时间</w:t>
            </w:r>
            <w:r>
              <w:rPr>
                <w:rFonts w:hint="eastAsia" w:ascii="宋体" w:hAnsi="宋体" w:cs="宋体"/>
                <w:color w:val="auto"/>
                <w:highlight w:val="none"/>
                <w:lang w:val="en-US" w:eastAsia="zh-CN"/>
              </w:rPr>
              <w:t>及交付</w:t>
            </w:r>
            <w:r>
              <w:rPr>
                <w:rFonts w:hint="eastAsia" w:ascii="宋体" w:hAnsi="宋体" w:eastAsia="宋体" w:cs="宋体"/>
                <w:color w:val="auto"/>
                <w:highlight w:val="none"/>
              </w:rPr>
              <w:t>地点：</w:t>
            </w:r>
            <w:r>
              <w:rPr>
                <w:rFonts w:hint="eastAsia" w:ascii="宋体" w:hAnsi="宋体" w:cs="宋体"/>
                <w:color w:val="auto"/>
                <w:highlight w:val="none"/>
                <w:lang w:val="en-US" w:eastAsia="zh-CN"/>
              </w:rPr>
              <w:t>2027年4月30日前。其中2025年12月15日前须完成第一阶段项目建设。交付地点：</w:t>
            </w:r>
            <w:r>
              <w:rPr>
                <w:rFonts w:hint="eastAsia" w:ascii="宋体" w:hAnsi="宋体" w:eastAsia="宋体" w:cs="宋体"/>
                <w:color w:val="auto"/>
                <w:highlight w:val="none"/>
                <w:lang w:val="en-US" w:eastAsia="zh-CN"/>
              </w:rPr>
              <w:t>广西南宁市采购人指定地点。</w:t>
            </w:r>
          </w:p>
          <w:p w14:paraId="4EB6105A">
            <w:pPr>
              <w:pStyle w:val="7"/>
              <w:keepNext w:val="0"/>
              <w:keepLines w:val="0"/>
              <w:suppressLineNumbers w:val="0"/>
              <w:spacing w:before="0" w:beforeAutospacing="0" w:after="0" w:afterAutospacing="0"/>
              <w:ind w:left="0" w:right="0"/>
              <w:rPr>
                <w:rFonts w:hint="default"/>
                <w:color w:val="auto"/>
                <w:highlight w:val="none"/>
              </w:rPr>
            </w:pPr>
            <w:r>
              <w:rPr>
                <w:rFonts w:hint="eastAsia" w:ascii="宋体" w:hAnsi="宋体" w:cs="宋体"/>
                <w:color w:val="auto"/>
                <w:highlight w:val="none"/>
              </w:rPr>
              <w:t>▲</w:t>
            </w:r>
            <w:r>
              <w:rPr>
                <w:rFonts w:hint="eastAsia" w:ascii="宋体" w:hAnsi="宋体" w:cs="宋体"/>
                <w:color w:val="auto"/>
                <w:sz w:val="21"/>
                <w:szCs w:val="21"/>
                <w:highlight w:val="none"/>
              </w:rPr>
              <w:t>供应商须提供承诺函，承诺于2025年12月</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日前完成第一阶段项目建设</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第一阶段建设内容至少包含：</w:t>
            </w:r>
            <w:r>
              <w:rPr>
                <w:rFonts w:hint="default" w:ascii="宋体" w:hAnsi="宋体" w:cs="宋体"/>
                <w:color w:val="auto"/>
                <w:sz w:val="21"/>
                <w:szCs w:val="21"/>
                <w:highlight w:val="none"/>
              </w:rPr>
              <w:t>服务需求一览表</w:t>
            </w:r>
            <w:r>
              <w:rPr>
                <w:rFonts w:hint="eastAsia" w:ascii="宋体" w:hAnsi="宋体" w:cs="宋体"/>
                <w:color w:val="auto"/>
                <w:sz w:val="21"/>
                <w:szCs w:val="21"/>
                <w:highlight w:val="none"/>
              </w:rPr>
              <w:t xml:space="preserve">内“1 </w:t>
            </w:r>
            <w:r>
              <w:rPr>
                <w:rFonts w:hint="default" w:ascii="宋体" w:hAnsi="宋体" w:cs="宋体"/>
                <w:color w:val="auto"/>
                <w:sz w:val="21"/>
                <w:szCs w:val="21"/>
                <w:highlight w:val="none"/>
              </w:rPr>
              <w:t>广西社会治安综合治理信息平台</w:t>
            </w:r>
            <w:r>
              <w:rPr>
                <w:rFonts w:hint="eastAsia" w:ascii="宋体" w:hAnsi="宋体" w:cs="宋体"/>
                <w:color w:val="auto"/>
                <w:sz w:val="21"/>
                <w:szCs w:val="21"/>
                <w:highlight w:val="none"/>
              </w:rPr>
              <w:t>”中1、统一门户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2、矛盾纠纷化解中的（1）登记功能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（2）受理功能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（3）分流转办</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（4）多元化解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（5）评估反馈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（6）跟踪督办</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）通用配置；</w:t>
            </w:r>
            <w:r>
              <w:rPr>
                <w:rFonts w:hint="eastAsia" w:ascii="宋体" w:hAnsi="宋体" w:cs="宋体"/>
                <w:color w:val="auto"/>
                <w:sz w:val="21"/>
                <w:szCs w:val="21"/>
                <w:highlight w:val="none"/>
                <w:lang w:val="en-US" w:eastAsia="zh-CN"/>
              </w:rPr>
              <w:t>4、风险统计分析中（1）统计分析</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5、可视化云图；6、指挥调度中（1）地图展示。</w:t>
            </w:r>
            <w:r>
              <w:rPr>
                <w:rFonts w:hint="eastAsia" w:ascii="宋体" w:hAnsi="宋体" w:cs="宋体"/>
                <w:color w:val="auto"/>
                <w:sz w:val="21"/>
                <w:szCs w:val="21"/>
                <w:highlight w:val="none"/>
              </w:rPr>
              <w:t xml:space="preserve">2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数据中台系统”中</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一、数据中台软件开发”内的（一）政法数据工作台</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（二）政法数据规划</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（三）政法数据采集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（四）政法数据存储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（五）政法数据集成</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（六）政法数据治理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（七）政法数据开发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以及上述功能所需要的智能密码钥匙、</w:t>
            </w:r>
            <w:r>
              <w:rPr>
                <w:rFonts w:hint="default" w:ascii="宋体" w:hAnsi="宋体" w:cs="宋体"/>
                <w:color w:val="auto"/>
                <w:sz w:val="21"/>
                <w:szCs w:val="21"/>
                <w:highlight w:val="none"/>
              </w:rPr>
              <w:t>CA证书</w:t>
            </w:r>
            <w:r>
              <w:rPr>
                <w:rFonts w:hint="eastAsia" w:ascii="宋体" w:hAnsi="宋体" w:cs="宋体"/>
                <w:color w:val="auto"/>
                <w:sz w:val="21"/>
                <w:szCs w:val="21"/>
                <w:highlight w:val="none"/>
              </w:rPr>
              <w:t>、</w:t>
            </w:r>
            <w:r>
              <w:rPr>
                <w:rFonts w:hint="default" w:ascii="宋体" w:hAnsi="宋体" w:cs="宋体"/>
                <w:color w:val="auto"/>
                <w:sz w:val="21"/>
                <w:szCs w:val="21"/>
                <w:highlight w:val="none"/>
              </w:rPr>
              <w:t>SSL站点证书</w:t>
            </w:r>
            <w:r>
              <w:rPr>
                <w:rFonts w:hint="eastAsia" w:ascii="宋体" w:hAnsi="宋体" w:cs="宋体"/>
                <w:color w:val="auto"/>
                <w:sz w:val="21"/>
                <w:szCs w:val="21"/>
                <w:highlight w:val="none"/>
              </w:rPr>
              <w:t>、国密浏览器、国产化数据库、国产化中间件等。</w:t>
            </w:r>
            <w:r>
              <w:rPr>
                <w:rFonts w:hint="eastAsia"/>
                <w:color w:val="auto"/>
                <w:highlight w:val="none"/>
              </w:rPr>
              <w:t>第一阶段建设内容完成标准：服务内容开发完成并上线使用。</w:t>
            </w:r>
          </w:p>
          <w:p w14:paraId="40908BE0">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四、验收标准、规范：</w:t>
            </w:r>
          </w:p>
          <w:p w14:paraId="40438C2C">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cs="宋体"/>
                <w:color w:val="auto"/>
                <w:highlight w:val="none"/>
                <w:lang w:eastAsia="zh-CN"/>
              </w:rPr>
              <w:t>完成项目所含功能点的建设和货物的采购部署并根据《广西政务信息化项目建设管理办法》（桂政办发</w:t>
            </w:r>
            <w:r>
              <w:rPr>
                <w:rFonts w:hint="eastAsia" w:ascii="宋体" w:hAnsi="宋体" w:eastAsia="宋体" w:cs="宋体"/>
                <w:color w:val="auto"/>
                <w:highlight w:val="none"/>
              </w:rPr>
              <w:t>〔2</w:t>
            </w:r>
            <w:r>
              <w:rPr>
                <w:rFonts w:hint="eastAsia" w:ascii="宋体" w:hAnsi="宋体" w:cs="宋体"/>
                <w:color w:val="auto"/>
                <w:highlight w:val="none"/>
                <w:lang w:val="en-US" w:eastAsia="zh-CN"/>
              </w:rPr>
              <w:t>024</w:t>
            </w:r>
            <w:r>
              <w:rPr>
                <w:rFonts w:hint="eastAsia" w:ascii="宋体" w:hAnsi="宋体" w:eastAsia="宋体" w:cs="宋体"/>
                <w:color w:val="auto"/>
                <w:highlight w:val="none"/>
              </w:rPr>
              <w:t>〕</w:t>
            </w:r>
            <w:r>
              <w:rPr>
                <w:rFonts w:hint="eastAsia" w:ascii="宋体" w:hAnsi="宋体" w:cs="宋体"/>
                <w:color w:val="auto"/>
                <w:highlight w:val="none"/>
                <w:lang w:val="en-US" w:eastAsia="zh-CN"/>
              </w:rPr>
              <w:t>59</w:t>
            </w:r>
            <w:r>
              <w:rPr>
                <w:rFonts w:hint="eastAsia" w:ascii="宋体" w:hAnsi="宋体" w:eastAsia="宋体" w:cs="宋体"/>
                <w:color w:val="auto"/>
                <w:highlight w:val="none"/>
              </w:rPr>
              <w:t>号</w:t>
            </w:r>
            <w:r>
              <w:rPr>
                <w:rFonts w:hint="eastAsia" w:ascii="宋体" w:hAnsi="宋体" w:cs="宋体"/>
                <w:color w:val="auto"/>
                <w:highlight w:val="none"/>
                <w:lang w:eastAsia="zh-CN"/>
              </w:rPr>
              <w:t>）、《关于印发</w:t>
            </w:r>
            <w:r>
              <w:rPr>
                <w:rFonts w:hint="eastAsia" w:ascii="宋体" w:hAnsi="宋体" w:cs="宋体"/>
                <w:color w:val="auto"/>
                <w:highlight w:val="none"/>
                <w:lang w:val="en-US" w:eastAsia="zh-CN"/>
              </w:rPr>
              <w:t>&lt;</w:t>
            </w:r>
            <w:r>
              <w:rPr>
                <w:rFonts w:hint="eastAsia" w:ascii="宋体" w:hAnsi="宋体" w:cs="宋体"/>
                <w:color w:val="auto"/>
                <w:highlight w:val="none"/>
                <w:lang w:eastAsia="zh-CN"/>
              </w:rPr>
              <w:t>广西政务信息化项目建设管理办法</w:t>
            </w:r>
            <w:r>
              <w:rPr>
                <w:rFonts w:hint="eastAsia" w:ascii="宋体" w:hAnsi="宋体" w:cs="宋体"/>
                <w:color w:val="auto"/>
                <w:highlight w:val="none"/>
                <w:lang w:val="en-US" w:eastAsia="zh-CN"/>
              </w:rPr>
              <w:t>&gt;配套文件的函</w:t>
            </w:r>
            <w:r>
              <w:rPr>
                <w:rFonts w:hint="eastAsia" w:ascii="宋体" w:hAnsi="宋体" w:cs="宋体"/>
                <w:color w:val="auto"/>
                <w:highlight w:val="none"/>
                <w:lang w:eastAsia="zh-CN"/>
              </w:rPr>
              <w:t>》（桂数发</w:t>
            </w:r>
            <w:r>
              <w:rPr>
                <w:rFonts w:hint="eastAsia" w:ascii="宋体" w:hAnsi="宋体" w:eastAsia="宋体" w:cs="宋体"/>
                <w:color w:val="auto"/>
                <w:highlight w:val="none"/>
              </w:rPr>
              <w:t>〔2</w:t>
            </w:r>
            <w:r>
              <w:rPr>
                <w:rFonts w:hint="eastAsia" w:ascii="宋体" w:hAnsi="宋体" w:cs="宋体"/>
                <w:color w:val="auto"/>
                <w:highlight w:val="none"/>
                <w:lang w:val="en-US" w:eastAsia="zh-CN"/>
              </w:rPr>
              <w:t>024</w:t>
            </w:r>
            <w:r>
              <w:rPr>
                <w:rFonts w:hint="eastAsia" w:ascii="宋体" w:hAnsi="宋体" w:eastAsia="宋体" w:cs="宋体"/>
                <w:color w:val="auto"/>
                <w:highlight w:val="none"/>
              </w:rPr>
              <w:t>〕</w:t>
            </w:r>
            <w:r>
              <w:rPr>
                <w:rFonts w:hint="eastAsia" w:ascii="宋体" w:hAnsi="宋体" w:cs="宋体"/>
                <w:color w:val="auto"/>
                <w:highlight w:val="none"/>
                <w:lang w:val="en-US" w:eastAsia="zh-CN"/>
              </w:rPr>
              <w:t>34</w:t>
            </w:r>
            <w:r>
              <w:rPr>
                <w:rFonts w:hint="eastAsia" w:ascii="宋体" w:hAnsi="宋体" w:eastAsia="宋体" w:cs="宋体"/>
                <w:color w:val="auto"/>
                <w:highlight w:val="none"/>
              </w:rPr>
              <w:t>号</w:t>
            </w:r>
            <w:r>
              <w:rPr>
                <w:rFonts w:hint="eastAsia" w:ascii="宋体" w:hAnsi="宋体" w:cs="宋体"/>
                <w:color w:val="auto"/>
                <w:highlight w:val="none"/>
                <w:lang w:eastAsia="zh-CN"/>
              </w:rPr>
              <w:t>）、</w:t>
            </w:r>
            <w:r>
              <w:rPr>
                <w:rFonts w:hint="eastAsia" w:ascii="宋体" w:hAnsi="宋体" w:eastAsia="宋体" w:cs="宋体"/>
                <w:color w:val="auto"/>
                <w:highlight w:val="none"/>
              </w:rPr>
              <w:t>《关于印发广西壮族自治区政府采购项目履约验收管理办法的通知》</w:t>
            </w:r>
            <w:r>
              <w:rPr>
                <w:rFonts w:hint="eastAsia" w:ascii="宋体" w:hAnsi="宋体" w:cs="宋体"/>
                <w:color w:val="auto"/>
                <w:highlight w:val="none"/>
                <w:lang w:eastAsia="zh-CN"/>
              </w:rPr>
              <w:t>（</w:t>
            </w:r>
            <w:r>
              <w:rPr>
                <w:rFonts w:hint="eastAsia" w:ascii="宋体" w:hAnsi="宋体" w:eastAsia="宋体" w:cs="宋体"/>
                <w:color w:val="auto"/>
                <w:highlight w:val="none"/>
              </w:rPr>
              <w:t>桂财采〔2015〕22号</w:t>
            </w:r>
            <w:r>
              <w:rPr>
                <w:rFonts w:hint="eastAsia" w:ascii="宋体" w:hAnsi="宋体" w:cs="宋体"/>
                <w:color w:val="auto"/>
                <w:highlight w:val="none"/>
                <w:lang w:eastAsia="zh-CN"/>
              </w:rPr>
              <w:t>）</w:t>
            </w:r>
            <w:r>
              <w:rPr>
                <w:rFonts w:hint="eastAsia" w:ascii="宋体" w:hAnsi="宋体" w:eastAsia="宋体" w:cs="宋体"/>
                <w:color w:val="auto"/>
                <w:highlight w:val="none"/>
              </w:rPr>
              <w:t>及《财政部关于进一步加强政府采购需求和履约验收管理的指导意见》</w:t>
            </w:r>
            <w:r>
              <w:rPr>
                <w:rFonts w:hint="eastAsia" w:ascii="宋体" w:hAnsi="宋体" w:cs="宋体"/>
                <w:color w:val="auto"/>
                <w:highlight w:val="none"/>
                <w:lang w:eastAsia="zh-CN"/>
              </w:rPr>
              <w:t>（</w:t>
            </w:r>
            <w:r>
              <w:rPr>
                <w:rFonts w:hint="eastAsia" w:ascii="宋体" w:hAnsi="宋体" w:eastAsia="宋体" w:cs="宋体"/>
                <w:color w:val="auto"/>
                <w:highlight w:val="none"/>
              </w:rPr>
              <w:t>财库〔2016〕205号</w:t>
            </w:r>
            <w:r>
              <w:rPr>
                <w:rFonts w:hint="eastAsia" w:ascii="宋体" w:hAnsi="宋体" w:cs="宋体"/>
                <w:color w:val="auto"/>
                <w:highlight w:val="none"/>
                <w:lang w:eastAsia="zh-CN"/>
              </w:rPr>
              <w:t>）</w:t>
            </w:r>
            <w:r>
              <w:rPr>
                <w:rFonts w:hint="eastAsia" w:ascii="宋体" w:hAnsi="宋体" w:eastAsia="宋体" w:cs="宋体"/>
                <w:color w:val="auto"/>
                <w:highlight w:val="none"/>
              </w:rPr>
              <w:t>规定</w:t>
            </w:r>
            <w:r>
              <w:rPr>
                <w:rFonts w:hint="eastAsia" w:ascii="宋体" w:hAnsi="宋体" w:cs="宋体"/>
                <w:color w:val="auto"/>
                <w:highlight w:val="none"/>
                <w:lang w:eastAsia="zh-CN"/>
              </w:rPr>
              <w:t>通过各阶段验收。</w:t>
            </w:r>
          </w:p>
          <w:p w14:paraId="36FEF77A">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 五、售后服务要求：</w:t>
            </w:r>
          </w:p>
          <w:p w14:paraId="39B861F4">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1、响应时间：接到采购人处理问题通知后1小时响应，通过远程协助或现场勘查初步诊断故障原因，并制定解决方案；当发生紧急故障且远程无法解决时，2小时内到达采购人指定现场，优先恢复核心业务功能。</w:t>
            </w:r>
          </w:p>
          <w:p w14:paraId="2DDC80BC">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2、售后运维人员要求：</w:t>
            </w:r>
            <w:r>
              <w:rPr>
                <w:rFonts w:hint="eastAsia" w:ascii="宋体" w:hAnsi="宋体" w:cs="宋体"/>
                <w:color w:val="auto"/>
                <w:highlight w:val="none"/>
              </w:rPr>
              <w:t>成交供应商应为本项目配备售后服务团队，至少包含</w:t>
            </w:r>
            <w:r>
              <w:rPr>
                <w:rFonts w:hint="default" w:ascii="宋体" w:hAnsi="宋体" w:cs="宋体"/>
                <w:color w:val="auto"/>
                <w:highlight w:val="none"/>
              </w:rPr>
              <w:t>3名</w:t>
            </w:r>
            <w:r>
              <w:rPr>
                <w:rFonts w:hint="eastAsia" w:ascii="宋体" w:hAnsi="宋体" w:cs="宋体"/>
                <w:color w:val="auto"/>
                <w:highlight w:val="none"/>
              </w:rPr>
              <w:t>驻场运维人员</w:t>
            </w:r>
            <w:r>
              <w:rPr>
                <w:rFonts w:hint="eastAsia" w:ascii="宋体" w:hAnsi="宋体" w:cs="宋体"/>
                <w:color w:val="auto"/>
                <w:highlight w:val="none"/>
                <w:lang w:eastAsia="zh-CN"/>
              </w:rPr>
              <w:t>、</w:t>
            </w:r>
            <w:r>
              <w:rPr>
                <w:rFonts w:hint="eastAsia" w:ascii="宋体" w:hAnsi="宋体" w:cs="宋体"/>
                <w:color w:val="auto"/>
                <w:highlight w:val="none"/>
              </w:rPr>
              <w:t>1名数据治理人员、1名智能应用调优人员、1名平台维护人员</w:t>
            </w:r>
            <w:r>
              <w:rPr>
                <w:rFonts w:hint="eastAsia" w:ascii="宋体" w:hAnsi="宋体" w:eastAsia="宋体" w:cs="宋体"/>
                <w:color w:val="auto"/>
                <w:highlight w:val="none"/>
              </w:rPr>
              <w:t xml:space="preserve">。 </w:t>
            </w:r>
          </w:p>
          <w:p w14:paraId="7433808C">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3、备品备件要求：无。 </w:t>
            </w:r>
          </w:p>
          <w:p w14:paraId="6C0BC987">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cs="宋体"/>
                <w:color w:val="auto"/>
                <w:highlight w:val="none"/>
              </w:rPr>
              <w:t>4、培训要求：成交供应商应为本项目提供培训服务，培训范围覆盖全部使用人员，培训场次、培训形式、培训内容等</w:t>
            </w:r>
            <w:r>
              <w:rPr>
                <w:rFonts w:hint="eastAsia" w:ascii="宋体" w:hAnsi="宋体" w:cs="宋体"/>
                <w:color w:val="auto"/>
                <w:highlight w:val="none"/>
                <w:lang w:eastAsia="zh-CN"/>
              </w:rPr>
              <w:t>由成交供应商与采购人协商确定</w:t>
            </w:r>
            <w:r>
              <w:rPr>
                <w:rFonts w:hint="eastAsia" w:ascii="宋体" w:hAnsi="宋体" w:cs="宋体"/>
                <w:color w:val="auto"/>
                <w:highlight w:val="none"/>
              </w:rPr>
              <w:t>。</w:t>
            </w:r>
          </w:p>
          <w:p w14:paraId="7AEF940D">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 xml:space="preserve">、其他：供应商除了响应相关服务要求外，可根据自身能力在响应文件中提供更优质、更合理的售后服务承诺。 </w:t>
            </w:r>
          </w:p>
          <w:p w14:paraId="5DEF432F">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六、其他要求：</w:t>
            </w:r>
          </w:p>
          <w:p w14:paraId="70537647">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1、报价必须含以下部分，包括：</w:t>
            </w:r>
          </w:p>
          <w:p w14:paraId="4670701A">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（1）服务的价格；</w:t>
            </w:r>
          </w:p>
          <w:p w14:paraId="52478045">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（2）必要的保险费用和各项税金；</w:t>
            </w:r>
          </w:p>
          <w:p w14:paraId="59CC5463">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（3）其他：安装、调试、培训、技术支持等费用。 </w:t>
            </w:r>
          </w:p>
          <w:p w14:paraId="2C0009E8">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▲2、付款方式：</w:t>
            </w:r>
          </w:p>
          <w:p w14:paraId="33626320">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bookmarkStart w:id="58" w:name="OLE_LINK1"/>
            <w:r>
              <w:rPr>
                <w:rFonts w:hint="eastAsia" w:ascii="宋体" w:hAnsi="宋体" w:eastAsia="宋体" w:cs="宋体"/>
                <w:color w:val="auto"/>
                <w:highlight w:val="none"/>
              </w:rPr>
              <w:t>合同签订后，待款项到位后15个工作日内，支付合同金额的30%的预付款；</w:t>
            </w:r>
            <w:r>
              <w:rPr>
                <w:rFonts w:hint="eastAsia" w:ascii="宋体" w:hAnsi="宋体" w:cs="宋体"/>
                <w:color w:val="auto"/>
                <w:highlight w:val="none"/>
              </w:rPr>
              <w:t>待项目开发进度完成50%（以</w:t>
            </w:r>
            <w:r>
              <w:rPr>
                <w:rFonts w:hint="eastAsia" w:ascii="宋体" w:hAnsi="宋体" w:cs="宋体"/>
                <w:color w:val="auto"/>
                <w:highlight w:val="none"/>
                <w:lang w:eastAsia="zh-CN"/>
              </w:rPr>
              <w:t>成交供应商在中标后为本项目提交的深化设计方案中开发内容与开发进度为准</w:t>
            </w:r>
            <w:r>
              <w:rPr>
                <w:rFonts w:hint="eastAsia" w:ascii="宋体" w:hAnsi="宋体" w:cs="宋体"/>
                <w:color w:val="auto"/>
                <w:highlight w:val="none"/>
              </w:rPr>
              <w:t>），成交供应商向采购人提出书面申请，经采购人审核通过后15个工作日内支付合同总额的30%</w:t>
            </w:r>
            <w:r>
              <w:rPr>
                <w:rFonts w:hint="eastAsia" w:ascii="宋体" w:hAnsi="宋体" w:cs="宋体"/>
                <w:color w:val="auto"/>
                <w:highlight w:val="none"/>
                <w:lang w:val="en-US" w:eastAsia="zh-CN"/>
              </w:rPr>
              <w:t>;</w:t>
            </w:r>
            <w:r>
              <w:rPr>
                <w:rFonts w:hint="eastAsia" w:ascii="宋体" w:hAnsi="宋体" w:eastAsia="宋体" w:cs="宋体"/>
                <w:color w:val="auto"/>
                <w:highlight w:val="none"/>
              </w:rPr>
              <w:t>系统平台通过信息系统等级保护测评、密码测评后，成交供应商向采购人提出书面申请，经采购人审核通过后15个工作日内支付合同总额</w:t>
            </w:r>
            <w:r>
              <w:rPr>
                <w:rFonts w:hint="eastAsia" w:ascii="宋体" w:hAnsi="宋体" w:cs="宋体"/>
                <w:color w:val="auto"/>
                <w:highlight w:val="none"/>
                <w:lang w:val="en-US" w:eastAsia="zh-CN"/>
              </w:rPr>
              <w:t>3</w:t>
            </w:r>
            <w:r>
              <w:rPr>
                <w:rFonts w:hint="eastAsia" w:ascii="宋体" w:hAnsi="宋体" w:eastAsia="宋体" w:cs="宋体"/>
                <w:color w:val="auto"/>
                <w:highlight w:val="none"/>
              </w:rPr>
              <w:t>0%；项目通过竣工验收后，成交供应商向采购人提出书面申请，经采购人审核通过后15个工作日内支付合同总额</w:t>
            </w:r>
            <w:r>
              <w:rPr>
                <w:rFonts w:hint="eastAsia" w:ascii="宋体" w:hAnsi="宋体" w:cs="宋体"/>
                <w:color w:val="auto"/>
                <w:highlight w:val="none"/>
                <w:lang w:val="en-US" w:eastAsia="zh-CN"/>
              </w:rPr>
              <w:t>10</w:t>
            </w:r>
            <w:r>
              <w:rPr>
                <w:rFonts w:hint="eastAsia" w:ascii="宋体" w:hAnsi="宋体" w:eastAsia="宋体" w:cs="宋体"/>
                <w:color w:val="auto"/>
                <w:highlight w:val="none"/>
              </w:rPr>
              <w:t>%。</w:t>
            </w:r>
          </w:p>
          <w:bookmarkEnd w:id="58"/>
          <w:p w14:paraId="13DCCE1F">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3、服务期间应当严格执行保密制度和廉政工作纪律，对在项目服务中获得的资料和信息要严格保密，不能对外泄露。</w:t>
            </w:r>
          </w:p>
          <w:p w14:paraId="0A178453">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w:t>
            </w:r>
            <w:r>
              <w:rPr>
                <w:rFonts w:hint="eastAsia" w:ascii="宋体" w:hAnsi="宋体" w:cs="宋体"/>
                <w:color w:val="auto"/>
                <w:highlight w:val="none"/>
                <w:lang w:val="en-US" w:eastAsia="zh-CN"/>
              </w:rPr>
              <w:t>按照《广西壮族自治区大数据发展局关于印发&lt;广西政务信息化项目建设管理办法&gt;配套文件的函》（桂数发</w:t>
            </w:r>
            <w:r>
              <w:rPr>
                <w:rFonts w:hint="eastAsia" w:ascii="仿宋_GB2312" w:hAnsi="仿宋_GB2312" w:eastAsia="仿宋_GB2312" w:cs="仿宋_GB2312"/>
                <w:color w:val="auto"/>
                <w:highlight w:val="none"/>
                <w:lang w:val="en-US" w:eastAsia="zh-CN"/>
              </w:rPr>
              <w:t>〔2024〕34号</w:t>
            </w:r>
            <w:r>
              <w:rPr>
                <w:rFonts w:hint="eastAsia" w:ascii="宋体" w:hAnsi="宋体" w:cs="宋体"/>
                <w:color w:val="auto"/>
                <w:highlight w:val="none"/>
                <w:lang w:val="en-US" w:eastAsia="zh-CN"/>
              </w:rPr>
              <w:t>）要求，做好项目系统管理权限、源代码提供或知识产权移交工作</w:t>
            </w:r>
            <w:r>
              <w:rPr>
                <w:rFonts w:hint="eastAsia" w:ascii="宋体" w:hAnsi="宋体" w:eastAsia="宋体" w:cs="宋体"/>
                <w:color w:val="auto"/>
                <w:highlight w:val="none"/>
                <w:lang w:val="en-US" w:eastAsia="zh-CN"/>
              </w:rPr>
              <w:t>。</w:t>
            </w:r>
          </w:p>
          <w:p w14:paraId="442D677C">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5</w:t>
            </w:r>
            <w:r>
              <w:rPr>
                <w:rFonts w:hint="eastAsia" w:ascii="宋体" w:hAnsi="宋体" w:eastAsia="宋体" w:cs="宋体"/>
                <w:color w:val="auto"/>
                <w:highlight w:val="none"/>
                <w:lang w:val="en-US" w:eastAsia="zh-CN"/>
              </w:rPr>
              <w:t>、</w:t>
            </w:r>
            <w:r>
              <w:rPr>
                <w:rFonts w:hint="eastAsia"/>
                <w:color w:val="auto"/>
                <w:highlight w:val="none"/>
              </w:rPr>
              <w:t>系统应兼容主流信创终端（含飞腾、鲲鹏、龙芯等国产</w:t>
            </w:r>
            <w:r>
              <w:rPr>
                <w:rFonts w:hint="default"/>
                <w:color w:val="auto"/>
                <w:highlight w:val="none"/>
              </w:rPr>
              <w:t xml:space="preserve"> CPU 架构，麒麟操作系统、统信 UOS 等国产操作系统）及非信创终端（x86 架构、Windows 等主流操作系统），实现两类终端环境下的功能一致性、操作连贯性与性能稳定性；需适配信创与非信创环境下的常用政务外设（打印机、扫描仪、高拍仪等）、办公软件（WPS、Office 等）及浏览器（国产浏览器、Chrome 等），保障数据交互、文件读写、外设调用无异常；核心业务功能（如数据查询、业务审批、报表生成等）在两类终端上的操作逻辑、响应效率需保持一致，无功能缺</w:t>
            </w:r>
            <w:r>
              <w:rPr>
                <w:rFonts w:hint="eastAsia"/>
                <w:color w:val="auto"/>
                <w:highlight w:val="none"/>
              </w:rPr>
              <w:t>失或体验降级。</w:t>
            </w:r>
          </w:p>
        </w:tc>
      </w:tr>
      <w:tr w14:paraId="3EC332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5" w:type="dxa"/>
            <w:tcBorders>
              <w:top w:val="single" w:color="auto" w:sz="4" w:space="0"/>
              <w:left w:val="single" w:color="auto" w:sz="4" w:space="0"/>
              <w:bottom w:val="single" w:color="auto" w:sz="4" w:space="0"/>
              <w:right w:val="single" w:color="auto" w:sz="4" w:space="0"/>
            </w:tcBorders>
            <w:noWrap w:val="0"/>
            <w:vAlign w:val="center"/>
          </w:tcPr>
          <w:p w14:paraId="2CCF5A51">
            <w:pPr>
              <w:keepNext w:val="0"/>
              <w:keepLines w:val="0"/>
              <w:suppressLineNumbers w:val="0"/>
              <w:spacing w:before="0" w:beforeAutospacing="0" w:after="0" w:afterAutospacing="0"/>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演示要求</w:t>
            </w:r>
          </w:p>
        </w:tc>
        <w:tc>
          <w:tcPr>
            <w:tcW w:w="9213" w:type="dxa"/>
            <w:gridSpan w:val="5"/>
            <w:tcBorders>
              <w:top w:val="single" w:color="auto" w:sz="4" w:space="0"/>
              <w:left w:val="single" w:color="auto" w:sz="4" w:space="0"/>
              <w:bottom w:val="single" w:color="auto" w:sz="4" w:space="0"/>
              <w:right w:val="single" w:color="auto" w:sz="4" w:space="0"/>
            </w:tcBorders>
            <w:noWrap w:val="0"/>
            <w:vAlign w:val="center"/>
          </w:tcPr>
          <w:p w14:paraId="6FE717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供应商可根据评分内容提供现场演示，</w:t>
            </w:r>
            <w:r>
              <w:rPr>
                <w:rFonts w:hint="eastAsia" w:ascii="宋体" w:hAnsi="宋体" w:eastAsia="宋体" w:cs="宋体"/>
                <w:color w:val="auto"/>
                <w:highlight w:val="none"/>
                <w:lang w:val="en-US" w:eastAsia="zh-CN"/>
              </w:rPr>
              <w:t>演示要求：</w:t>
            </w:r>
          </w:p>
          <w:p w14:paraId="1BA049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1、演示时长≤40分钟。</w:t>
            </w:r>
          </w:p>
          <w:p w14:paraId="24643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2、各供应商应按</w:t>
            </w:r>
            <w:r>
              <w:rPr>
                <w:rFonts w:hint="eastAsia" w:ascii="宋体" w:hAnsi="宋体" w:cs="宋体"/>
                <w:color w:val="auto"/>
                <w:highlight w:val="none"/>
                <w:lang w:val="en-US" w:eastAsia="zh-CN"/>
              </w:rPr>
              <w:t>竞争性磋商文件</w:t>
            </w:r>
            <w:r>
              <w:rPr>
                <w:rFonts w:hint="eastAsia" w:ascii="宋体" w:hAnsi="宋体" w:eastAsia="宋体" w:cs="宋体"/>
                <w:color w:val="auto"/>
                <w:highlight w:val="none"/>
                <w:lang w:val="en-US" w:eastAsia="zh-CN"/>
              </w:rPr>
              <w:t>规定的时间和地点参加现场演示，不参与演示的供应商须在接到</w:t>
            </w:r>
            <w:r>
              <w:rPr>
                <w:rFonts w:hint="eastAsia" w:ascii="宋体" w:hAnsi="宋体" w:cs="宋体"/>
                <w:color w:val="auto"/>
                <w:highlight w:val="none"/>
                <w:lang w:val="en-US" w:eastAsia="zh-CN"/>
              </w:rPr>
              <w:t>采购代理机构</w:t>
            </w:r>
            <w:r>
              <w:rPr>
                <w:rFonts w:hint="eastAsia" w:ascii="宋体" w:hAnsi="宋体" w:eastAsia="宋体" w:cs="宋体"/>
                <w:color w:val="auto"/>
                <w:highlight w:val="none"/>
                <w:lang w:val="en-US" w:eastAsia="zh-CN"/>
              </w:rPr>
              <w:t>通过广西政府采购云平台发送的演示通知后，书面回复不参与演示，否则视为演示不通过不得分。</w:t>
            </w:r>
          </w:p>
          <w:p w14:paraId="602C2C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演示时间：首次响应文件开启时间后。具体时间由</w:t>
            </w:r>
            <w:r>
              <w:rPr>
                <w:rFonts w:hint="eastAsia" w:ascii="宋体" w:hAnsi="宋体" w:cs="宋体"/>
                <w:color w:val="auto"/>
                <w:highlight w:val="none"/>
                <w:lang w:val="en-US" w:eastAsia="zh-CN"/>
              </w:rPr>
              <w:t>采购代理机构</w:t>
            </w:r>
            <w:r>
              <w:rPr>
                <w:rFonts w:hint="eastAsia" w:ascii="宋体" w:hAnsi="宋体" w:eastAsia="宋体" w:cs="宋体"/>
                <w:color w:val="auto"/>
                <w:highlight w:val="none"/>
                <w:lang w:val="en-US" w:eastAsia="zh-CN"/>
              </w:rPr>
              <w:t>至少提前10分钟通知各供应商，参与演示的供应商应按时到达演示地点等候演示，否则可视为演示不通过不得分。</w:t>
            </w:r>
          </w:p>
          <w:p w14:paraId="4109D9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演示地点：广西南宁市大学东路170号广西科联招标中心有限公司二楼会议室。</w:t>
            </w:r>
          </w:p>
          <w:p w14:paraId="378E7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3、为了更直观地体验系统的效果和真实性，供应商需模拟采购人的业务场景进行真实系统演示（要求真实系统演示，PPT、视频、DEMO等其他方式演示不得分）。</w:t>
            </w:r>
          </w:p>
          <w:p w14:paraId="75217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演示环境搭建：由供应商自备服务器等相关演示设备，由采购代理机构提供演示电脑，演示环境为局域网环境，不允许连接互联网进行远程演示。</w:t>
            </w:r>
          </w:p>
          <w:p w14:paraId="44CB6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现场演示根据评审情况进行。演示顺序由磋商小组确定。一个供应商一次性逐项将所有内容现场演示完毕。一个供应商在进行现场演示时,其他供应商不得进入演示现场。演示结束后，评委可视情况对演示人员进行提问。</w:t>
            </w:r>
          </w:p>
        </w:tc>
      </w:tr>
    </w:tbl>
    <w:p w14:paraId="7ACDB307">
      <w:pPr>
        <w:shd w:val="clear" w:color="auto" w:fill="auto"/>
        <w:adjustRightInd/>
        <w:spacing w:line="240" w:lineRule="auto"/>
        <w:ind w:left="119"/>
        <w:textAlignment w:val="auto"/>
        <w:rPr>
          <w:rFonts w:hint="eastAsia" w:ascii="宋体" w:hAnsi="宋体" w:eastAsia="宋体" w:cs="宋体"/>
          <w:color w:val="auto"/>
          <w:sz w:val="32"/>
          <w:szCs w:val="32"/>
          <w:highlight w:val="none"/>
        </w:rPr>
      </w:pPr>
    </w:p>
    <w:p w14:paraId="1C618E0F">
      <w:pPr>
        <w:rPr>
          <w:rFonts w:hint="eastAsia" w:ascii="宋体" w:hAnsi="宋体" w:cs="宋体"/>
          <w:color w:val="auto"/>
          <w:sz w:val="32"/>
          <w:szCs w:val="32"/>
          <w:highlight w:val="none"/>
        </w:rPr>
      </w:pPr>
      <w:r>
        <w:rPr>
          <w:rFonts w:hint="eastAsia" w:ascii="宋体" w:hAnsi="宋体" w:eastAsia="宋体" w:cs="宋体"/>
          <w:color w:val="auto"/>
          <w:sz w:val="32"/>
          <w:szCs w:val="32"/>
          <w:highlight w:val="none"/>
          <w:lang w:val="en-US" w:eastAsia="zh-CN"/>
        </w:rPr>
        <w:t xml:space="preserve"> </w:t>
      </w:r>
      <w:bookmarkStart w:id="59" w:name="_Toc3319"/>
      <w:bookmarkStart w:id="60" w:name="_Toc80886927"/>
      <w:r>
        <w:rPr>
          <w:rFonts w:hint="eastAsia" w:ascii="宋体" w:hAnsi="宋体" w:cs="宋体"/>
          <w:color w:val="auto"/>
          <w:sz w:val="32"/>
          <w:szCs w:val="32"/>
          <w:highlight w:val="none"/>
        </w:rPr>
        <w:br w:type="page"/>
      </w:r>
    </w:p>
    <w:p w14:paraId="5CAB4CC4">
      <w:pPr>
        <w:ind w:left="119"/>
        <w:rPr>
          <w:rFonts w:hint="eastAsia" w:ascii="宋体" w:hAnsi="宋体" w:cs="宋体"/>
          <w:color w:val="auto"/>
          <w:sz w:val="32"/>
          <w:szCs w:val="32"/>
          <w:highlight w:val="none"/>
        </w:rPr>
      </w:pPr>
      <w:r>
        <w:rPr>
          <w:rFonts w:hint="eastAsia" w:ascii="宋体" w:hAnsi="宋体" w:cs="宋体"/>
          <w:color w:val="auto"/>
          <w:sz w:val="32"/>
          <w:szCs w:val="32"/>
          <w:highlight w:val="none"/>
        </w:rPr>
        <w:t>附件1：</w:t>
      </w:r>
    </w:p>
    <w:p w14:paraId="4507BC9E">
      <w:pPr>
        <w:widowControl/>
        <w:jc w:val="center"/>
        <w:rPr>
          <w:rFonts w:hint="eastAsia" w:ascii="宋体" w:hAnsi="宋体" w:cs="宋体"/>
          <w:b/>
          <w:bCs/>
          <w:color w:val="auto"/>
          <w:kern w:val="0"/>
          <w:sz w:val="30"/>
          <w:szCs w:val="30"/>
          <w:highlight w:val="none"/>
        </w:rPr>
      </w:pPr>
      <w:bookmarkStart w:id="61" w:name="_Toc28361_WPSOffice_Level2"/>
      <w:r>
        <w:rPr>
          <w:rFonts w:hint="eastAsia" w:ascii="宋体" w:hAnsi="宋体" w:cs="宋体"/>
          <w:b/>
          <w:bCs/>
          <w:color w:val="auto"/>
          <w:kern w:val="0"/>
          <w:sz w:val="30"/>
          <w:szCs w:val="30"/>
          <w:highlight w:val="none"/>
        </w:rPr>
        <w:t>统计上大中小微型企业划分标准</w:t>
      </w:r>
      <w:bookmarkEnd w:id="61"/>
    </w:p>
    <w:tbl>
      <w:tblPr>
        <w:tblStyle w:val="31"/>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13E5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13" w:type="dxa"/>
            <w:noWrap/>
            <w:vAlign w:val="center"/>
          </w:tcPr>
          <w:p w14:paraId="280C06A8">
            <w:pPr>
              <w:keepNext w:val="0"/>
              <w:keepLines w:val="0"/>
              <w:widowControl/>
              <w:suppressLineNumbers w:val="0"/>
              <w:spacing w:before="0" w:beforeAutospacing="0" w:after="0" w:afterAutospacing="0" w:line="280" w:lineRule="exact"/>
              <w:ind w:left="0" w:right="0"/>
              <w:jc w:val="center"/>
              <w:rPr>
                <w:rFonts w:hint="eastAsia"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noWrap/>
            <w:vAlign w:val="center"/>
          </w:tcPr>
          <w:p w14:paraId="6ADA4551">
            <w:pPr>
              <w:keepNext w:val="0"/>
              <w:keepLines w:val="0"/>
              <w:widowControl/>
              <w:suppressLineNumbers w:val="0"/>
              <w:spacing w:before="0" w:beforeAutospacing="0" w:after="0" w:afterAutospacing="0" w:line="280" w:lineRule="exact"/>
              <w:ind w:left="0" w:right="0"/>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noWrap/>
            <w:vAlign w:val="center"/>
          </w:tcPr>
          <w:p w14:paraId="59F35367">
            <w:pPr>
              <w:keepNext w:val="0"/>
              <w:keepLines w:val="0"/>
              <w:widowControl/>
              <w:suppressLineNumbers w:val="0"/>
              <w:spacing w:before="0" w:beforeAutospacing="0" w:after="0" w:afterAutospacing="0" w:line="280" w:lineRule="exact"/>
              <w:ind w:left="0" w:right="0"/>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计量单位</w:t>
            </w:r>
          </w:p>
        </w:tc>
        <w:tc>
          <w:tcPr>
            <w:tcW w:w="1125" w:type="dxa"/>
            <w:noWrap/>
            <w:vAlign w:val="center"/>
          </w:tcPr>
          <w:p w14:paraId="59164270">
            <w:pPr>
              <w:keepNext w:val="0"/>
              <w:keepLines w:val="0"/>
              <w:widowControl/>
              <w:suppressLineNumbers w:val="0"/>
              <w:spacing w:before="0" w:beforeAutospacing="0" w:after="0" w:afterAutospacing="0" w:line="280" w:lineRule="exact"/>
              <w:ind w:left="0" w:right="0"/>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noWrap/>
            <w:vAlign w:val="center"/>
          </w:tcPr>
          <w:p w14:paraId="08E388F4">
            <w:pPr>
              <w:keepNext w:val="0"/>
              <w:keepLines w:val="0"/>
              <w:widowControl/>
              <w:suppressLineNumbers w:val="0"/>
              <w:spacing w:before="0" w:beforeAutospacing="0" w:after="0" w:afterAutospacing="0" w:line="280" w:lineRule="exact"/>
              <w:ind w:left="0" w:right="0"/>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noWrap/>
            <w:vAlign w:val="center"/>
          </w:tcPr>
          <w:p w14:paraId="55D8F2B9">
            <w:pPr>
              <w:keepNext w:val="0"/>
              <w:keepLines w:val="0"/>
              <w:widowControl/>
              <w:suppressLineNumbers w:val="0"/>
              <w:spacing w:before="0" w:beforeAutospacing="0" w:after="0" w:afterAutospacing="0" w:line="280" w:lineRule="exact"/>
              <w:ind w:left="0" w:right="0"/>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noWrap/>
            <w:vAlign w:val="center"/>
          </w:tcPr>
          <w:p w14:paraId="391A951C">
            <w:pPr>
              <w:keepNext w:val="0"/>
              <w:keepLines w:val="0"/>
              <w:widowControl/>
              <w:suppressLineNumbers w:val="0"/>
              <w:spacing w:before="0" w:beforeAutospacing="0" w:after="0" w:afterAutospacing="0" w:line="280" w:lineRule="exact"/>
              <w:ind w:left="0" w:right="0"/>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4004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noWrap/>
            <w:vAlign w:val="center"/>
          </w:tcPr>
          <w:p w14:paraId="760A916D">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农、林、牧、渔业</w:t>
            </w:r>
          </w:p>
        </w:tc>
        <w:tc>
          <w:tcPr>
            <w:tcW w:w="1369" w:type="dxa"/>
            <w:noWrap/>
            <w:vAlign w:val="center"/>
          </w:tcPr>
          <w:p w14:paraId="4413D6BD">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10B15FB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07C5284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noWrap/>
            <w:vAlign w:val="center"/>
          </w:tcPr>
          <w:p w14:paraId="07F6328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noWrap/>
            <w:vAlign w:val="center"/>
          </w:tcPr>
          <w:p w14:paraId="29B155A2">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noWrap/>
            <w:vAlign w:val="center"/>
          </w:tcPr>
          <w:p w14:paraId="06E04E9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3D7F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14449E6F">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工业 *</w:t>
            </w:r>
          </w:p>
        </w:tc>
        <w:tc>
          <w:tcPr>
            <w:tcW w:w="1369" w:type="dxa"/>
            <w:noWrap/>
            <w:vAlign w:val="center"/>
          </w:tcPr>
          <w:p w14:paraId="4DCE103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6690720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534052CA">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ign w:val="center"/>
          </w:tcPr>
          <w:p w14:paraId="77DBBB7A">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ign w:val="center"/>
          </w:tcPr>
          <w:p w14:paraId="451A3F7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noWrap/>
            <w:vAlign w:val="center"/>
          </w:tcPr>
          <w:p w14:paraId="393C528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587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4FBBBA8B">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48CAAF72">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37F7C32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7E762A6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noWrap/>
            <w:vAlign w:val="center"/>
          </w:tcPr>
          <w:p w14:paraId="068C66D8">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noWrap/>
            <w:vAlign w:val="center"/>
          </w:tcPr>
          <w:p w14:paraId="300A0E7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noWrap/>
            <w:vAlign w:val="center"/>
          </w:tcPr>
          <w:p w14:paraId="549B5E7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3958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4DF6B17C">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建筑业</w:t>
            </w:r>
          </w:p>
        </w:tc>
        <w:tc>
          <w:tcPr>
            <w:tcW w:w="1369" w:type="dxa"/>
            <w:noWrap/>
            <w:vAlign w:val="center"/>
          </w:tcPr>
          <w:p w14:paraId="64A0675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2FFC6632">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039C1AAB">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noWrap/>
            <w:vAlign w:val="center"/>
          </w:tcPr>
          <w:p w14:paraId="44471A47">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noWrap/>
            <w:vAlign w:val="center"/>
          </w:tcPr>
          <w:p w14:paraId="6308D987">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noWrap/>
            <w:vAlign w:val="center"/>
          </w:tcPr>
          <w:p w14:paraId="6E0ADD5A">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E29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6BD984BE">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64D3C1B0">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ign w:val="center"/>
          </w:tcPr>
          <w:p w14:paraId="24FBBDD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436D765B">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noWrap/>
            <w:vAlign w:val="center"/>
          </w:tcPr>
          <w:p w14:paraId="7109CF01">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noWrap/>
            <w:vAlign w:val="center"/>
          </w:tcPr>
          <w:p w14:paraId="453B66D7">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noWrap/>
            <w:vAlign w:val="center"/>
          </w:tcPr>
          <w:p w14:paraId="15FE7763">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59A8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2FFCAC4E">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批发业</w:t>
            </w:r>
          </w:p>
        </w:tc>
        <w:tc>
          <w:tcPr>
            <w:tcW w:w="1369" w:type="dxa"/>
            <w:noWrap/>
            <w:vAlign w:val="center"/>
          </w:tcPr>
          <w:p w14:paraId="6A257FF3">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5694AADB">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25178ED3">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noWrap/>
            <w:vAlign w:val="center"/>
          </w:tcPr>
          <w:p w14:paraId="0223D8BD">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noWrap/>
            <w:vAlign w:val="center"/>
          </w:tcPr>
          <w:p w14:paraId="4DD8497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noWrap/>
            <w:vAlign w:val="center"/>
          </w:tcPr>
          <w:p w14:paraId="4DF03CAA">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3F12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379764D3">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29A09A9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679BBD9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0545E008">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noWrap/>
            <w:vAlign w:val="center"/>
          </w:tcPr>
          <w:p w14:paraId="44DBDAD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noWrap/>
            <w:vAlign w:val="center"/>
          </w:tcPr>
          <w:p w14:paraId="2F4E60A5">
            <w:pPr>
              <w:keepNext w:val="0"/>
              <w:keepLines w:val="0"/>
              <w:widowControl/>
              <w:suppressLineNumbers w:val="0"/>
              <w:spacing w:before="0" w:beforeAutospacing="0" w:after="0" w:afterAutospacing="0" w:line="280" w:lineRule="exact"/>
              <w:ind w:left="-1" w:leftChars="-1" w:right="0"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noWrap/>
            <w:vAlign w:val="center"/>
          </w:tcPr>
          <w:p w14:paraId="4211612B">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6E52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53611F81">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零售业</w:t>
            </w:r>
          </w:p>
        </w:tc>
        <w:tc>
          <w:tcPr>
            <w:tcW w:w="1369" w:type="dxa"/>
            <w:noWrap/>
            <w:vAlign w:val="center"/>
          </w:tcPr>
          <w:p w14:paraId="5534CD3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2D2248A1">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7889E3A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ign w:val="center"/>
          </w:tcPr>
          <w:p w14:paraId="7F2E3050">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noWrap/>
            <w:vAlign w:val="center"/>
          </w:tcPr>
          <w:p w14:paraId="4ECCAF6C">
            <w:pPr>
              <w:keepNext w:val="0"/>
              <w:keepLines w:val="0"/>
              <w:widowControl/>
              <w:suppressLineNumbers w:val="0"/>
              <w:spacing w:before="0" w:beforeAutospacing="0" w:after="0" w:afterAutospacing="0" w:line="280" w:lineRule="exact"/>
              <w:ind w:left="-1" w:leftChars="-1" w:right="0"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noWrap/>
            <w:vAlign w:val="center"/>
          </w:tcPr>
          <w:p w14:paraId="1024DC91">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7FC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53E42C00">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37C8723D">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4CFDD2A2">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7FE4CE0A">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noWrap/>
            <w:vAlign w:val="center"/>
          </w:tcPr>
          <w:p w14:paraId="733916C3">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noWrap/>
            <w:vAlign w:val="center"/>
          </w:tcPr>
          <w:p w14:paraId="5B38CE2F">
            <w:pPr>
              <w:keepNext w:val="0"/>
              <w:keepLines w:val="0"/>
              <w:widowControl/>
              <w:suppressLineNumbers w:val="0"/>
              <w:spacing w:before="0" w:beforeAutospacing="0" w:after="0" w:afterAutospacing="0" w:line="280" w:lineRule="exact"/>
              <w:ind w:left="-1" w:leftChars="-1" w:right="0"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noWrap/>
            <w:vAlign w:val="center"/>
          </w:tcPr>
          <w:p w14:paraId="0B2062F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BF6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3F795AF7">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交通运输业 *</w:t>
            </w:r>
          </w:p>
        </w:tc>
        <w:tc>
          <w:tcPr>
            <w:tcW w:w="1369" w:type="dxa"/>
            <w:noWrap/>
            <w:vAlign w:val="center"/>
          </w:tcPr>
          <w:p w14:paraId="07615BE2">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161347A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227EC6C8">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ign w:val="center"/>
          </w:tcPr>
          <w:p w14:paraId="187154A7">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ign w:val="center"/>
          </w:tcPr>
          <w:p w14:paraId="16A8D52D">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noWrap/>
            <w:vAlign w:val="center"/>
          </w:tcPr>
          <w:p w14:paraId="6A1B6F1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DF3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0A229B1A">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3EA02002">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4A96513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16EC02F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ign w:val="center"/>
          </w:tcPr>
          <w:p w14:paraId="6D7F215D">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noWrap/>
            <w:vAlign w:val="center"/>
          </w:tcPr>
          <w:p w14:paraId="74FC63B0">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noWrap/>
            <w:vAlign w:val="center"/>
          </w:tcPr>
          <w:p w14:paraId="214634A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3D16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36518390">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仓储业*</w:t>
            </w:r>
          </w:p>
        </w:tc>
        <w:tc>
          <w:tcPr>
            <w:tcW w:w="1369" w:type="dxa"/>
            <w:noWrap/>
            <w:vAlign w:val="center"/>
          </w:tcPr>
          <w:p w14:paraId="6E94467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1067BD91">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0A252087">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noWrap/>
            <w:vAlign w:val="center"/>
          </w:tcPr>
          <w:p w14:paraId="4FF6DF76">
            <w:pPr>
              <w:keepNext w:val="0"/>
              <w:keepLines w:val="0"/>
              <w:widowControl/>
              <w:suppressLineNumbers w:val="0"/>
              <w:spacing w:before="0" w:beforeAutospacing="0" w:after="0" w:afterAutospacing="0" w:line="280" w:lineRule="exact"/>
              <w:ind w:left="1" w:leftChars="-51" w:right="0"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noWrap/>
            <w:vAlign w:val="center"/>
          </w:tcPr>
          <w:p w14:paraId="313EA3C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noWrap/>
            <w:vAlign w:val="center"/>
          </w:tcPr>
          <w:p w14:paraId="26525660">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900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19021E40">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3A734A02">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6A33024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63178193">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ign w:val="center"/>
          </w:tcPr>
          <w:p w14:paraId="48C7587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noWrap/>
            <w:vAlign w:val="center"/>
          </w:tcPr>
          <w:p w14:paraId="1C99B35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noWrap/>
            <w:vAlign w:val="center"/>
          </w:tcPr>
          <w:p w14:paraId="0819BC2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720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434C589E">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邮政业</w:t>
            </w:r>
          </w:p>
        </w:tc>
        <w:tc>
          <w:tcPr>
            <w:tcW w:w="1369" w:type="dxa"/>
            <w:noWrap/>
            <w:vAlign w:val="center"/>
          </w:tcPr>
          <w:p w14:paraId="66674B57">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7455C943">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41609112">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ign w:val="center"/>
          </w:tcPr>
          <w:p w14:paraId="4DBCACB3">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ign w:val="center"/>
          </w:tcPr>
          <w:p w14:paraId="05E8528A">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noWrap/>
            <w:vAlign w:val="center"/>
          </w:tcPr>
          <w:p w14:paraId="4569FCB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752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262FE941">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27AC48D1">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31A9243B">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4B13D861">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ign w:val="center"/>
          </w:tcPr>
          <w:p w14:paraId="76CC941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noWrap/>
            <w:vAlign w:val="center"/>
          </w:tcPr>
          <w:p w14:paraId="34C13EA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noWrap/>
            <w:vAlign w:val="center"/>
          </w:tcPr>
          <w:p w14:paraId="055DCDA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E17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151FBFB9">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住宿业</w:t>
            </w:r>
          </w:p>
        </w:tc>
        <w:tc>
          <w:tcPr>
            <w:tcW w:w="1369" w:type="dxa"/>
            <w:noWrap/>
            <w:vAlign w:val="center"/>
          </w:tcPr>
          <w:p w14:paraId="2BBF06D0">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370EFB7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1C0C385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ign w:val="center"/>
          </w:tcPr>
          <w:p w14:paraId="10287B83">
            <w:pPr>
              <w:keepNext w:val="0"/>
              <w:keepLines w:val="0"/>
              <w:widowControl/>
              <w:suppressLineNumbers w:val="0"/>
              <w:spacing w:before="0" w:beforeAutospacing="0" w:after="0" w:afterAutospacing="0" w:line="280" w:lineRule="exact"/>
              <w:ind w:left="1" w:leftChars="-51" w:right="0"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noWrap/>
            <w:vAlign w:val="center"/>
          </w:tcPr>
          <w:p w14:paraId="6EC48AC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ign w:val="center"/>
          </w:tcPr>
          <w:p w14:paraId="00AC931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C99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127DF839">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51BA526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7D6B63F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2269760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ign w:val="center"/>
          </w:tcPr>
          <w:p w14:paraId="3A6801B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noWrap/>
            <w:vAlign w:val="center"/>
          </w:tcPr>
          <w:p w14:paraId="02A88A17">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noWrap/>
            <w:vAlign w:val="center"/>
          </w:tcPr>
          <w:p w14:paraId="647C09C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A3F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4829961D">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餐饮业</w:t>
            </w:r>
          </w:p>
        </w:tc>
        <w:tc>
          <w:tcPr>
            <w:tcW w:w="1369" w:type="dxa"/>
            <w:noWrap/>
            <w:vAlign w:val="center"/>
          </w:tcPr>
          <w:p w14:paraId="3B2B015B">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47706B3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3C8BE607">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ign w:val="center"/>
          </w:tcPr>
          <w:p w14:paraId="067B942B">
            <w:pPr>
              <w:keepNext w:val="0"/>
              <w:keepLines w:val="0"/>
              <w:widowControl/>
              <w:suppressLineNumbers w:val="0"/>
              <w:spacing w:before="0" w:beforeAutospacing="0" w:after="0" w:afterAutospacing="0" w:line="280" w:lineRule="exact"/>
              <w:ind w:left="1" w:leftChars="-51" w:right="0"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ign w:val="center"/>
          </w:tcPr>
          <w:p w14:paraId="2EC17AF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ign w:val="center"/>
          </w:tcPr>
          <w:p w14:paraId="7FB33A3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77D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18A6EEB7">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7E5EA398">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3FDCA1F8">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685F8218">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ign w:val="center"/>
          </w:tcPr>
          <w:p w14:paraId="2BA8819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noWrap/>
            <w:vAlign w:val="center"/>
          </w:tcPr>
          <w:p w14:paraId="0404A4D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noWrap/>
            <w:vAlign w:val="center"/>
          </w:tcPr>
          <w:p w14:paraId="11602BF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77B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1C8AECEF">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信息传输业 *</w:t>
            </w:r>
          </w:p>
        </w:tc>
        <w:tc>
          <w:tcPr>
            <w:tcW w:w="1369" w:type="dxa"/>
            <w:noWrap/>
            <w:vAlign w:val="center"/>
          </w:tcPr>
          <w:p w14:paraId="2DFA994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3EBDA70A">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76F92E4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noWrap/>
            <w:vAlign w:val="center"/>
          </w:tcPr>
          <w:p w14:paraId="1F3C212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noWrap/>
            <w:vAlign w:val="center"/>
          </w:tcPr>
          <w:p w14:paraId="1D11B18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ign w:val="center"/>
          </w:tcPr>
          <w:p w14:paraId="251E17E3">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78D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2572768B">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61B0047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0F4A34DB">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7DA8A2D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noWrap/>
            <w:vAlign w:val="center"/>
          </w:tcPr>
          <w:p w14:paraId="4801453A">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noWrap/>
            <w:vAlign w:val="center"/>
          </w:tcPr>
          <w:p w14:paraId="2BFD043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noWrap/>
            <w:vAlign w:val="center"/>
          </w:tcPr>
          <w:p w14:paraId="103A1102">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FA6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6F07AF1F">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软件和信息技术服务业</w:t>
            </w:r>
          </w:p>
        </w:tc>
        <w:tc>
          <w:tcPr>
            <w:tcW w:w="1369" w:type="dxa"/>
            <w:noWrap/>
            <w:vAlign w:val="center"/>
          </w:tcPr>
          <w:p w14:paraId="517F5E10">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74D4C11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664E2CA2">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ign w:val="center"/>
          </w:tcPr>
          <w:p w14:paraId="18F43BA0">
            <w:pPr>
              <w:keepNext w:val="0"/>
              <w:keepLines w:val="0"/>
              <w:widowControl/>
              <w:suppressLineNumbers w:val="0"/>
              <w:spacing w:before="0" w:beforeAutospacing="0" w:after="0" w:afterAutospacing="0" w:line="280" w:lineRule="exact"/>
              <w:ind w:left="1" w:leftChars="-51" w:right="0"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ign w:val="center"/>
          </w:tcPr>
          <w:p w14:paraId="6861EC5D">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ign w:val="center"/>
          </w:tcPr>
          <w:p w14:paraId="26096D48">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63D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78C56A60">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6394C23C">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0929A0D3">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7A9A457A">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ign w:val="center"/>
          </w:tcPr>
          <w:p w14:paraId="1F7F27A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noWrap/>
            <w:vAlign w:val="center"/>
          </w:tcPr>
          <w:p w14:paraId="6802500D">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noWrap/>
            <w:vAlign w:val="center"/>
          </w:tcPr>
          <w:p w14:paraId="227696E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4E7B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6DEBA67E">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房地产开发经营</w:t>
            </w:r>
          </w:p>
        </w:tc>
        <w:tc>
          <w:tcPr>
            <w:tcW w:w="1369" w:type="dxa"/>
            <w:noWrap/>
            <w:vAlign w:val="center"/>
          </w:tcPr>
          <w:p w14:paraId="6D64C690">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2B26526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14544F9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noWrap/>
            <w:vAlign w:val="center"/>
          </w:tcPr>
          <w:p w14:paraId="5F6A152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noWrap/>
            <w:vAlign w:val="center"/>
          </w:tcPr>
          <w:p w14:paraId="20AA494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noWrap/>
            <w:vAlign w:val="center"/>
          </w:tcPr>
          <w:p w14:paraId="509285C7">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5B3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581A8D42">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2E62EA61">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ign w:val="center"/>
          </w:tcPr>
          <w:p w14:paraId="67D09FE0">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3AEC67F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noWrap/>
            <w:vAlign w:val="center"/>
          </w:tcPr>
          <w:p w14:paraId="773FFFA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noWrap/>
            <w:vAlign w:val="center"/>
          </w:tcPr>
          <w:p w14:paraId="389968F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noWrap/>
            <w:vAlign w:val="center"/>
          </w:tcPr>
          <w:p w14:paraId="1221028D">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2B6F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5A6F0CB8">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物业管理</w:t>
            </w:r>
          </w:p>
        </w:tc>
        <w:tc>
          <w:tcPr>
            <w:tcW w:w="1369" w:type="dxa"/>
            <w:noWrap/>
            <w:vAlign w:val="center"/>
          </w:tcPr>
          <w:p w14:paraId="0D53534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42CD401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4743606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ign w:val="center"/>
          </w:tcPr>
          <w:p w14:paraId="06F92C20">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ign w:val="center"/>
          </w:tcPr>
          <w:p w14:paraId="7CB808D1">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noWrap/>
            <w:vAlign w:val="center"/>
          </w:tcPr>
          <w:p w14:paraId="6838B84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7E71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6F511AC4">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39A1D4C0">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ign w:val="center"/>
          </w:tcPr>
          <w:p w14:paraId="25F5AE8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4B2C36B7">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noWrap/>
            <w:vAlign w:val="center"/>
          </w:tcPr>
          <w:p w14:paraId="47369465">
            <w:pPr>
              <w:keepNext w:val="0"/>
              <w:keepLines w:val="0"/>
              <w:widowControl/>
              <w:suppressLineNumbers w:val="0"/>
              <w:spacing w:before="0" w:beforeAutospacing="0" w:after="0" w:afterAutospacing="0" w:line="280" w:lineRule="exact"/>
              <w:ind w:left="1" w:leftChars="-51" w:right="0"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noWrap/>
            <w:vAlign w:val="center"/>
          </w:tcPr>
          <w:p w14:paraId="35720B18">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noWrap/>
            <w:vAlign w:val="center"/>
          </w:tcPr>
          <w:p w14:paraId="4E783321">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4944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14:paraId="2A0415FD">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租赁和商务服务业</w:t>
            </w:r>
          </w:p>
        </w:tc>
        <w:tc>
          <w:tcPr>
            <w:tcW w:w="1369" w:type="dxa"/>
            <w:noWrap/>
            <w:vAlign w:val="center"/>
          </w:tcPr>
          <w:p w14:paraId="0E17328D">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6A36701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6773AABB">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ign w:val="center"/>
          </w:tcPr>
          <w:p w14:paraId="58CEDF72">
            <w:pPr>
              <w:keepNext w:val="0"/>
              <w:keepLines w:val="0"/>
              <w:widowControl/>
              <w:suppressLineNumbers w:val="0"/>
              <w:spacing w:before="0" w:beforeAutospacing="0" w:after="0" w:afterAutospacing="0" w:line="280" w:lineRule="exact"/>
              <w:ind w:left="1" w:leftChars="-51" w:right="0"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noWrap/>
            <w:vAlign w:val="center"/>
          </w:tcPr>
          <w:p w14:paraId="0092970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ign w:val="center"/>
          </w:tcPr>
          <w:p w14:paraId="7FDED52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F26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14:paraId="5B33A07E">
            <w:pPr>
              <w:keepNext w:val="0"/>
              <w:keepLines w:val="0"/>
              <w:suppressLineNumbers w:val="0"/>
              <w:spacing w:before="0" w:beforeAutospacing="0" w:after="0" w:afterAutospacing="0"/>
              <w:ind w:left="0" w:right="0"/>
              <w:rPr>
                <w:rFonts w:hint="default"/>
                <w:color w:val="auto"/>
                <w:sz w:val="18"/>
                <w:szCs w:val="21"/>
                <w:highlight w:val="none"/>
              </w:rPr>
            </w:pPr>
          </w:p>
        </w:tc>
        <w:tc>
          <w:tcPr>
            <w:tcW w:w="1369" w:type="dxa"/>
            <w:noWrap/>
            <w:vAlign w:val="center"/>
          </w:tcPr>
          <w:p w14:paraId="2A74559A">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ign w:val="center"/>
          </w:tcPr>
          <w:p w14:paraId="5FECA98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ign w:val="center"/>
          </w:tcPr>
          <w:p w14:paraId="659F81A6">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noWrap/>
            <w:vAlign w:val="center"/>
          </w:tcPr>
          <w:p w14:paraId="46C69FB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noWrap/>
            <w:vAlign w:val="center"/>
          </w:tcPr>
          <w:p w14:paraId="46B0228E">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noWrap/>
            <w:vAlign w:val="center"/>
          </w:tcPr>
          <w:p w14:paraId="5AC88DAF">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4939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noWrap/>
            <w:vAlign w:val="center"/>
          </w:tcPr>
          <w:p w14:paraId="60CD37E2">
            <w:pPr>
              <w:keepNext w:val="0"/>
              <w:keepLines w:val="0"/>
              <w:suppressLineNumbers w:val="0"/>
              <w:spacing w:before="0" w:beforeAutospacing="0" w:after="0" w:afterAutospacing="0"/>
              <w:ind w:left="0" w:right="0"/>
              <w:rPr>
                <w:rFonts w:hint="default"/>
                <w:color w:val="auto"/>
                <w:sz w:val="18"/>
                <w:szCs w:val="21"/>
                <w:highlight w:val="none"/>
              </w:rPr>
            </w:pPr>
            <w:r>
              <w:rPr>
                <w:rFonts w:hint="eastAsia"/>
                <w:color w:val="auto"/>
                <w:sz w:val="18"/>
                <w:szCs w:val="21"/>
                <w:highlight w:val="none"/>
              </w:rPr>
              <w:t>其他未列明行业 *</w:t>
            </w:r>
          </w:p>
        </w:tc>
        <w:tc>
          <w:tcPr>
            <w:tcW w:w="1369" w:type="dxa"/>
            <w:noWrap/>
            <w:vAlign w:val="center"/>
          </w:tcPr>
          <w:p w14:paraId="3C7B2695">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ign w:val="center"/>
          </w:tcPr>
          <w:p w14:paraId="448992AB">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ign w:val="center"/>
          </w:tcPr>
          <w:p w14:paraId="272229F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ign w:val="center"/>
          </w:tcPr>
          <w:p w14:paraId="2444676C">
            <w:pPr>
              <w:keepNext w:val="0"/>
              <w:keepLines w:val="0"/>
              <w:widowControl/>
              <w:suppressLineNumbers w:val="0"/>
              <w:spacing w:before="0" w:beforeAutospacing="0" w:after="0" w:afterAutospacing="0" w:line="280" w:lineRule="exact"/>
              <w:ind w:left="1" w:leftChars="-51" w:right="0"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noWrap/>
            <w:vAlign w:val="center"/>
          </w:tcPr>
          <w:p w14:paraId="01BEABD4">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ign w:val="center"/>
          </w:tcPr>
          <w:p w14:paraId="07A64419">
            <w:pPr>
              <w:keepNext w:val="0"/>
              <w:keepLines w:val="0"/>
              <w:widowControl/>
              <w:suppressLineNumbers w:val="0"/>
              <w:spacing w:before="0" w:beforeAutospacing="0" w:after="0" w:afterAutospacing="0" w:line="280" w:lineRule="exact"/>
              <w:ind w:left="0" w:right="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3A87CA09">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说明：</w:t>
      </w:r>
    </w:p>
    <w:p w14:paraId="7D1978B8">
      <w:pPr>
        <w:adjustRightInd w:val="0"/>
        <w:ind w:firstLine="420" w:firstLineChars="200"/>
        <w:contextualSpacing/>
        <w:rPr>
          <w:rFonts w:hint="eastAsia" w:ascii="宋体" w:hAnsi="宋体" w:cs="宋体"/>
          <w:color w:val="auto"/>
          <w:kern w:val="0"/>
          <w:szCs w:val="21"/>
          <w:highlight w:val="none"/>
        </w:rPr>
      </w:pPr>
      <w:r>
        <w:rPr>
          <w:rFonts w:hint="eastAsia" w:ascii="宋体" w:hAnsi="宋体" w:cs="宋体"/>
          <w:color w:val="auto"/>
          <w:kern w:val="0"/>
          <w:szCs w:val="21"/>
          <w:highlight w:val="none"/>
        </w:rPr>
        <w:t>1.大型、中型和小型企业须同时满足所列指标的下限，否则下划一档。微型企业只须满足所列指标中的一项即可。</w:t>
      </w:r>
    </w:p>
    <w:p w14:paraId="199EF776">
      <w:pPr>
        <w:adjustRightInd w:val="0"/>
        <w:ind w:firstLine="420" w:firstLineChars="200"/>
        <w:contextualSpacing/>
        <w:rPr>
          <w:rFonts w:hint="eastAsia" w:ascii="宋体" w:hAnsi="宋体" w:cs="宋体"/>
          <w:color w:val="auto"/>
          <w:kern w:val="0"/>
          <w:szCs w:val="21"/>
          <w:highlight w:val="none"/>
        </w:rPr>
      </w:pPr>
      <w:r>
        <w:rPr>
          <w:rFonts w:hint="eastAsia" w:ascii="宋体" w:hAnsi="宋体" w:cs="宋体"/>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FE1F65E">
      <w:pPr>
        <w:ind w:firstLine="420" w:firstLineChars="200"/>
        <w:rPr>
          <w:rFonts w:hint="eastAsia" w:ascii="宋体" w:hAnsi="宋体" w:cs="宋体"/>
          <w:color w:val="auto"/>
          <w:kern w:val="0"/>
          <w:sz w:val="24"/>
          <w:highlight w:val="none"/>
        </w:rPr>
      </w:pPr>
      <w:r>
        <w:rPr>
          <w:rFonts w:hint="eastAsia" w:ascii="宋体" w:hAnsi="宋体" w:cs="宋体"/>
          <w:color w:val="auto"/>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9617D56">
      <w:pPr>
        <w:pStyle w:val="2"/>
        <w:spacing w:line="480" w:lineRule="auto"/>
        <w:jc w:val="center"/>
        <w:rPr>
          <w:rFonts w:ascii="Calibri" w:hAnsi="Calibri"/>
          <w:color w:val="auto"/>
          <w:highlight w:val="none"/>
        </w:rPr>
      </w:pPr>
      <w:bookmarkStart w:id="62" w:name="_Toc9239"/>
      <w:bookmarkStart w:id="63" w:name="_Toc19152"/>
      <w:bookmarkStart w:id="64" w:name="_Toc13614"/>
      <w:bookmarkStart w:id="65" w:name="_Toc2072"/>
      <w:bookmarkStart w:id="66" w:name="_Toc24174"/>
      <w:bookmarkStart w:id="67" w:name="_Toc7704"/>
      <w:r>
        <w:rPr>
          <w:rFonts w:hint="eastAsia" w:ascii="Cambria" w:hAnsi="Cambria"/>
          <w:bCs w:val="0"/>
          <w:color w:val="auto"/>
          <w:sz w:val="32"/>
          <w:szCs w:val="32"/>
          <w:highlight w:val="none"/>
        </w:rPr>
        <w:t>第三章 供应商须知</w:t>
      </w:r>
      <w:bookmarkEnd w:id="59"/>
      <w:bookmarkEnd w:id="60"/>
      <w:bookmarkEnd w:id="62"/>
      <w:bookmarkEnd w:id="63"/>
      <w:bookmarkEnd w:id="64"/>
      <w:bookmarkEnd w:id="65"/>
      <w:bookmarkEnd w:id="66"/>
      <w:bookmarkEnd w:id="67"/>
    </w:p>
    <w:p w14:paraId="6482E8BF">
      <w:pPr>
        <w:pStyle w:val="3"/>
        <w:jc w:val="center"/>
        <w:rPr>
          <w:rFonts w:hint="eastAsia" w:ascii="宋体" w:hAnsi="宋体"/>
          <w:b w:val="0"/>
          <w:color w:val="auto"/>
          <w:highlight w:val="none"/>
        </w:rPr>
      </w:pPr>
      <w:bookmarkStart w:id="68" w:name="_Toc30660"/>
      <w:bookmarkStart w:id="69" w:name="_Toc80886928"/>
      <w:bookmarkStart w:id="70" w:name="_Toc9482"/>
      <w:r>
        <w:rPr>
          <w:rFonts w:hint="eastAsia" w:ascii="宋体" w:hAnsi="宋体"/>
          <w:b w:val="0"/>
          <w:color w:val="auto"/>
          <w:highlight w:val="none"/>
        </w:rPr>
        <w:t>第一节 供应商须知前附表</w:t>
      </w:r>
      <w:bookmarkEnd w:id="68"/>
      <w:bookmarkEnd w:id="69"/>
      <w:bookmarkEnd w:id="70"/>
    </w:p>
    <w:tbl>
      <w:tblPr>
        <w:tblStyle w:val="31"/>
        <w:tblW w:w="97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
        <w:gridCol w:w="2390"/>
        <w:gridCol w:w="6416"/>
      </w:tblGrid>
      <w:tr w14:paraId="09BE8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63" w:type="dxa"/>
          </w:tcPr>
          <w:p w14:paraId="13DD9208">
            <w:pPr>
              <w:keepNext w:val="0"/>
              <w:keepLines w:val="0"/>
              <w:suppressLineNumbers w:val="0"/>
              <w:spacing w:before="0" w:beforeAutospacing="0" w:after="0" w:afterAutospacing="0" w:line="360" w:lineRule="auto"/>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390" w:type="dxa"/>
            <w:vAlign w:val="center"/>
          </w:tcPr>
          <w:p w14:paraId="065FAD5A">
            <w:pPr>
              <w:keepNext w:val="0"/>
              <w:keepLines w:val="0"/>
              <w:suppressLineNumbers w:val="0"/>
              <w:spacing w:before="0" w:beforeAutospacing="0" w:after="0" w:afterAutospacing="0" w:line="360" w:lineRule="auto"/>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416" w:type="dxa"/>
          </w:tcPr>
          <w:p w14:paraId="45AEC5E1">
            <w:pPr>
              <w:keepNext w:val="0"/>
              <w:keepLines w:val="0"/>
              <w:suppressLineNumbers w:val="0"/>
              <w:spacing w:before="0" w:beforeAutospacing="0" w:after="0" w:afterAutospacing="0" w:line="360" w:lineRule="auto"/>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3F7B3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05B1FC62">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390" w:type="dxa"/>
            <w:vAlign w:val="center"/>
          </w:tcPr>
          <w:p w14:paraId="03BE7374">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416" w:type="dxa"/>
          </w:tcPr>
          <w:p w14:paraId="40326BB1">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详见竞争性磋商公告。</w:t>
            </w:r>
          </w:p>
        </w:tc>
      </w:tr>
      <w:tr w14:paraId="0477C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52D28E66">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390" w:type="dxa"/>
            <w:vAlign w:val="center"/>
          </w:tcPr>
          <w:p w14:paraId="49029AE8">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416" w:type="dxa"/>
            <w:vAlign w:val="center"/>
          </w:tcPr>
          <w:p w14:paraId="162CAA6B">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bookmarkStart w:id="71" w:name="PO_3000001868_PM007"/>
            <w:r>
              <w:rPr>
                <w:rFonts w:hint="eastAsia" w:ascii="宋体" w:hAnsi="宋体" w:cs="宋体"/>
                <w:color w:val="auto"/>
                <w:szCs w:val="21"/>
                <w:highlight w:val="none"/>
              </w:rPr>
              <w:t>详见竞争性磋商公告</w:t>
            </w:r>
            <w:bookmarkEnd w:id="71"/>
          </w:p>
        </w:tc>
      </w:tr>
      <w:tr w14:paraId="49EFB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1BC11575">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390" w:type="dxa"/>
            <w:vAlign w:val="center"/>
          </w:tcPr>
          <w:p w14:paraId="750225DD">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联合体竞标要求</w:t>
            </w:r>
          </w:p>
        </w:tc>
        <w:tc>
          <w:tcPr>
            <w:tcW w:w="6416" w:type="dxa"/>
            <w:vAlign w:val="center"/>
          </w:tcPr>
          <w:p w14:paraId="47E8275B">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无。</w:t>
            </w:r>
          </w:p>
        </w:tc>
      </w:tr>
      <w:tr w14:paraId="36A25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40D78FD4">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390" w:type="dxa"/>
            <w:vAlign w:val="center"/>
          </w:tcPr>
          <w:p w14:paraId="628EFD89">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416" w:type="dxa"/>
            <w:vAlign w:val="center"/>
          </w:tcPr>
          <w:p w14:paraId="419B3502">
            <w:pPr>
              <w:pStyle w:val="13"/>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不允许分包</w:t>
            </w:r>
          </w:p>
        </w:tc>
      </w:tr>
      <w:tr w14:paraId="7A19F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106E4106">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390" w:type="dxa"/>
            <w:vAlign w:val="center"/>
          </w:tcPr>
          <w:p w14:paraId="32571302">
            <w:pPr>
              <w:keepNext w:val="0"/>
              <w:keepLines w:val="0"/>
              <w:suppressLineNumbers w:val="0"/>
              <w:snapToGrid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b/>
                <w:color w:val="auto"/>
                <w:szCs w:val="21"/>
                <w:highlight w:val="none"/>
              </w:rPr>
              <w:t>资格证明文件组成</w:t>
            </w:r>
          </w:p>
        </w:tc>
        <w:tc>
          <w:tcPr>
            <w:tcW w:w="6416" w:type="dxa"/>
            <w:vAlign w:val="center"/>
          </w:tcPr>
          <w:p w14:paraId="3CA98ABD">
            <w:pPr>
              <w:pStyle w:val="13"/>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1.供应商为法人或者其他组织的提供其营业执照等证明文件复印件（如营业执照或者事业单位法人证书或者执业许可证等），供应商为自然人的提供其有效身份证正反面复印件；（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2E5A39A">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2.供应商依法缴纳税收的相关材料（提供税款所属时期为2025年1月至首次响应文件提交截止时间止的任意1个月的依法缴纳税收的凭据复印件；依法免税的供应商，必须提供相应文件证明其依法免税。从取得营业执照时间起到首次响应文件提交截止时间为止不足要求月数的，只需提供从取得营业执照起的依法缴纳税收相应证明文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8AF5860">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3.供应商依法缴纳社会保障资金的相关材料（提供税款所属时期或缴费起始时间为2025年1月至首次响应文件提交截止时间止的任意1个月的依法缴纳社会保障资金的缴费凭证复印件；依法不需要缴纳社会保障资金的供应商，必须提供相应文件证明不需要缴纳社会保障资金。从取得营业执照时间起到首次响应文件提交截止时间为止不足要求月数的只需提供从取得营业执照起的依法缴纳社会保障资金的相应证明文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D72A0E3">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4.供应商财务状况报告（提供2024年度财务报告复印件或者截标时间前半年内至少一个月能反映财务状况的报表或者供应商自拟的截标时间前半年内至少一个月的财务情况说明）；</w:t>
            </w:r>
            <w:r>
              <w:rPr>
                <w:rFonts w:hint="eastAsia" w:ascii="宋体" w:hAnsi="宋体" w:cs="宋体"/>
                <w:bCs/>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bCs/>
                <w:color w:val="auto"/>
                <w:szCs w:val="21"/>
                <w:highlight w:val="none"/>
              </w:rPr>
              <w:t>）</w:t>
            </w:r>
          </w:p>
          <w:p w14:paraId="409C2CEE">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5.声明函（格式后附）；（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9EB9085">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6.供应商直接控股股东信息表（格式后附）。（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70A66C2">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7.供应商直接管理关系信息表（格式后附）。（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2B4F461">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8.联合体竞标协议书（格式后附）；（</w:t>
            </w:r>
            <w:r>
              <w:rPr>
                <w:rFonts w:hint="eastAsia" w:ascii="宋体" w:hAnsi="宋体" w:cs="宋体"/>
                <w:b/>
                <w:color w:val="auto"/>
                <w:szCs w:val="21"/>
                <w:highlight w:val="none"/>
              </w:rPr>
              <w:t>联合体竞标时必须提供，否则响应文件按无效响应处理</w:t>
            </w:r>
            <w:r>
              <w:rPr>
                <w:rFonts w:hint="eastAsia" w:ascii="宋体" w:hAnsi="宋体" w:cs="宋体"/>
                <w:color w:val="auto"/>
                <w:szCs w:val="21"/>
                <w:highlight w:val="none"/>
              </w:rPr>
              <w:t>）</w:t>
            </w:r>
          </w:p>
          <w:p w14:paraId="5868B2F8">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9.除竞争性磋商文件规定必须提供以外，供应商认为需要提供的其他证明材料（格式自拟）。（</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2CA6C05F">
            <w:pPr>
              <w:pStyle w:val="13"/>
              <w:keepNext w:val="0"/>
              <w:keepLines w:val="0"/>
              <w:suppressLineNumbers w:val="0"/>
              <w:spacing w:before="0" w:beforeAutospacing="0" w:after="0" w:afterAutospacing="0" w:line="360" w:lineRule="auto"/>
              <w:ind w:left="0" w:right="0"/>
              <w:rPr>
                <w:rFonts w:hint="eastAsia" w:ascii="宋体" w:hAnsi="宋体" w:cs="宋体"/>
                <w:b/>
                <w:color w:val="auto"/>
                <w:szCs w:val="21"/>
                <w:highlight w:val="none"/>
              </w:rPr>
            </w:pPr>
            <w:r>
              <w:rPr>
                <w:rFonts w:hint="eastAsia" w:ascii="宋体" w:hAnsi="宋体" w:cs="宋体"/>
                <w:b/>
                <w:color w:val="auto"/>
                <w:szCs w:val="21"/>
                <w:highlight w:val="none"/>
              </w:rPr>
              <w:t>注：</w:t>
            </w:r>
          </w:p>
          <w:p w14:paraId="045D76CB">
            <w:pPr>
              <w:pStyle w:val="13"/>
              <w:keepNext w:val="0"/>
              <w:keepLines w:val="0"/>
              <w:suppressLineNumbers w:val="0"/>
              <w:spacing w:before="0" w:beforeAutospacing="0" w:after="0" w:afterAutospacing="0" w:line="360" w:lineRule="auto"/>
              <w:ind w:left="0" w:right="0"/>
              <w:rPr>
                <w:rFonts w:hint="eastAsia" w:ascii="宋体" w:hAnsi="宋体" w:cs="宋体"/>
                <w:b/>
                <w:color w:val="auto"/>
                <w:szCs w:val="21"/>
                <w:highlight w:val="none"/>
              </w:rPr>
            </w:pPr>
            <w:r>
              <w:rPr>
                <w:rFonts w:hint="eastAsia" w:ascii="宋体" w:hAnsi="宋体" w:cs="宋体"/>
                <w:b/>
                <w:color w:val="auto"/>
                <w:szCs w:val="21"/>
                <w:highlight w:val="none"/>
              </w:rPr>
              <w:t>　　1.以上标明“必须提供”的材料属于复印件的扫描件的，必须加盖供应商公章，否则响应文件按无效响应处理。</w:t>
            </w:r>
          </w:p>
          <w:p w14:paraId="2AC4D175">
            <w:pPr>
              <w:pStyle w:val="13"/>
              <w:keepNext w:val="0"/>
              <w:keepLines w:val="0"/>
              <w:suppressLineNumbers w:val="0"/>
              <w:spacing w:before="0" w:beforeAutospacing="0" w:after="0" w:afterAutospacing="0" w:line="360" w:lineRule="auto"/>
              <w:ind w:left="0" w:right="0"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2.联合体竞标时，第1-4项资格证明文件联合体各方均必须分别提供，联合体各方分别盖章，否则响应文件按无效响应处理。</w:t>
            </w:r>
          </w:p>
        </w:tc>
      </w:tr>
      <w:tr w14:paraId="66B8A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vAlign w:val="center"/>
          </w:tcPr>
          <w:p w14:paraId="3DD0A29D">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390" w:type="dxa"/>
            <w:vAlign w:val="center"/>
          </w:tcPr>
          <w:p w14:paraId="431B9CD1">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商务文件组成</w:t>
            </w:r>
          </w:p>
        </w:tc>
        <w:tc>
          <w:tcPr>
            <w:tcW w:w="6416" w:type="dxa"/>
            <w:vAlign w:val="center"/>
          </w:tcPr>
          <w:p w14:paraId="3374F5D3">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D51B452">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2.法定代表人身份证明及法定代表人有效身份证正反面复印件（格式后附）；（</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B51E5D6">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3.法定代表人授权委托书及委托代理人有效身份证正反面复印件（格式后附）；（</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35B9ACDE">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4.磋商保证金提交凭证；（</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205135A">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5.商务条款偏离表（格式后附）；（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66AC3F2">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6.供应商情况介绍（格式自拟）；（</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20599E86">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7.对应采购需求的商务条款提供的其他文件资料（格式自拟）；（</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0A10A292">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8.供应商认为需要提供的其他有关资料（格式自拟）。（</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5AF54DB8">
            <w:pPr>
              <w:keepNext w:val="0"/>
              <w:keepLines w:val="0"/>
              <w:suppressLineNumbers w:val="0"/>
              <w:snapToGrid w:val="0"/>
              <w:spacing w:before="0" w:beforeAutospacing="0" w:after="0" w:afterAutospacing="0" w:line="360" w:lineRule="auto"/>
              <w:ind w:left="0" w:right="0"/>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5227485F">
            <w:pPr>
              <w:keepNext w:val="0"/>
              <w:keepLines w:val="0"/>
              <w:suppressLineNumbers w:val="0"/>
              <w:snapToGrid w:val="0"/>
              <w:spacing w:before="0" w:beforeAutospacing="0" w:after="0" w:afterAutospacing="0" w:line="360" w:lineRule="auto"/>
              <w:ind w:left="0" w:right="0"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1.法定代表人授权委托书必须由法定代表人及其委托代理人签字，并加盖供应商公章，否则响应文件按无效响应处理。</w:t>
            </w:r>
          </w:p>
          <w:p w14:paraId="1832290C">
            <w:pPr>
              <w:keepNext w:val="0"/>
              <w:keepLines w:val="0"/>
              <w:suppressLineNumbers w:val="0"/>
              <w:spacing w:before="0" w:beforeAutospacing="0" w:after="0" w:afterAutospacing="0" w:line="360" w:lineRule="auto"/>
              <w:ind w:left="0" w:right="0"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2.以上标明“必须提供”的材料属于复印件的扫描件的，必须加盖供应商公章，否则响应文件按无效响应处理。</w:t>
            </w:r>
          </w:p>
        </w:tc>
      </w:tr>
      <w:tr w14:paraId="643B6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5" w:hRule="atLeast"/>
          <w:jc w:val="center"/>
        </w:trPr>
        <w:tc>
          <w:tcPr>
            <w:tcW w:w="963" w:type="dxa"/>
            <w:vMerge w:val="continue"/>
            <w:vAlign w:val="center"/>
          </w:tcPr>
          <w:p w14:paraId="5B243557">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c>
          <w:tcPr>
            <w:tcW w:w="2390" w:type="dxa"/>
            <w:vAlign w:val="center"/>
          </w:tcPr>
          <w:p w14:paraId="214C8D38">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技术文件组成</w:t>
            </w:r>
          </w:p>
        </w:tc>
        <w:tc>
          <w:tcPr>
            <w:tcW w:w="6416" w:type="dxa"/>
            <w:vAlign w:val="center"/>
          </w:tcPr>
          <w:p w14:paraId="105B79E5">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1.服务需求偏离表（格式后附）；（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4E1E32F">
            <w:pPr>
              <w:keepNext w:val="0"/>
              <w:keepLines w:val="0"/>
              <w:suppressLineNumbers w:val="0"/>
              <w:spacing w:before="0" w:beforeAutospacing="0" w:after="0" w:afterAutospacing="0" w:line="360" w:lineRule="auto"/>
              <w:ind w:left="0" w:right="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2.服务配置清单；</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9725381">
            <w:pPr>
              <w:keepNext w:val="0"/>
              <w:keepLines w:val="0"/>
              <w:suppressLineNumbers w:val="0"/>
              <w:shd w:val="clear" w:color="auto" w:fill="auto"/>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组织服务方案</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6498B1D">
            <w:pPr>
              <w:keepNext w:val="0"/>
              <w:keepLines w:val="0"/>
              <w:suppressLineNumbers w:val="0"/>
              <w:shd w:val="clear" w:color="auto" w:fill="auto"/>
              <w:spacing w:before="0" w:beforeAutospacing="0" w:after="0" w:afterAutospacing="0" w:line="360" w:lineRule="auto"/>
              <w:ind w:left="0" w:right="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4.售后服务承诺；</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739DCBF5">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w:t>
            </w:r>
            <w:r>
              <w:rPr>
                <w:rFonts w:hint="eastAsia" w:ascii="宋体" w:hAnsi="宋体" w:cs="宋体"/>
                <w:color w:val="auto"/>
                <w:szCs w:val="21"/>
                <w:highlight w:val="none"/>
              </w:rPr>
              <w:t>对应采购需求的服务需求提供的其他文件资料（格式自拟）；（</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13D177F2">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.供应商认为需要提供的其他有关资料（格式自拟）。（</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15D57E44">
            <w:pPr>
              <w:keepNext w:val="0"/>
              <w:keepLines w:val="0"/>
              <w:suppressLineNumbers w:val="0"/>
              <w:spacing w:before="0" w:beforeAutospacing="0" w:after="0" w:afterAutospacing="0" w:line="360" w:lineRule="auto"/>
              <w:ind w:left="0" w:right="0"/>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注：以上标明“必须提供”的材料属于复印件的扫描件的，必须加盖供应商公章，否则响应文件按无效响应处理。</w:t>
            </w:r>
          </w:p>
        </w:tc>
      </w:tr>
      <w:tr w14:paraId="51451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1C44472E">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12.1.3</w:t>
            </w:r>
          </w:p>
        </w:tc>
        <w:tc>
          <w:tcPr>
            <w:tcW w:w="2390" w:type="dxa"/>
            <w:vAlign w:val="center"/>
          </w:tcPr>
          <w:p w14:paraId="2D140814">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416" w:type="dxa"/>
            <w:vAlign w:val="center"/>
          </w:tcPr>
          <w:p w14:paraId="51287228">
            <w:pPr>
              <w:keepNext w:val="0"/>
              <w:keepLines w:val="0"/>
              <w:suppressLineNumbers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1.响应函（格式后附）；</w:t>
            </w:r>
            <w:r>
              <w:rPr>
                <w:rFonts w:hint="eastAsia" w:ascii="宋体" w:hAnsi="宋体" w:cs="宋体"/>
                <w:b/>
                <w:color w:val="auto"/>
                <w:szCs w:val="21"/>
                <w:highlight w:val="none"/>
              </w:rPr>
              <w:t>（必须提供，否则响应文件按无效响应处理）</w:t>
            </w:r>
          </w:p>
          <w:p w14:paraId="1838753A">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2.响应报价表（格式后附）；（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A440839">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3.中小企业声明函或者残疾人福利性单位声明函（格式后附）或者供应商属于监狱企业的，提供由省级以上监狱管理局、戒毒管理局（含新疆生产建设兵团）出具的属于监狱企业的证明文件；（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20879418">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4.供应商针对报价需要说明的其他文件和说明（格式自拟）。（</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tc>
      </w:tr>
      <w:tr w14:paraId="52D2A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60D25A84">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390" w:type="dxa"/>
            <w:vAlign w:val="center"/>
          </w:tcPr>
          <w:p w14:paraId="3D600A86">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响应文件电子版要求</w:t>
            </w:r>
          </w:p>
        </w:tc>
        <w:tc>
          <w:tcPr>
            <w:tcW w:w="6416" w:type="dxa"/>
            <w:vAlign w:val="center"/>
          </w:tcPr>
          <w:p w14:paraId="43F9631E">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1.响应文件电子版要求：按照本竞争性磋商文件“第五章 响应文件格式”编写，第五章未附格式的，由供应商自行拟定。</w:t>
            </w:r>
          </w:p>
          <w:p w14:paraId="2D492A0E">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2.响应文件电子版密封方式：电子响应文件通过平台有效CA加密后在广西政府采购云平台投送。</w:t>
            </w:r>
          </w:p>
        </w:tc>
      </w:tr>
      <w:tr w14:paraId="13566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7A7EDD72">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390" w:type="dxa"/>
            <w:vAlign w:val="center"/>
          </w:tcPr>
          <w:p w14:paraId="7EF81110">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响应报价要求</w:t>
            </w:r>
          </w:p>
        </w:tc>
        <w:tc>
          <w:tcPr>
            <w:tcW w:w="6416" w:type="dxa"/>
            <w:vAlign w:val="center"/>
          </w:tcPr>
          <w:p w14:paraId="33867687">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highlight w:val="none"/>
              </w:rPr>
            </w:pPr>
            <w:r>
              <w:rPr>
                <w:rFonts w:hint="eastAsia" w:ascii="宋体" w:hAnsi="宋体" w:cs="宋体"/>
                <w:color w:val="auto"/>
                <w:highlight w:val="none"/>
              </w:rPr>
              <w:t>响应报价必须包含满足本次竞标全部采购需求所应提供的服务，以及伴随的货物和工程（如有）的价格；包含竞标服务、货物、工程的成本、运输（含保险）、安装（如有）、调试、检验、技术服务、培训、税费等所有费用。（采购需求另有约定的，从其约定。）</w:t>
            </w:r>
          </w:p>
          <w:p w14:paraId="05998E7C">
            <w:pPr>
              <w:pStyle w:val="15"/>
              <w:keepNext w:val="0"/>
              <w:keepLines w:val="0"/>
              <w:suppressLineNumbers w:val="0"/>
              <w:spacing w:before="0" w:beforeAutospacing="0" w:afterAutospacing="0" w:line="360" w:lineRule="auto"/>
              <w:ind w:left="0" w:right="0"/>
              <w:rPr>
                <w:rFonts w:hint="eastAsia" w:ascii="宋体" w:hAnsi="宋体" w:cs="宋体"/>
                <w:color w:val="auto"/>
                <w:highlight w:val="none"/>
              </w:rPr>
            </w:pPr>
            <w:r>
              <w:rPr>
                <w:rFonts w:hint="eastAsia" w:ascii="宋体" w:hAnsi="宋体" w:cs="宋体"/>
                <w:b/>
                <w:color w:val="auto"/>
                <w:szCs w:val="21"/>
                <w:highlight w:val="none"/>
              </w:rPr>
              <w:t>响应报价包含验收费用。</w:t>
            </w:r>
          </w:p>
        </w:tc>
      </w:tr>
      <w:tr w14:paraId="7476D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358F9EC8">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390" w:type="dxa"/>
            <w:vAlign w:val="center"/>
          </w:tcPr>
          <w:p w14:paraId="1048FA1D">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竞标有效期</w:t>
            </w:r>
          </w:p>
        </w:tc>
        <w:tc>
          <w:tcPr>
            <w:tcW w:w="6416" w:type="dxa"/>
            <w:vAlign w:val="center"/>
          </w:tcPr>
          <w:p w14:paraId="70B5214E">
            <w:pPr>
              <w:pStyle w:val="11"/>
              <w:keepNext w:val="0"/>
              <w:keepLines w:val="0"/>
              <w:widowControl w:val="0"/>
              <w:suppressLineNumbers w:val="0"/>
              <w:tabs>
                <w:tab w:val="clear" w:pos="454"/>
              </w:tabs>
              <w:snapToGrid w:val="0"/>
              <w:spacing w:before="0" w:beforeAutospacing="0" w:afterLines="0" w:afterAutospacing="0" w:line="360" w:lineRule="auto"/>
              <w:ind w:left="283" w:right="0" w:hanging="283" w:hangingChars="135"/>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rPr>
              <w:t xml:space="preserve"> 60 </w:t>
            </w:r>
            <w:r>
              <w:rPr>
                <w:rFonts w:hint="eastAsia" w:ascii="宋体" w:hAnsi="宋体" w:cs="宋体"/>
                <w:color w:val="auto"/>
                <w:kern w:val="2"/>
                <w:sz w:val="21"/>
                <w:szCs w:val="21"/>
                <w:highlight w:val="none"/>
              </w:rPr>
              <w:t>日。</w:t>
            </w:r>
          </w:p>
        </w:tc>
      </w:tr>
      <w:tr w14:paraId="0521B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6A0148B1">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390" w:type="dxa"/>
            <w:vAlign w:val="center"/>
          </w:tcPr>
          <w:p w14:paraId="07B8A187">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磋商保证金</w:t>
            </w:r>
          </w:p>
        </w:tc>
        <w:tc>
          <w:tcPr>
            <w:tcW w:w="6416" w:type="dxa"/>
            <w:vAlign w:val="center"/>
          </w:tcPr>
          <w:p w14:paraId="75ECCECF">
            <w:pPr>
              <w:keepNext w:val="0"/>
              <w:keepLines w:val="0"/>
              <w:suppressLineNumbers w:val="0"/>
              <w:snapToGrid w:val="0"/>
              <w:spacing w:before="0" w:beforeAutospacing="0" w:after="0" w:afterAutospacing="0" w:line="360" w:lineRule="auto"/>
              <w:ind w:left="0" w:right="0"/>
              <w:rPr>
                <w:rFonts w:hint="eastAsia" w:ascii="宋体" w:hAnsi="宋体" w:cs="宋体"/>
                <w:b/>
                <w:bCs/>
                <w:color w:val="auto"/>
                <w:szCs w:val="21"/>
                <w:highlight w:val="none"/>
              </w:rPr>
            </w:pPr>
            <w:r>
              <w:rPr>
                <w:rFonts w:hint="eastAsia" w:ascii="宋体" w:hAnsi="宋体" w:cs="宋体"/>
                <w:b/>
                <w:bCs/>
                <w:color w:val="auto"/>
                <w:szCs w:val="21"/>
                <w:highlight w:val="none"/>
              </w:rPr>
              <w:t>本项目需要缴</w:t>
            </w:r>
            <w:r>
              <w:rPr>
                <w:rFonts w:hint="eastAsia" w:ascii="宋体" w:hAnsi="宋体" w:cs="宋体"/>
                <w:b/>
                <w:bCs/>
                <w:color w:val="auto"/>
                <w:kern w:val="0"/>
                <w:szCs w:val="21"/>
                <w:highlight w:val="none"/>
              </w:rPr>
              <w:t>纳</w:t>
            </w:r>
            <w:r>
              <w:rPr>
                <w:rFonts w:hint="eastAsia" w:ascii="宋体" w:hAnsi="宋体" w:cs="宋体"/>
                <w:b/>
                <w:bCs/>
                <w:color w:val="auto"/>
                <w:szCs w:val="21"/>
                <w:highlight w:val="none"/>
              </w:rPr>
              <w:t>磋商保证金，相关要求如下：</w:t>
            </w:r>
          </w:p>
          <w:p w14:paraId="5CA635A9">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1.磋商保证金的缴纳方式：详见竞争性磋商公告。</w:t>
            </w:r>
          </w:p>
          <w:p w14:paraId="07D0DBAF">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2.磋商保证金的金额：详见竞争性磋商公告。</w:t>
            </w:r>
          </w:p>
          <w:p w14:paraId="5E0F0F40">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3.磋商保证金采用银行转账缴纳方式的，在首次响应文件提交截止时间前交至采购代理机构指定账户并且到账，供应商应将银行转账底单的复印件作为磋商保证金提交凭证，放置于商务文件中，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36B1B1E0">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4.磋商保证金采用支票、汇票、本票或者金融机构、担保机构出具的保函等缴纳方式的，供应商应将支票、汇票、本票或者金融机构、担保机构出具的保函等的复印件</w:t>
            </w:r>
            <w:r>
              <w:rPr>
                <w:rFonts w:hint="default"/>
                <w:color w:val="auto"/>
                <w:highlight w:val="none"/>
              </w:rPr>
              <w:t>或者金融机构、担保机构出具的电子保函</w:t>
            </w:r>
            <w:r>
              <w:rPr>
                <w:rFonts w:hint="eastAsia" w:ascii="宋体" w:hAnsi="宋体" w:cs="宋体"/>
                <w:color w:val="auto"/>
                <w:szCs w:val="21"/>
                <w:highlight w:val="none"/>
              </w:rPr>
              <w:t>作为磋商保证金提交凭证，放置于商务文件中，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。供应商必须在</w:t>
            </w:r>
            <w:r>
              <w:rPr>
                <w:rFonts w:hint="eastAsia" w:ascii="宋体" w:hAnsi="宋体" w:cs="宋体"/>
                <w:color w:val="auto"/>
                <w:kern w:val="0"/>
                <w:szCs w:val="21"/>
                <w:highlight w:val="none"/>
              </w:rPr>
              <w:t>首次响应文件提交截止时间前</w:t>
            </w:r>
            <w:r>
              <w:rPr>
                <w:rFonts w:hint="eastAsia" w:ascii="宋体" w:hAnsi="宋体" w:cs="宋体"/>
                <w:color w:val="auto"/>
                <w:szCs w:val="21"/>
                <w:highlight w:val="none"/>
              </w:rPr>
              <w:t>将支票、汇票、本票或者金融机构、担保机构出具的保函（电子保函除外）等原件提交给采购代理机构，由采购代理机构向供应商出具回执，并妥善保管。</w:t>
            </w:r>
          </w:p>
          <w:p w14:paraId="389D6AEF">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5.磋商保证金指定账户：详见竞争性磋商公告。</w:t>
            </w:r>
          </w:p>
          <w:p w14:paraId="523383CC">
            <w:pPr>
              <w:keepNext w:val="0"/>
              <w:keepLines w:val="0"/>
              <w:suppressLineNumbers w:val="0"/>
              <w:snapToGrid w:val="0"/>
              <w:spacing w:before="0" w:beforeAutospacing="0" w:after="0" w:afterAutospacing="0" w:line="360" w:lineRule="auto"/>
              <w:ind w:left="0" w:right="0"/>
              <w:rPr>
                <w:rFonts w:hint="eastAsia" w:ascii="宋体" w:hAnsi="宋体" w:cs="宋体"/>
                <w:b/>
                <w:color w:val="auto"/>
                <w:szCs w:val="21"/>
                <w:highlight w:val="none"/>
              </w:rPr>
            </w:pPr>
            <w:r>
              <w:rPr>
                <w:rFonts w:hint="eastAsia" w:ascii="宋体" w:hAnsi="宋体" w:cs="宋体"/>
                <w:b/>
                <w:color w:val="auto"/>
                <w:szCs w:val="21"/>
                <w:highlight w:val="none"/>
              </w:rPr>
              <w:t xml:space="preserve">备注： </w:t>
            </w:r>
          </w:p>
          <w:p w14:paraId="7BFBBAD4">
            <w:pPr>
              <w:keepNext w:val="0"/>
              <w:keepLines w:val="0"/>
              <w:suppressLineNumbers w:val="0"/>
              <w:snapToGrid w:val="0"/>
              <w:spacing w:before="0" w:beforeAutospacing="0" w:after="0" w:afterAutospacing="0" w:line="360" w:lineRule="auto"/>
              <w:ind w:left="0" w:right="0"/>
              <w:rPr>
                <w:rFonts w:hint="eastAsia" w:ascii="宋体" w:hAnsi="宋体" w:cs="宋体"/>
                <w:b/>
                <w:color w:val="auto"/>
                <w:szCs w:val="21"/>
                <w:highlight w:val="none"/>
              </w:rPr>
            </w:pPr>
            <w:r>
              <w:rPr>
                <w:rFonts w:hint="eastAsia" w:ascii="宋体" w:hAnsi="宋体" w:cs="宋体"/>
                <w:b/>
                <w:color w:val="auto"/>
                <w:szCs w:val="21"/>
                <w:highlight w:val="none"/>
              </w:rPr>
              <w:t>1.磋商保证金在首次响应文件提交截止时间后提交的，或者不按规定缴纳方式缴纳的，或者未足额缴纳的（包含保函额度不足的），视为无效磋商保证金。</w:t>
            </w:r>
          </w:p>
          <w:p w14:paraId="482C78EE">
            <w:pPr>
              <w:keepNext w:val="0"/>
              <w:keepLines w:val="0"/>
              <w:suppressLineNumbers w:val="0"/>
              <w:snapToGrid w:val="0"/>
              <w:spacing w:before="0" w:beforeAutospacing="0" w:after="0" w:afterAutospacing="0" w:line="360" w:lineRule="auto"/>
              <w:ind w:left="0" w:right="0"/>
              <w:rPr>
                <w:rFonts w:hint="eastAsia" w:ascii="宋体" w:hAnsi="宋体" w:cs="宋体"/>
                <w:b/>
                <w:color w:val="auto"/>
                <w:szCs w:val="21"/>
                <w:highlight w:val="none"/>
              </w:rPr>
            </w:pPr>
            <w:r>
              <w:rPr>
                <w:rFonts w:hint="eastAsia" w:ascii="宋体" w:hAnsi="宋体" w:cs="宋体"/>
                <w:b/>
                <w:color w:val="auto"/>
                <w:szCs w:val="21"/>
                <w:highlight w:val="none"/>
              </w:rPr>
              <w:t>2.供应商采用现金方式或者从个人账户（自然人竞标除外）转出的磋商保证金，视为无效磋商保证金。</w:t>
            </w:r>
          </w:p>
          <w:p w14:paraId="5FC60798">
            <w:pPr>
              <w:keepNext w:val="0"/>
              <w:keepLines w:val="0"/>
              <w:suppressLineNumbers w:val="0"/>
              <w:snapToGrid w:val="0"/>
              <w:spacing w:before="0" w:beforeAutospacing="0" w:after="0" w:afterAutospacing="0" w:line="360" w:lineRule="auto"/>
              <w:ind w:left="0" w:right="0"/>
              <w:rPr>
                <w:rFonts w:hint="eastAsia"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3.支票、汇票或者本票出现无效或者背书情形的，视为无效磋商保证金。</w:t>
            </w:r>
          </w:p>
          <w:p w14:paraId="04FB92FE">
            <w:pPr>
              <w:keepNext w:val="0"/>
              <w:keepLines w:val="0"/>
              <w:suppressLineNumbers w:val="0"/>
              <w:snapToGrid w:val="0"/>
              <w:spacing w:before="0" w:beforeAutospacing="0" w:after="0" w:afterAutospacing="0" w:line="360" w:lineRule="auto"/>
              <w:ind w:left="0" w:right="0"/>
              <w:rPr>
                <w:rFonts w:hint="eastAsia" w:ascii="宋体" w:hAnsi="宋体" w:cs="宋体"/>
                <w:b/>
                <w:color w:val="auto"/>
                <w:szCs w:val="21"/>
                <w:highlight w:val="none"/>
              </w:rPr>
            </w:pPr>
            <w:r>
              <w:rPr>
                <w:rFonts w:hint="eastAsia" w:ascii="宋体" w:hAnsi="宋体" w:cs="宋体"/>
                <w:b/>
                <w:color w:val="auto"/>
                <w:szCs w:val="21"/>
                <w:highlight w:val="none"/>
              </w:rPr>
              <w:t>4.保函有效期低于竞标有效期的，视为无效磋商保证金。</w:t>
            </w:r>
          </w:p>
          <w:p w14:paraId="488A7501">
            <w:pPr>
              <w:keepNext w:val="0"/>
              <w:keepLines w:val="0"/>
              <w:suppressLineNumbers w:val="0"/>
              <w:autoSpaceDE w:val="0"/>
              <w:autoSpaceDN w:val="0"/>
              <w:snapToGrid w:val="0"/>
              <w:spacing w:before="0" w:beforeAutospacing="0" w:after="0" w:afterAutospacing="0" w:line="360" w:lineRule="auto"/>
              <w:ind w:left="0" w:right="0"/>
              <w:textAlignment w:val="bottom"/>
              <w:rPr>
                <w:rFonts w:hint="eastAsia" w:ascii="宋体" w:hAnsi="宋体" w:cs="宋体"/>
                <w:color w:val="auto"/>
                <w:szCs w:val="21"/>
                <w:highlight w:val="none"/>
              </w:rPr>
            </w:pPr>
            <w:r>
              <w:rPr>
                <w:rFonts w:hint="eastAsia" w:ascii="宋体" w:hAnsi="宋体" w:cs="宋体"/>
                <w:b/>
                <w:color w:val="auto"/>
                <w:szCs w:val="21"/>
                <w:highlight w:val="none"/>
              </w:rPr>
              <w:t>5.采用金融、担保机构出具保函的，必须为无条件保函，否则视为无效磋商保证金。</w:t>
            </w:r>
          </w:p>
        </w:tc>
      </w:tr>
      <w:tr w14:paraId="5F59A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63" w:type="dxa"/>
            <w:vMerge w:val="restart"/>
            <w:vAlign w:val="center"/>
          </w:tcPr>
          <w:p w14:paraId="71F10016">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390" w:type="dxa"/>
            <w:vAlign w:val="center"/>
          </w:tcPr>
          <w:p w14:paraId="2B24FA48">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首次响应文件提交截止时间</w:t>
            </w:r>
          </w:p>
        </w:tc>
        <w:tc>
          <w:tcPr>
            <w:tcW w:w="6416" w:type="dxa"/>
            <w:vAlign w:val="center"/>
          </w:tcPr>
          <w:p w14:paraId="201E53A1">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5D2FD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63" w:type="dxa"/>
            <w:vMerge w:val="continue"/>
            <w:vAlign w:val="center"/>
          </w:tcPr>
          <w:p w14:paraId="3AFF4C9F">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c>
          <w:tcPr>
            <w:tcW w:w="2390" w:type="dxa"/>
            <w:vAlign w:val="center"/>
          </w:tcPr>
          <w:p w14:paraId="3CF549BC">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首次响应文件开启时间</w:t>
            </w:r>
          </w:p>
        </w:tc>
        <w:tc>
          <w:tcPr>
            <w:tcW w:w="6416" w:type="dxa"/>
            <w:vAlign w:val="center"/>
          </w:tcPr>
          <w:p w14:paraId="45F35699">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详见竞争性磋商公告。</w:t>
            </w:r>
          </w:p>
        </w:tc>
      </w:tr>
      <w:tr w14:paraId="266D1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3" w:type="dxa"/>
            <w:vMerge w:val="continue"/>
            <w:vAlign w:val="center"/>
          </w:tcPr>
          <w:p w14:paraId="0625C373">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c>
          <w:tcPr>
            <w:tcW w:w="2390" w:type="dxa"/>
            <w:vAlign w:val="center"/>
          </w:tcPr>
          <w:p w14:paraId="7F3CD8A0">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首次响应文件提交地点</w:t>
            </w:r>
          </w:p>
        </w:tc>
        <w:tc>
          <w:tcPr>
            <w:tcW w:w="6416" w:type="dxa"/>
            <w:vAlign w:val="center"/>
          </w:tcPr>
          <w:p w14:paraId="0CB95886">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53D49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3" w:type="dxa"/>
            <w:vAlign w:val="center"/>
          </w:tcPr>
          <w:p w14:paraId="30924708">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390" w:type="dxa"/>
            <w:vAlign w:val="center"/>
          </w:tcPr>
          <w:p w14:paraId="03CA7A03">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备份响应文件</w:t>
            </w:r>
          </w:p>
        </w:tc>
        <w:tc>
          <w:tcPr>
            <w:tcW w:w="6416" w:type="dxa"/>
            <w:vAlign w:val="center"/>
          </w:tcPr>
          <w:p w14:paraId="10BE7545">
            <w:pPr>
              <w:keepNext w:val="0"/>
              <w:keepLines w:val="0"/>
              <w:suppressLineNumbers w:val="0"/>
              <w:snapToGrid w:val="0"/>
              <w:spacing w:before="0" w:beforeAutospacing="0" w:after="0" w:afterAutospacing="0" w:line="360" w:lineRule="auto"/>
              <w:ind w:left="0" w:right="0"/>
              <w:jc w:val="left"/>
              <w:rPr>
                <w:rFonts w:hint="eastAsia" w:ascii="宋体" w:hAnsi="宋体" w:cs="宋体"/>
                <w:color w:val="auto"/>
                <w:szCs w:val="21"/>
                <w:highlight w:val="none"/>
              </w:rPr>
            </w:pPr>
            <w:r>
              <w:rPr>
                <w:rFonts w:hint="eastAsia" w:ascii="宋体" w:hAnsi="宋体" w:cs="宋体"/>
                <w:color w:val="auto"/>
                <w:szCs w:val="21"/>
                <w:highlight w:val="none"/>
              </w:rPr>
              <w:t>本项目不接受备份响应文件。</w:t>
            </w:r>
          </w:p>
        </w:tc>
      </w:tr>
      <w:tr w14:paraId="22738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63" w:type="dxa"/>
            <w:vMerge w:val="restart"/>
            <w:vAlign w:val="center"/>
          </w:tcPr>
          <w:p w14:paraId="2D2435E0">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26</w:t>
            </w:r>
          </w:p>
        </w:tc>
        <w:tc>
          <w:tcPr>
            <w:tcW w:w="2390" w:type="dxa"/>
            <w:vAlign w:val="center"/>
          </w:tcPr>
          <w:p w14:paraId="631B1C94">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负偏离要求</w:t>
            </w:r>
          </w:p>
        </w:tc>
        <w:tc>
          <w:tcPr>
            <w:tcW w:w="6416" w:type="dxa"/>
            <w:vAlign w:val="center"/>
          </w:tcPr>
          <w:p w14:paraId="1E946792">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商务条款中允许负偏离的条款数为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5D241C81">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技术要求中允许负偏离的条款数为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tc>
      </w:tr>
      <w:tr w14:paraId="3A651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63" w:type="dxa"/>
            <w:vMerge w:val="continue"/>
            <w:vAlign w:val="center"/>
          </w:tcPr>
          <w:p w14:paraId="78B20A52">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c>
          <w:tcPr>
            <w:tcW w:w="2390" w:type="dxa"/>
            <w:vAlign w:val="center"/>
          </w:tcPr>
          <w:p w14:paraId="3965185A">
            <w:pPr>
              <w:keepNext w:val="0"/>
              <w:keepLines w:val="0"/>
              <w:suppressLineNumbers w:val="0"/>
              <w:snapToGrid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评审方法</w:t>
            </w:r>
          </w:p>
        </w:tc>
        <w:tc>
          <w:tcPr>
            <w:tcW w:w="6416" w:type="dxa"/>
            <w:vAlign w:val="center"/>
          </w:tcPr>
          <w:p w14:paraId="622C7746">
            <w:pPr>
              <w:pStyle w:val="13"/>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color w:val="auto"/>
                <w:highlight w:val="none"/>
              </w:rPr>
              <w:t>本项目采用综合评分法。综合评分法是指响应文件满足竞争性磋商文件全部实质性要求且按评审因素的量化指标评审得分最高的供应商为成交候选供应商的评审方法。</w:t>
            </w:r>
          </w:p>
        </w:tc>
      </w:tr>
      <w:tr w14:paraId="05034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vAlign w:val="center"/>
          </w:tcPr>
          <w:p w14:paraId="4359C8F2">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c>
          <w:tcPr>
            <w:tcW w:w="2390" w:type="dxa"/>
            <w:vAlign w:val="center"/>
          </w:tcPr>
          <w:p w14:paraId="1AA291EB">
            <w:pPr>
              <w:keepNext w:val="0"/>
              <w:keepLines w:val="0"/>
              <w:suppressLineNumbers w:val="0"/>
              <w:snapToGrid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磋商的顺序</w:t>
            </w:r>
          </w:p>
        </w:tc>
        <w:tc>
          <w:tcPr>
            <w:tcW w:w="6416" w:type="dxa"/>
            <w:vAlign w:val="center"/>
          </w:tcPr>
          <w:p w14:paraId="1841814C">
            <w:pPr>
              <w:pStyle w:val="13"/>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如采用视频会议形式进行磋商，将按照提交首次响应文件的顺序，通知磋商时，若某供应商不在通知现场时，该供应商排序到最后磋商，按照签到的顺序由其下一位供应商先参与磋商。</w:t>
            </w:r>
          </w:p>
          <w:p w14:paraId="137CE638">
            <w:pPr>
              <w:pStyle w:val="13"/>
              <w:keepNext w:val="0"/>
              <w:keepLines w:val="0"/>
              <w:suppressLineNumbers w:val="0"/>
              <w:spacing w:before="0" w:beforeAutospacing="0" w:after="0" w:afterAutospacing="0" w:line="360" w:lineRule="auto"/>
              <w:ind w:left="0" w:right="0"/>
              <w:rPr>
                <w:rFonts w:hint="eastAsia" w:ascii="宋体" w:hAnsi="宋体" w:cs="宋体"/>
                <w:b/>
                <w:color w:val="auto"/>
                <w:szCs w:val="21"/>
                <w:highlight w:val="none"/>
              </w:rPr>
            </w:pPr>
            <w:r>
              <w:rPr>
                <w:rFonts w:hint="eastAsia" w:ascii="宋体" w:hAnsi="宋体" w:cs="宋体"/>
                <w:b/>
                <w:color w:val="auto"/>
                <w:szCs w:val="21"/>
                <w:highlight w:val="none"/>
              </w:rPr>
              <w:t>参与磋商前，磋商小组如有要求，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7EEBF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3D648427">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390" w:type="dxa"/>
            <w:vAlign w:val="center"/>
          </w:tcPr>
          <w:p w14:paraId="46D5BB80">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履约保证金</w:t>
            </w:r>
          </w:p>
        </w:tc>
        <w:tc>
          <w:tcPr>
            <w:tcW w:w="6416" w:type="dxa"/>
            <w:vAlign w:val="center"/>
          </w:tcPr>
          <w:p w14:paraId="13600A86">
            <w:pPr>
              <w:keepNext w:val="0"/>
              <w:keepLines w:val="0"/>
              <w:widowControl w:val="0"/>
              <w:suppressLineNumbers w:val="0"/>
              <w:spacing w:before="0" w:beforeAutospacing="0" w:after="0" w:afterAutospacing="0" w:line="360" w:lineRule="auto"/>
              <w:ind w:left="0" w:right="0" w:firstLine="0" w:firstLineChars="0"/>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本项目需要缴</w:t>
            </w:r>
            <w:r>
              <w:rPr>
                <w:rFonts w:hint="eastAsia" w:ascii="宋体" w:hAnsi="宋体" w:eastAsia="宋体" w:cs="宋体"/>
                <w:b/>
                <w:bCs/>
                <w:color w:val="auto"/>
                <w:kern w:val="0"/>
                <w:sz w:val="21"/>
                <w:szCs w:val="21"/>
                <w:highlight w:val="none"/>
                <w:lang w:val="en-US" w:eastAsia="zh-CN" w:bidi="ar"/>
              </w:rPr>
              <w:t>纳</w:t>
            </w:r>
            <w:r>
              <w:rPr>
                <w:rFonts w:hint="eastAsia" w:ascii="宋体" w:hAnsi="宋体" w:eastAsia="宋体" w:cs="宋体"/>
                <w:b/>
                <w:bCs/>
                <w:color w:val="auto"/>
                <w:kern w:val="2"/>
                <w:sz w:val="21"/>
                <w:szCs w:val="21"/>
                <w:highlight w:val="none"/>
                <w:lang w:val="en-US" w:eastAsia="zh-CN" w:bidi="ar"/>
              </w:rPr>
              <w:t>履约保证金，相关要求如下：</w:t>
            </w:r>
          </w:p>
          <w:p w14:paraId="26CBE770">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i/>
                <w:i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1.履约保证金金额：按项目成交总金额的</w:t>
            </w:r>
            <w:r>
              <w:rPr>
                <w:rFonts w:hint="eastAsia" w:ascii="宋体" w:hAnsi="宋体" w:eastAsia="宋体" w:cs="宋体"/>
                <w:b/>
                <w:bCs/>
                <w:color w:val="auto"/>
                <w:kern w:val="2"/>
                <w:sz w:val="21"/>
                <w:szCs w:val="21"/>
                <w:highlight w:val="none"/>
                <w:u w:val="single"/>
                <w:lang w:val="en-US" w:eastAsia="zh-CN" w:bidi="ar"/>
              </w:rPr>
              <w:t>2%</w:t>
            </w:r>
            <w:r>
              <w:rPr>
                <w:rFonts w:hint="eastAsia" w:ascii="宋体" w:hAnsi="宋体" w:eastAsia="宋体" w:cs="宋体"/>
                <w:color w:val="auto"/>
                <w:kern w:val="2"/>
                <w:sz w:val="21"/>
                <w:szCs w:val="21"/>
                <w:highlight w:val="none"/>
                <w:lang w:val="en-US" w:eastAsia="zh-CN" w:bidi="ar"/>
              </w:rPr>
              <w:t>，</w:t>
            </w:r>
          </w:p>
          <w:p w14:paraId="39A4AF1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2.履约保证金提交方式：成交供应商在</w:t>
            </w:r>
            <w:r>
              <w:rPr>
                <w:rFonts w:hint="eastAsia" w:ascii="宋体" w:hAnsi="宋体" w:eastAsia="宋体" w:cs="宋体"/>
                <w:color w:val="auto"/>
                <w:kern w:val="0"/>
                <w:sz w:val="21"/>
                <w:szCs w:val="21"/>
                <w:highlight w:val="none"/>
                <w:u w:val="single"/>
                <w:lang w:val="en-US" w:eastAsia="zh-CN" w:bidi="ar"/>
              </w:rPr>
              <w:t>签订合同</w:t>
            </w:r>
            <w:r>
              <w:rPr>
                <w:rFonts w:hint="eastAsia" w:ascii="宋体" w:hAnsi="宋体" w:eastAsia="宋体" w:cs="宋体"/>
                <w:color w:val="auto"/>
                <w:kern w:val="2"/>
                <w:sz w:val="21"/>
                <w:szCs w:val="21"/>
                <w:highlight w:val="none"/>
                <w:u w:val="single"/>
                <w:lang w:val="en-US" w:eastAsia="zh-CN" w:bidi="ar"/>
              </w:rPr>
              <w:t>前</w:t>
            </w:r>
            <w:r>
              <w:rPr>
                <w:rFonts w:hint="eastAsia" w:ascii="宋体" w:hAnsi="宋体" w:eastAsia="宋体" w:cs="宋体"/>
                <w:color w:val="auto"/>
                <w:kern w:val="2"/>
                <w:sz w:val="21"/>
                <w:szCs w:val="21"/>
                <w:highlight w:val="none"/>
                <w:lang w:val="en-US" w:eastAsia="zh-CN" w:bidi="ar"/>
              </w:rPr>
              <w:t>以银行转账、支票、汇票、本票或者金融机构、担保机构出具的保函等非现金方式向</w:t>
            </w:r>
            <w:r>
              <w:rPr>
                <w:rFonts w:hint="eastAsia" w:ascii="宋体" w:hAnsi="宋体" w:eastAsia="宋体" w:cs="宋体"/>
                <w:color w:val="auto"/>
                <w:kern w:val="2"/>
                <w:sz w:val="21"/>
                <w:szCs w:val="21"/>
                <w:highlight w:val="none"/>
                <w:u w:val="single"/>
                <w:lang w:val="en-US" w:eastAsia="zh-CN" w:bidi="ar"/>
              </w:rPr>
              <w:t>采购人</w:t>
            </w:r>
            <w:r>
              <w:rPr>
                <w:rFonts w:hint="eastAsia" w:ascii="宋体" w:hAnsi="宋体" w:eastAsia="宋体" w:cs="宋体"/>
                <w:color w:val="auto"/>
                <w:kern w:val="2"/>
                <w:sz w:val="21"/>
                <w:szCs w:val="21"/>
                <w:highlight w:val="none"/>
                <w:lang w:val="en-US" w:eastAsia="zh-CN" w:bidi="ar"/>
              </w:rPr>
              <w:t>提交。</w:t>
            </w:r>
          </w:p>
          <w:p w14:paraId="6D9D15C0">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bidi="ar"/>
              </w:rPr>
              <w:t>3.履约保证金退付方式、时间及条件：</w:t>
            </w:r>
            <w:r>
              <w:rPr>
                <w:rFonts w:hint="eastAsia" w:ascii="宋体" w:hAnsi="宋体" w:eastAsia="宋体" w:cs="宋体"/>
                <w:color w:val="auto"/>
                <w:kern w:val="2"/>
                <w:sz w:val="21"/>
                <w:szCs w:val="21"/>
                <w:highlight w:val="none"/>
                <w:u w:val="single"/>
                <w:lang w:val="en-US" w:eastAsia="zh-CN" w:bidi="ar"/>
              </w:rPr>
              <w:t>成交供应商履行完合同约定权利义务事项（包括提供要求的服务、安装、调试、培训、技术支持、验收、运维、售后等）后，</w:t>
            </w:r>
            <w:r>
              <w:rPr>
                <w:rFonts w:hint="eastAsia" w:ascii="宋体" w:hAnsi="宋体" w:cs="宋体"/>
                <w:color w:val="auto"/>
                <w:kern w:val="2"/>
                <w:sz w:val="21"/>
                <w:szCs w:val="21"/>
                <w:highlight w:val="none"/>
                <w:u w:val="single"/>
                <w:lang w:val="en-US" w:eastAsia="zh-CN" w:bidi="ar"/>
              </w:rPr>
              <w:t>向采购人提出退还申请，经双方按照合同约定确认后</w:t>
            </w:r>
            <w:r>
              <w:rPr>
                <w:rFonts w:hint="eastAsia" w:ascii="宋体" w:hAnsi="宋体" w:eastAsia="宋体" w:cs="宋体"/>
                <w:color w:val="auto"/>
                <w:kern w:val="2"/>
                <w:sz w:val="21"/>
                <w:szCs w:val="21"/>
                <w:highlight w:val="none"/>
                <w:u w:val="single"/>
                <w:lang w:val="en-US" w:eastAsia="zh-CN" w:bidi="ar"/>
              </w:rPr>
              <w:t>采购人在5个工作日内无息退还。</w:t>
            </w:r>
          </w:p>
          <w:p w14:paraId="7519591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4.缴纳履约保证金指定账户的信息：签订合同前提供给成交供应商</w:t>
            </w:r>
            <w:r>
              <w:rPr>
                <w:rFonts w:hint="eastAsia" w:ascii="宋体" w:hAnsi="宋体" w:cs="宋体"/>
                <w:color w:val="auto"/>
                <w:kern w:val="2"/>
                <w:sz w:val="21"/>
                <w:szCs w:val="21"/>
                <w:highlight w:val="none"/>
                <w:lang w:val="en-US" w:eastAsia="zh-CN" w:bidi="ar"/>
              </w:rPr>
              <w:t>。</w:t>
            </w:r>
          </w:p>
          <w:p w14:paraId="796428F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备注：</w:t>
            </w:r>
          </w:p>
          <w:p w14:paraId="64798B5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1.履约保证金不足额缴纳的（包含保函额度不足的），或者不按规定提交方式提交的，或者保函有效期低于合同履行期限的（即合同中规定的当事人履行自己的义务，如交付标的物、价款或者报酬，履行劳务、完成工作的时间界限）的，视为未按规定提交履约保证金。</w:t>
            </w:r>
          </w:p>
          <w:p w14:paraId="6CB740A1">
            <w:pPr>
              <w:keepNext w:val="0"/>
              <w:keepLines w:val="0"/>
              <w:widowControl w:val="0"/>
              <w:suppressLineNumbers w:val="0"/>
              <w:spacing w:before="0" w:beforeAutospacing="0" w:after="0" w:afterAutospacing="0" w:line="360" w:lineRule="auto"/>
              <w:ind w:left="0" w:right="0"/>
              <w:jc w:val="both"/>
              <w:rPr>
                <w:rFonts w:hint="eastAsia" w:ascii="宋体" w:hAnsi="宋体" w:cs="宋体"/>
                <w:color w:val="auto"/>
                <w:szCs w:val="21"/>
                <w:highlight w:val="none"/>
              </w:rPr>
            </w:pPr>
            <w:r>
              <w:rPr>
                <w:rFonts w:hint="eastAsia" w:ascii="宋体" w:hAnsi="宋体" w:eastAsia="宋体" w:cs="宋体"/>
                <w:b/>
                <w:bCs w:val="0"/>
                <w:color w:val="auto"/>
                <w:kern w:val="2"/>
                <w:sz w:val="21"/>
                <w:szCs w:val="21"/>
                <w:highlight w:val="none"/>
                <w:lang w:val="en-US" w:eastAsia="zh-CN" w:bidi="ar"/>
              </w:rPr>
              <w:t>2.采用金融、担保机构出具保函的，必须为无条件保函，否则视为未按规定提交履约保证金。</w:t>
            </w:r>
          </w:p>
        </w:tc>
      </w:tr>
      <w:tr w14:paraId="27AC6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5B131887">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390" w:type="dxa"/>
            <w:vAlign w:val="center"/>
          </w:tcPr>
          <w:p w14:paraId="21C75864">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签订合同携带的材料</w:t>
            </w:r>
          </w:p>
        </w:tc>
        <w:tc>
          <w:tcPr>
            <w:tcW w:w="6416" w:type="dxa"/>
            <w:vAlign w:val="center"/>
          </w:tcPr>
          <w:p w14:paraId="60AC64E9">
            <w:pPr>
              <w:keepNext w:val="0"/>
              <w:keepLines w:val="0"/>
              <w:suppressLineNumbers w:val="0"/>
              <w:autoSpaceDE w:val="0"/>
              <w:autoSpaceDN w:val="0"/>
              <w:snapToGrid w:val="0"/>
              <w:spacing w:before="0" w:beforeAutospacing="0" w:after="0" w:afterAutospacing="0" w:line="360" w:lineRule="auto"/>
              <w:ind w:left="0" w:right="0"/>
              <w:textAlignment w:val="bottom"/>
              <w:rPr>
                <w:rFonts w:hint="eastAsia" w:ascii="宋体" w:hAnsi="宋体" w:cs="宋体"/>
                <w:color w:val="auto"/>
                <w:szCs w:val="21"/>
                <w:highlight w:val="none"/>
              </w:rPr>
            </w:pPr>
            <w:r>
              <w:rPr>
                <w:rFonts w:hint="eastAsia" w:ascii="宋体" w:hAnsi="宋体" w:cs="宋体"/>
                <w:color w:val="auto"/>
                <w:szCs w:val="21"/>
                <w:highlight w:val="none"/>
              </w:rPr>
              <w:t>委托代理人负责签订合同的，须携带有效的法定代表人授权委托书及其委托代理人身份证原件等其他资格证件。</w:t>
            </w:r>
          </w:p>
          <w:p w14:paraId="0EAAADAF">
            <w:pPr>
              <w:keepNext w:val="0"/>
              <w:keepLines w:val="0"/>
              <w:suppressLineNumbers w:val="0"/>
              <w:snapToGrid w:val="0"/>
              <w:spacing w:before="0" w:beforeAutospacing="0" w:after="0" w:afterAutospacing="0" w:line="360" w:lineRule="auto"/>
              <w:ind w:left="0" w:right="0"/>
              <w:rPr>
                <w:rFonts w:hint="eastAsia" w:ascii="宋体" w:hAnsi="宋体" w:cs="宋体"/>
                <w:b/>
                <w:bCs/>
                <w:i/>
                <w:iCs/>
                <w:color w:val="auto"/>
                <w:szCs w:val="21"/>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28716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vAlign w:val="center"/>
          </w:tcPr>
          <w:p w14:paraId="2AFD99BA">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390" w:type="dxa"/>
            <w:vAlign w:val="center"/>
          </w:tcPr>
          <w:p w14:paraId="7016661B">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接收质疑函方式</w:t>
            </w:r>
          </w:p>
        </w:tc>
        <w:tc>
          <w:tcPr>
            <w:tcW w:w="6416" w:type="dxa"/>
            <w:vAlign w:val="center"/>
          </w:tcPr>
          <w:p w14:paraId="4D867318">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以书面形式</w:t>
            </w:r>
          </w:p>
        </w:tc>
      </w:tr>
      <w:tr w14:paraId="520AF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vAlign w:val="center"/>
          </w:tcPr>
          <w:p w14:paraId="0466ABD3">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c>
          <w:tcPr>
            <w:tcW w:w="2390" w:type="dxa"/>
            <w:vAlign w:val="center"/>
          </w:tcPr>
          <w:p w14:paraId="3837C20C">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质疑联系部门及联系</w:t>
            </w:r>
          </w:p>
          <w:p w14:paraId="4366663D">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方式</w:t>
            </w:r>
          </w:p>
        </w:tc>
        <w:tc>
          <w:tcPr>
            <w:tcW w:w="6416" w:type="dxa"/>
            <w:vAlign w:val="center"/>
          </w:tcPr>
          <w:p w14:paraId="3DA41271">
            <w:pPr>
              <w:keepNext w:val="0"/>
              <w:keepLines w:val="0"/>
              <w:numPr>
                <w:ilvl w:val="0"/>
                <w:numId w:val="2"/>
              </w:numPr>
              <w:suppressLineNumbers w:val="0"/>
              <w:snapToGrid w:val="0"/>
              <w:spacing w:before="0" w:beforeAutospacing="0" w:after="0" w:afterAutospacing="0" w:line="360" w:lineRule="auto"/>
              <w:ind w:left="0" w:right="0"/>
              <w:rPr>
                <w:rFonts w:hint="eastAsia" w:ascii="宋体" w:hAnsi="宋体" w:cs="宋体"/>
                <w:color w:val="auto"/>
                <w:szCs w:val="21"/>
                <w:highlight w:val="none"/>
              </w:rPr>
            </w:pPr>
            <w:bookmarkStart w:id="72" w:name="PO_3000001868_PM031_3"/>
            <w:r>
              <w:rPr>
                <w:rFonts w:hint="eastAsia" w:ascii="宋体" w:hAnsi="宋体" w:cs="宋体"/>
                <w:color w:val="auto"/>
                <w:szCs w:val="21"/>
                <w:highlight w:val="none"/>
              </w:rPr>
              <w:t>名称：</w:t>
            </w:r>
            <w:bookmarkEnd w:id="72"/>
            <w:r>
              <w:rPr>
                <w:rFonts w:hint="eastAsia" w:ascii="宋体" w:hAnsi="宋体" w:cs="宋体"/>
                <w:color w:val="auto"/>
                <w:szCs w:val="21"/>
                <w:highlight w:val="none"/>
                <w:lang w:eastAsia="zh-CN"/>
              </w:rPr>
              <w:t>中国共产党广西壮族自治区委员会政法委员会</w:t>
            </w:r>
          </w:p>
          <w:p w14:paraId="534C02CE">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0771-6119171</w:t>
            </w:r>
          </w:p>
          <w:p w14:paraId="2CB853B6">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通讯地址：</w:t>
            </w:r>
            <w:r>
              <w:rPr>
                <w:rFonts w:hint="eastAsia" w:ascii="宋体" w:hAnsi="宋体" w:cs="宋体"/>
                <w:color w:val="auto"/>
                <w:szCs w:val="21"/>
                <w:highlight w:val="none"/>
                <w:lang w:eastAsia="zh-CN"/>
              </w:rPr>
              <w:t>南宁市金洲路15号</w:t>
            </w:r>
          </w:p>
          <w:p w14:paraId="7CECDC8C">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（2）名称：广西科联招标中心有限公司</w:t>
            </w:r>
          </w:p>
          <w:p w14:paraId="628781FD">
            <w:pPr>
              <w:keepNext w:val="0"/>
              <w:keepLines w:val="0"/>
              <w:suppressLineNumbers w:val="0"/>
              <w:snapToGrid w:val="0"/>
              <w:spacing w:before="0" w:beforeAutospacing="0" w:after="0" w:afterAutospacing="0" w:line="360" w:lineRule="auto"/>
              <w:ind w:left="0" w:right="0"/>
              <w:rPr>
                <w:rFonts w:hint="eastAsia" w:hAnsi="宋体" w:cs="宋体"/>
                <w:color w:val="auto"/>
                <w:highlight w:val="none"/>
              </w:rPr>
            </w:pPr>
            <w:r>
              <w:rPr>
                <w:rFonts w:hint="eastAsia"/>
                <w:color w:val="auto"/>
                <w:szCs w:val="21"/>
                <w:highlight w:val="none"/>
              </w:rPr>
              <w:t>联系</w:t>
            </w:r>
            <w:r>
              <w:rPr>
                <w:rFonts w:hint="default"/>
                <w:color w:val="auto"/>
                <w:szCs w:val="21"/>
                <w:highlight w:val="none"/>
              </w:rPr>
              <w:t>地址</w:t>
            </w:r>
            <w:r>
              <w:rPr>
                <w:rFonts w:hint="eastAsia" w:cs="Helvetica"/>
                <w:color w:val="auto"/>
                <w:szCs w:val="21"/>
                <w:highlight w:val="none"/>
              </w:rPr>
              <w:t>：</w:t>
            </w:r>
            <w:r>
              <w:rPr>
                <w:rFonts w:hint="eastAsia" w:ascii="宋体" w:hAnsi="宋体"/>
                <w:color w:val="auto"/>
                <w:szCs w:val="21"/>
                <w:highlight w:val="none"/>
              </w:rPr>
              <w:t>广西南宁市大学东路170号广西科联招标中心有限公司</w:t>
            </w:r>
            <w:r>
              <w:rPr>
                <w:rFonts w:hint="eastAsia" w:hAnsi="宋体" w:cs="宋体"/>
                <w:color w:val="auto"/>
                <w:highlight w:val="none"/>
              </w:rPr>
              <w:t>103室</w:t>
            </w:r>
          </w:p>
          <w:p w14:paraId="415C150C">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highlight w:val="none"/>
              </w:rPr>
              <w:t>0771-3486228</w:t>
            </w:r>
          </w:p>
        </w:tc>
      </w:tr>
      <w:tr w14:paraId="7993F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vAlign w:val="center"/>
          </w:tcPr>
          <w:p w14:paraId="7EBFAC53">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c>
          <w:tcPr>
            <w:tcW w:w="2390" w:type="dxa"/>
            <w:vAlign w:val="center"/>
          </w:tcPr>
          <w:p w14:paraId="131D8131">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现场提交质疑办理业务</w:t>
            </w:r>
          </w:p>
          <w:p w14:paraId="071C81F3">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时间</w:t>
            </w:r>
          </w:p>
        </w:tc>
        <w:tc>
          <w:tcPr>
            <w:tcW w:w="6416" w:type="dxa"/>
            <w:vAlign w:val="center"/>
          </w:tcPr>
          <w:p w14:paraId="32548AFE">
            <w:pPr>
              <w:keepNext w:val="0"/>
              <w:keepLines w:val="0"/>
              <w:suppressLineNumbers w:val="0"/>
              <w:snapToGrid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highlight w:val="none"/>
              </w:rPr>
              <w:t>质疑期内每个工作日（北京时间）上午8时00分到12时00分，下午15时00分到18时00分。</w:t>
            </w:r>
          </w:p>
        </w:tc>
      </w:tr>
      <w:tr w14:paraId="16C6B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42FC600D">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390" w:type="dxa"/>
            <w:vAlign w:val="center"/>
          </w:tcPr>
          <w:p w14:paraId="1DE889E4">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受理投诉方式</w:t>
            </w:r>
          </w:p>
        </w:tc>
        <w:tc>
          <w:tcPr>
            <w:tcW w:w="6416" w:type="dxa"/>
            <w:vAlign w:val="center"/>
          </w:tcPr>
          <w:p w14:paraId="17B71DC4">
            <w:pPr>
              <w:keepNext w:val="0"/>
              <w:keepLines w:val="0"/>
              <w:suppressLineNumbers w:val="0"/>
              <w:snapToGrid w:val="0"/>
              <w:spacing w:before="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1、受理方式：纸质方式受理，投诉书正、副本（经过质疑的事项才可投诉）。</w:t>
            </w:r>
          </w:p>
          <w:p w14:paraId="1B8177DA">
            <w:pPr>
              <w:keepNext w:val="0"/>
              <w:keepLines w:val="0"/>
              <w:suppressLineNumbers w:val="0"/>
              <w:snapToGrid w:val="0"/>
              <w:spacing w:before="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2、通讯方式</w:t>
            </w:r>
          </w:p>
          <w:p w14:paraId="00BD91DC">
            <w:pPr>
              <w:keepNext w:val="0"/>
              <w:keepLines w:val="0"/>
              <w:suppressLineNumbers w:val="0"/>
              <w:snapToGrid w:val="0"/>
              <w:spacing w:before="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 xml:space="preserve">名称： 广西壮族自治区财政厅 </w:t>
            </w:r>
          </w:p>
          <w:p w14:paraId="0A60F5EC">
            <w:pPr>
              <w:keepNext w:val="0"/>
              <w:keepLines w:val="0"/>
              <w:suppressLineNumbers w:val="0"/>
              <w:snapToGrid w:val="0"/>
              <w:spacing w:before="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 xml:space="preserve">地址： 南宁市青秀区桃源路69号 </w:t>
            </w:r>
          </w:p>
          <w:p w14:paraId="21C5FC32">
            <w:pPr>
              <w:keepNext w:val="0"/>
              <w:keepLines w:val="0"/>
              <w:suppressLineNumbers w:val="0"/>
              <w:snapToGrid w:val="0"/>
              <w:spacing w:before="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联系电话：0771-5331544</w:t>
            </w:r>
          </w:p>
        </w:tc>
      </w:tr>
      <w:tr w14:paraId="27CC8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30D83F2A">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33</w:t>
            </w:r>
          </w:p>
        </w:tc>
        <w:tc>
          <w:tcPr>
            <w:tcW w:w="2390" w:type="dxa"/>
            <w:vAlign w:val="center"/>
          </w:tcPr>
          <w:p w14:paraId="0A600EED">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采购代理服务费</w:t>
            </w:r>
          </w:p>
        </w:tc>
        <w:tc>
          <w:tcPr>
            <w:tcW w:w="6416" w:type="dxa"/>
            <w:vAlign w:val="center"/>
          </w:tcPr>
          <w:p w14:paraId="1BCDCA01">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Cs w:val="21"/>
                <w:highlight w:val="none"/>
              </w:rPr>
            </w:pPr>
            <w:r>
              <w:rPr>
                <w:rFonts w:hint="eastAsia" w:ascii="宋体" w:hAnsi="宋体" w:cs="宋体"/>
                <w:color w:val="auto"/>
                <w:kern w:val="0"/>
                <w:szCs w:val="21"/>
                <w:highlight w:val="none"/>
              </w:rPr>
              <w:t>1. 本项目收取采购代理服务费</w:t>
            </w:r>
          </w:p>
          <w:p w14:paraId="43326742">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Cs w:val="21"/>
                <w:highlight w:val="none"/>
              </w:rPr>
            </w:pPr>
            <w:r>
              <w:rPr>
                <w:rFonts w:hint="eastAsia" w:ascii="宋体" w:hAnsi="宋体" w:cs="宋体"/>
                <w:color w:val="auto"/>
                <w:kern w:val="0"/>
                <w:szCs w:val="21"/>
                <w:highlight w:val="none"/>
              </w:rPr>
              <w:t>2.采购代理服务费支付方式：</w:t>
            </w:r>
          </w:p>
          <w:p w14:paraId="07A8414B">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Cs w:val="21"/>
                <w:highlight w:val="none"/>
              </w:rPr>
            </w:pPr>
            <w:r>
              <w:rPr>
                <w:rFonts w:hint="eastAsia" w:ascii="宋体" w:hAnsi="宋体" w:cs="宋体"/>
                <w:color w:val="auto"/>
                <w:kern w:val="0"/>
                <w:szCs w:val="21"/>
                <w:highlight w:val="none"/>
              </w:rPr>
              <w:t>本项目采购代理服务费由成交供应商在签订合同前，</w:t>
            </w:r>
            <w:r>
              <w:rPr>
                <w:rFonts w:hint="eastAsia" w:ascii="宋体" w:hAnsi="宋体" w:cs="宋体"/>
                <w:color w:val="auto"/>
                <w:highlight w:val="none"/>
              </w:rPr>
              <w:t>以银行转账、电汇等方式</w:t>
            </w:r>
            <w:r>
              <w:rPr>
                <w:rFonts w:hint="eastAsia" w:ascii="宋体" w:hAnsi="宋体" w:cs="宋体"/>
                <w:color w:val="auto"/>
                <w:kern w:val="0"/>
                <w:szCs w:val="21"/>
                <w:highlight w:val="none"/>
              </w:rPr>
              <w:t>一次性向采购代理机构支付。</w:t>
            </w:r>
          </w:p>
          <w:p w14:paraId="72542854">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Cs w:val="21"/>
                <w:highlight w:val="none"/>
              </w:rPr>
            </w:pPr>
            <w:r>
              <w:rPr>
                <w:rFonts w:hint="eastAsia" w:ascii="宋体" w:hAnsi="宋体" w:cs="宋体"/>
                <w:color w:val="auto"/>
                <w:kern w:val="0"/>
                <w:szCs w:val="21"/>
                <w:highlight w:val="none"/>
              </w:rPr>
              <w:t>3.采购代理服务费收取标准：</w:t>
            </w:r>
          </w:p>
          <w:p w14:paraId="06397F5E">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以项目预算金额为计费额，按</w:t>
            </w:r>
            <w:r>
              <w:rPr>
                <w:rFonts w:hint="eastAsia" w:ascii="宋体" w:hAnsi="宋体" w:cs="宋体"/>
                <w:color w:val="auto"/>
                <w:highlight w:val="none"/>
              </w:rPr>
              <w:t>本须知正文第33.2条规定的收费计算标准（</w:t>
            </w:r>
            <w:r>
              <w:rPr>
                <w:rFonts w:hint="eastAsia" w:ascii="宋体" w:hAnsi="宋体" w:cs="宋体"/>
                <w:b/>
                <w:bCs/>
                <w:color w:val="auto"/>
                <w:kern w:val="0"/>
                <w:szCs w:val="21"/>
                <w:highlight w:val="none"/>
                <w:u w:val="single"/>
              </w:rPr>
              <w:t>服务类</w:t>
            </w:r>
            <w:r>
              <w:rPr>
                <w:rFonts w:hint="eastAsia" w:ascii="宋体" w:hAnsi="宋体" w:cs="宋体"/>
                <w:color w:val="auto"/>
                <w:highlight w:val="none"/>
              </w:rPr>
              <w:t>）</w:t>
            </w:r>
            <w:r>
              <w:rPr>
                <w:rFonts w:hint="eastAsia" w:ascii="宋体" w:hAnsi="宋体" w:cs="宋体"/>
                <w:color w:val="auto"/>
                <w:kern w:val="0"/>
                <w:szCs w:val="21"/>
                <w:highlight w:val="none"/>
              </w:rPr>
              <w:t>采用差额定率累进法计算出收费基准价格，采购代理机构收费以收费基准价格</w:t>
            </w:r>
            <w:r>
              <w:rPr>
                <w:rFonts w:hint="eastAsia" w:ascii="宋体" w:hAnsi="宋体" w:cs="宋体"/>
                <w:b/>
                <w:bCs/>
                <w:color w:val="auto"/>
                <w:kern w:val="0"/>
                <w:szCs w:val="21"/>
                <w:highlight w:val="none"/>
                <w:u w:val="single"/>
                <w:lang w:val="en-US" w:eastAsia="zh-CN"/>
              </w:rPr>
              <w:t>的80%</w:t>
            </w:r>
            <w:r>
              <w:rPr>
                <w:rFonts w:hint="eastAsia" w:ascii="宋体" w:hAnsi="宋体" w:cs="宋体"/>
                <w:color w:val="auto"/>
                <w:kern w:val="0"/>
                <w:szCs w:val="21"/>
                <w:highlight w:val="none"/>
              </w:rPr>
              <w:t>收取</w:t>
            </w:r>
            <w:r>
              <w:rPr>
                <w:rFonts w:hint="eastAsia" w:ascii="宋体" w:hAnsi="宋体" w:cs="宋体"/>
                <w:color w:val="auto"/>
                <w:kern w:val="0"/>
                <w:szCs w:val="21"/>
                <w:highlight w:val="none"/>
                <w:lang w:eastAsia="zh-CN"/>
              </w:rPr>
              <w:t>（低于6000元的，按照6000元收取）</w:t>
            </w:r>
            <w:r>
              <w:rPr>
                <w:rFonts w:hint="eastAsia" w:ascii="宋体" w:hAnsi="宋体" w:cs="宋体"/>
                <w:color w:val="auto"/>
                <w:kern w:val="0"/>
                <w:szCs w:val="21"/>
                <w:highlight w:val="none"/>
              </w:rPr>
              <w:t>。</w:t>
            </w:r>
          </w:p>
          <w:p w14:paraId="568C652F">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Cs w:val="21"/>
                <w:highlight w:val="none"/>
              </w:rPr>
            </w:pPr>
            <w:r>
              <w:rPr>
                <w:rFonts w:hint="eastAsia" w:ascii="宋体" w:hAnsi="宋体" w:cs="宋体"/>
                <w:color w:val="auto"/>
                <w:kern w:val="0"/>
                <w:szCs w:val="21"/>
                <w:highlight w:val="none"/>
              </w:rPr>
              <w:t>4.采购代理服务费收取银行账户的信息</w:t>
            </w:r>
          </w:p>
          <w:p w14:paraId="3AF1C332">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Cs w:val="21"/>
                <w:highlight w:val="none"/>
              </w:rPr>
            </w:pPr>
            <w:r>
              <w:rPr>
                <w:rFonts w:hint="eastAsia" w:ascii="宋体" w:hAnsi="宋体" w:cs="宋体"/>
                <w:color w:val="auto"/>
                <w:kern w:val="0"/>
                <w:szCs w:val="21"/>
                <w:highlight w:val="none"/>
              </w:rPr>
              <w:t>开户名称：广西科联招标中心有限公司</w:t>
            </w:r>
          </w:p>
          <w:p w14:paraId="0FA1A629">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开户银行：中国工商银行南宁市高新科技支行</w:t>
            </w:r>
          </w:p>
          <w:p w14:paraId="5E27BC0D">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Cs w:val="21"/>
                <w:highlight w:val="none"/>
              </w:rPr>
            </w:pPr>
            <w:r>
              <w:rPr>
                <w:rFonts w:hint="eastAsia" w:ascii="宋体" w:hAnsi="宋体" w:cs="宋体"/>
                <w:color w:val="auto"/>
                <w:kern w:val="0"/>
                <w:szCs w:val="21"/>
                <w:highlight w:val="none"/>
              </w:rPr>
              <w:t>银行账号：2102111229300032105</w:t>
            </w:r>
          </w:p>
          <w:p w14:paraId="27682510">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Cs w:val="21"/>
                <w:highlight w:val="none"/>
              </w:rPr>
            </w:pPr>
            <w:r>
              <w:rPr>
                <w:rFonts w:hint="eastAsia" w:ascii="宋体" w:hAnsi="宋体" w:cs="宋体"/>
                <w:color w:val="auto"/>
                <w:kern w:val="0"/>
                <w:szCs w:val="21"/>
                <w:highlight w:val="none"/>
              </w:rPr>
              <w:t>开户行行号：102611011101</w:t>
            </w:r>
          </w:p>
        </w:tc>
      </w:tr>
      <w:tr w14:paraId="6F494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37E2ABB6">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390" w:type="dxa"/>
            <w:vAlign w:val="center"/>
          </w:tcPr>
          <w:p w14:paraId="269E2784">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解释</w:t>
            </w:r>
          </w:p>
        </w:tc>
        <w:tc>
          <w:tcPr>
            <w:tcW w:w="6416" w:type="dxa"/>
            <w:vAlign w:val="center"/>
          </w:tcPr>
          <w:p w14:paraId="49B85244">
            <w:pPr>
              <w:keepNext w:val="0"/>
              <w:keepLines w:val="0"/>
              <w:suppressLineNumbers w:val="0"/>
              <w:snapToGrid w:val="0"/>
              <w:spacing w:before="0" w:beforeAutospacing="0" w:after="0" w:afterAutospacing="0" w:line="400" w:lineRule="exact"/>
              <w:ind w:left="0" w:right="0"/>
              <w:rPr>
                <w:rFonts w:hint="eastAsia" w:ascii="宋体" w:hAnsi="宋体" w:cs="宋体"/>
                <w:b/>
                <w:color w:val="auto"/>
                <w:kern w:val="0"/>
                <w:szCs w:val="21"/>
                <w:highlight w:val="none"/>
              </w:rPr>
            </w:pPr>
            <w:r>
              <w:rPr>
                <w:rFonts w:hint="eastAsia" w:ascii="宋体" w:hAnsi="宋体" w:cs="宋体"/>
                <w:b/>
                <w:color w:val="auto"/>
                <w:kern w:val="0"/>
                <w:szCs w:val="21"/>
                <w:highlight w:val="none"/>
              </w:rPr>
              <w:t>解释：</w:t>
            </w:r>
            <w:r>
              <w:rPr>
                <w:rFonts w:hint="eastAsia" w:ascii="宋体" w:hAnsi="宋体" w:cs="宋体"/>
                <w:color w:val="auto"/>
                <w:kern w:val="0"/>
                <w:szCs w:val="21"/>
                <w:highlight w:val="none"/>
              </w:rPr>
              <w:t>构成本竞争性磋商文件的各个组成文件应互为解释，互为说明；除竞争性磋商文件中有特别规定外，仅适用于竞标阶段的规定，按更正公告（澄清公告）、竞争性磋商公告、采购需求、供应商须知、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cs="宋体"/>
                <w:b/>
                <w:color w:val="auto"/>
                <w:kern w:val="0"/>
                <w:szCs w:val="21"/>
                <w:highlight w:val="none"/>
              </w:rPr>
              <w:t>由采购人或者采购代理机构负责解释。</w:t>
            </w:r>
          </w:p>
          <w:p w14:paraId="0273E7BC">
            <w:pPr>
              <w:keepNext w:val="0"/>
              <w:keepLines w:val="0"/>
              <w:suppressLineNumbers w:val="0"/>
              <w:snapToGrid w:val="0"/>
              <w:spacing w:before="0" w:beforeAutospacing="0" w:after="0" w:afterAutospacing="0" w:line="400" w:lineRule="exact"/>
              <w:ind w:left="0" w:right="0"/>
              <w:rPr>
                <w:rFonts w:hint="eastAsia" w:ascii="宋体" w:hAnsi="宋体" w:cs="宋体"/>
                <w:b/>
                <w:color w:val="auto"/>
                <w:kern w:val="0"/>
                <w:szCs w:val="21"/>
                <w:highlight w:val="none"/>
              </w:rPr>
            </w:pPr>
            <w:r>
              <w:rPr>
                <w:rFonts w:hint="eastAsia" w:ascii="宋体" w:hAnsi="宋体" w:cs="宋体"/>
                <w:b/>
                <w:color w:val="auto"/>
                <w:kern w:val="0"/>
                <w:szCs w:val="21"/>
                <w:highlight w:val="none"/>
              </w:rPr>
              <w:t>法律责任：</w:t>
            </w:r>
          </w:p>
          <w:p w14:paraId="0C26459F">
            <w:pPr>
              <w:keepNext w:val="0"/>
              <w:keepLines w:val="0"/>
              <w:suppressLineNumbers w:val="0"/>
              <w:snapToGrid w:val="0"/>
              <w:spacing w:before="0" w:beforeAutospacing="0" w:after="0" w:afterAutospacing="0" w:line="400" w:lineRule="exact"/>
              <w:ind w:left="0" w:right="0"/>
              <w:rPr>
                <w:rFonts w:hint="eastAsia" w:ascii="宋体" w:hAnsi="宋体" w:cs="宋体"/>
                <w:color w:val="auto"/>
                <w:kern w:val="0"/>
                <w:szCs w:val="21"/>
                <w:highlight w:val="none"/>
              </w:rPr>
            </w:pPr>
            <w:r>
              <w:rPr>
                <w:rFonts w:hint="eastAsia" w:ascii="宋体" w:hAnsi="宋体" w:cs="宋体"/>
                <w:color w:val="auto"/>
                <w:kern w:val="0"/>
                <w:szCs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5B12C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14:paraId="598CDC54">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34.2</w:t>
            </w:r>
          </w:p>
        </w:tc>
        <w:tc>
          <w:tcPr>
            <w:tcW w:w="2390" w:type="dxa"/>
            <w:vAlign w:val="center"/>
          </w:tcPr>
          <w:p w14:paraId="62A5BF3C">
            <w:pPr>
              <w:keepNext w:val="0"/>
              <w:keepLines w:val="0"/>
              <w:suppressLineNumbers w:val="0"/>
              <w:spacing w:before="0" w:beforeAutospacing="0" w:after="0" w:afterAutospacing="0" w:line="360" w:lineRule="auto"/>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其他</w:t>
            </w:r>
          </w:p>
        </w:tc>
        <w:tc>
          <w:tcPr>
            <w:tcW w:w="6416" w:type="dxa"/>
            <w:vAlign w:val="center"/>
          </w:tcPr>
          <w:p w14:paraId="7580AD2B">
            <w:pPr>
              <w:pStyle w:val="13"/>
              <w:keepNext w:val="0"/>
              <w:keepLines w:val="0"/>
              <w:suppressLineNumbers w:val="0"/>
              <w:spacing w:before="0" w:beforeAutospacing="0" w:after="0" w:afterAutospacing="0" w:line="400" w:lineRule="exact"/>
              <w:ind w:left="0" w:right="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本竞争性磋商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磋商文件有特殊规定外，供应商的财务章、部门章、工会章、合同章、投标专用章、业务专用章及银行的转账章、现金收讫章、现金付讫章等其他形式印章均不能代替公章。</w:t>
            </w:r>
          </w:p>
          <w:p w14:paraId="665EF219">
            <w:pPr>
              <w:pStyle w:val="13"/>
              <w:keepNext w:val="0"/>
              <w:keepLines w:val="0"/>
              <w:suppressLineNumbers w:val="0"/>
              <w:spacing w:before="0" w:beforeAutospacing="0" w:after="0" w:afterAutospacing="0" w:line="400" w:lineRule="exact"/>
              <w:ind w:left="0" w:right="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2.本竞争性磋商文件中描述供应商的“签字”是指供应商通过指定电子化政府采购平台办理数字证书（CA认证）获得的以供应商法定代表人或者委托代理人姓名制作的电子印章或手写签字。</w:t>
            </w:r>
          </w:p>
          <w:p w14:paraId="63E56CA1">
            <w:pPr>
              <w:pStyle w:val="13"/>
              <w:keepNext w:val="0"/>
              <w:keepLines w:val="0"/>
              <w:suppressLineNumbers w:val="0"/>
              <w:tabs>
                <w:tab w:val="center" w:pos="4153"/>
                <w:tab w:val="right" w:pos="8306"/>
              </w:tabs>
              <w:spacing w:before="0" w:beforeAutospacing="0" w:after="0" w:afterAutospacing="0" w:line="400" w:lineRule="exact"/>
              <w:ind w:left="0" w:right="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竞争性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75FB3038">
            <w:pPr>
              <w:pStyle w:val="13"/>
              <w:keepNext w:val="0"/>
              <w:keepLines w:val="0"/>
              <w:suppressLineNumbers w:val="0"/>
              <w:spacing w:before="0" w:beforeAutospacing="0" w:after="0" w:afterAutospacing="0" w:line="400" w:lineRule="exact"/>
              <w:ind w:left="0" w:right="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4.供应商为其他组织、自然人时，本磋商文件规定的法定代表人指负责人或者自然人。本磋商文件所称负责人是指参加竞标的其他组织营业执照上的负责人，本磋商文件所称自然人指参与竞标的自然人本人。</w:t>
            </w:r>
          </w:p>
          <w:p w14:paraId="33A32682">
            <w:pPr>
              <w:pStyle w:val="13"/>
              <w:keepNext w:val="0"/>
              <w:keepLines w:val="0"/>
              <w:suppressLineNumbers w:val="0"/>
              <w:spacing w:before="0" w:beforeAutospacing="0" w:after="0" w:afterAutospacing="0" w:line="400" w:lineRule="exact"/>
              <w:ind w:left="0" w:right="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5.自然人竞标的，竞争性磋商文件规定盖公章处由自然人摁手指指印。</w:t>
            </w:r>
          </w:p>
          <w:p w14:paraId="78234770">
            <w:pPr>
              <w:keepNext w:val="0"/>
              <w:keepLines w:val="0"/>
              <w:suppressLineNumbers w:val="0"/>
              <w:snapToGrid w:val="0"/>
              <w:spacing w:before="0" w:beforeAutospacing="0" w:after="0" w:afterAutospacing="0" w:line="400" w:lineRule="exact"/>
              <w:ind w:left="0" w:right="0"/>
              <w:rPr>
                <w:rFonts w:hint="eastAsia" w:ascii="宋体" w:hAnsi="宋体" w:cs="宋体"/>
                <w:color w:val="auto"/>
                <w:kern w:val="0"/>
                <w:szCs w:val="21"/>
                <w:highlight w:val="none"/>
              </w:rPr>
            </w:pPr>
            <w:r>
              <w:rPr>
                <w:rFonts w:hint="eastAsia" w:ascii="宋体" w:hAnsi="宋体" w:cs="宋体"/>
                <w:color w:val="auto"/>
                <w:szCs w:val="21"/>
                <w:highlight w:val="none"/>
              </w:rPr>
              <w:t xml:space="preserve">    6.本竞争性磋商文件所称的“以上”“以下”“以内”“届满”，包括本数；所称的“不满”“超过”“以外”，不包括本数。</w:t>
            </w:r>
          </w:p>
        </w:tc>
      </w:tr>
    </w:tbl>
    <w:p w14:paraId="1FF1EB91">
      <w:pPr>
        <w:pStyle w:val="3"/>
        <w:spacing w:line="420" w:lineRule="exact"/>
        <w:jc w:val="center"/>
        <w:rPr>
          <w:rFonts w:hint="eastAsia" w:ascii="宋体" w:hAnsi="宋体"/>
          <w:b w:val="0"/>
          <w:color w:val="auto"/>
          <w:highlight w:val="none"/>
        </w:rPr>
      </w:pPr>
      <w:r>
        <w:rPr>
          <w:rFonts w:ascii="宋体" w:hAnsi="宋体"/>
          <w:b w:val="0"/>
          <w:color w:val="auto"/>
          <w:highlight w:val="none"/>
        </w:rPr>
        <w:br w:type="page"/>
      </w:r>
      <w:bookmarkStart w:id="73" w:name="_Toc30957"/>
      <w:bookmarkStart w:id="74" w:name="_Toc27094"/>
      <w:bookmarkStart w:id="75" w:name="_Toc80886929"/>
      <w:r>
        <w:rPr>
          <w:rFonts w:hint="eastAsia" w:ascii="宋体" w:hAnsi="宋体"/>
          <w:b w:val="0"/>
          <w:color w:val="auto"/>
          <w:highlight w:val="none"/>
        </w:rPr>
        <w:t>第二节 供应商须知正文</w:t>
      </w:r>
      <w:bookmarkEnd w:id="73"/>
      <w:bookmarkEnd w:id="74"/>
      <w:bookmarkEnd w:id="75"/>
    </w:p>
    <w:p w14:paraId="54B05143">
      <w:pPr>
        <w:pStyle w:val="4"/>
        <w:spacing w:before="0" w:after="0" w:line="360" w:lineRule="auto"/>
        <w:ind w:firstLine="640" w:firstLineChars="200"/>
        <w:rPr>
          <w:b w:val="0"/>
          <w:color w:val="auto"/>
          <w:highlight w:val="none"/>
        </w:rPr>
      </w:pPr>
      <w:bookmarkStart w:id="76" w:name="_Toc6457"/>
      <w:bookmarkStart w:id="77" w:name="_Toc80886930"/>
      <w:bookmarkStart w:id="78" w:name="_Toc26166"/>
      <w:r>
        <w:rPr>
          <w:rFonts w:hint="eastAsia"/>
          <w:b w:val="0"/>
          <w:color w:val="auto"/>
          <w:highlight w:val="none"/>
        </w:rPr>
        <w:t>一、总则</w:t>
      </w:r>
      <w:bookmarkEnd w:id="76"/>
      <w:bookmarkEnd w:id="77"/>
      <w:bookmarkEnd w:id="78"/>
    </w:p>
    <w:p w14:paraId="16E0476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6C4E1C9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5394B1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5C7553B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3B0B79C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2C2BB330">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4AC2F1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117B2EB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2.4“服务”是指除货物和工程以外的其他政府采购对象。</w:t>
      </w:r>
    </w:p>
    <w:p w14:paraId="52B0C1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2.5“竞标”是指供应商按照本项目竞争性磋商公告规定的方式获取磋商文件、提交响应文件并希望获得标的的行为。</w:t>
      </w:r>
    </w:p>
    <w:p w14:paraId="3A87226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w:t>
      </w:r>
      <w:r>
        <w:rPr>
          <w:rFonts w:hint="eastAsia" w:ascii="宋体" w:hAnsi="宋体" w:cs="宋体"/>
          <w:color w:val="auto"/>
          <w:szCs w:val="21"/>
          <w:highlight w:val="none"/>
        </w:rPr>
        <w:t>报价文件、商务和技术文件</w:t>
      </w:r>
      <w:r>
        <w:rPr>
          <w:rFonts w:hint="eastAsia" w:ascii="宋体" w:hAnsi="宋体" w:cs="宋体"/>
          <w:color w:val="auto"/>
          <w:spacing w:val="-6"/>
          <w:szCs w:val="21"/>
          <w:highlight w:val="none"/>
        </w:rPr>
        <w:t>等所有内容的文件。</w:t>
      </w:r>
    </w:p>
    <w:p w14:paraId="4D65F9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54C402B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7F63B8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2285320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40DAEF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37853D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4DB42CA9">
      <w:pPr>
        <w:spacing w:line="360" w:lineRule="auto"/>
        <w:ind w:firstLine="420" w:firstLineChars="200"/>
        <w:rPr>
          <w:rFonts w:cs="宋体"/>
          <w:color w:val="auto"/>
          <w:szCs w:val="21"/>
          <w:highlight w:val="none"/>
        </w:rPr>
      </w:pPr>
      <w:r>
        <w:rPr>
          <w:rFonts w:hint="eastAsia" w:ascii="宋体" w:hAnsi="宋体" w:cs="宋体"/>
          <w:color w:val="auto"/>
          <w:szCs w:val="21"/>
          <w:highlight w:val="none"/>
        </w:rPr>
        <w:t>2.13“评审报价”是指供应商提</w:t>
      </w:r>
      <w:r>
        <w:rPr>
          <w:rFonts w:hint="eastAsia" w:cs="宋体"/>
          <w:color w:val="auto"/>
          <w:szCs w:val="21"/>
          <w:highlight w:val="none"/>
        </w:rPr>
        <w:t>交的最后报价并经修正（如有）和政策功能价格扣除（如有）后的价格。</w:t>
      </w:r>
    </w:p>
    <w:p w14:paraId="40FD8B7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400F4A39">
      <w:pPr>
        <w:spacing w:line="360" w:lineRule="auto"/>
        <w:ind w:firstLine="420" w:firstLineChars="200"/>
        <w:rPr>
          <w:rFonts w:cs="宋体"/>
          <w:color w:val="auto"/>
          <w:szCs w:val="21"/>
          <w:highlight w:val="none"/>
        </w:rPr>
      </w:pPr>
      <w:r>
        <w:rPr>
          <w:rFonts w:hint="eastAsia" w:cs="宋体"/>
          <w:color w:val="auto"/>
          <w:szCs w:val="21"/>
          <w:highlight w:val="none"/>
        </w:rPr>
        <w:t>供应商的资格条件详见“供应商须知前附表”。</w:t>
      </w:r>
    </w:p>
    <w:p w14:paraId="4331FB0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3F9F7B5A">
      <w:pPr>
        <w:spacing w:line="360" w:lineRule="auto"/>
        <w:ind w:firstLine="420" w:firstLineChars="200"/>
        <w:rPr>
          <w:rFonts w:cs="宋体"/>
          <w:color w:val="auto"/>
          <w:szCs w:val="21"/>
          <w:highlight w:val="none"/>
        </w:rPr>
      </w:pPr>
      <w:r>
        <w:rPr>
          <w:rFonts w:hint="eastAsia"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77B9DF5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3DB7D1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2D6B67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s="宋体"/>
          <w:color w:val="auto"/>
          <w:highlight w:val="none"/>
        </w:rPr>
        <w:t>如接受联合体竞标，</w:t>
      </w:r>
      <w:r>
        <w:rPr>
          <w:rFonts w:hint="eastAsia" w:ascii="宋体" w:hAnsi="宋体" w:cs="宋体"/>
          <w:color w:val="auto"/>
          <w:szCs w:val="21"/>
          <w:highlight w:val="none"/>
        </w:rPr>
        <w:t>联合体竞标要求详见“供应商须知前附表”。</w:t>
      </w:r>
    </w:p>
    <w:p w14:paraId="3BA68FD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498050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6.1本项目不允许转包。</w:t>
      </w:r>
    </w:p>
    <w:p w14:paraId="5410537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6.2本项目是否允许分包详见“供应商须知前附表”，本项目不允许违法分包。</w:t>
      </w:r>
    </w:p>
    <w:p w14:paraId="5E189776">
      <w:pPr>
        <w:spacing w:line="360" w:lineRule="auto"/>
        <w:ind w:firstLine="482" w:firstLineChars="200"/>
        <w:rPr>
          <w:rFonts w:hint="eastAsia" w:ascii="黑体" w:hAnsi="黑体" w:eastAsia="黑体" w:cs="宋体"/>
          <w:b/>
          <w:bCs/>
          <w:color w:val="auto"/>
          <w:sz w:val="24"/>
          <w:highlight w:val="none"/>
        </w:rPr>
      </w:pPr>
      <w:bookmarkStart w:id="79" w:name="_Toc254970532"/>
      <w:bookmarkStart w:id="80" w:name="_Toc254970673"/>
      <w:r>
        <w:rPr>
          <w:rFonts w:hint="eastAsia" w:ascii="黑体" w:hAnsi="黑体" w:eastAsia="黑体" w:cs="宋体"/>
          <w:b/>
          <w:bCs/>
          <w:color w:val="auto"/>
          <w:sz w:val="24"/>
          <w:highlight w:val="none"/>
        </w:rPr>
        <w:t>7.特别说明</w:t>
      </w:r>
      <w:bookmarkEnd w:id="79"/>
      <w:bookmarkEnd w:id="80"/>
    </w:p>
    <w:p w14:paraId="329BC600">
      <w:pPr>
        <w:spacing w:line="360" w:lineRule="auto"/>
        <w:ind w:firstLine="420" w:firstLineChars="200"/>
        <w:rPr>
          <w:rFonts w:hint="eastAsia" w:ascii="宋体" w:hAnsi="宋体" w:cs="宋体"/>
          <w:color w:val="auto"/>
          <w:szCs w:val="21"/>
          <w:highlight w:val="none"/>
        </w:rPr>
      </w:pPr>
      <w:bookmarkStart w:id="81" w:name="_8.1提供相同品牌产品且通过资格审查、符合性审查的不同投标人参加同一合"/>
      <w:bookmarkEnd w:id="81"/>
      <w:r>
        <w:rPr>
          <w:rFonts w:hint="eastAsia" w:ascii="宋体" w:hAnsi="宋体" w:cs="宋体"/>
          <w:color w:val="auto"/>
          <w:szCs w:val="21"/>
          <w:highlight w:val="none"/>
        </w:rPr>
        <w:t>7.1</w:t>
      </w:r>
      <w:bookmarkStart w:id="82" w:name="_Hlk65832145"/>
      <w:r>
        <w:rPr>
          <w:rFonts w:hint="eastAsia" w:ascii="宋体" w:hAnsi="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82"/>
    <w:p w14:paraId="42E4016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7E0C2E6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E53D769">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7.4在政府采购活动中，采购人员及相关人员与供应商有下列利害关系之一的，应当回避：</w:t>
      </w:r>
    </w:p>
    <w:p w14:paraId="23E8028E">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（1）参加采购活动前3年内与供应商存在劳动关系；</w:t>
      </w:r>
    </w:p>
    <w:p w14:paraId="3C8905A8">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（2）参加采购活动前3年内担任供应商的董事、监事；</w:t>
      </w:r>
    </w:p>
    <w:p w14:paraId="3C598177">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（3）参加采购活动前3年内是供应商的控股股东或者实际控制人；</w:t>
      </w:r>
    </w:p>
    <w:p w14:paraId="3C8B98F0">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（4）与供应商的法定代表人或者负责人有夫妻、直系血亲、三代以内旁系血亲或者近姻亲关系；</w:t>
      </w:r>
    </w:p>
    <w:p w14:paraId="657BE53B">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（5）与供应商有其他可能影响政府采购活动公平、公正进行的关系。</w:t>
      </w:r>
    </w:p>
    <w:p w14:paraId="5E39E5E1">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75BDB96">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7.5有下列情形之一的视为供应商相互串通竞标，响应文件将被视为无效：</w:t>
      </w:r>
    </w:p>
    <w:p w14:paraId="2F7A041B">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 xml:space="preserve">（1）不同供应商的响应文件由同一单位或者个人编制；或不同供应商报名的IP地址一致的； </w:t>
      </w:r>
    </w:p>
    <w:p w14:paraId="6F4568C7">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（2）不同供应商委托同一单位或者个人办理竞标事宜；</w:t>
      </w:r>
    </w:p>
    <w:p w14:paraId="0D4AB093">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（3）不同的供应商的响应文件载明的项目管理员为同一个人；</w:t>
      </w:r>
    </w:p>
    <w:p w14:paraId="5818222D">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（4）不同供应商的响应文件异常一致或者报价呈规律性差异；</w:t>
      </w:r>
    </w:p>
    <w:p w14:paraId="14378B71">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（5）不同供应商的响应文件相互混装；</w:t>
      </w:r>
    </w:p>
    <w:p w14:paraId="6FABC638">
      <w:pPr>
        <w:tabs>
          <w:tab w:val="left" w:pos="6931"/>
        </w:tabs>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（6）不同供应商的磋商保证金从同一单位或者个人账户转出。</w:t>
      </w:r>
      <w:r>
        <w:rPr>
          <w:rFonts w:hint="eastAsia" w:ascii="宋体" w:hAnsi="宋体" w:cs="宋体"/>
          <w:b/>
          <w:bCs/>
          <w:color w:val="auto"/>
          <w:szCs w:val="21"/>
          <w:highlight w:val="none"/>
        </w:rPr>
        <w:tab/>
      </w:r>
    </w:p>
    <w:p w14:paraId="33129848">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7.6供应商有下列情形之一的，属于恶意串通行为，将报同级监督管理部门：</w:t>
      </w:r>
    </w:p>
    <w:p w14:paraId="26AC4675">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（1）供应商直接或者间接从采购人或者采购代理机构处获得其他供应商的相关信息并修改其响应文件；</w:t>
      </w:r>
    </w:p>
    <w:p w14:paraId="02DFF5E4">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（2）供应商按照采购人或者采购代理机构的授意撤换、修改响应文件；</w:t>
      </w:r>
    </w:p>
    <w:p w14:paraId="32E1C341">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（3）供应商之间协商报价、技术方案等响应文件的实质性内容；</w:t>
      </w:r>
    </w:p>
    <w:p w14:paraId="7B093E22">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（4）属于同一集团、协会、商会等组织成员的供应商按照该组织要求协同参加政府采购活动；</w:t>
      </w:r>
    </w:p>
    <w:p w14:paraId="7705BBFF">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FE101F3">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（6）供应商之间商定部分供应商放弃参加政府采购活动或者放弃成交；</w:t>
      </w:r>
    </w:p>
    <w:p w14:paraId="5D24E4A0">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（7）供应商与采购人或者采购代理机构之间、供应商相互之间，为谋求特定供应商成交或者排斥其他供应商的其他串通行为。</w:t>
      </w:r>
    </w:p>
    <w:p w14:paraId="0B710AC6">
      <w:pPr>
        <w:pStyle w:val="4"/>
        <w:spacing w:before="0" w:after="0" w:line="360" w:lineRule="auto"/>
        <w:ind w:firstLine="640" w:firstLineChars="200"/>
        <w:rPr>
          <w:b w:val="0"/>
          <w:bCs w:val="0"/>
          <w:color w:val="auto"/>
          <w:highlight w:val="none"/>
        </w:rPr>
      </w:pPr>
      <w:bookmarkStart w:id="83" w:name="_Toc27583"/>
      <w:bookmarkStart w:id="84" w:name="_Toc80886931"/>
      <w:bookmarkStart w:id="85" w:name="_Toc12713"/>
      <w:bookmarkStart w:id="86" w:name="_Toc254970534"/>
      <w:bookmarkStart w:id="87" w:name="_Toc254970675"/>
    </w:p>
    <w:p w14:paraId="56683705">
      <w:pPr>
        <w:pStyle w:val="4"/>
        <w:spacing w:before="0" w:after="0" w:line="360" w:lineRule="auto"/>
        <w:ind w:firstLine="640" w:firstLineChars="200"/>
        <w:rPr>
          <w:b w:val="0"/>
          <w:bCs w:val="0"/>
          <w:color w:val="auto"/>
          <w:highlight w:val="none"/>
        </w:rPr>
      </w:pPr>
      <w:r>
        <w:rPr>
          <w:rFonts w:hint="eastAsia"/>
          <w:b w:val="0"/>
          <w:bCs w:val="0"/>
          <w:color w:val="auto"/>
          <w:highlight w:val="none"/>
        </w:rPr>
        <w:t>二、磋商文件</w:t>
      </w:r>
      <w:bookmarkEnd w:id="83"/>
      <w:bookmarkEnd w:id="84"/>
      <w:bookmarkEnd w:id="85"/>
      <w:bookmarkEnd w:id="86"/>
      <w:bookmarkEnd w:id="87"/>
    </w:p>
    <w:p w14:paraId="597DF02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6F52E95E">
      <w:pPr>
        <w:spacing w:line="360" w:lineRule="auto"/>
        <w:ind w:firstLine="420" w:firstLineChars="200"/>
        <w:jc w:val="left"/>
        <w:rPr>
          <w:color w:val="auto"/>
          <w:szCs w:val="21"/>
          <w:highlight w:val="none"/>
        </w:rPr>
      </w:pPr>
      <w:r>
        <w:rPr>
          <w:rFonts w:hint="eastAsia"/>
          <w:color w:val="auto"/>
          <w:szCs w:val="21"/>
          <w:highlight w:val="none"/>
        </w:rPr>
        <w:t>第一章 竞争性磋商公告；</w:t>
      </w:r>
    </w:p>
    <w:p w14:paraId="2D0A0859">
      <w:pPr>
        <w:spacing w:line="360" w:lineRule="auto"/>
        <w:ind w:firstLine="420" w:firstLineChars="200"/>
        <w:jc w:val="left"/>
        <w:rPr>
          <w:color w:val="auto"/>
          <w:szCs w:val="21"/>
          <w:highlight w:val="none"/>
        </w:rPr>
      </w:pPr>
      <w:r>
        <w:rPr>
          <w:rFonts w:hint="eastAsia"/>
          <w:color w:val="auto"/>
          <w:szCs w:val="21"/>
          <w:highlight w:val="none"/>
        </w:rPr>
        <w:t>第二章 采购需求；</w:t>
      </w:r>
    </w:p>
    <w:p w14:paraId="44BDA35B">
      <w:pPr>
        <w:spacing w:line="360" w:lineRule="auto"/>
        <w:ind w:firstLine="420" w:firstLineChars="200"/>
        <w:jc w:val="left"/>
        <w:rPr>
          <w:color w:val="auto"/>
          <w:szCs w:val="21"/>
          <w:highlight w:val="none"/>
        </w:rPr>
      </w:pPr>
      <w:r>
        <w:rPr>
          <w:rFonts w:hint="eastAsia"/>
          <w:color w:val="auto"/>
          <w:szCs w:val="21"/>
          <w:highlight w:val="none"/>
        </w:rPr>
        <w:t xml:space="preserve">第三章 供应商须知； </w:t>
      </w:r>
    </w:p>
    <w:p w14:paraId="0437BAD9">
      <w:pPr>
        <w:spacing w:line="360" w:lineRule="auto"/>
        <w:ind w:firstLine="420" w:firstLineChars="200"/>
        <w:jc w:val="left"/>
        <w:rPr>
          <w:color w:val="auto"/>
          <w:szCs w:val="21"/>
          <w:highlight w:val="none"/>
        </w:rPr>
      </w:pPr>
      <w:r>
        <w:rPr>
          <w:rFonts w:hint="eastAsia"/>
          <w:color w:val="auto"/>
          <w:szCs w:val="21"/>
          <w:highlight w:val="none"/>
        </w:rPr>
        <w:t>第四章 评审程序、评审方法和评审标准；</w:t>
      </w:r>
    </w:p>
    <w:p w14:paraId="78E9D191">
      <w:pPr>
        <w:spacing w:line="360" w:lineRule="auto"/>
        <w:ind w:firstLine="420" w:firstLineChars="200"/>
        <w:jc w:val="left"/>
        <w:rPr>
          <w:color w:val="auto"/>
          <w:szCs w:val="21"/>
          <w:highlight w:val="none"/>
        </w:rPr>
      </w:pPr>
      <w:r>
        <w:rPr>
          <w:rFonts w:hint="eastAsia"/>
          <w:color w:val="auto"/>
          <w:szCs w:val="21"/>
          <w:highlight w:val="none"/>
        </w:rPr>
        <w:t>第五章 响应文件格式；</w:t>
      </w:r>
    </w:p>
    <w:p w14:paraId="1F2D0946">
      <w:pPr>
        <w:spacing w:line="360" w:lineRule="auto"/>
        <w:ind w:firstLine="420" w:firstLineChars="200"/>
        <w:jc w:val="left"/>
        <w:rPr>
          <w:color w:val="auto"/>
          <w:szCs w:val="21"/>
          <w:highlight w:val="none"/>
        </w:rPr>
      </w:pPr>
      <w:r>
        <w:rPr>
          <w:rFonts w:hint="eastAsia"/>
          <w:color w:val="auto"/>
          <w:szCs w:val="21"/>
          <w:highlight w:val="none"/>
        </w:rPr>
        <w:t>第六章 合同文本；</w:t>
      </w:r>
    </w:p>
    <w:p w14:paraId="3D1E95AE">
      <w:pPr>
        <w:spacing w:line="360" w:lineRule="auto"/>
        <w:ind w:firstLine="420" w:firstLineChars="200"/>
        <w:jc w:val="left"/>
        <w:rPr>
          <w:color w:val="auto"/>
          <w:szCs w:val="21"/>
          <w:highlight w:val="none"/>
        </w:rPr>
      </w:pPr>
      <w:r>
        <w:rPr>
          <w:rFonts w:hint="eastAsia"/>
          <w:color w:val="auto"/>
          <w:szCs w:val="21"/>
          <w:highlight w:val="none"/>
        </w:rPr>
        <w:t>第七章 质疑、投诉材料格式。</w:t>
      </w:r>
    </w:p>
    <w:p w14:paraId="3624B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7401543">
      <w:pPr>
        <w:spacing w:line="360" w:lineRule="auto"/>
        <w:ind w:firstLine="420" w:firstLineChars="200"/>
        <w:rPr>
          <w:color w:val="auto"/>
          <w:szCs w:val="21"/>
          <w:highlight w:val="none"/>
        </w:rPr>
      </w:pPr>
      <w:r>
        <w:rPr>
          <w:rFonts w:hint="eastAsia"/>
          <w:color w:val="auto"/>
          <w:szCs w:val="21"/>
          <w:highlight w:val="none"/>
        </w:rPr>
        <w:t>供应商应认真阅读磋商文件的采购需求，如供应商对磋商文件有疑问的，如要求采购人作出澄清或者修改的，供应商尽应在</w:t>
      </w:r>
      <w:r>
        <w:rPr>
          <w:color w:val="auto"/>
          <w:szCs w:val="21"/>
          <w:highlight w:val="none"/>
        </w:rPr>
        <w:t>提交首次响应文件截止之日前</w:t>
      </w:r>
      <w:r>
        <w:rPr>
          <w:rFonts w:hint="eastAsia"/>
          <w:color w:val="auto"/>
          <w:szCs w:val="21"/>
          <w:highlight w:val="none"/>
        </w:rPr>
        <w:t>，以书面形式向</w:t>
      </w:r>
      <w:r>
        <w:rPr>
          <w:color w:val="auto"/>
          <w:szCs w:val="21"/>
          <w:highlight w:val="none"/>
        </w:rPr>
        <w:t>采购人、采购代理机构</w:t>
      </w:r>
      <w:r>
        <w:rPr>
          <w:rFonts w:hint="eastAsia"/>
          <w:color w:val="auto"/>
          <w:szCs w:val="21"/>
          <w:highlight w:val="none"/>
        </w:rPr>
        <w:t>提出。</w:t>
      </w:r>
    </w:p>
    <w:p w14:paraId="68FA8E4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7AFCCE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C063AE3">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358AE8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时间。澄清或者更正公告在竞争性磋商公告发布媒体上发布，一经发布，视作已以书面形式通知所有获取竞争性磋商文件的潜在供应商，不再另行通知，所有潜在供应商应密切关注竞争性磋商公告发布媒体，因未能及时获知，由此产生的后果均应自行承担。</w:t>
      </w:r>
    </w:p>
    <w:p w14:paraId="583EBA2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10.4</w:t>
      </w:r>
      <w:r>
        <w:rPr>
          <w:rFonts w:hint="eastAsia" w:ascii="宋体" w:hAnsi="宋体" w:cs="宋体"/>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216A4DA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10.5  采购人和采购代理机构可以视采购具体情况，变更提交首次响应文件截止时间和竞谈时间，将变更时间将在“竞争性磋商公告”中“七、其他补充事宜2.网上查询地址”规定的政府采购信息发布媒体上发布更正公告。</w:t>
      </w:r>
    </w:p>
    <w:p w14:paraId="12C49018">
      <w:pPr>
        <w:spacing w:line="360" w:lineRule="auto"/>
        <w:ind w:firstLine="400" w:firstLineChars="200"/>
        <w:rPr>
          <w:rFonts w:hint="eastAsia" w:ascii="宋体" w:hAnsi="宋体" w:cs="宋体"/>
          <w:color w:val="auto"/>
          <w:kern w:val="0"/>
          <w:sz w:val="20"/>
          <w:szCs w:val="21"/>
          <w:highlight w:val="none"/>
        </w:rPr>
      </w:pPr>
      <w:r>
        <w:rPr>
          <w:rFonts w:hint="eastAsia" w:ascii="宋体" w:hAnsi="宋体" w:cs="宋体"/>
          <w:color w:val="auto"/>
          <w:kern w:val="0"/>
          <w:sz w:val="20"/>
          <w:szCs w:val="21"/>
          <w:highlight w:val="none"/>
        </w:rPr>
        <w:t>▲</w:t>
      </w:r>
      <w:r>
        <w:rPr>
          <w:rFonts w:hint="eastAsia" w:ascii="宋体" w:hAnsi="宋体" w:cs="宋体"/>
          <w:b/>
          <w:color w:val="auto"/>
          <w:kern w:val="0"/>
          <w:sz w:val="20"/>
          <w:szCs w:val="21"/>
          <w:highlight w:val="none"/>
        </w:rPr>
        <w:t>响应文件未按磋商文件的澄清、修改的内容编制，又不符合实质性要求的，其响应文件按无效处理。</w:t>
      </w:r>
    </w:p>
    <w:p w14:paraId="363E2B12">
      <w:pPr>
        <w:pStyle w:val="4"/>
        <w:spacing w:before="0" w:after="0" w:line="360" w:lineRule="auto"/>
        <w:ind w:firstLine="320" w:firstLineChars="100"/>
        <w:rPr>
          <w:b w:val="0"/>
          <w:bCs w:val="0"/>
          <w:color w:val="auto"/>
          <w:highlight w:val="none"/>
        </w:rPr>
      </w:pPr>
      <w:r>
        <w:rPr>
          <w:rFonts w:hint="eastAsia"/>
          <w:b w:val="0"/>
          <w:bCs w:val="0"/>
          <w:color w:val="auto"/>
          <w:highlight w:val="none"/>
        </w:rPr>
        <w:t xml:space="preserve"> </w:t>
      </w:r>
    </w:p>
    <w:p w14:paraId="1694B8A4">
      <w:pPr>
        <w:pStyle w:val="4"/>
        <w:spacing w:before="0" w:after="0" w:line="360" w:lineRule="auto"/>
        <w:ind w:firstLine="320" w:firstLineChars="100"/>
        <w:rPr>
          <w:b w:val="0"/>
          <w:bCs w:val="0"/>
          <w:color w:val="auto"/>
          <w:highlight w:val="none"/>
        </w:rPr>
      </w:pPr>
      <w:r>
        <w:rPr>
          <w:rFonts w:hint="eastAsia"/>
          <w:b w:val="0"/>
          <w:bCs w:val="0"/>
          <w:color w:val="auto"/>
          <w:highlight w:val="none"/>
        </w:rPr>
        <w:t xml:space="preserve"> </w:t>
      </w:r>
      <w:bookmarkStart w:id="88" w:name="_Toc80886932"/>
      <w:bookmarkStart w:id="89" w:name="_Toc21480"/>
      <w:bookmarkStart w:id="90" w:name="_Toc21690"/>
      <w:r>
        <w:rPr>
          <w:rFonts w:hint="eastAsia"/>
          <w:b w:val="0"/>
          <w:bCs w:val="0"/>
          <w:color w:val="auto"/>
          <w:highlight w:val="none"/>
        </w:rPr>
        <w:t>三、响应文件的编制</w:t>
      </w:r>
      <w:bookmarkEnd w:id="88"/>
      <w:bookmarkEnd w:id="89"/>
      <w:bookmarkEnd w:id="90"/>
    </w:p>
    <w:p w14:paraId="6DDF4D1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72CFFC54">
      <w:pPr>
        <w:spacing w:line="360" w:lineRule="auto"/>
        <w:ind w:firstLine="420" w:firstLineChars="200"/>
        <w:rPr>
          <w:rFonts w:cs="宋体"/>
          <w:color w:val="auto"/>
          <w:szCs w:val="21"/>
          <w:highlight w:val="none"/>
        </w:rPr>
      </w:pPr>
      <w:r>
        <w:rPr>
          <w:rFonts w:hint="eastAsia" w:cs="宋体"/>
          <w:color w:val="auto"/>
          <w:szCs w:val="21"/>
          <w:highlight w:val="none"/>
        </w:rPr>
        <w:t>供应商必须按照磋商文件的要求编制响应文件，并对其提交的响应文件的真实性、合法性承担法律责任。响应文件必须对磋商文件作出实质性响应。</w:t>
      </w:r>
    </w:p>
    <w:p w14:paraId="3E32DA1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0ED352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68068FF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60CF51E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12.1.2商务技术文件：详见供应商须知前附表</w:t>
      </w:r>
    </w:p>
    <w:p w14:paraId="61F18C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12.1.3报价文件：详见供应商须知前附表</w:t>
      </w:r>
    </w:p>
    <w:p w14:paraId="269D16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12.2响应文件电子版：详见供应商须知前附表</w:t>
      </w:r>
    </w:p>
    <w:p w14:paraId="1195BA2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5CB8388E">
      <w:pPr>
        <w:spacing w:line="360" w:lineRule="auto"/>
        <w:ind w:firstLine="420" w:firstLineChars="200"/>
        <w:rPr>
          <w:rFonts w:cs="宋体"/>
          <w:color w:val="auto"/>
          <w:szCs w:val="21"/>
          <w:highlight w:val="none"/>
        </w:rPr>
      </w:pPr>
      <w:r>
        <w:rPr>
          <w:rFonts w:hint="eastAsia"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438D16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4940D256">
      <w:pPr>
        <w:spacing w:line="360" w:lineRule="auto"/>
        <w:ind w:firstLine="420" w:firstLineChars="200"/>
        <w:rPr>
          <w:rFonts w:cs="宋体"/>
          <w:color w:val="auto"/>
          <w:szCs w:val="21"/>
          <w:highlight w:val="none"/>
        </w:rPr>
      </w:pPr>
      <w:r>
        <w:rPr>
          <w:rFonts w:hint="eastAsia" w:cs="宋体"/>
          <w:color w:val="auto"/>
          <w:szCs w:val="21"/>
          <w:highlight w:val="none"/>
        </w:rPr>
        <w:t>供应商没有按照磋商文件要求提供全部资料，或者供应商没有对磋商文件在各方面作出实质性响应可能导致其响应无效，是供应商应当考虑的风险。</w:t>
      </w:r>
    </w:p>
    <w:p w14:paraId="07C6441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4FB45685">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1FA9A83D">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22F48CC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3ECF3B7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4AAE237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（1）供应商必须就“采购需求”中所竞标的项目/每个分标的全部内容分别作完整唯一总价报价，不得存在漏项报价；</w:t>
      </w:r>
    </w:p>
    <w:p w14:paraId="4E19CA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（2）供应商必须就所竞标的项目/分标的要求作唯一报价。</w:t>
      </w:r>
    </w:p>
    <w:p w14:paraId="6B02E7F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15.3.2响应报价（包含首次报价、最后报价）超过所竞标项目/分标规定的采购预算金额或者最高限价的（如本项目公布了最高限价），其响应文件将按无效处理。</w:t>
      </w:r>
    </w:p>
    <w:p w14:paraId="485287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91" w:name="_Hlk42592874"/>
      <w:r>
        <w:rPr>
          <w:rFonts w:hint="eastAsia" w:ascii="宋体" w:hAnsi="宋体" w:cs="宋体"/>
          <w:color w:val="auto"/>
          <w:szCs w:val="21"/>
          <w:highlight w:val="none"/>
        </w:rPr>
        <w:t>响应报价（包含首次报价、最后报价）超过分项采购预算金额或者最高限价的（如本项目公布了最高限价），其响应文件将按无效处理。</w:t>
      </w:r>
    </w:p>
    <w:bookmarkEnd w:id="91"/>
    <w:p w14:paraId="62EED71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1C6371E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1EEB4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24D1E7C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6657F245">
      <w:pPr>
        <w:spacing w:line="360" w:lineRule="auto"/>
        <w:ind w:firstLine="482" w:firstLineChars="200"/>
        <w:rPr>
          <w:rFonts w:hint="eastAsia" w:ascii="黑体" w:hAnsi="黑体" w:eastAsia="黑体" w:cs="宋体"/>
          <w:b/>
          <w:bCs/>
          <w:i/>
          <w:iCs/>
          <w:color w:val="auto"/>
          <w:sz w:val="24"/>
          <w:highlight w:val="none"/>
          <w:lang w:eastAsia="zh-CN"/>
        </w:rPr>
      </w:pPr>
      <w:r>
        <w:rPr>
          <w:rFonts w:hint="eastAsia" w:ascii="黑体" w:hAnsi="黑体" w:eastAsia="黑体" w:cs="宋体"/>
          <w:b/>
          <w:bCs/>
          <w:color w:val="auto"/>
          <w:sz w:val="24"/>
          <w:highlight w:val="none"/>
        </w:rPr>
        <w:t>17.磋商保证金</w:t>
      </w:r>
    </w:p>
    <w:p w14:paraId="63CD5F5C">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4F70F833">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17.2磋商保证金的退还</w:t>
      </w:r>
    </w:p>
    <w:p w14:paraId="60B5858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17.2.1未</w:t>
      </w:r>
      <w:r>
        <w:rPr>
          <w:rFonts w:hint="eastAsia" w:ascii="宋体" w:hAnsi="宋体" w:cs="宋体"/>
          <w:color w:val="auto"/>
          <w:spacing w:val="-6"/>
          <w:szCs w:val="21"/>
          <w:highlight w:val="none"/>
        </w:rPr>
        <w:t>成交供应商的磋商保证金自成交通知书发出之日起5个工作日内退还，退还方式如下：</w:t>
      </w:r>
    </w:p>
    <w:p w14:paraId="0A75A0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（1）采用银行转账方式的，以转账方式退回到供应商银行账户。</w:t>
      </w:r>
    </w:p>
    <w:p w14:paraId="33B852AD">
      <w:pPr>
        <w:pStyle w:val="7"/>
        <w:spacing w:line="360" w:lineRule="auto"/>
        <w:ind w:firstLine="315" w:firstLineChars="150"/>
        <w:rPr>
          <w:rFonts w:hint="eastAsia" w:ascii="宋体" w:hAnsi="宋体"/>
          <w:color w:val="auto"/>
          <w:szCs w:val="21"/>
          <w:highlight w:val="none"/>
        </w:rPr>
      </w:pPr>
      <w:r>
        <w:rPr>
          <w:rFonts w:hint="eastAsia" w:ascii="宋体" w:hAnsi="宋体" w:cs="宋体"/>
          <w:color w:val="auto"/>
          <w:szCs w:val="21"/>
          <w:highlight w:val="none"/>
        </w:rPr>
        <w:t>（2）</w:t>
      </w:r>
      <w:r>
        <w:rPr>
          <w:rFonts w:hint="eastAsia" w:ascii="宋体" w:hAnsi="宋体"/>
          <w:color w:val="auto"/>
          <w:szCs w:val="21"/>
          <w:highlight w:val="none"/>
        </w:rPr>
        <w:t>采用支票、汇票、本票或者金融机构、担保机构出具的保函等方式的，由供应商代表持相关授权证明材料至采购代理机构办理支票、汇票、本票或者金融机构、担保机构出具的保函等原件退还手续。</w:t>
      </w:r>
    </w:p>
    <w:p w14:paraId="0A887FB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17.2.2成交供应商的磋商保证金自签订合同之日起5个工作日内退还，退还方式同未成交供应商的磋商保证金的退还方式；或者转为成交供应商的履约保证金（如有）。 </w:t>
      </w:r>
    </w:p>
    <w:p w14:paraId="42566DB1">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17.3磋商保证金不计息。</w:t>
      </w:r>
    </w:p>
    <w:p w14:paraId="3F097C1C">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3E395531">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05F40CD6">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（2）供应商在响应文件中提供虚假材料的；</w:t>
      </w:r>
    </w:p>
    <w:p w14:paraId="0EC3BBB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（3）除因不可抗力或者磋商文件认可的情形以外，成交供应商不与采购人签订合同的；</w:t>
      </w:r>
    </w:p>
    <w:p w14:paraId="11D7685A">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（4）供应商与采购人、其他供应商或者采购代理机构恶意串通的；</w:t>
      </w:r>
    </w:p>
    <w:p w14:paraId="64C18022">
      <w:pPr>
        <w:spacing w:line="360" w:lineRule="auto"/>
        <w:ind w:left="420" w:leftChars="200"/>
        <w:rPr>
          <w:rFonts w:cs="宋体"/>
          <w:color w:val="auto"/>
          <w:szCs w:val="21"/>
          <w:highlight w:val="none"/>
        </w:rPr>
      </w:pPr>
      <w:r>
        <w:rPr>
          <w:rFonts w:hint="eastAsia" w:ascii="宋体" w:hAnsi="宋体" w:cs="宋体"/>
          <w:color w:val="auto"/>
          <w:szCs w:val="21"/>
          <w:highlight w:val="none"/>
        </w:rPr>
        <w:t>（5）磋商文件规定的其他情形。</w:t>
      </w:r>
    </w:p>
    <w:p w14:paraId="6875097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13D0A2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7AA6C3C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18.2响应文件应按资格证明文件、报价文件分别编制，商务技术文件合并编制，本磋商只接受电子版响应文件，要求见本章“12.2响应文件电子版要求”。</w:t>
      </w:r>
    </w:p>
    <w:p w14:paraId="670419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92" w:name="_Hlk65832699"/>
      <w:r>
        <w:rPr>
          <w:rFonts w:hint="eastAsia" w:ascii="宋体" w:hAnsi="宋体" w:cs="宋体"/>
          <w:color w:val="auto"/>
          <w:szCs w:val="21"/>
          <w:highlight w:val="none"/>
        </w:rPr>
        <w:t>3响应文件须由供应商按</w:t>
      </w:r>
      <w:r>
        <w:rPr>
          <w:rFonts w:hint="eastAsia" w:ascii="宋体" w:hAnsi="宋体" w:cs="宋体"/>
          <w:color w:val="auto"/>
          <w:kern w:val="0"/>
          <w:szCs w:val="21"/>
          <w:highlight w:val="none"/>
          <w:lang w:val="zh-CN"/>
        </w:rPr>
        <w:t>“</w:t>
      </w:r>
      <w:r>
        <w:rPr>
          <w:rFonts w:hint="eastAsia" w:ascii="宋体" w:hAnsi="宋体" w:cs="宋体"/>
          <w:color w:val="auto"/>
          <w:szCs w:val="21"/>
          <w:highlight w:val="none"/>
        </w:rPr>
        <w:t>第五章 响应文件格式</w:t>
      </w:r>
      <w:r>
        <w:rPr>
          <w:rFonts w:hint="eastAsia" w:ascii="宋体" w:hAnsi="宋体" w:cs="宋体"/>
          <w:color w:val="auto"/>
          <w:kern w:val="0"/>
          <w:szCs w:val="21"/>
          <w:highlight w:val="none"/>
          <w:lang w:val="zh-CN"/>
        </w:rPr>
        <w:t>”</w:t>
      </w:r>
      <w:r>
        <w:rPr>
          <w:rFonts w:hint="eastAsia" w:ascii="宋体" w:hAnsi="宋体" w:cs="宋体"/>
          <w:color w:val="auto"/>
          <w:szCs w:val="21"/>
          <w:highlight w:val="none"/>
        </w:rPr>
        <w:t>要求进行签署、盖章</w:t>
      </w:r>
      <w:bookmarkEnd w:id="92"/>
      <w:r>
        <w:rPr>
          <w:rFonts w:hint="eastAsia" w:ascii="宋体" w:hAnsi="宋体" w:cs="宋体"/>
          <w:color w:val="auto"/>
          <w:szCs w:val="21"/>
          <w:highlight w:val="none"/>
        </w:rPr>
        <w:t>，</w:t>
      </w:r>
      <w:r>
        <w:rPr>
          <w:rFonts w:hint="eastAsia" w:ascii="宋体" w:hAnsi="宋体" w:cs="宋体"/>
          <w:b/>
          <w:bCs/>
          <w:color w:val="auto"/>
          <w:szCs w:val="21"/>
          <w:highlight w:val="none"/>
        </w:rPr>
        <w:t>否则其响应文件按无效响应处理</w:t>
      </w:r>
      <w:r>
        <w:rPr>
          <w:rFonts w:hint="eastAsia" w:ascii="宋体" w:hAnsi="宋体" w:cs="宋体"/>
          <w:color w:val="auto"/>
          <w:szCs w:val="21"/>
          <w:highlight w:val="none"/>
        </w:rPr>
        <w:t>。</w:t>
      </w:r>
    </w:p>
    <w:p w14:paraId="6752DBA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18.4响应文件中标注的供应商名称应与营业执照（事业单位法人证书、执业许可证、自然人身份证）及供应商公章一致，</w:t>
      </w:r>
      <w:r>
        <w:rPr>
          <w:rFonts w:hint="eastAsia" w:ascii="宋体" w:hAnsi="宋体" w:cs="宋体"/>
          <w:b/>
          <w:bCs/>
          <w:color w:val="auto"/>
          <w:szCs w:val="21"/>
          <w:highlight w:val="none"/>
        </w:rPr>
        <w:t>否则其响应文件按无效响应处理。</w:t>
      </w:r>
    </w:p>
    <w:p w14:paraId="1CA9CB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w:t>
      </w:r>
    </w:p>
    <w:p w14:paraId="5228F68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342FEDD8">
      <w:pPr>
        <w:spacing w:line="360" w:lineRule="auto"/>
        <w:ind w:firstLine="420" w:firstLineChars="200"/>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19.1供应商进行电子交易应安装客户端软件，并按照磋商文件和电子交易平台的要求编制并加密响应文件。供应商未按规定加密的响应文件，电子交易平台将拒收并提示。</w:t>
      </w:r>
    </w:p>
    <w:p w14:paraId="1F2C49B4">
      <w:pPr>
        <w:spacing w:line="360" w:lineRule="auto"/>
        <w:ind w:firstLine="420" w:firstLineChars="200"/>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19.2使用广西政府采购云平台电子交易客户端需要提前申领CA数字证书。</w:t>
      </w:r>
    </w:p>
    <w:p w14:paraId="2D25C1B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19.3为确保网上操作合法、有效和安全，供应商应当在响应文件提交截止时间前完成在“广西政府采购云平台”的身份认证，确保在电子交易过程中能够对相关数据电文进行加密和使用电子签名。</w:t>
      </w:r>
    </w:p>
    <w:p w14:paraId="3E48CCD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22DE4E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3724ACB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20.2 在响应文件提交截止时间以后，不能补充、修改响应文件。</w:t>
      </w:r>
    </w:p>
    <w:p w14:paraId="2B90CBC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20.3 在提交“最后报价”后，供应商不能退出磋商。</w:t>
      </w:r>
    </w:p>
    <w:p w14:paraId="00B76C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A18FD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20.5 采购机构不可视情况延长提交响应文件的截止时间。</w:t>
      </w:r>
    </w:p>
    <w:p w14:paraId="62B13C5D">
      <w:pPr>
        <w:spacing w:line="360" w:lineRule="auto"/>
        <w:ind w:firstLine="420" w:firstLineChars="200"/>
        <w:rPr>
          <w:rFonts w:hint="eastAsia" w:ascii="宋体" w:hAnsi="宋体" w:cs="宋体"/>
          <w:color w:val="auto"/>
          <w:sz w:val="24"/>
          <w:highlight w:val="none"/>
        </w:rPr>
      </w:pPr>
      <w:r>
        <w:rPr>
          <w:rFonts w:hint="eastAsia" w:ascii="宋体" w:hAnsi="宋体" w:cs="宋体"/>
          <w:color w:val="auto"/>
          <w:szCs w:val="21"/>
          <w:highlight w:val="none"/>
        </w:rPr>
        <w:t>20.6备份响应文件。</w:t>
      </w:r>
      <w:r>
        <w:rPr>
          <w:rFonts w:hint="eastAsia" w:ascii="宋体" w:hAnsi="宋体" w:cs="宋体"/>
          <w:bCs/>
          <w:color w:val="auto"/>
          <w:szCs w:val="21"/>
          <w:highlight w:val="none"/>
        </w:rPr>
        <w:t>详见“供应商须知前附表”。</w:t>
      </w:r>
    </w:p>
    <w:p w14:paraId="2F33972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EEC3CC5">
      <w:pPr>
        <w:spacing w:line="360" w:lineRule="auto"/>
        <w:ind w:firstLine="420" w:firstLineChars="200"/>
        <w:rPr>
          <w:rFonts w:cs="宋体"/>
          <w:color w:val="auto"/>
          <w:szCs w:val="21"/>
          <w:highlight w:val="none"/>
        </w:rPr>
      </w:pPr>
      <w:r>
        <w:rPr>
          <w:rFonts w:hint="eastAsia" w:cs="宋体"/>
          <w:color w:val="auto"/>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64084679">
      <w:pPr>
        <w:spacing w:line="360" w:lineRule="auto"/>
        <w:ind w:firstLine="482" w:firstLineChars="200"/>
        <w:rPr>
          <w:rFonts w:hint="eastAsia" w:ascii="黑体" w:hAnsi="黑体" w:eastAsia="黑体" w:cs="宋体"/>
          <w:b/>
          <w:bCs/>
          <w:color w:val="auto"/>
          <w:sz w:val="24"/>
          <w:highlight w:val="none"/>
        </w:rPr>
      </w:pPr>
      <w:bookmarkStart w:id="93" w:name="_Hlk45702405"/>
      <w:r>
        <w:rPr>
          <w:rFonts w:hint="eastAsia" w:ascii="黑体" w:hAnsi="黑体" w:eastAsia="黑体" w:cs="宋体"/>
          <w:b/>
          <w:bCs/>
          <w:color w:val="auto"/>
          <w:sz w:val="24"/>
          <w:highlight w:val="none"/>
        </w:rPr>
        <w:t>22. 首次响应文件的退回</w:t>
      </w:r>
    </w:p>
    <w:p w14:paraId="5576D85D">
      <w:pPr>
        <w:spacing w:line="360" w:lineRule="auto"/>
        <w:ind w:firstLine="420" w:firstLineChars="200"/>
        <w:rPr>
          <w:rFonts w:cs="宋体"/>
          <w:color w:val="auto"/>
          <w:szCs w:val="21"/>
          <w:highlight w:val="none"/>
        </w:rPr>
      </w:pPr>
      <w:r>
        <w:rPr>
          <w:rFonts w:hint="eastAsia" w:cs="宋体"/>
          <w:color w:val="auto"/>
          <w:szCs w:val="21"/>
          <w:highlight w:val="none"/>
        </w:rPr>
        <w:t>在首次响应文件提交截止时间止提交响应文件的供应商不足3家时，电子响应文件的退回由广西政府采购云平台自动操作。</w:t>
      </w:r>
    </w:p>
    <w:p w14:paraId="4438A0D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bookmarkEnd w:id="93"/>
    <w:p w14:paraId="52AAB36D">
      <w:pPr>
        <w:pStyle w:val="15"/>
        <w:spacing w:line="360" w:lineRule="auto"/>
        <w:ind w:firstLine="420" w:firstLineChars="200"/>
        <w:rPr>
          <w:rFonts w:cs="宋体"/>
          <w:i/>
          <w:iCs/>
          <w:color w:val="auto"/>
          <w:szCs w:val="21"/>
          <w:highlight w:val="none"/>
        </w:rPr>
      </w:pPr>
      <w:r>
        <w:rPr>
          <w:rFonts w:hint="eastAsia"/>
          <w:color w:val="auto"/>
          <w:highlight w:val="none"/>
        </w:rPr>
        <w:t>供应商在首次响应文件提交截止时间后向采购人、采购代理机构书面申请撤回电子响应文件的，将根据本须知正文17.4的规定不予退还其磋商保证金（如有）。</w:t>
      </w:r>
    </w:p>
    <w:p w14:paraId="4DA79715">
      <w:pPr>
        <w:pStyle w:val="4"/>
        <w:spacing w:before="0" w:after="0" w:line="360" w:lineRule="auto"/>
        <w:ind w:firstLine="640" w:firstLineChars="200"/>
        <w:rPr>
          <w:b w:val="0"/>
          <w:bCs w:val="0"/>
          <w:color w:val="auto"/>
          <w:highlight w:val="none"/>
        </w:rPr>
      </w:pPr>
      <w:r>
        <w:rPr>
          <w:rFonts w:hint="eastAsia"/>
          <w:b w:val="0"/>
          <w:bCs w:val="0"/>
          <w:color w:val="auto"/>
          <w:highlight w:val="none"/>
        </w:rPr>
        <w:t xml:space="preserve"> </w:t>
      </w:r>
      <w:bookmarkStart w:id="94" w:name="_Toc80886933"/>
      <w:bookmarkStart w:id="95" w:name="_Toc17876"/>
      <w:bookmarkStart w:id="96" w:name="_Toc20044"/>
    </w:p>
    <w:p w14:paraId="583A90C4">
      <w:pPr>
        <w:pStyle w:val="4"/>
        <w:spacing w:before="0" w:after="0" w:line="360" w:lineRule="auto"/>
        <w:ind w:firstLine="640" w:firstLineChars="200"/>
        <w:rPr>
          <w:b w:val="0"/>
          <w:bCs w:val="0"/>
          <w:color w:val="auto"/>
          <w:highlight w:val="none"/>
        </w:rPr>
      </w:pPr>
      <w:r>
        <w:rPr>
          <w:rFonts w:hint="eastAsia"/>
          <w:b w:val="0"/>
          <w:bCs w:val="0"/>
          <w:color w:val="auto"/>
          <w:highlight w:val="none"/>
        </w:rPr>
        <w:t>四、评审及磋商</w:t>
      </w:r>
      <w:bookmarkEnd w:id="94"/>
      <w:bookmarkEnd w:id="95"/>
      <w:bookmarkEnd w:id="96"/>
    </w:p>
    <w:p w14:paraId="3B4AD01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9AD83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6B1D8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w:t>
      </w:r>
    </w:p>
    <w:p w14:paraId="2CA104D5">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w:t>
      </w:r>
    </w:p>
    <w:p w14:paraId="3322E52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478FD3B3">
      <w:pPr>
        <w:spacing w:line="360" w:lineRule="auto"/>
        <w:ind w:firstLine="420" w:firstLineChars="200"/>
        <w:rPr>
          <w:rFonts w:hint="eastAsia" w:ascii="宋体" w:hAnsi="宋体" w:cs="宋体"/>
          <w:bCs/>
          <w:color w:val="auto"/>
          <w:kern w:val="0"/>
          <w:szCs w:val="21"/>
          <w:highlight w:val="none"/>
        </w:rPr>
      </w:pPr>
      <w:r>
        <w:rPr>
          <w:rFonts w:hint="eastAsia" w:ascii="宋体" w:hAnsi="宋体" w:cs="宋体"/>
          <w:color w:val="auto"/>
          <w:kern w:val="0"/>
          <w:szCs w:val="21"/>
          <w:highlight w:val="none"/>
        </w:rPr>
        <w:t xml:space="preserve">25.2 </w:t>
      </w:r>
      <w:r>
        <w:rPr>
          <w:rFonts w:hint="eastAsia" w:ascii="宋体" w:hAnsi="宋体" w:cs="宋体"/>
          <w:bCs/>
          <w:color w:val="auto"/>
          <w:kern w:val="0"/>
          <w:szCs w:val="21"/>
          <w:highlight w:val="none"/>
        </w:rPr>
        <w:t>响应文件解密</w:t>
      </w:r>
    </w:p>
    <w:p w14:paraId="0306E191">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bCs/>
          <w:color w:val="auto"/>
          <w:kern w:val="0"/>
          <w:szCs w:val="21"/>
          <w:highlight w:val="none"/>
        </w:rPr>
        <w:t>采购代理机构将在“供应商须知前附表”规定的时</w:t>
      </w:r>
      <w:r>
        <w:rPr>
          <w:rFonts w:hint="eastAsia" w:ascii="宋体" w:hAnsi="宋体" w:cs="宋体"/>
          <w:color w:val="auto"/>
          <w:kern w:val="0"/>
          <w:szCs w:val="21"/>
          <w:highlight w:val="none"/>
        </w:rPr>
        <w:t>间通过电子交易平台组织响应文件开启，采购机构依托电子交易平台发起开始解密指令，供应商的法定代表人或其委托代理人</w:t>
      </w:r>
      <w:r>
        <w:rPr>
          <w:rFonts w:hint="eastAsia" w:ascii="宋体" w:hAnsi="宋体" w:cs="宋体"/>
          <w:b/>
          <w:color w:val="auto"/>
          <w:kern w:val="0"/>
          <w:szCs w:val="21"/>
          <w:highlight w:val="none"/>
        </w:rPr>
        <w:t>须携带加密时所用的CA锁按平台提示和采购文件的规定登录到广西政府采购云平台电子开标大厅签到并在规定的时间内完成对电子响应文件在线解密</w:t>
      </w:r>
      <w:r>
        <w:rPr>
          <w:rFonts w:hint="eastAsia" w:ascii="宋体" w:hAnsi="宋体" w:cs="宋体"/>
          <w:color w:val="auto"/>
          <w:kern w:val="0"/>
          <w:szCs w:val="21"/>
          <w:highlight w:val="none"/>
        </w:rPr>
        <w:t>。</w:t>
      </w:r>
      <w:r>
        <w:rPr>
          <w:rFonts w:hint="eastAsia" w:ascii="宋体" w:hAnsi="宋体" w:cs="宋体"/>
          <w:color w:val="auto"/>
          <w:kern w:val="1"/>
          <w:szCs w:val="21"/>
          <w:highlight w:val="none"/>
        </w:rPr>
        <w:t>响应文件未按时解密的</w:t>
      </w:r>
      <w:r>
        <w:rPr>
          <w:rFonts w:hint="eastAsia" w:ascii="宋体" w:hAnsi="宋体" w:cs="宋体"/>
          <w:color w:val="auto"/>
          <w:kern w:val="0"/>
          <w:szCs w:val="21"/>
          <w:highlight w:val="none"/>
        </w:rPr>
        <w:t>，</w:t>
      </w:r>
      <w:r>
        <w:rPr>
          <w:rFonts w:hint="eastAsia" w:ascii="宋体" w:hAnsi="宋体" w:cs="宋体"/>
          <w:b/>
          <w:color w:val="auto"/>
          <w:kern w:val="0"/>
          <w:szCs w:val="21"/>
          <w:highlight w:val="none"/>
        </w:rPr>
        <w:t>视为响应文件无效。</w:t>
      </w:r>
      <w:r>
        <w:rPr>
          <w:rFonts w:hint="eastAsia" w:ascii="宋体" w:hAnsi="宋体" w:cs="宋体"/>
          <w:color w:val="auto"/>
          <w:kern w:val="0"/>
          <w:szCs w:val="21"/>
          <w:highlight w:val="none"/>
        </w:rPr>
        <w:t>（解密</w:t>
      </w:r>
      <w:r>
        <w:rPr>
          <w:rFonts w:hint="eastAsia" w:ascii="宋体" w:hAnsi="宋体" w:cs="宋体"/>
          <w:bCs/>
          <w:color w:val="auto"/>
          <w:kern w:val="0"/>
          <w:szCs w:val="21"/>
          <w:highlight w:val="none"/>
        </w:rPr>
        <w:t>异常情况处理：详见本章</w:t>
      </w:r>
      <w:r>
        <w:rPr>
          <w:rFonts w:hint="eastAsia" w:ascii="宋体" w:hAnsi="宋体" w:cs="宋体"/>
          <w:color w:val="auto"/>
          <w:kern w:val="0"/>
          <w:szCs w:val="21"/>
          <w:highlight w:val="none"/>
        </w:rPr>
        <w:t>26.4电子交易活动的中止。）</w:t>
      </w:r>
    </w:p>
    <w:p w14:paraId="007AF208">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如</w:t>
      </w:r>
      <w:r>
        <w:rPr>
          <w:rFonts w:hint="eastAsia" w:ascii="宋体" w:hAnsi="宋体" w:cs="宋体"/>
          <w:bCs/>
          <w:color w:val="auto"/>
          <w:kern w:val="0"/>
          <w:szCs w:val="21"/>
          <w:highlight w:val="none"/>
        </w:rPr>
        <w:t>供应商成功解密响应文件，但未在广西政府采购云平台电子开标大厅参加磋商的，视同认可磋商过程和结果，</w:t>
      </w:r>
      <w:r>
        <w:rPr>
          <w:rFonts w:hint="eastAsia" w:ascii="宋体" w:hAnsi="宋体" w:cs="宋体"/>
          <w:color w:val="auto"/>
          <w:kern w:val="0"/>
          <w:szCs w:val="21"/>
          <w:highlight w:val="none"/>
        </w:rPr>
        <w:t>由此产生的后果由供应商自行负责。 参与磋商的供应商不足3家的，不得磋商。</w:t>
      </w:r>
    </w:p>
    <w:p w14:paraId="3E4FB4E5">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7C710CE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26.1本项目的评审方法详见“供应商须知前附表”。磋商小组按照“第四章 评审程序、评审方法和评审标准”规定的方法、评审因素、标准和程序对响应文件进行评审。</w:t>
      </w:r>
    </w:p>
    <w:p w14:paraId="40515FF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26.2磋商文件内容违反国家有关强制性规定的，磋商小组应当停止评审并向采购人或者采购代理机构说明情况，并在评审报告中书面体现。</w:t>
      </w:r>
    </w:p>
    <w:p w14:paraId="3B568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highlight w:val="none"/>
        </w:rPr>
        <w:t>26.3 采购需求负偏离要求及磋商顺序详见“供应商须知前附表</w:t>
      </w:r>
      <w:r>
        <w:rPr>
          <w:rFonts w:hint="eastAsia" w:ascii="宋体" w:hAnsi="宋体" w:cs="宋体"/>
          <w:color w:val="auto"/>
          <w:szCs w:val="21"/>
          <w:highlight w:val="none"/>
        </w:rPr>
        <w:t>”。</w:t>
      </w:r>
    </w:p>
    <w:p w14:paraId="132F77A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26.4电子交易活动的中止。采购过程中出现以下情形，导致电子交易平台无法正常运行，或者无法保证电子交易的公平、公正和安全时，采购机构可中止电子交易活动：</w:t>
      </w:r>
    </w:p>
    <w:p w14:paraId="59B0A29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（1）电子交易平台发生故障而无法登录访问的； </w:t>
      </w:r>
    </w:p>
    <w:p w14:paraId="3952C4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58944A5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386FFA8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（4）病毒发作导致不能进行正常操作的； </w:t>
      </w:r>
    </w:p>
    <w:p w14:paraId="666B14B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（5）其他无法保证电子交易的公平、公正和安全的情况。</w:t>
      </w:r>
    </w:p>
    <w:p w14:paraId="78BCE6F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72E4C6E">
      <w:pPr>
        <w:pStyle w:val="4"/>
        <w:spacing w:before="0" w:after="0" w:line="360" w:lineRule="auto"/>
        <w:ind w:firstLine="480" w:firstLineChars="150"/>
        <w:rPr>
          <w:b w:val="0"/>
          <w:bCs w:val="0"/>
          <w:color w:val="auto"/>
          <w:highlight w:val="none"/>
        </w:rPr>
      </w:pPr>
      <w:bookmarkStart w:id="97" w:name="_Toc17745"/>
      <w:bookmarkStart w:id="98" w:name="_Toc12018"/>
      <w:bookmarkStart w:id="99" w:name="_Toc80886934"/>
    </w:p>
    <w:p w14:paraId="7F5EC31B">
      <w:pPr>
        <w:pStyle w:val="4"/>
        <w:spacing w:before="0" w:after="0" w:line="360" w:lineRule="auto"/>
        <w:ind w:firstLine="480" w:firstLineChars="150"/>
        <w:rPr>
          <w:b w:val="0"/>
          <w:bCs w:val="0"/>
          <w:color w:val="auto"/>
          <w:highlight w:val="none"/>
        </w:rPr>
      </w:pPr>
      <w:r>
        <w:rPr>
          <w:rFonts w:hint="eastAsia"/>
          <w:b w:val="0"/>
          <w:bCs w:val="0"/>
          <w:color w:val="auto"/>
          <w:highlight w:val="none"/>
        </w:rPr>
        <w:t>五、成交及合同</w:t>
      </w:r>
      <w:bookmarkEnd w:id="97"/>
      <w:bookmarkEnd w:id="98"/>
      <w:bookmarkEnd w:id="99"/>
    </w:p>
    <w:p w14:paraId="390DAE1A">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473725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27.1确定成交供应商。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03B31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w:t>
      </w:r>
    </w:p>
    <w:p w14:paraId="37778F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磋商文件一并保存。成交供应商享受《政府采购促进中小企业发展管理办法》（财库〔2020〕46号）规定的中小企业扶持政策的，采购人、采购代理机构应当随成交结果公开成交供应商的《中小企业声明函》。</w:t>
      </w:r>
    </w:p>
    <w:p w14:paraId="130BF6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22D2B45C">
      <w:pPr>
        <w:spacing w:line="360" w:lineRule="auto"/>
        <w:ind w:firstLine="420" w:firstLineChars="200"/>
        <w:rPr>
          <w:rFonts w:hint="eastAsia" w:ascii="宋体" w:hAnsi="宋体" w:cs="宋体"/>
          <w:color w:val="auto"/>
          <w:szCs w:val="21"/>
          <w:highlight w:val="none"/>
        </w:rPr>
      </w:pPr>
      <w:r>
        <w:rPr>
          <w:rFonts w:hint="eastAsia" w:ascii="宋体" w:hAnsi="宋体" w:cs="宋体"/>
          <w:bCs/>
          <w:color w:val="auto"/>
          <w:szCs w:val="21"/>
          <w:highlight w:val="none"/>
        </w:rPr>
        <w:t>27.5排名第一的成交候选人放弃成交，采购人可以按照评审报告推荐的成交候选人名单排序，依法确定下一候选人为成交</w:t>
      </w:r>
      <w:r>
        <w:rPr>
          <w:rFonts w:hint="eastAsia" w:ascii="宋体" w:hAnsi="宋体" w:cs="宋体"/>
          <w:color w:val="auto"/>
          <w:szCs w:val="21"/>
          <w:highlight w:val="none"/>
        </w:rPr>
        <w:t>供应商</w:t>
      </w:r>
      <w:r>
        <w:rPr>
          <w:rFonts w:hint="eastAsia" w:ascii="宋体" w:hAnsi="宋体" w:cs="宋体"/>
          <w:bCs/>
          <w:color w:val="auto"/>
          <w:szCs w:val="21"/>
          <w:highlight w:val="none"/>
        </w:rPr>
        <w:t>，也可以重新开展政府采购活动</w:t>
      </w:r>
      <w:r>
        <w:rPr>
          <w:rFonts w:hint="eastAsia" w:ascii="宋体" w:hAnsi="宋体" w:cs="宋体"/>
          <w:color w:val="auto"/>
          <w:szCs w:val="21"/>
          <w:highlight w:val="none"/>
        </w:rPr>
        <w:t>。</w:t>
      </w:r>
    </w:p>
    <w:p w14:paraId="0E8DC342">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.履约保证金（如有）</w:t>
      </w:r>
    </w:p>
    <w:p w14:paraId="7143A475">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签订合同，采购人可以按照评审报告推荐的成交候选人名单排序，依法确定下一候选人为成交供应商，也可以重新开展政府采购活动。</w:t>
      </w:r>
    </w:p>
    <w:p w14:paraId="7E563991">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.2签订合同后，如成交供应商不按双方签订的合同规定履约，则没收其全部履约保证金，履约保证金不足以赔偿损失的，按实际损失赔偿。</w:t>
      </w:r>
    </w:p>
    <w:p w14:paraId="6CD4F029">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在履约保证金退还日期前，若成交供应商的开户名称、开户银行、账号有变动的，请以书面形式通知履约保证金收取单位，否则由此产生的后果由成交供应商自行承担。</w:t>
      </w:r>
    </w:p>
    <w:p w14:paraId="260BCD66">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4FB0C447">
      <w:pPr>
        <w:pStyle w:val="67"/>
        <w:snapToGrid w:val="0"/>
        <w:spacing w:before="0"/>
        <w:ind w:firstLine="420"/>
        <w:rPr>
          <w:rFonts w:hint="eastAsia" w:ascii="宋体" w:hAnsi="宋体" w:cs="宋体"/>
          <w:color w:val="auto"/>
          <w:sz w:val="21"/>
          <w:szCs w:val="21"/>
          <w:highlight w:val="none"/>
          <w:lang w:val="zh-CN"/>
        </w:rPr>
      </w:pPr>
      <w:r>
        <w:rPr>
          <w:rFonts w:hint="eastAsia" w:ascii="宋体" w:hAnsi="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s="宋体"/>
          <w:color w:val="auto"/>
          <w:sz w:val="21"/>
          <w:szCs w:val="21"/>
          <w:highlight w:val="none"/>
          <w:lang w:val="zh-CN"/>
        </w:rPr>
        <w:t>如成交供应商为联合体的，由联合体成员各方法定代表人或其授权代表与采购人代表签订合同。</w:t>
      </w:r>
    </w:p>
    <w:p w14:paraId="1333F0F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5CC1E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14:paraId="25B5F4E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29.4如签订合同并生效后，供应商无故拒绝或延期，除按照合同条款处理外，列入不良行为记录，并给予通报。</w:t>
      </w:r>
    </w:p>
    <w:p w14:paraId="41E2FDCA">
      <w:pPr>
        <w:spacing w:line="360" w:lineRule="auto"/>
        <w:ind w:firstLine="420" w:firstLineChars="200"/>
        <w:rPr>
          <w:rFonts w:hint="eastAsia" w:ascii="宋体" w:hAnsi="宋体" w:cs="宋体"/>
          <w:b/>
          <w:bCs/>
          <w:i/>
          <w:iCs/>
          <w:color w:val="auto"/>
          <w:szCs w:val="21"/>
          <w:highlight w:val="none"/>
        </w:rPr>
      </w:pPr>
      <w:r>
        <w:rPr>
          <w:rFonts w:hint="eastAsia" w:ascii="宋体" w:hAnsi="宋体" w:cs="宋体"/>
          <w:color w:val="auto"/>
          <w:szCs w:val="21"/>
          <w:highlight w:val="none"/>
        </w:rPr>
        <w:t>29.5采购合同由采购人与成交供应商根据磋商文件、响应文件等内容签订，成交供应商应当在签订合同时向采购人出示相关证明材料，具体内容详见 “供应商须知前附表”，经采购人核验合格后方可签订合同。</w:t>
      </w:r>
    </w:p>
    <w:p w14:paraId="48E91130">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262F67AF">
      <w:pPr>
        <w:spacing w:line="360" w:lineRule="auto"/>
        <w:ind w:firstLine="420" w:firstLineChars="200"/>
        <w:rPr>
          <w:rFonts w:ascii="Calibri"/>
          <w:color w:val="auto"/>
          <w:highlight w:val="none"/>
        </w:rPr>
      </w:pPr>
      <w:r>
        <w:rPr>
          <w:rFonts w:hint="eastAsia" w:ascii="宋体" w:hAnsi="宋体" w:cs="宋体"/>
          <w:color w:val="auto"/>
          <w:szCs w:val="21"/>
          <w:highlight w:val="none"/>
        </w:rPr>
        <w:t>采购人应当自政府采购合同签订之日起2个工作日内，将政府采购合同在省级以上人民政府财政部门指定的媒体上公告，但政府采购合同中涉及国家秘密、商业秘密的内容除外</w:t>
      </w:r>
      <w:r>
        <w:rPr>
          <w:rFonts w:ascii="Calibri"/>
          <w:color w:val="auto"/>
          <w:highlight w:val="none"/>
        </w:rPr>
        <w:t>。</w:t>
      </w:r>
    </w:p>
    <w:p w14:paraId="6ADFDBF4">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0FCCB3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31.1供应商对政府采购活动事项有疑问的，可以向采购人或者采购代理机构提出询问，采购人或者采购代理机构应当在3个工作日内对供应商依法提出的询问作出答复。</w:t>
      </w:r>
    </w:p>
    <w:p w14:paraId="6B88DD9A">
      <w:pPr>
        <w:spacing w:line="360" w:lineRule="auto"/>
        <w:ind w:firstLine="420" w:firstLineChars="200"/>
        <w:rPr>
          <w:rFonts w:hint="eastAsia" w:ascii="宋体" w:hAnsi="宋体" w:cs="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31.2供应商认为磋商文件、采购过程或者成交结果使自己的合法权益受到损害的，应当在知道或者应知其权益受到损害之日起7个工作日内，以书面形式向采购人或者采购代理机构提出质疑，</w:t>
      </w:r>
      <w:r>
        <w:rPr>
          <w:rFonts w:hint="eastAsia" w:ascii="宋体" w:hAnsi="宋体" w:cs="宋体"/>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cs="宋体"/>
          <w:b/>
          <w:color w:val="auto"/>
          <w:szCs w:val="21"/>
          <w:highlight w:val="none"/>
        </w:rPr>
        <w:t xml:space="preserve">具体质疑起算时间及处理方式如下： </w:t>
      </w:r>
    </w:p>
    <w:p w14:paraId="74949D85">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（1）潜在供应商依法获取采购文件后，认为采购文件使自己的权益受到损害的，应当在竞争性磋商文件公告期限届满之日起7个工作日内提出质疑。</w:t>
      </w:r>
      <w:r>
        <w:rPr>
          <w:rFonts w:hint="eastAsia" w:ascii="宋体" w:hAnsi="宋体" w:cs="宋体"/>
          <w:color w:val="auto"/>
          <w:highlight w:val="none"/>
        </w:rPr>
        <w:t>委托代理协议无特殊约定的，</w:t>
      </w:r>
      <w:r>
        <w:rPr>
          <w:rFonts w:hint="eastAsia" w:ascii="宋体" w:hAnsi="宋体" w:cs="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7736EF10">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4AB1A89E">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（3）供应商认为成交结果使自己的权益受到损害的，应当在成交结果公告期限届满之日起7个工作日内提出质疑，由采购人受理并负责答复。</w:t>
      </w:r>
    </w:p>
    <w:p w14:paraId="7156931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18BF1854">
      <w:pPr>
        <w:spacing w:line="360" w:lineRule="auto"/>
        <w:ind w:firstLine="422" w:firstLineChars="200"/>
        <w:rPr>
          <w:rFonts w:hint="eastAsia" w:ascii="宋体" w:hAnsi="宋体" w:cs="宋体"/>
          <w:color w:val="auto"/>
          <w:highlight w:val="none"/>
        </w:rPr>
      </w:pPr>
      <w:r>
        <w:rPr>
          <w:rFonts w:hint="eastAsia" w:ascii="宋体" w:hAnsi="宋体" w:cs="宋体"/>
          <w:b/>
          <w:bCs/>
          <w:color w:val="auto"/>
          <w:highlight w:val="none"/>
        </w:rPr>
        <w:t>31.4 供应商提出质疑应当提交质疑函和必要的证明材料，针对同一采购程序环节的质疑必须在法定质疑期内一次性提出。质疑函应当包括下列内容（质疑函格式后附）：</w:t>
      </w:r>
    </w:p>
    <w:p w14:paraId="1491E63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6895311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662FBB1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500989B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65CB7D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20D77C2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6762F1D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3C82BBB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58A0100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02F4150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60B83A5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60B76706">
      <w:pPr>
        <w:spacing w:line="360" w:lineRule="auto"/>
        <w:ind w:firstLine="422" w:firstLineChars="200"/>
        <w:rPr>
          <w:rFonts w:hint="eastAsia" w:ascii="宋体" w:hAnsi="宋体" w:cs="宋体"/>
          <w:color w:val="auto"/>
          <w:highlight w:val="none"/>
        </w:rPr>
      </w:pPr>
      <w:r>
        <w:rPr>
          <w:rFonts w:hint="eastAsia" w:ascii="宋体" w:hAnsi="宋体" w:cs="宋体"/>
          <w:b/>
          <w:bCs/>
          <w:color w:val="auto"/>
          <w:highlight w:val="none"/>
        </w:rPr>
        <w:t>31.6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r>
        <w:rPr>
          <w:rFonts w:hint="eastAsia" w:ascii="宋体" w:hAnsi="宋体" w:cs="宋体"/>
          <w:color w:val="auto"/>
          <w:highlight w:val="none"/>
        </w:rPr>
        <w:t>。</w:t>
      </w:r>
      <w:bookmarkStart w:id="100" w:name="_Toc80205930"/>
    </w:p>
    <w:p w14:paraId="0603EC13">
      <w:pPr>
        <w:pStyle w:val="4"/>
        <w:spacing w:before="0" w:after="0" w:line="360" w:lineRule="auto"/>
        <w:ind w:firstLine="315" w:firstLineChars="98"/>
        <w:rPr>
          <w:color w:val="auto"/>
          <w:highlight w:val="none"/>
        </w:rPr>
      </w:pPr>
      <w:bookmarkStart w:id="101" w:name="_Toc26989"/>
      <w:bookmarkStart w:id="102" w:name="_Toc9275"/>
      <w:bookmarkStart w:id="103" w:name="_Toc80886935"/>
    </w:p>
    <w:p w14:paraId="3AF6C980">
      <w:pPr>
        <w:pStyle w:val="4"/>
        <w:spacing w:before="0" w:after="0" w:line="360" w:lineRule="auto"/>
        <w:ind w:firstLine="313" w:firstLineChars="98"/>
        <w:rPr>
          <w:b w:val="0"/>
          <w:color w:val="auto"/>
          <w:highlight w:val="none"/>
        </w:rPr>
      </w:pPr>
      <w:r>
        <w:rPr>
          <w:rFonts w:hint="eastAsia"/>
          <w:b w:val="0"/>
          <w:bCs w:val="0"/>
          <w:color w:val="auto"/>
          <w:highlight w:val="none"/>
        </w:rPr>
        <w:t>六</w:t>
      </w:r>
      <w:r>
        <w:rPr>
          <w:rFonts w:hint="eastAsia"/>
          <w:b w:val="0"/>
          <w:color w:val="auto"/>
          <w:highlight w:val="none"/>
        </w:rPr>
        <w:t>、验收</w:t>
      </w:r>
      <w:bookmarkEnd w:id="100"/>
      <w:bookmarkEnd w:id="101"/>
      <w:bookmarkEnd w:id="102"/>
      <w:bookmarkEnd w:id="103"/>
    </w:p>
    <w:p w14:paraId="0B566025">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2B34F1E4">
      <w:pPr>
        <w:tabs>
          <w:tab w:val="left" w:pos="0"/>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8C05AF4">
      <w:pPr>
        <w:tabs>
          <w:tab w:val="left" w:pos="0"/>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7B7CD6BE">
      <w:pPr>
        <w:tabs>
          <w:tab w:val="left" w:pos="0"/>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w:t>
      </w:r>
      <w:r>
        <w:rPr>
          <w:rFonts w:hint="eastAsia"/>
          <w:color w:val="auto"/>
          <w:highlight w:val="none"/>
        </w:rPr>
        <w:t>（如有）</w:t>
      </w:r>
      <w:r>
        <w:rPr>
          <w:rFonts w:hint="eastAsia" w:ascii="宋体" w:hAnsi="宋体" w:cs="宋体"/>
          <w:color w:val="auto"/>
          <w:kern w:val="0"/>
          <w:szCs w:val="21"/>
          <w:highlight w:val="none"/>
        </w:rPr>
        <w:t>返还条件挂钩。履约验收的各项资料应当存档备查。</w:t>
      </w:r>
    </w:p>
    <w:p w14:paraId="14D29E93">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C076411">
      <w:pPr>
        <w:pStyle w:val="4"/>
        <w:spacing w:before="0" w:after="0" w:line="360" w:lineRule="auto"/>
        <w:ind w:firstLine="320" w:firstLineChars="100"/>
        <w:rPr>
          <w:b w:val="0"/>
          <w:bCs w:val="0"/>
          <w:color w:val="auto"/>
          <w:highlight w:val="none"/>
        </w:rPr>
      </w:pPr>
      <w:bookmarkStart w:id="104" w:name="_Toc10913"/>
      <w:bookmarkStart w:id="105" w:name="_Toc80886936"/>
      <w:bookmarkStart w:id="106" w:name="_Toc1170"/>
    </w:p>
    <w:p w14:paraId="25B119D2">
      <w:pPr>
        <w:pStyle w:val="4"/>
        <w:spacing w:before="0" w:after="0" w:line="360" w:lineRule="auto"/>
        <w:ind w:firstLine="320" w:firstLineChars="100"/>
        <w:rPr>
          <w:b w:val="0"/>
          <w:bCs w:val="0"/>
          <w:color w:val="auto"/>
          <w:highlight w:val="none"/>
        </w:rPr>
      </w:pPr>
      <w:r>
        <w:rPr>
          <w:rFonts w:hint="eastAsia"/>
          <w:b w:val="0"/>
          <w:bCs w:val="0"/>
          <w:color w:val="auto"/>
          <w:highlight w:val="none"/>
        </w:rPr>
        <w:t>七、其他事项</w:t>
      </w:r>
      <w:bookmarkEnd w:id="104"/>
      <w:bookmarkEnd w:id="105"/>
      <w:bookmarkEnd w:id="106"/>
    </w:p>
    <w:p w14:paraId="26D93EE9">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3.采购代理服务费</w:t>
      </w:r>
    </w:p>
    <w:p w14:paraId="449E6A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33.1 采购代理服务费收费标准及缴费账户详见“供应商须知前附表”，供应商为联合体的，可以由联合体中的一方或者多方共同缴纳采购代理服务费。</w:t>
      </w:r>
    </w:p>
    <w:p w14:paraId="269F6FD2">
      <w:pPr>
        <w:pStyle w:val="15"/>
        <w:ind w:firstLine="420" w:firstLineChars="200"/>
        <w:rPr>
          <w:rFonts w:hint="eastAsia" w:ascii="宋体" w:hAnsi="宋体" w:cs="宋体"/>
          <w:color w:val="auto"/>
          <w:highlight w:val="none"/>
        </w:rPr>
      </w:pPr>
      <w:r>
        <w:rPr>
          <w:rFonts w:hint="eastAsia" w:ascii="宋体" w:hAnsi="宋体" w:cs="宋体"/>
          <w:color w:val="auto"/>
          <w:szCs w:val="21"/>
          <w:highlight w:val="none"/>
        </w:rPr>
        <w:t>33.2采购代理服务费收费计算标准：</w:t>
      </w:r>
    </w:p>
    <w:tbl>
      <w:tblPr>
        <w:tblStyle w:val="31"/>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0E1E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14:paraId="0B62180D">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 xml:space="preserve">               费率</w:t>
            </w:r>
          </w:p>
          <w:p w14:paraId="1E6B61FB">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金额</w:t>
            </w:r>
          </w:p>
        </w:tc>
        <w:tc>
          <w:tcPr>
            <w:tcW w:w="1659" w:type="dxa"/>
            <w:vAlign w:val="center"/>
          </w:tcPr>
          <w:p w14:paraId="0E96D1D6">
            <w:pPr>
              <w:keepNext w:val="0"/>
              <w:keepLines w:val="0"/>
              <w:suppressLineNumbers w:val="0"/>
              <w:spacing w:before="0" w:beforeAutospacing="0" w:after="0" w:afterAutospacing="0" w:line="360" w:lineRule="auto"/>
              <w:ind w:left="0" w:right="0"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货物类</w:t>
            </w:r>
          </w:p>
        </w:tc>
        <w:tc>
          <w:tcPr>
            <w:tcW w:w="1532" w:type="dxa"/>
            <w:vAlign w:val="center"/>
          </w:tcPr>
          <w:p w14:paraId="6CF3CE3C">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服务类</w:t>
            </w:r>
          </w:p>
        </w:tc>
        <w:tc>
          <w:tcPr>
            <w:tcW w:w="1546" w:type="dxa"/>
            <w:vAlign w:val="center"/>
          </w:tcPr>
          <w:p w14:paraId="76B396CD">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工程类</w:t>
            </w:r>
          </w:p>
        </w:tc>
      </w:tr>
      <w:tr w14:paraId="44BA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4DF1F174">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659" w:type="dxa"/>
          </w:tcPr>
          <w:p w14:paraId="673A8F5E">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532" w:type="dxa"/>
          </w:tcPr>
          <w:p w14:paraId="4552AF46">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546" w:type="dxa"/>
          </w:tcPr>
          <w:p w14:paraId="25967831">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748B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4FC0BE4">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659" w:type="dxa"/>
          </w:tcPr>
          <w:p w14:paraId="700FF8CE">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532" w:type="dxa"/>
          </w:tcPr>
          <w:p w14:paraId="22DFA4AF">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546" w:type="dxa"/>
          </w:tcPr>
          <w:p w14:paraId="0F55C69D">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032A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82F5E3C">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659" w:type="dxa"/>
          </w:tcPr>
          <w:p w14:paraId="5DF04D0E">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532" w:type="dxa"/>
          </w:tcPr>
          <w:p w14:paraId="3E5ECE5D">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1546" w:type="dxa"/>
          </w:tcPr>
          <w:p w14:paraId="002A111B">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12A4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4EB12BE3">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659" w:type="dxa"/>
          </w:tcPr>
          <w:p w14:paraId="05A9AE40">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532" w:type="dxa"/>
          </w:tcPr>
          <w:p w14:paraId="4DBCF025">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546" w:type="dxa"/>
          </w:tcPr>
          <w:p w14:paraId="4D28010E">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4BD5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4F6838EF">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tcPr>
          <w:p w14:paraId="18D21D2D">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532" w:type="dxa"/>
          </w:tcPr>
          <w:p w14:paraId="48A1787C">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1546" w:type="dxa"/>
          </w:tcPr>
          <w:p w14:paraId="09428667">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w:t>
            </w:r>
          </w:p>
        </w:tc>
      </w:tr>
      <w:tr w14:paraId="3E30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637E236">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1～5亿元</w:t>
            </w:r>
          </w:p>
        </w:tc>
        <w:tc>
          <w:tcPr>
            <w:tcW w:w="1659" w:type="dxa"/>
          </w:tcPr>
          <w:p w14:paraId="1766E2B9">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0.05%</w:t>
            </w:r>
          </w:p>
        </w:tc>
        <w:tc>
          <w:tcPr>
            <w:tcW w:w="1532" w:type="dxa"/>
          </w:tcPr>
          <w:p w14:paraId="32CBAE8A">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c>
          <w:tcPr>
            <w:tcW w:w="1546" w:type="dxa"/>
          </w:tcPr>
          <w:p w14:paraId="100A851D">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r>
      <w:tr w14:paraId="44DE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68D6616B">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5～10亿元</w:t>
            </w:r>
          </w:p>
        </w:tc>
        <w:tc>
          <w:tcPr>
            <w:tcW w:w="1659" w:type="dxa"/>
          </w:tcPr>
          <w:p w14:paraId="3D49AA9A">
            <w:pPr>
              <w:keepNext w:val="0"/>
              <w:keepLines w:val="0"/>
              <w:suppressLineNumbers w:val="0"/>
              <w:spacing w:before="0" w:beforeAutospacing="0" w:after="0" w:afterAutospacing="0" w:line="360" w:lineRule="auto"/>
              <w:ind w:left="0" w:right="0" w:firstLine="105" w:firstLineChars="50"/>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532" w:type="dxa"/>
          </w:tcPr>
          <w:p w14:paraId="79CCF239">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 xml:space="preserve">  0.035%</w:t>
            </w:r>
          </w:p>
        </w:tc>
        <w:tc>
          <w:tcPr>
            <w:tcW w:w="1546" w:type="dxa"/>
          </w:tcPr>
          <w:p w14:paraId="0A847AFF">
            <w:pPr>
              <w:keepNext w:val="0"/>
              <w:keepLines w:val="0"/>
              <w:suppressLineNumbers w:val="0"/>
              <w:spacing w:before="0" w:beforeAutospacing="0" w:after="0" w:afterAutospacing="0" w:line="360" w:lineRule="auto"/>
              <w:ind w:left="0" w:right="0" w:firstLine="105" w:firstLineChars="50"/>
              <w:rPr>
                <w:rFonts w:hint="eastAsia" w:ascii="宋体" w:hAnsi="宋体" w:cs="宋体"/>
                <w:color w:val="auto"/>
                <w:szCs w:val="21"/>
                <w:highlight w:val="none"/>
              </w:rPr>
            </w:pPr>
            <w:r>
              <w:rPr>
                <w:rFonts w:hint="eastAsia" w:ascii="宋体" w:hAnsi="宋体" w:cs="宋体"/>
                <w:color w:val="auto"/>
                <w:szCs w:val="21"/>
                <w:highlight w:val="none"/>
              </w:rPr>
              <w:t>0.035%</w:t>
            </w:r>
          </w:p>
        </w:tc>
      </w:tr>
      <w:tr w14:paraId="6A2F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710CC08">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10～50亿元</w:t>
            </w:r>
          </w:p>
        </w:tc>
        <w:tc>
          <w:tcPr>
            <w:tcW w:w="1659" w:type="dxa"/>
          </w:tcPr>
          <w:p w14:paraId="7952F082">
            <w:pPr>
              <w:keepNext w:val="0"/>
              <w:keepLines w:val="0"/>
              <w:suppressLineNumbers w:val="0"/>
              <w:spacing w:before="0" w:beforeAutospacing="0" w:after="0" w:afterAutospacing="0" w:line="360" w:lineRule="auto"/>
              <w:ind w:left="0" w:right="0"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32" w:type="dxa"/>
          </w:tcPr>
          <w:p w14:paraId="744ED23C">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46" w:type="dxa"/>
          </w:tcPr>
          <w:p w14:paraId="118D55AA">
            <w:pPr>
              <w:keepNext w:val="0"/>
              <w:keepLines w:val="0"/>
              <w:suppressLineNumbers w:val="0"/>
              <w:spacing w:before="0" w:beforeAutospacing="0" w:after="0" w:afterAutospacing="0" w:line="360" w:lineRule="auto"/>
              <w:ind w:left="0" w:right="0"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0.008%</w:t>
            </w:r>
          </w:p>
        </w:tc>
      </w:tr>
      <w:tr w14:paraId="1730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6FC31875">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50～100亿元</w:t>
            </w:r>
          </w:p>
        </w:tc>
        <w:tc>
          <w:tcPr>
            <w:tcW w:w="1659" w:type="dxa"/>
          </w:tcPr>
          <w:p w14:paraId="668EC73E">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 xml:space="preserve"> 0.006%</w:t>
            </w:r>
          </w:p>
        </w:tc>
        <w:tc>
          <w:tcPr>
            <w:tcW w:w="1532" w:type="dxa"/>
          </w:tcPr>
          <w:p w14:paraId="5F470E8A">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546" w:type="dxa"/>
          </w:tcPr>
          <w:p w14:paraId="2DB24E2D">
            <w:pPr>
              <w:keepNext w:val="0"/>
              <w:keepLines w:val="0"/>
              <w:suppressLineNumbers w:val="0"/>
              <w:spacing w:before="0" w:beforeAutospacing="0" w:after="0" w:afterAutospacing="0" w:line="360" w:lineRule="auto"/>
              <w:ind w:left="0" w:right="0"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0.006%</w:t>
            </w:r>
          </w:p>
        </w:tc>
      </w:tr>
      <w:tr w14:paraId="5483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4E724D47">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100亿元以上</w:t>
            </w:r>
          </w:p>
        </w:tc>
        <w:tc>
          <w:tcPr>
            <w:tcW w:w="1659" w:type="dxa"/>
          </w:tcPr>
          <w:p w14:paraId="4C04A544">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 xml:space="preserve"> 0.004%</w:t>
            </w:r>
          </w:p>
        </w:tc>
        <w:tc>
          <w:tcPr>
            <w:tcW w:w="1532" w:type="dxa"/>
          </w:tcPr>
          <w:p w14:paraId="24C38E06">
            <w:pPr>
              <w:keepNext w:val="0"/>
              <w:keepLines w:val="0"/>
              <w:suppressLineNumbers w:val="0"/>
              <w:spacing w:before="0" w:beforeAutospacing="0" w:after="0" w:afterAutospacing="0" w:line="360" w:lineRule="auto"/>
              <w:ind w:left="0" w:right="0"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546" w:type="dxa"/>
          </w:tcPr>
          <w:p w14:paraId="1EA27B7C">
            <w:pPr>
              <w:keepNext w:val="0"/>
              <w:keepLines w:val="0"/>
              <w:suppressLineNumbers w:val="0"/>
              <w:spacing w:before="0" w:beforeAutospacing="0" w:after="0" w:afterAutospacing="0" w:line="360" w:lineRule="auto"/>
              <w:ind w:left="0" w:right="0"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247F5B3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注：</w:t>
      </w:r>
    </w:p>
    <w:p w14:paraId="099E7C3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（1）按本表费率计算的收费为采购代理的收费基准价格；</w:t>
      </w:r>
    </w:p>
    <w:p w14:paraId="0FC7BBF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（2）采购代理收费按差额定率累进法计算。</w:t>
      </w:r>
    </w:p>
    <w:p w14:paraId="0E92E14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例如：成交金额为198万元，计算采购代理收费额如下：</w:t>
      </w:r>
    </w:p>
    <w:p w14:paraId="68374CD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100 万元 ×l.5 ％＝ 1.5 万元</w:t>
      </w:r>
    </w:p>
    <w:p w14:paraId="45F9B71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198 － 100 ）万元 ×0.8％＝ 0.784万元</w:t>
      </w:r>
    </w:p>
    <w:p w14:paraId="04AF8B0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合计收费＝ 1.5 ＋ 0.784＝ 2.284 万元</w:t>
      </w:r>
    </w:p>
    <w:p w14:paraId="6AFFB72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w:t>
      </w:r>
      <w:r>
        <w:rPr>
          <w:rFonts w:ascii="黑体" w:hAnsi="黑体" w:eastAsia="黑体" w:cs="宋体"/>
          <w:b/>
          <w:bCs/>
          <w:color w:val="auto"/>
          <w:sz w:val="24"/>
          <w:highlight w:val="none"/>
        </w:rPr>
        <w:t>.需要补充的其他内容</w:t>
      </w:r>
    </w:p>
    <w:p w14:paraId="69B83F3E">
      <w:pPr>
        <w:spacing w:line="360" w:lineRule="auto"/>
        <w:ind w:firstLine="420" w:firstLineChars="200"/>
        <w:textAlignment w:val="center"/>
        <w:rPr>
          <w:rFonts w:hint="eastAsia" w:ascii="宋体" w:hAnsi="宋体" w:cs="宋体"/>
          <w:color w:val="auto"/>
          <w:szCs w:val="21"/>
          <w:highlight w:val="none"/>
        </w:rPr>
      </w:pPr>
      <w:r>
        <w:rPr>
          <w:rFonts w:hint="eastAsia" w:ascii="宋体" w:hAnsi="宋体" w:cs="宋体"/>
          <w:color w:val="auto"/>
          <w:szCs w:val="21"/>
          <w:highlight w:val="none"/>
        </w:rPr>
        <w:t>34.1本磋商文件解释规则详见“供应商须知前附表”。</w:t>
      </w:r>
    </w:p>
    <w:p w14:paraId="6A2D5A94">
      <w:pPr>
        <w:spacing w:line="360" w:lineRule="auto"/>
        <w:ind w:firstLine="420" w:firstLineChars="200"/>
        <w:textAlignment w:val="center"/>
        <w:rPr>
          <w:rFonts w:hint="eastAsia" w:ascii="宋体" w:hAnsi="宋体" w:cs="宋体"/>
          <w:color w:val="auto"/>
          <w:szCs w:val="21"/>
          <w:highlight w:val="none"/>
        </w:rPr>
      </w:pPr>
      <w:r>
        <w:rPr>
          <w:rFonts w:hint="eastAsia" w:ascii="宋体" w:hAnsi="宋体" w:cs="宋体"/>
          <w:color w:val="auto"/>
          <w:szCs w:val="21"/>
          <w:highlight w:val="none"/>
        </w:rPr>
        <w:t>34.2 其他事项详见“供应商须知前附表”。</w:t>
      </w:r>
    </w:p>
    <w:p w14:paraId="09519CA1">
      <w:pPr>
        <w:spacing w:line="360" w:lineRule="auto"/>
        <w:ind w:firstLine="420" w:firstLineChars="200"/>
        <w:textAlignment w:val="center"/>
        <w:rPr>
          <w:rFonts w:hint="eastAsia" w:ascii="宋体" w:hAnsi="宋体" w:cs="宋体"/>
          <w:color w:val="auto"/>
          <w:szCs w:val="21"/>
          <w:highlight w:val="none"/>
        </w:rPr>
      </w:pPr>
      <w:r>
        <w:rPr>
          <w:rFonts w:hint="eastAsia" w:ascii="宋体" w:hAnsi="宋体" w:cs="宋体"/>
          <w:color w:val="auto"/>
          <w:szCs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cs="宋体"/>
          <w:color w:val="auto"/>
          <w:kern w:val="0"/>
          <w:szCs w:val="21"/>
          <w:highlight w:val="none"/>
        </w:rPr>
        <w:t>服务由中小企业承接，即提供服务的人员为中小企业依照《中华人民共和国劳动合同法》订立劳动合同的从业人员，不对其中涉及的货物的制造商和工程承建商作出要求</w:t>
      </w:r>
      <w:r>
        <w:rPr>
          <w:rFonts w:hint="eastAsia" w:ascii="宋体" w:hAnsi="宋体" w:cs="宋体"/>
          <w:color w:val="auto"/>
          <w:szCs w:val="21"/>
          <w:highlight w:val="none"/>
        </w:rPr>
        <w:t>，享受本文件规定的中小企业扶持政策。</w:t>
      </w:r>
    </w:p>
    <w:p w14:paraId="4DAB56EC">
      <w:pPr>
        <w:spacing w:line="360" w:lineRule="auto"/>
        <w:ind w:firstLine="420" w:firstLineChars="200"/>
        <w:textAlignment w:val="center"/>
        <w:rPr>
          <w:rFonts w:hint="eastAsia" w:ascii="宋体" w:hAnsi="宋体" w:cs="宋体"/>
          <w:color w:val="auto"/>
          <w:szCs w:val="21"/>
          <w:highlight w:val="none"/>
        </w:rPr>
      </w:pPr>
      <w:r>
        <w:rPr>
          <w:rFonts w:hint="eastAsia" w:ascii="宋体" w:hAnsi="宋体" w:cs="宋体"/>
          <w:color w:val="auto"/>
          <w:szCs w:val="21"/>
          <w:highlight w:val="none"/>
        </w:rPr>
        <w:t>以联合体形式参加政府采购活动，联合体各方均为中小企业的，联合体视同中小企业。其中，联合体各方均为小微企业的，联合体视同小微企业。</w:t>
      </w:r>
    </w:p>
    <w:p w14:paraId="5D9339EE">
      <w:pPr>
        <w:spacing w:line="360" w:lineRule="auto"/>
        <w:ind w:firstLine="420" w:firstLineChars="200"/>
        <w:textAlignment w:val="center"/>
        <w:rPr>
          <w:rFonts w:hint="eastAsia" w:ascii="宋体" w:hAnsi="宋体" w:cs="宋体"/>
          <w:color w:val="auto"/>
          <w:szCs w:val="21"/>
          <w:highlight w:val="none"/>
        </w:rPr>
      </w:pPr>
      <w:r>
        <w:rPr>
          <w:rFonts w:hint="eastAsia" w:ascii="宋体" w:hAnsi="宋体" w:cs="宋体"/>
          <w:color w:val="auto"/>
          <w:szCs w:val="21"/>
          <w:highlight w:val="none"/>
        </w:rPr>
        <w:t>依据本文件规定享受扶持政策获得政府采购合同的，小微企业不得将合同分包给大中型企业，中型企业不得将合同分包给大型企业。</w:t>
      </w:r>
    </w:p>
    <w:p w14:paraId="0288859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35. 广西线上“政采贷”政策告知函</w:t>
      </w:r>
    </w:p>
    <w:p w14:paraId="2728B388">
      <w:pPr>
        <w:spacing w:line="580" w:lineRule="exact"/>
        <w:jc w:val="center"/>
        <w:rPr>
          <w:rFonts w:hint="eastAsia" w:ascii="宋体" w:hAnsi="宋体" w:cs="宋体"/>
          <w:color w:val="auto"/>
          <w:sz w:val="32"/>
          <w:szCs w:val="32"/>
          <w:highlight w:val="none"/>
        </w:rPr>
      </w:pPr>
    </w:p>
    <w:p w14:paraId="5C0FA8EC">
      <w:pPr>
        <w:spacing w:line="580"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br w:type="page"/>
      </w:r>
      <w:r>
        <w:rPr>
          <w:rFonts w:hint="eastAsia" w:ascii="宋体" w:hAnsi="宋体" w:cs="宋体"/>
          <w:color w:val="auto"/>
          <w:sz w:val="32"/>
          <w:szCs w:val="32"/>
          <w:highlight w:val="none"/>
        </w:rPr>
        <w:t>广西线上“政采贷”政策告知函</w:t>
      </w:r>
    </w:p>
    <w:p w14:paraId="74C22425">
      <w:pPr>
        <w:spacing w:line="580" w:lineRule="exact"/>
        <w:ind w:firstLine="420" w:firstLineChars="200"/>
        <w:rPr>
          <w:rFonts w:hint="eastAsia" w:ascii="宋体" w:hAnsi="宋体" w:cs="宋体"/>
          <w:color w:val="auto"/>
          <w:szCs w:val="32"/>
          <w:highlight w:val="none"/>
        </w:rPr>
      </w:pPr>
    </w:p>
    <w:p w14:paraId="47C2ED74">
      <w:pPr>
        <w:spacing w:line="580" w:lineRule="exact"/>
        <w:rPr>
          <w:rFonts w:hint="eastAsia" w:ascii="宋体" w:hAnsi="宋体" w:cs="宋体"/>
          <w:color w:val="auto"/>
          <w:szCs w:val="21"/>
          <w:highlight w:val="none"/>
        </w:rPr>
      </w:pPr>
      <w:r>
        <w:rPr>
          <w:rFonts w:hint="eastAsia" w:ascii="宋体" w:hAnsi="宋体" w:cs="宋体"/>
          <w:color w:val="auto"/>
          <w:szCs w:val="21"/>
          <w:highlight w:val="none"/>
        </w:rPr>
        <w:t>各供应商：</w:t>
      </w:r>
    </w:p>
    <w:p w14:paraId="044722BA">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欢迎贵公司参与广西政府采购活动！</w:t>
      </w:r>
    </w:p>
    <w:p w14:paraId="17BD05E7">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2C295216">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相关金融产品和银行业金融机构联系方式，可在中征应收账款融资服务平台查询（网址：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Style w:val="36"/>
          <w:rFonts w:hint="eastAsia" w:ascii="宋体" w:hAnsi="宋体" w:cs="宋体"/>
          <w:color w:val="auto"/>
          <w:szCs w:val="21"/>
          <w:highlight w:val="none"/>
        </w:rPr>
        <w:t>https://www.crcrfsp.com/</w:t>
      </w:r>
      <w:r>
        <w:rPr>
          <w:rStyle w:val="36"/>
          <w:rFonts w:hint="eastAsia" w:ascii="宋体" w:hAnsi="宋体" w:cs="宋体"/>
          <w:color w:val="auto"/>
          <w:szCs w:val="21"/>
          <w:highlight w:val="none"/>
        </w:rPr>
        <w:fldChar w:fldCharType="end"/>
      </w:r>
      <w:r>
        <w:rPr>
          <w:rFonts w:hint="eastAsia" w:ascii="宋体" w:hAnsi="宋体" w:cs="宋体"/>
          <w:color w:val="auto"/>
          <w:szCs w:val="21"/>
          <w:highlight w:val="none"/>
        </w:rPr>
        <w:t>，客服电话：400-009-0001）。</w:t>
      </w:r>
    </w:p>
    <w:p w14:paraId="39D90FF6">
      <w:pPr>
        <w:pStyle w:val="22"/>
        <w:rPr>
          <w:rFonts w:hint="eastAsia" w:ascii="宋体" w:hAnsi="宋体" w:cs="宋体"/>
          <w:color w:val="auto"/>
          <w:szCs w:val="21"/>
          <w:highlight w:val="none"/>
        </w:rPr>
      </w:pPr>
      <w:r>
        <w:rPr>
          <w:rFonts w:hint="eastAsia" w:ascii="宋体" w:hAnsi="宋体" w:cs="宋体"/>
          <w:color w:val="auto"/>
          <w:szCs w:val="21"/>
          <w:highlight w:val="none"/>
        </w:rPr>
        <w:br w:type="page"/>
      </w:r>
    </w:p>
    <w:p w14:paraId="15E8C550">
      <w:pPr>
        <w:pStyle w:val="2"/>
        <w:spacing w:line="240" w:lineRule="auto"/>
        <w:jc w:val="center"/>
        <w:rPr>
          <w:rFonts w:ascii="Calibri" w:hAnsi="Calibri"/>
          <w:color w:val="auto"/>
          <w:highlight w:val="none"/>
        </w:rPr>
      </w:pPr>
      <w:bookmarkStart w:id="107" w:name="_Toc1088"/>
      <w:bookmarkStart w:id="108" w:name="_Toc17511"/>
      <w:bookmarkStart w:id="109" w:name="_Toc3879"/>
      <w:bookmarkStart w:id="110" w:name="_Toc8412"/>
      <w:bookmarkStart w:id="111" w:name="_Toc8593"/>
      <w:bookmarkStart w:id="112" w:name="_Toc28979"/>
      <w:bookmarkStart w:id="113" w:name="_Toc80886937"/>
      <w:bookmarkStart w:id="114" w:name="_Toc3976"/>
      <w:r>
        <w:rPr>
          <w:rFonts w:hint="eastAsia" w:ascii="Calibri" w:hAnsi="Calibri"/>
          <w:color w:val="auto"/>
          <w:highlight w:val="none"/>
        </w:rPr>
        <w:t>第四章  评审程序、评审方法和评审标准</w:t>
      </w:r>
      <w:bookmarkEnd w:id="107"/>
      <w:bookmarkEnd w:id="108"/>
      <w:bookmarkEnd w:id="109"/>
      <w:bookmarkEnd w:id="110"/>
      <w:bookmarkEnd w:id="111"/>
      <w:bookmarkEnd w:id="112"/>
      <w:bookmarkEnd w:id="113"/>
      <w:bookmarkEnd w:id="114"/>
    </w:p>
    <w:p w14:paraId="78EC371C">
      <w:pPr>
        <w:pStyle w:val="3"/>
        <w:jc w:val="center"/>
        <w:rPr>
          <w:rFonts w:hint="eastAsia" w:ascii="宋体" w:hAnsi="宋体"/>
          <w:b w:val="0"/>
          <w:color w:val="auto"/>
          <w:highlight w:val="none"/>
        </w:rPr>
      </w:pPr>
      <w:bookmarkStart w:id="115" w:name="_Toc17424"/>
      <w:bookmarkStart w:id="116" w:name="_Toc80886938"/>
      <w:bookmarkStart w:id="117" w:name="_Toc11607"/>
      <w:r>
        <w:rPr>
          <w:rFonts w:hint="eastAsia" w:ascii="宋体" w:hAnsi="宋体"/>
          <w:b w:val="0"/>
          <w:color w:val="auto"/>
          <w:highlight w:val="none"/>
        </w:rPr>
        <w:t>第一节 评审程序和评审方法</w:t>
      </w:r>
      <w:bookmarkEnd w:id="115"/>
      <w:bookmarkEnd w:id="116"/>
      <w:bookmarkEnd w:id="117"/>
    </w:p>
    <w:p w14:paraId="735791A1">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.确认磋商文件</w:t>
      </w:r>
    </w:p>
    <w:p w14:paraId="36C9E697">
      <w:pPr>
        <w:spacing w:line="360" w:lineRule="auto"/>
        <w:ind w:firstLine="420" w:firstLineChars="200"/>
        <w:rPr>
          <w:rFonts w:cs="宋体"/>
          <w:color w:val="auto"/>
          <w:szCs w:val="21"/>
          <w:highlight w:val="none"/>
        </w:rPr>
      </w:pPr>
      <w:r>
        <w:rPr>
          <w:rFonts w:hint="eastAsia" w:cs="宋体"/>
          <w:color w:val="auto"/>
          <w:szCs w:val="21"/>
          <w:highlight w:val="none"/>
        </w:rPr>
        <w:t>由磋商小组确认磋商文件。</w:t>
      </w:r>
    </w:p>
    <w:p w14:paraId="4377EE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00863D6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2.1响应文件开启后，磋商小组依法对供应商的资格证明文件进行审查。</w:t>
      </w:r>
    </w:p>
    <w:p w14:paraId="4902A96D">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017B3737">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38"/>
          <w:rFonts w:hint="eastAsia" w:ascii="宋体" w:hAnsi="宋体" w:cs="宋体"/>
          <w:color w:val="auto"/>
          <w:highlight w:val="none"/>
          <w:u w:val="none"/>
        </w:rPr>
        <w:t>www.creditchina.gov.cn</w:t>
      </w:r>
      <w:r>
        <w:rPr>
          <w:rStyle w:val="38"/>
          <w:rFonts w:hint="eastAsia" w:ascii="宋体" w:hAnsi="宋体" w:cs="宋体"/>
          <w:color w:val="auto"/>
          <w:highlight w:val="none"/>
          <w:u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38"/>
          <w:rFonts w:hint="eastAsia" w:ascii="宋体" w:hAnsi="宋体" w:cs="宋体"/>
          <w:color w:val="auto"/>
          <w:highlight w:val="none"/>
          <w:u w:val="none"/>
        </w:rPr>
        <w:t>www.ccgp.gov.cn</w:t>
      </w:r>
      <w:r>
        <w:rPr>
          <w:rStyle w:val="38"/>
          <w:rFonts w:hint="eastAsia" w:ascii="宋体" w:hAnsi="宋体" w:cs="宋体"/>
          <w:color w:val="auto"/>
          <w:highlight w:val="none"/>
          <w:u w:val="none"/>
        </w:rPr>
        <w:fldChar w:fldCharType="end"/>
      </w:r>
      <w:r>
        <w:rPr>
          <w:rFonts w:hint="eastAsia" w:ascii="宋体" w:hAnsi="宋体" w:cs="宋体"/>
          <w:color w:val="auto"/>
          <w:szCs w:val="21"/>
          <w:highlight w:val="none"/>
        </w:rPr>
        <w:t>)链接入口。</w:t>
      </w:r>
    </w:p>
    <w:p w14:paraId="19385A36">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1228B365">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rPr>
        <w:t>截图另存为电子文档作为评审资料保存。</w:t>
      </w:r>
    </w:p>
    <w:p w14:paraId="5C217D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15496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90AD26E">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2.3供应商有下列情形之一的，资格审查不通过，其响应文件按无效响应处理：</w:t>
      </w:r>
    </w:p>
    <w:p w14:paraId="1C6351D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7A9291C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28F1D72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8F92227">
      <w:pPr>
        <w:spacing w:line="360" w:lineRule="auto"/>
        <w:ind w:firstLine="420" w:firstLineChars="200"/>
        <w:rPr>
          <w:rFonts w:hint="eastAsia" w:ascii="宋体" w:hAnsi="宋体" w:cs="宋体"/>
          <w:color w:val="auto"/>
          <w:szCs w:val="21"/>
          <w:highlight w:val="none"/>
        </w:rPr>
      </w:pPr>
      <w:bookmarkStart w:id="118"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18"/>
    </w:p>
    <w:p w14:paraId="321815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2.4通过资格审查的合格供应商不足3家的，不得进入符合性审查环节，采购人或者采购代理机构应当重新开展采购活动。</w:t>
      </w:r>
    </w:p>
    <w:p w14:paraId="497475D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6070E14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576AC5A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8896371">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供应商公章</w:t>
      </w:r>
      <w:r>
        <w:rPr>
          <w:rFonts w:hint="eastAsia" w:ascii="宋体" w:hAnsi="宋体" w:cs="宋体"/>
          <w:color w:val="auto"/>
          <w:spacing w:val="-6"/>
          <w:szCs w:val="21"/>
          <w:highlight w:val="none"/>
        </w:rPr>
        <w:t>。供应商为自然人的，必须由本人签字并附身份证明。</w:t>
      </w:r>
    </w:p>
    <w:p w14:paraId="2B319065">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0CCD09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（1）响应文件中响应报价表内容与响应文件中相应内容不一致的，以响应报价表为准；</w:t>
      </w:r>
    </w:p>
    <w:p w14:paraId="6E2AFFC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5C5AAC8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（3）单价金额小数点或者百分比有明显错位的，以响应报价表的总价为准，并修改单价；</w:t>
      </w:r>
    </w:p>
    <w:p w14:paraId="27AB27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35AD607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7EAC78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4BFB5644">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在评审时，如发现下列情形之一的，将被视为响应文件无效处理：</w:t>
      </w:r>
    </w:p>
    <w:p w14:paraId="029684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4FAE6CA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3A70AF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559E73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740267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4）商务条款中标“▲”的条款发生负偏离的或者允许负偏离的条款数超过“供应商须知前附表”规定项数的或者标明实质性的要求发生负偏离；</w:t>
      </w:r>
    </w:p>
    <w:p w14:paraId="182B993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FCF1DE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7017D3E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6C030EB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1EEDF7C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36A52DE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153D45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0D9994D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12）竞标技术方案不明确，磋商文件未允许但响应文件中存在一个或者一个以上备选（替代）竞标方案；</w:t>
      </w:r>
    </w:p>
    <w:p w14:paraId="4C0E5C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243638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2C36E5AA">
      <w:pPr>
        <w:pStyle w:val="15"/>
        <w:ind w:firstLine="420" w:firstLineChars="200"/>
        <w:rPr>
          <w:rFonts w:hint="eastAsia" w:ascii="宋体" w:hAnsi="宋体" w:cs="宋体"/>
          <w:color w:val="auto"/>
          <w:highlight w:val="none"/>
        </w:rPr>
      </w:pPr>
      <w:r>
        <w:rPr>
          <w:rFonts w:hint="eastAsia" w:ascii="宋体" w:hAnsi="宋体" w:cs="宋体"/>
          <w:color w:val="auto"/>
          <w:szCs w:val="21"/>
          <w:highlight w:val="none"/>
        </w:rPr>
        <w:t>15）提交的磋商保证金无效的或者未按照磋商文件的规定提交磋商保证金；</w:t>
      </w:r>
    </w:p>
    <w:p w14:paraId="0624FC6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16）法律、法规和磋商文件规定的其他无效情形。</w:t>
      </w:r>
    </w:p>
    <w:p w14:paraId="7CE71D3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3F8CF3A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490825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06201B5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项目/分标进行报价或者存在漏项报价；供应商未就所竞标项目/分标的单项内容作唯一报价；供应商未就所竞标项目/分标的全部内容作唯一总价报价；供应商响应文件中存在有选择、有条件报价的（磋商文件允许有备选方案或者其他约定的除外）；</w:t>
      </w:r>
    </w:p>
    <w:p w14:paraId="2B14203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项目/分标规定的采购预算金额或者最高限价的（如本项目公布了最高限价）；响应报价（包含首次报价、最后报价）超过磋商文件分项采购预算金额或者最高限价的（如本项目公布了最高限价）；</w:t>
      </w:r>
    </w:p>
    <w:p w14:paraId="11FF6DB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项目/分标规定的采购预算金额或者最高限价（如本项目公布了最高限价）；或者经供应商确认修正后响应报价（包含首次报价、最后报价）超过磋商文件分项采购预算金额或者最高限价的（如本项目公布了最高限价）。</w:t>
      </w:r>
    </w:p>
    <w:p w14:paraId="0E9F35F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6）响应文件响应的标的数量及单位与竞争性磋商文件要求实质性不一致的。</w:t>
      </w:r>
    </w:p>
    <w:p w14:paraId="5AF5C9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34FF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54E1C22E">
      <w:pPr>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4.磋商程序</w:t>
      </w:r>
    </w:p>
    <w:p w14:paraId="473359C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599A9A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57F96B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47864F3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供应商公章。供应商为自然人的，必须由本人签字并附身份证明。参加磋商的供应商未在规定时间内重新提交响应文件的，视同退出磋商。</w:t>
      </w:r>
    </w:p>
    <w:p w14:paraId="72C58D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46844C03">
      <w:pPr>
        <w:widowControl/>
        <w:tabs>
          <w:tab w:val="left" w:pos="540"/>
        </w:tabs>
        <w:spacing w:line="360" w:lineRule="auto"/>
        <w:ind w:firstLine="420" w:firstLineChars="200"/>
        <w:jc w:val="left"/>
        <w:rPr>
          <w:rFonts w:hint="eastAsia" w:ascii="宋体" w:hAnsi="宋体" w:cs="宋体"/>
          <w:b/>
          <w:color w:val="auto"/>
          <w:highlight w:val="none"/>
        </w:rPr>
      </w:pPr>
      <w:r>
        <w:rPr>
          <w:rFonts w:hint="eastAsia" w:ascii="宋体" w:hAnsi="宋体" w:cs="宋体"/>
          <w:color w:val="auto"/>
          <w:szCs w:val="21"/>
          <w:highlight w:val="none"/>
        </w:rPr>
        <w:t>4.6磋商小组应对磋商过程和重要磋商内容进行记录，作为评审报告一部分，磋商小组在记录上签字确认。</w:t>
      </w:r>
      <w:r>
        <w:rPr>
          <w:rFonts w:hint="eastAsia" w:ascii="宋体" w:hAnsi="宋体" w:cs="宋体"/>
          <w:b/>
          <w:color w:val="auto"/>
          <w:highlight w:val="none"/>
        </w:rPr>
        <w:t>主要内容包括：</w:t>
      </w:r>
    </w:p>
    <w:p w14:paraId="2BBD9AFF">
      <w:pPr>
        <w:pStyle w:val="67"/>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3FB1B053">
      <w:pPr>
        <w:pStyle w:val="67"/>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1D2724C2">
      <w:pPr>
        <w:pStyle w:val="67"/>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2C5C1BE5">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E8C9891">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33FCEA73">
      <w:pPr>
        <w:ind w:firstLine="200"/>
        <w:rPr>
          <w:rFonts w:hint="eastAsia" w:ascii="宋体" w:hAnsi="宋体" w:cs="宋体"/>
          <w:color w:val="auto"/>
          <w:szCs w:val="21"/>
          <w:highlight w:val="none"/>
        </w:rPr>
      </w:pPr>
      <w:r>
        <w:rPr>
          <w:rFonts w:hint="eastAsia" w:ascii="宋体" w:hAnsi="宋体" w:cs="宋体"/>
          <w:b/>
          <w:bCs/>
          <w:color w:val="auto"/>
          <w:sz w:val="24"/>
          <w:highlight w:val="none"/>
        </w:rPr>
        <w:t>5. 最后报价</w:t>
      </w:r>
    </w:p>
    <w:p w14:paraId="201651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27F3AC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724CAD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08DFF3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637A93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5.5供应商未在规定时间内提交最后报价的，视同退出磋商，其响应文件按无效处理。</w:t>
      </w:r>
    </w:p>
    <w:p w14:paraId="50AEE22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5.6磋商小组收齐本项目/某一分标最后报价后统一开启，磋商小组对最后报价进行有效性、完整性和响应程度的审查。</w:t>
      </w:r>
    </w:p>
    <w:p w14:paraId="0B18FEF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3D3EFB3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5.8修正后的最后报价出现下列情形的，按无效响应处理：</w:t>
      </w:r>
    </w:p>
    <w:p w14:paraId="3A30069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69DA23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（2）经供应商确认修正后的响应报价（包含首次报价、最后报价）超过所竞标项目/分标规定的采购预算金额或者最高限价的（如本项目公布了最高限价）；</w:t>
      </w:r>
    </w:p>
    <w:p w14:paraId="426DE6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7B19F8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1EB385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s="宋体"/>
          <w:color w:val="auto"/>
          <w:sz w:val="22"/>
          <w:szCs w:val="22"/>
          <w:highlight w:val="none"/>
        </w:rPr>
        <w:t>，磋商小组应当告知有关供应商</w:t>
      </w:r>
      <w:r>
        <w:rPr>
          <w:rFonts w:hint="eastAsia" w:ascii="宋体" w:hAnsi="宋体" w:cs="宋体"/>
          <w:color w:val="auto"/>
          <w:szCs w:val="21"/>
          <w:highlight w:val="none"/>
        </w:rPr>
        <w:t>。</w:t>
      </w:r>
    </w:p>
    <w:p w14:paraId="3B23DCB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34A4939D">
      <w:pPr>
        <w:pStyle w:val="22"/>
        <w:spacing w:line="360" w:lineRule="auto"/>
        <w:ind w:firstLine="422" w:firstLineChars="200"/>
        <w:rPr>
          <w:color w:val="auto"/>
          <w:highlight w:val="none"/>
        </w:rPr>
      </w:pPr>
      <w:r>
        <w:rPr>
          <w:rFonts w:hint="eastAsia" w:ascii="宋体" w:hAnsi="宋体" w:cs="宋体"/>
          <w:b/>
          <w:bCs/>
          <w:color w:val="auto"/>
          <w:sz w:val="21"/>
          <w:szCs w:val="21"/>
          <w:highlight w:val="none"/>
        </w:rPr>
        <w:t>注：</w:t>
      </w:r>
      <w:r>
        <w:rPr>
          <w:rFonts w:hint="eastAsia"/>
          <w:b/>
          <w:bCs/>
          <w:color w:val="auto"/>
          <w:sz w:val="21"/>
          <w:szCs w:val="21"/>
          <w:highlight w:val="none"/>
        </w:rPr>
        <w:t>如磋商小组要求提供最后报价附件的，需按规定的时间提供。最后报价有时间限制，供应商可参照竞争性磋商文件“第五章 响应文件格式”的最后报价表</w:t>
      </w:r>
      <w:r>
        <w:rPr>
          <w:rFonts w:hint="eastAsia"/>
          <w:b/>
          <w:bCs/>
          <w:color w:val="auto"/>
          <w:sz w:val="21"/>
          <w:szCs w:val="21"/>
          <w:highlight w:val="none"/>
          <w:lang w:val="en-US" w:eastAsia="zh-CN"/>
        </w:rPr>
        <w:t>的格式</w:t>
      </w:r>
      <w:r>
        <w:rPr>
          <w:rFonts w:hint="eastAsia"/>
          <w:b/>
          <w:bCs/>
          <w:color w:val="auto"/>
          <w:sz w:val="21"/>
          <w:szCs w:val="21"/>
          <w:highlight w:val="none"/>
        </w:rPr>
        <w:t>提前准备，以免耽误最后报价</w:t>
      </w:r>
      <w:r>
        <w:rPr>
          <w:rFonts w:hint="eastAsia" w:ascii="宋体" w:hAnsi="宋体" w:cs="宋体"/>
          <w:b/>
          <w:bCs/>
          <w:color w:val="auto"/>
          <w:sz w:val="21"/>
          <w:szCs w:val="21"/>
          <w:highlight w:val="none"/>
          <w:lang w:val="zh-CN"/>
        </w:rPr>
        <w:t>。</w:t>
      </w:r>
    </w:p>
    <w:p w14:paraId="00FB3398">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53954C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010344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754610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7640D7C2">
      <w:pPr>
        <w:pStyle w:val="15"/>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磋商小组成员要根据政府采购法律法规和采购文件所载明的评审方法、标准进行评审。对供应商的价格分等客观评分项的评分应当一致，对其他需要借助专业知识评判的主观评分项，应当严格按照评分细则公正评分。</w:t>
      </w:r>
    </w:p>
    <w:p w14:paraId="6E94436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0F1A2458">
      <w:pPr>
        <w:spacing w:line="360" w:lineRule="auto"/>
        <w:ind w:firstLine="420" w:firstLineChars="200"/>
        <w:rPr>
          <w:rFonts w:hint="eastAsia" w:ascii="宋体" w:hAnsi="宋体" w:cs="宋体"/>
          <w:color w:val="auto"/>
          <w:highlight w:val="none"/>
        </w:rPr>
      </w:pPr>
      <w:r>
        <w:rPr>
          <w:rFonts w:hint="eastAsia" w:ascii="宋体" w:hAnsi="宋体" w:cs="宋体"/>
          <w:color w:val="auto"/>
          <w:szCs w:val="21"/>
          <w:highlight w:val="none"/>
        </w:rPr>
        <w:t>（3）各供应商的得分为磋商小组所有成员的有效评分的算术平均数。</w:t>
      </w:r>
    </w:p>
    <w:p w14:paraId="6F03E45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w:t>
      </w:r>
      <w:r>
        <w:rPr>
          <w:rFonts w:hint="eastAsia" w:ascii="宋体" w:hAnsi="宋体" w:cs="宋体"/>
          <w:color w:val="auto"/>
          <w:highlight w:val="none"/>
        </w:rPr>
        <w:t>报价</w:t>
      </w:r>
      <w:r>
        <w:rPr>
          <w:rFonts w:hint="eastAsia" w:ascii="宋体" w:hAnsi="宋体" w:cs="宋体"/>
          <w:color w:val="auto"/>
          <w:szCs w:val="21"/>
          <w:highlight w:val="none"/>
        </w:rPr>
        <w:t>为供应商的最后报价进行政策性扣除后的价格，评审</w:t>
      </w:r>
      <w:r>
        <w:rPr>
          <w:rFonts w:hint="eastAsia" w:ascii="宋体" w:hAnsi="宋体" w:cs="宋体"/>
          <w:color w:val="auto"/>
          <w:highlight w:val="none"/>
        </w:rPr>
        <w:t>报价</w:t>
      </w:r>
      <w:r>
        <w:rPr>
          <w:rFonts w:hint="eastAsia" w:ascii="宋体" w:hAnsi="宋体" w:cs="宋体"/>
          <w:color w:val="auto"/>
          <w:szCs w:val="21"/>
          <w:highlight w:val="none"/>
        </w:rPr>
        <w:t>只是作为评审时使用。最终成交供应商的成交金额等于最后报价（如有修正，以确认修正后的最后报价为准）。</w:t>
      </w:r>
    </w:p>
    <w:p w14:paraId="0BB02CC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s="宋体"/>
          <w:color w:val="auto"/>
          <w:kern w:val="0"/>
          <w:szCs w:val="21"/>
          <w:highlight w:val="none"/>
        </w:rPr>
        <w:t>审报告。符合本章第5.3条情形的，可以推荐2家成交候选供应商。评审得分相同的，</w:t>
      </w:r>
      <w:r>
        <w:rPr>
          <w:rFonts w:hint="eastAsia" w:ascii="宋体" w:hAnsi="宋体" w:cs="宋体"/>
          <w:bCs/>
          <w:color w:val="auto"/>
          <w:szCs w:val="21"/>
          <w:highlight w:val="none"/>
        </w:rPr>
        <w:t>按照最后报价（不计算价格折扣）由低到高的顺序推荐。评审得分且最后报价（不计算价格折扣）相同的，按照技术、商务指标优劣顺序推荐（按技术分得分由高到低排序，技术分得分相同的按照商务分得分由高到低排序）。评审得分、最后报价（不计算价格折扣）、技术分得分、商务分得分均相同的，由磋商小组随机抽取推荐。</w:t>
      </w:r>
    </w:p>
    <w:p w14:paraId="79364F7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AFD8E35">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评审标准</w:t>
      </w:r>
    </w:p>
    <w:p w14:paraId="2AA76A84">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7.1评审依据：磋商小组将以响应文件为评审依据，对供应商的报价、技术、商务等方面内容按百分制打分，总得分=报价分+技术分+商务分。（计分方法按四舍五入取至百分位）</w:t>
      </w:r>
    </w:p>
    <w:p w14:paraId="7842B026">
      <w:pPr>
        <w:shd w:val="clear" w:color="auto" w:fill="auto"/>
        <w:spacing w:line="360" w:lineRule="auto"/>
        <w:ind w:firstLine="420" w:firstLineChars="200"/>
        <w:rPr>
          <w:rFonts w:hint="default" w:ascii="宋体" w:hAnsi="宋体" w:eastAsia="宋体" w:cs="Times New Roman"/>
          <w:bCs/>
          <w:color w:val="auto"/>
          <w:szCs w:val="21"/>
          <w:highlight w:val="none"/>
          <w:u w:val="none"/>
          <w:lang w:val="en-US" w:eastAsia="zh-CN"/>
        </w:rPr>
      </w:pPr>
      <w:bookmarkStart w:id="119" w:name="_Toc80205935"/>
    </w:p>
    <w:tbl>
      <w:tblPr>
        <w:tblStyle w:val="31"/>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222"/>
        <w:gridCol w:w="7370"/>
        <w:gridCol w:w="720"/>
      </w:tblGrid>
      <w:tr w14:paraId="4D0D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noWrap w:val="0"/>
            <w:vAlign w:val="center"/>
          </w:tcPr>
          <w:p w14:paraId="06CA6148">
            <w:pPr>
              <w:keepNext w:val="0"/>
              <w:keepLines w:val="0"/>
              <w:widowControl w:val="0"/>
              <w:suppressLineNumbers w:val="0"/>
              <w:shd w:val="clear" w:color="auto" w:fill="auto"/>
              <w:spacing w:before="0" w:beforeAutospacing="0" w:after="0" w:afterAutospacing="0"/>
              <w:ind w:left="0" w:right="0"/>
              <w:jc w:val="center"/>
              <w:rPr>
                <w:rFonts w:hint="eastAsia" w:ascii="宋体" w:hAnsi="宋体" w:eastAsia="宋体" w:cs="Times New Roman"/>
                <w:bCs/>
                <w:color w:val="auto"/>
                <w:kern w:val="2"/>
                <w:sz w:val="21"/>
                <w:szCs w:val="20"/>
                <w:highlight w:val="none"/>
                <w:lang w:val="en-US" w:eastAsia="zh-CN" w:bidi="ar-SA"/>
              </w:rPr>
            </w:pPr>
            <w:r>
              <w:rPr>
                <w:rFonts w:hint="eastAsia" w:ascii="宋体" w:hAnsi="宋体" w:eastAsia="宋体" w:cs="Times New Roman"/>
                <w:bCs/>
                <w:color w:val="auto"/>
                <w:kern w:val="2"/>
                <w:sz w:val="21"/>
                <w:szCs w:val="20"/>
                <w:highlight w:val="none"/>
                <w:lang w:val="en-US" w:eastAsia="zh-CN" w:bidi="ar-SA"/>
              </w:rPr>
              <w:t>序号</w:t>
            </w:r>
          </w:p>
        </w:tc>
        <w:tc>
          <w:tcPr>
            <w:tcW w:w="1222" w:type="dxa"/>
            <w:noWrap w:val="0"/>
            <w:vAlign w:val="center"/>
          </w:tcPr>
          <w:p w14:paraId="7F0B35D3">
            <w:pPr>
              <w:keepNext w:val="0"/>
              <w:keepLines w:val="0"/>
              <w:widowControl w:val="0"/>
              <w:suppressLineNumbers w:val="0"/>
              <w:shd w:val="clear" w:color="auto" w:fill="auto"/>
              <w:spacing w:before="0" w:beforeAutospacing="0" w:after="0" w:afterAutospacing="0"/>
              <w:ind w:left="0" w:right="0"/>
              <w:jc w:val="center"/>
              <w:rPr>
                <w:rFonts w:hint="eastAsia" w:ascii="宋体" w:hAnsi="宋体" w:eastAsia="宋体" w:cs="Times New Roman"/>
                <w:bCs/>
                <w:color w:val="auto"/>
                <w:kern w:val="2"/>
                <w:sz w:val="21"/>
                <w:szCs w:val="20"/>
                <w:highlight w:val="none"/>
                <w:lang w:val="en-US" w:eastAsia="zh-CN" w:bidi="ar-SA"/>
              </w:rPr>
            </w:pPr>
            <w:r>
              <w:rPr>
                <w:rFonts w:hint="eastAsia" w:ascii="宋体" w:hAnsi="宋体" w:eastAsia="宋体" w:cs="Times New Roman"/>
                <w:bCs/>
                <w:color w:val="auto"/>
                <w:kern w:val="2"/>
                <w:sz w:val="21"/>
                <w:szCs w:val="20"/>
                <w:highlight w:val="none"/>
                <w:lang w:val="en-US" w:eastAsia="zh-CN" w:bidi="ar-SA"/>
              </w:rPr>
              <w:t>评分类型</w:t>
            </w:r>
          </w:p>
        </w:tc>
        <w:tc>
          <w:tcPr>
            <w:tcW w:w="7370" w:type="dxa"/>
            <w:noWrap w:val="0"/>
            <w:vAlign w:val="center"/>
          </w:tcPr>
          <w:p w14:paraId="308A17B7">
            <w:pPr>
              <w:keepNext w:val="0"/>
              <w:keepLines w:val="0"/>
              <w:widowControl w:val="0"/>
              <w:suppressLineNumbers w:val="0"/>
              <w:shd w:val="clear" w:color="auto" w:fill="auto"/>
              <w:spacing w:before="0" w:beforeAutospacing="0" w:after="0" w:afterAutospacing="0"/>
              <w:ind w:left="0" w:right="0"/>
              <w:jc w:val="center"/>
              <w:rPr>
                <w:rFonts w:hint="eastAsia" w:ascii="宋体" w:hAnsi="宋体" w:eastAsia="宋体" w:cs="Times New Roman"/>
                <w:bCs/>
                <w:color w:val="auto"/>
                <w:kern w:val="2"/>
                <w:sz w:val="21"/>
                <w:szCs w:val="20"/>
                <w:highlight w:val="none"/>
                <w:lang w:val="en-US" w:eastAsia="zh-CN" w:bidi="ar-SA"/>
              </w:rPr>
            </w:pPr>
            <w:r>
              <w:rPr>
                <w:rFonts w:hint="eastAsia" w:ascii="宋体" w:hAnsi="宋体" w:eastAsia="宋体" w:cs="Times New Roman"/>
                <w:bCs/>
                <w:color w:val="auto"/>
                <w:kern w:val="2"/>
                <w:sz w:val="21"/>
                <w:szCs w:val="20"/>
                <w:highlight w:val="none"/>
                <w:lang w:val="en-US" w:eastAsia="zh-CN" w:bidi="ar-SA"/>
              </w:rPr>
              <w:t>评分标准</w:t>
            </w:r>
          </w:p>
        </w:tc>
        <w:tc>
          <w:tcPr>
            <w:tcW w:w="720" w:type="dxa"/>
            <w:noWrap w:val="0"/>
            <w:vAlign w:val="center"/>
          </w:tcPr>
          <w:p w14:paraId="2C46DFBB">
            <w:pPr>
              <w:keepNext w:val="0"/>
              <w:keepLines w:val="0"/>
              <w:widowControl w:val="0"/>
              <w:suppressLineNumbers w:val="0"/>
              <w:shd w:val="clear" w:color="auto" w:fill="auto"/>
              <w:spacing w:before="0" w:beforeAutospacing="0" w:after="0" w:afterAutospacing="0"/>
              <w:ind w:left="0" w:right="0"/>
              <w:jc w:val="center"/>
              <w:rPr>
                <w:rFonts w:hint="eastAsia" w:ascii="宋体" w:hAnsi="宋体" w:eastAsia="宋体" w:cs="Times New Roman"/>
                <w:bCs/>
                <w:color w:val="auto"/>
                <w:kern w:val="2"/>
                <w:sz w:val="21"/>
                <w:szCs w:val="20"/>
                <w:highlight w:val="none"/>
                <w:lang w:val="en-US" w:eastAsia="zh-CN" w:bidi="ar-SA"/>
              </w:rPr>
            </w:pPr>
            <w:r>
              <w:rPr>
                <w:rFonts w:hint="eastAsia" w:ascii="宋体" w:hAnsi="宋体" w:eastAsia="宋体" w:cs="Times New Roman"/>
                <w:bCs/>
                <w:color w:val="auto"/>
                <w:kern w:val="2"/>
                <w:sz w:val="21"/>
                <w:szCs w:val="20"/>
                <w:highlight w:val="none"/>
                <w:lang w:val="en-US" w:eastAsia="zh-CN" w:bidi="ar-SA"/>
              </w:rPr>
              <w:t>满分分值</w:t>
            </w:r>
          </w:p>
        </w:tc>
      </w:tr>
      <w:tr w14:paraId="51A5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noWrap w:val="0"/>
            <w:vAlign w:val="center"/>
          </w:tcPr>
          <w:p w14:paraId="547C2BDA">
            <w:pPr>
              <w:keepNext w:val="0"/>
              <w:keepLines w:val="0"/>
              <w:widowControl w:val="0"/>
              <w:suppressLineNumbers w:val="0"/>
              <w:shd w:val="clear" w:color="auto" w:fill="auto"/>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0</w:t>
            </w:r>
          </w:p>
        </w:tc>
        <w:tc>
          <w:tcPr>
            <w:tcW w:w="1222" w:type="dxa"/>
            <w:noWrap w:val="0"/>
            <w:vAlign w:val="center"/>
          </w:tcPr>
          <w:p w14:paraId="5F36985C">
            <w:pPr>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color w:val="auto"/>
                <w:highlight w:val="none"/>
              </w:rPr>
              <w:t>报价</w:t>
            </w:r>
          </w:p>
        </w:tc>
        <w:tc>
          <w:tcPr>
            <w:tcW w:w="7370" w:type="dxa"/>
            <w:noWrap w:val="0"/>
            <w:vAlign w:val="center"/>
          </w:tcPr>
          <w:p w14:paraId="3C7C2B63">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1.评审报价为供应商的最后报价进行政策性扣除后的价格，评审报价只是作为评审时使用。最终成交供应商的成交金额等于最后报价（如有修正，以确认修正后的最后报价为准）。</w:t>
            </w:r>
          </w:p>
          <w:p w14:paraId="4EFFA69E">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2.政府采购政策性扣除计算方法</w:t>
            </w:r>
          </w:p>
          <w:p w14:paraId="08209221">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1）按照《政府采购促进中小企业发展管理办法》（财库〔2020〕46号）及《广西壮族自治区财政厅关于贯彻落实政府采购支持中小企业发展政策的通知》（桂财采〔2022〕31号）的规定，供应商在其响应文件中提供《中小企业声明函》，且服务全部由符合政策要求的小型、微型企业承接的，对其最后报价给予</w:t>
            </w:r>
            <w:r>
              <w:rPr>
                <w:rFonts w:hint="eastAsia" w:ascii="宋体" w:hAnsi="宋体" w:eastAsia="宋体" w:cs="宋体"/>
                <w:color w:val="auto"/>
                <w:highlight w:val="none"/>
                <w:lang w:eastAsia="zh-CN"/>
              </w:rPr>
              <w:t>10%</w:t>
            </w:r>
            <w:r>
              <w:rPr>
                <w:rFonts w:hint="eastAsia" w:ascii="宋体" w:hAnsi="宋体" w:eastAsia="宋体" w:cs="宋体"/>
                <w:color w:val="auto"/>
                <w:highlight w:val="none"/>
              </w:rPr>
              <w:t>的扣除。</w:t>
            </w:r>
          </w:p>
          <w:p w14:paraId="39C635D4">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2D6FBD33">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0BF07B66">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（4）政策性扣除计算方法。</w:t>
            </w:r>
          </w:p>
          <w:p w14:paraId="3A768D7E">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供应商被评定为监狱企业或者残疾人福利性单位或者其服务全部由符合政策要求的小型、微型企业承接的，该供应商的最后报价给予</w:t>
            </w:r>
            <w:r>
              <w:rPr>
                <w:rFonts w:hint="eastAsia" w:ascii="宋体" w:hAnsi="宋体" w:eastAsia="宋体" w:cs="宋体"/>
                <w:color w:val="auto"/>
                <w:highlight w:val="none"/>
                <w:lang w:eastAsia="zh-CN"/>
              </w:rPr>
              <w:t>10%</w:t>
            </w:r>
            <w:r>
              <w:rPr>
                <w:rFonts w:hint="eastAsia" w:ascii="宋体" w:hAnsi="宋体" w:eastAsia="宋体" w:cs="宋体"/>
                <w:color w:val="auto"/>
                <w:highlight w:val="none"/>
              </w:rPr>
              <w:t>的扣除，扣除后的价格为评审报价，即评审报价=最后报价×（1-</w:t>
            </w:r>
            <w:r>
              <w:rPr>
                <w:rFonts w:hint="eastAsia" w:ascii="宋体" w:hAnsi="宋体" w:eastAsia="宋体" w:cs="宋体"/>
                <w:color w:val="auto"/>
                <w:highlight w:val="none"/>
                <w:lang w:eastAsia="zh-CN"/>
              </w:rPr>
              <w:t>10%</w:t>
            </w:r>
            <w:r>
              <w:rPr>
                <w:rFonts w:hint="eastAsia" w:ascii="宋体" w:hAnsi="宋体" w:eastAsia="宋体" w:cs="宋体"/>
                <w:color w:val="auto"/>
                <w:highlight w:val="none"/>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30%以上的，对联合体或者大中型企业的报价给予6%的扣除，用扣除后的价格参加评审，扣除后的价格为评审报价，即评审报价=最后报价×（1-6%）。</w:t>
            </w:r>
          </w:p>
          <w:p w14:paraId="5C67FBE9">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（5）除上述情况外，评审报价＝最后报价。</w:t>
            </w:r>
          </w:p>
          <w:p w14:paraId="62FAD7A0">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（6）以进入比较与评价环节的最低的评审报价为基准价，基准价得分为</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w:t>
            </w:r>
          </w:p>
          <w:p w14:paraId="5758B705">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（7）价格分计算公式：</w:t>
            </w:r>
          </w:p>
          <w:p w14:paraId="39A4C24C">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报价得分=（基准价/评审报价）×</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w:t>
            </w:r>
          </w:p>
          <w:p w14:paraId="5104847B">
            <w:pPr>
              <w:keepNext w:val="0"/>
              <w:keepLines w:val="0"/>
              <w:suppressLineNumbers w:val="0"/>
              <w:spacing w:before="0" w:beforeAutospacing="0" w:after="0" w:afterAutospacing="0"/>
              <w:ind w:left="0" w:right="0"/>
              <w:jc w:val="left"/>
              <w:rPr>
                <w:rFonts w:hint="eastAsia"/>
                <w:color w:val="auto"/>
                <w:highlight w:val="none"/>
              </w:rPr>
            </w:pPr>
            <w:r>
              <w:rPr>
                <w:rFonts w:hint="eastAsia" w:ascii="宋体" w:hAnsi="宋体" w:eastAsia="宋体" w:cs="宋体"/>
                <w:color w:val="auto"/>
                <w:highlight w:val="none"/>
              </w:rPr>
              <w:t>3.磋商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磋商小组应当将其作为无效响应处理。</w:t>
            </w:r>
          </w:p>
        </w:tc>
        <w:tc>
          <w:tcPr>
            <w:tcW w:w="720" w:type="dxa"/>
            <w:noWrap w:val="0"/>
            <w:vAlign w:val="center"/>
          </w:tcPr>
          <w:p w14:paraId="3414D3E4">
            <w:pPr>
              <w:keepNext w:val="0"/>
              <w:keepLines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highlight w:val="none"/>
                <w:lang w:val="en-US" w:eastAsia="zh-CN"/>
              </w:rPr>
              <w:t>10</w:t>
            </w:r>
          </w:p>
        </w:tc>
      </w:tr>
      <w:tr w14:paraId="6D07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2" w:type="dxa"/>
            <w:noWrap w:val="0"/>
            <w:vAlign w:val="center"/>
          </w:tcPr>
          <w:p w14:paraId="5DBB5F37">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w:t>
            </w:r>
          </w:p>
        </w:tc>
        <w:tc>
          <w:tcPr>
            <w:tcW w:w="1222" w:type="dxa"/>
            <w:noWrap w:val="0"/>
            <w:vAlign w:val="center"/>
          </w:tcPr>
          <w:p w14:paraId="3BB66A60">
            <w:pPr>
              <w:keepNext w:val="0"/>
              <w:keepLines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技术</w:t>
            </w:r>
          </w:p>
        </w:tc>
        <w:tc>
          <w:tcPr>
            <w:tcW w:w="7370" w:type="dxa"/>
            <w:noWrap w:val="0"/>
            <w:vAlign w:val="top"/>
          </w:tcPr>
          <w:p w14:paraId="0F572A29">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项目理解与需求分析方案：</w:t>
            </w:r>
          </w:p>
          <w:p w14:paraId="5296334B">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（1）供应商根据对项目的理解以及用户实际需求编制了简单的方案，得1分。</w:t>
            </w:r>
          </w:p>
          <w:p w14:paraId="3D4EF2D0">
            <w:pPr>
              <w:keepNext w:val="0"/>
              <w:keepLines w:val="0"/>
              <w:suppressLineNumbers w:val="0"/>
              <w:spacing w:before="0" w:beforeAutospacing="0" w:after="0" w:afterAutospacing="0"/>
              <w:ind w:left="0" w:right="0"/>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（2）供应商根据对项目的理解以及用户实际需求编制了详细的方案，包含项目理解，对“矛盾纠纷化解法治化‘路线图’”的解读，系统应用需求分析，用户量与业务量分析，</w:t>
            </w:r>
            <w:r>
              <w:rPr>
                <w:rFonts w:hint="eastAsia" w:ascii="宋体" w:hAnsi="宋体" w:cs="宋体"/>
                <w:bCs/>
                <w:color w:val="auto"/>
                <w:szCs w:val="21"/>
                <w:highlight w:val="none"/>
              </w:rPr>
              <w:t>平台</w:t>
            </w:r>
            <w:r>
              <w:rPr>
                <w:rFonts w:hint="eastAsia" w:ascii="宋体" w:hAnsi="宋体" w:eastAsia="宋体" w:cs="宋体"/>
                <w:bCs/>
                <w:color w:val="auto"/>
                <w:szCs w:val="21"/>
                <w:highlight w:val="none"/>
                <w:lang w:eastAsia="zh-CN"/>
              </w:rPr>
              <w:t>系统</w:t>
            </w:r>
            <w:r>
              <w:rPr>
                <w:rFonts w:hint="eastAsia" w:ascii="宋体" w:hAnsi="宋体" w:cs="宋体"/>
                <w:bCs/>
                <w:color w:val="auto"/>
                <w:szCs w:val="21"/>
                <w:highlight w:val="none"/>
              </w:rPr>
              <w:t>架构</w:t>
            </w:r>
            <w:r>
              <w:rPr>
                <w:rFonts w:hint="eastAsia" w:ascii="宋体" w:hAnsi="宋体" w:eastAsia="宋体" w:cs="宋体"/>
                <w:bCs/>
                <w:color w:val="auto"/>
                <w:kern w:val="2"/>
                <w:sz w:val="21"/>
                <w:szCs w:val="21"/>
                <w:highlight w:val="none"/>
                <w:lang w:val="en-US" w:eastAsia="zh-CN" w:bidi="ar-SA"/>
              </w:rPr>
              <w:t>，系统网络架构，公共组件的复用内容及方式，以及政法委、法院、检察院、公安、民政、司法行政、人力资源社会保障、住房城乡建设、卫生健康、工会、妇联、信访等12个职能部门及12345平台的涉政法数据现状分析，</w:t>
            </w:r>
            <w:r>
              <w:rPr>
                <w:rFonts w:hint="eastAsia" w:ascii="宋体" w:hAnsi="宋体" w:cs="宋体"/>
                <w:bCs/>
                <w:color w:val="auto"/>
                <w:szCs w:val="21"/>
                <w:highlight w:val="none"/>
              </w:rPr>
              <w:t>同时提供数据需求规划设计，包括数据来源、数据类型、字段内容、字段说明、数据对接方式、数据量、数据更新频率等内容</w:t>
            </w:r>
            <w:r>
              <w:rPr>
                <w:rFonts w:hint="eastAsia" w:ascii="宋体" w:hAnsi="宋体" w:eastAsia="宋体" w:cs="宋体"/>
                <w:bCs/>
                <w:color w:val="auto"/>
                <w:kern w:val="2"/>
                <w:sz w:val="21"/>
                <w:szCs w:val="21"/>
                <w:highlight w:val="none"/>
                <w:lang w:val="en-US" w:eastAsia="zh-CN" w:bidi="ar-SA"/>
              </w:rPr>
              <w:t>，但不能完全贴合用户实际使用场景，或对项目理解有偏差，缺乏针对性，得5分。</w:t>
            </w:r>
          </w:p>
          <w:p w14:paraId="560E20AE">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供应商根据对项目的理解以及用户实际需求编制了详细且有针对性的方案，包含项目理解，对“矛盾纠纷化解法治化‘路线图’”的解读，系统应用需求分析，用户量与业务量分析，系统网络架构，公共组件的复用内容及方式，以及政法委、法院、检察院、公安、民政、司法行政、人力资源社会保障、住房城乡建设、卫生健康、工会、妇联、信访等12个职能部门及12345平台的涉政法数据现状分析，</w:t>
            </w:r>
            <w:r>
              <w:rPr>
                <w:rFonts w:hint="eastAsia" w:ascii="宋体" w:hAnsi="宋体" w:cs="宋体"/>
                <w:bCs/>
                <w:color w:val="auto"/>
                <w:szCs w:val="21"/>
                <w:highlight w:val="none"/>
              </w:rPr>
              <w:t>同时提供数据需求规划设计，包括数据来源、数据类型、字段内容、字段说明、数据对接方式、数据量、数据更新频率等内容</w:t>
            </w:r>
            <w:r>
              <w:rPr>
                <w:rFonts w:hint="eastAsia" w:ascii="宋体" w:hAnsi="宋体" w:eastAsia="宋体" w:cs="宋体"/>
                <w:bCs/>
                <w:color w:val="auto"/>
                <w:kern w:val="2"/>
                <w:sz w:val="21"/>
                <w:szCs w:val="21"/>
                <w:highlight w:val="none"/>
                <w:lang w:val="en-US" w:eastAsia="zh-CN" w:bidi="ar-SA"/>
              </w:rPr>
              <w:t>，内容贴合用户实际应用场景，对项目理解和需求分析精准，方案细节内容详实，得10分。</w:t>
            </w:r>
          </w:p>
        </w:tc>
        <w:tc>
          <w:tcPr>
            <w:tcW w:w="720" w:type="dxa"/>
            <w:noWrap w:val="0"/>
            <w:vAlign w:val="center"/>
          </w:tcPr>
          <w:p w14:paraId="0AFECF2C">
            <w:pPr>
              <w:keepNext w:val="0"/>
              <w:keepLines w:val="0"/>
              <w:suppressLineNumbers w:val="0"/>
              <w:spacing w:before="0" w:beforeAutospacing="0" w:after="0" w:afterAutospacing="0"/>
              <w:ind w:left="0" w:right="0"/>
              <w:jc w:val="center"/>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10</w:t>
            </w:r>
          </w:p>
        </w:tc>
      </w:tr>
      <w:tr w14:paraId="6876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2" w:type="dxa"/>
            <w:noWrap w:val="0"/>
            <w:vAlign w:val="center"/>
          </w:tcPr>
          <w:p w14:paraId="2687DD10">
            <w:pPr>
              <w:keepNext w:val="0"/>
              <w:keepLines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2</w:t>
            </w:r>
          </w:p>
        </w:tc>
        <w:tc>
          <w:tcPr>
            <w:tcW w:w="1222" w:type="dxa"/>
            <w:noWrap w:val="0"/>
            <w:vAlign w:val="center"/>
          </w:tcPr>
          <w:p w14:paraId="4FE0C113">
            <w:pPr>
              <w:keepNext w:val="0"/>
              <w:keepLines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技术</w:t>
            </w:r>
          </w:p>
        </w:tc>
        <w:tc>
          <w:tcPr>
            <w:tcW w:w="7370" w:type="dxa"/>
            <w:noWrap w:val="0"/>
            <w:vAlign w:val="top"/>
          </w:tcPr>
          <w:p w14:paraId="5817B274">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社会治安综合治理信息平台系统方案：</w:t>
            </w:r>
          </w:p>
          <w:p w14:paraId="055394E9">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（1）供应商对社会治安综合治理信息系统进行了方案编制，得1分。</w:t>
            </w:r>
          </w:p>
          <w:p w14:paraId="325B9DE4">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（2）供应商对社会治安综合治理信息系统进行了方案编制，包含</w:t>
            </w:r>
            <w:r>
              <w:rPr>
                <w:rFonts w:hint="eastAsia" w:ascii="宋体" w:hAnsi="宋体" w:cs="宋体"/>
                <w:bCs/>
                <w:color w:val="auto"/>
                <w:kern w:val="2"/>
                <w:sz w:val="21"/>
                <w:szCs w:val="21"/>
                <w:highlight w:val="none"/>
                <w:lang w:val="en-US" w:eastAsia="zh-CN" w:bidi="ar-SA"/>
              </w:rPr>
              <w:t>矛盾纠纷化解</w:t>
            </w:r>
            <w:r>
              <w:rPr>
                <w:rFonts w:hint="eastAsia" w:ascii="宋体" w:hAnsi="宋体" w:eastAsia="宋体" w:cs="宋体"/>
                <w:bCs/>
                <w:color w:val="auto"/>
                <w:kern w:val="2"/>
                <w:sz w:val="21"/>
                <w:szCs w:val="21"/>
                <w:highlight w:val="none"/>
                <w:lang w:val="en-US" w:eastAsia="zh-CN" w:bidi="ar-SA"/>
              </w:rPr>
              <w:t>系统功能、矛盾纠纷化解流程设计、重点群体服务管理一人一档、个性化功能实现内容，但方案内容不能完全贴合用户使用场景，缺乏针对性，得4分。</w:t>
            </w:r>
          </w:p>
          <w:p w14:paraId="6858E294">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（3）供应商对社会治安综合治理信息系统进行了方案编制，方案详细且有针对性，包含</w:t>
            </w:r>
            <w:r>
              <w:rPr>
                <w:rFonts w:hint="eastAsia" w:ascii="宋体" w:hAnsi="宋体" w:cs="宋体"/>
                <w:bCs/>
                <w:color w:val="auto"/>
                <w:kern w:val="2"/>
                <w:sz w:val="21"/>
                <w:szCs w:val="21"/>
                <w:highlight w:val="none"/>
                <w:lang w:val="en-US" w:eastAsia="zh-CN" w:bidi="ar-SA"/>
              </w:rPr>
              <w:t>矛盾纠纷化解</w:t>
            </w:r>
            <w:r>
              <w:rPr>
                <w:rFonts w:hint="eastAsia" w:ascii="宋体" w:hAnsi="宋体" w:eastAsia="宋体" w:cs="宋体"/>
                <w:bCs/>
                <w:color w:val="auto"/>
                <w:kern w:val="2"/>
                <w:sz w:val="21"/>
                <w:szCs w:val="21"/>
                <w:highlight w:val="none"/>
                <w:lang w:val="en-US" w:eastAsia="zh-CN" w:bidi="ar-SA"/>
              </w:rPr>
              <w:t>系统功能、矛盾纠纷化解流程设计、重点群体服务管理一人一档、个性化功能实现内容，内容贴合用户实际应用场景，方案细节内容详实，得8分。</w:t>
            </w:r>
          </w:p>
        </w:tc>
        <w:tc>
          <w:tcPr>
            <w:tcW w:w="720" w:type="dxa"/>
            <w:noWrap w:val="0"/>
            <w:vAlign w:val="center"/>
          </w:tcPr>
          <w:p w14:paraId="489E948D">
            <w:pPr>
              <w:keepNext w:val="0"/>
              <w:keepLines w:val="0"/>
              <w:suppressLineNumbers w:val="0"/>
              <w:spacing w:before="0" w:beforeAutospacing="0" w:after="0" w:afterAutospacing="0"/>
              <w:ind w:left="0" w:right="0"/>
              <w:jc w:val="center"/>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8</w:t>
            </w:r>
          </w:p>
        </w:tc>
      </w:tr>
      <w:tr w14:paraId="1591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2" w:type="dxa"/>
            <w:noWrap w:val="0"/>
            <w:vAlign w:val="center"/>
          </w:tcPr>
          <w:p w14:paraId="7A187027">
            <w:pPr>
              <w:keepNext w:val="0"/>
              <w:keepLines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3</w:t>
            </w:r>
          </w:p>
        </w:tc>
        <w:tc>
          <w:tcPr>
            <w:tcW w:w="1222" w:type="dxa"/>
            <w:noWrap w:val="0"/>
            <w:vAlign w:val="center"/>
          </w:tcPr>
          <w:p w14:paraId="65C63932">
            <w:pPr>
              <w:keepNext w:val="0"/>
              <w:keepLines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技术</w:t>
            </w:r>
          </w:p>
        </w:tc>
        <w:tc>
          <w:tcPr>
            <w:tcW w:w="7370" w:type="dxa"/>
            <w:noWrap w:val="0"/>
            <w:vAlign w:val="top"/>
          </w:tcPr>
          <w:p w14:paraId="2F40DB82">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数据对接及数据中台系统方案：</w:t>
            </w:r>
          </w:p>
          <w:p w14:paraId="4C08E383">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（1）供应商对数据对接及数据中台系统进行了方案编制，得1分。</w:t>
            </w:r>
          </w:p>
          <w:p w14:paraId="7C5A47A8">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供应商对数据对接及数据中台系统进行了方案编制，包含公安、法院等12个职能部门及12345平台的数据对接规划设计、接口开发、对接联调、数据中台建设内容，但方案内容不能贴合用户使用场景，缺乏针对性，得4分。</w:t>
            </w:r>
          </w:p>
          <w:p w14:paraId="6CBCDDBA">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供应商对数据对接及数据中台系统进行了方案编制，方案详细且有针对性，包含公安、法院等12个职能部门及12345平台的数据对接规划设计、接口开发、对接联调、数据中台建设内容，内容贴合用户实际应用场景，方案细节内容详实，得8分。</w:t>
            </w:r>
          </w:p>
        </w:tc>
        <w:tc>
          <w:tcPr>
            <w:tcW w:w="720" w:type="dxa"/>
            <w:noWrap w:val="0"/>
            <w:vAlign w:val="center"/>
          </w:tcPr>
          <w:p w14:paraId="0C7DDB88">
            <w:pPr>
              <w:keepNext w:val="0"/>
              <w:keepLines w:val="0"/>
              <w:suppressLineNumbers w:val="0"/>
              <w:spacing w:before="0" w:beforeAutospacing="0" w:after="0" w:afterAutospacing="0"/>
              <w:ind w:left="0" w:right="0"/>
              <w:jc w:val="center"/>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8</w:t>
            </w:r>
          </w:p>
        </w:tc>
      </w:tr>
      <w:tr w14:paraId="7453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2" w:type="dxa"/>
            <w:noWrap w:val="0"/>
            <w:vAlign w:val="center"/>
          </w:tcPr>
          <w:p w14:paraId="36E3BC01">
            <w:pPr>
              <w:keepNext w:val="0"/>
              <w:keepLines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4</w:t>
            </w:r>
          </w:p>
        </w:tc>
        <w:tc>
          <w:tcPr>
            <w:tcW w:w="1222" w:type="dxa"/>
            <w:noWrap w:val="0"/>
            <w:vAlign w:val="center"/>
          </w:tcPr>
          <w:p w14:paraId="2745114A">
            <w:pPr>
              <w:keepNext w:val="0"/>
              <w:keepLines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技术</w:t>
            </w:r>
          </w:p>
        </w:tc>
        <w:tc>
          <w:tcPr>
            <w:tcW w:w="7370" w:type="dxa"/>
            <w:noWrap w:val="0"/>
            <w:vAlign w:val="top"/>
          </w:tcPr>
          <w:p w14:paraId="5B2B5CC9">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数据治理及数据存储系统方案：</w:t>
            </w:r>
          </w:p>
          <w:p w14:paraId="00C794EE">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（1）供应商对数据治理及数据存储系统进行了方案编制，得1分。</w:t>
            </w:r>
          </w:p>
          <w:p w14:paraId="2FE4A7C1">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（2）供应商对数据治理及数据存储系统进行了方案编制，提供符合实际业务情况的社会治安综合治理业务数据标准规范设计，包括风险数据归集标准、矛盾纠纷化解业务风险管理标准、数据考核评估标准内容</w:t>
            </w:r>
            <w:r>
              <w:rPr>
                <w:rFonts w:hint="eastAsia" w:ascii="宋体" w:hAnsi="宋体" w:cs="宋体"/>
                <w:bCs/>
                <w:color w:val="auto"/>
                <w:szCs w:val="21"/>
                <w:highlight w:val="none"/>
              </w:rPr>
              <w:t>、功能实现方案、数据库存储方式；提供数据治理效果呈现内容，包括资产数据、数据结构等；同时提供政法数据治理体系落地设计，包括数据治理共享需求描述、数据治理标签体系</w:t>
            </w:r>
            <w:r>
              <w:rPr>
                <w:rFonts w:hint="eastAsia" w:ascii="宋体" w:hAnsi="宋体" w:cs="宋体"/>
                <w:bCs/>
                <w:color w:val="auto"/>
                <w:kern w:val="2"/>
                <w:sz w:val="21"/>
                <w:szCs w:val="21"/>
                <w:highlight w:val="none"/>
                <w:lang w:val="en-US" w:eastAsia="zh-CN" w:bidi="ar-SA"/>
              </w:rPr>
              <w:t>等内容</w:t>
            </w:r>
            <w:r>
              <w:rPr>
                <w:rFonts w:hint="eastAsia" w:ascii="宋体" w:hAnsi="宋体" w:eastAsia="宋体" w:cs="宋体"/>
                <w:bCs/>
                <w:color w:val="auto"/>
                <w:kern w:val="2"/>
                <w:sz w:val="21"/>
                <w:szCs w:val="21"/>
                <w:highlight w:val="none"/>
                <w:lang w:val="en-US" w:eastAsia="zh-CN" w:bidi="ar-SA"/>
              </w:rPr>
              <w:t>，但方案内容不能贴合用户使用场景，缺乏针对性，得4分。</w:t>
            </w:r>
          </w:p>
          <w:p w14:paraId="55DFB12D">
            <w:pPr>
              <w:keepNext w:val="0"/>
              <w:keepLines w:val="0"/>
              <w:suppressLineNumbers w:val="0"/>
              <w:spacing w:before="0" w:beforeAutospacing="0" w:after="0" w:afterAutospacing="0"/>
              <w:ind w:left="0" w:right="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供应商对数据治理及数据存储系统进行了方案编制，方案详细且有针对性，提供符合实际业务情况的社会治安综合治理业务数据标准规范设计，至少包括风险数据归集标准、矛盾纠纷化解业务风险管理标准、数据考核评估标准内容</w:t>
            </w:r>
            <w:r>
              <w:rPr>
                <w:rFonts w:hint="eastAsia" w:ascii="宋体" w:hAnsi="宋体" w:cs="宋体"/>
                <w:bCs/>
                <w:color w:val="auto"/>
                <w:szCs w:val="21"/>
                <w:highlight w:val="none"/>
              </w:rPr>
              <w:t>、功能实现方案、数据库存储方式；提供数据治理效果呈现内容，包括资产数据、数据结构等；同时提供政法数据治理体系落地设计，包括数据治理共享需求描述、数据治理标签体系</w:t>
            </w:r>
            <w:r>
              <w:rPr>
                <w:rFonts w:hint="eastAsia" w:ascii="宋体" w:hAnsi="宋体" w:cs="宋体"/>
                <w:bCs/>
                <w:color w:val="auto"/>
                <w:kern w:val="2"/>
                <w:sz w:val="21"/>
                <w:szCs w:val="21"/>
                <w:highlight w:val="none"/>
                <w:lang w:val="en-US" w:eastAsia="zh-CN" w:bidi="ar-SA"/>
              </w:rPr>
              <w:t>等内容</w:t>
            </w:r>
            <w:r>
              <w:rPr>
                <w:rFonts w:hint="eastAsia" w:ascii="宋体" w:hAnsi="宋体" w:eastAsia="宋体" w:cs="宋体"/>
                <w:bCs/>
                <w:color w:val="auto"/>
                <w:kern w:val="2"/>
                <w:sz w:val="21"/>
                <w:szCs w:val="21"/>
                <w:highlight w:val="none"/>
                <w:lang w:val="en-US" w:eastAsia="zh-CN" w:bidi="ar-SA"/>
              </w:rPr>
              <w:t>，</w:t>
            </w:r>
            <w:r>
              <w:rPr>
                <w:rFonts w:hint="eastAsia" w:ascii="宋体" w:hAnsi="宋体" w:cs="宋体"/>
                <w:bCs/>
                <w:color w:val="auto"/>
                <w:szCs w:val="21"/>
                <w:highlight w:val="none"/>
              </w:rPr>
              <w:t>内容贴合用户实际应用场景</w:t>
            </w:r>
            <w:r>
              <w:rPr>
                <w:rFonts w:hint="eastAsia" w:ascii="宋体" w:hAnsi="宋体" w:cs="宋体"/>
                <w:bCs/>
                <w:color w:val="auto"/>
                <w:szCs w:val="21"/>
                <w:highlight w:val="none"/>
                <w:lang w:eastAsia="zh-CN"/>
              </w:rPr>
              <w:t>，</w:t>
            </w:r>
            <w:r>
              <w:rPr>
                <w:rFonts w:hint="eastAsia" w:ascii="宋体" w:hAnsi="宋体" w:eastAsia="宋体" w:cs="宋体"/>
                <w:bCs/>
                <w:color w:val="auto"/>
                <w:kern w:val="2"/>
                <w:sz w:val="21"/>
                <w:szCs w:val="21"/>
                <w:highlight w:val="none"/>
                <w:lang w:val="en-US" w:eastAsia="zh-CN" w:bidi="ar-SA"/>
              </w:rPr>
              <w:t>方案细节内容详实，得8分。</w:t>
            </w:r>
          </w:p>
        </w:tc>
        <w:tc>
          <w:tcPr>
            <w:tcW w:w="720" w:type="dxa"/>
            <w:noWrap w:val="0"/>
            <w:vAlign w:val="center"/>
          </w:tcPr>
          <w:p w14:paraId="3BFE91C0">
            <w:pPr>
              <w:keepNext w:val="0"/>
              <w:keepLines w:val="0"/>
              <w:suppressLineNumbers w:val="0"/>
              <w:spacing w:before="0" w:beforeAutospacing="0" w:after="0" w:afterAutospacing="0"/>
              <w:ind w:left="0" w:right="0"/>
              <w:jc w:val="center"/>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8</w:t>
            </w:r>
          </w:p>
        </w:tc>
      </w:tr>
      <w:tr w14:paraId="2DF7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2" w:type="dxa"/>
            <w:noWrap w:val="0"/>
            <w:vAlign w:val="center"/>
          </w:tcPr>
          <w:p w14:paraId="73ACED27">
            <w:pPr>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1222" w:type="dxa"/>
            <w:noWrap w:val="0"/>
            <w:vAlign w:val="center"/>
          </w:tcPr>
          <w:p w14:paraId="035D38CD">
            <w:pPr>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技术</w:t>
            </w:r>
          </w:p>
        </w:tc>
        <w:tc>
          <w:tcPr>
            <w:tcW w:w="7370" w:type="dxa"/>
            <w:noWrap w:val="0"/>
            <w:vAlign w:val="center"/>
          </w:tcPr>
          <w:p w14:paraId="37027A17">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组织服务方案</w:t>
            </w:r>
            <w:r>
              <w:rPr>
                <w:rFonts w:hint="eastAsia" w:ascii="宋体" w:hAnsi="宋体" w:eastAsia="宋体" w:cs="宋体"/>
                <w:bCs/>
                <w:color w:val="auto"/>
                <w:sz w:val="21"/>
                <w:szCs w:val="21"/>
                <w:highlight w:val="none"/>
                <w:lang w:eastAsia="zh-CN"/>
              </w:rPr>
              <w:t>：</w:t>
            </w:r>
          </w:p>
          <w:p w14:paraId="2C877573">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lang w:eastAsia="zh-CN"/>
              </w:rPr>
              <w:t>需对组织服务进行方案编制。内容包含进度计划、服务人员配备、质量保障措施、运行维护内容。</w:t>
            </w:r>
          </w:p>
          <w:p w14:paraId="133EC2C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（1）方案内容与用户所需服务内容存在偏差，进度计划不能满足采购需求，无人员配备或人员配备介绍简单，无质量保障措施或质量保障措施</w:t>
            </w:r>
            <w:r>
              <w:rPr>
                <w:rFonts w:hint="eastAsia" w:ascii="宋体" w:hAnsi="宋体" w:cs="宋体"/>
                <w:bCs/>
                <w:color w:val="auto"/>
                <w:sz w:val="21"/>
                <w:szCs w:val="21"/>
                <w:highlight w:val="none"/>
                <w:lang w:val="en-US" w:eastAsia="zh-CN"/>
              </w:rPr>
              <w:t>简单</w:t>
            </w:r>
            <w:r>
              <w:rPr>
                <w:rFonts w:hint="eastAsia" w:ascii="宋体" w:hAnsi="宋体" w:eastAsia="宋体" w:cs="宋体"/>
                <w:bCs/>
                <w:color w:val="auto"/>
                <w:sz w:val="21"/>
                <w:szCs w:val="21"/>
                <w:highlight w:val="none"/>
                <w:lang w:eastAsia="zh-CN"/>
              </w:rPr>
              <w:t>、无运行维护内容或运行维护内容</w:t>
            </w:r>
            <w:r>
              <w:rPr>
                <w:rFonts w:hint="eastAsia" w:ascii="宋体" w:hAnsi="宋体" w:cs="宋体"/>
                <w:bCs/>
                <w:color w:val="auto"/>
                <w:sz w:val="21"/>
                <w:szCs w:val="21"/>
                <w:highlight w:val="none"/>
                <w:lang w:val="en-US" w:eastAsia="zh-CN"/>
              </w:rPr>
              <w:t>简单</w:t>
            </w:r>
            <w:r>
              <w:rPr>
                <w:rFonts w:hint="eastAsia" w:ascii="宋体" w:hAnsi="宋体" w:eastAsia="宋体" w:cs="宋体"/>
                <w:bCs/>
                <w:color w:val="auto"/>
                <w:sz w:val="21"/>
                <w:szCs w:val="21"/>
                <w:highlight w:val="none"/>
                <w:lang w:eastAsia="zh-CN"/>
              </w:rPr>
              <w:t>，得1分。</w:t>
            </w:r>
          </w:p>
          <w:p w14:paraId="6AC475DA">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（2）方案内容贴合用户所需服务内容，但进度计划存在偏差，或不能满足采购需求，或人员配备及质量保障措施简单、运行维护内容无法覆盖服务需求，得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eastAsia="zh-CN"/>
              </w:rPr>
              <w:t>分。</w:t>
            </w:r>
          </w:p>
          <w:p w14:paraId="5D484669">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（3）方案内容能够贴合用户所需服务内容，能提供针对性的项目实施管理（包含质量管理、进度管理、成本管理、沟通管理、风险管理、变更管理等），进度计划满足采购需求，人员配备</w:t>
            </w:r>
            <w:r>
              <w:rPr>
                <w:rFonts w:hint="eastAsia" w:ascii="宋体" w:hAnsi="宋体" w:cs="宋体"/>
                <w:bCs/>
                <w:color w:val="auto"/>
                <w:sz w:val="21"/>
                <w:szCs w:val="21"/>
                <w:highlight w:val="none"/>
                <w:lang w:val="en-US" w:eastAsia="zh-CN"/>
              </w:rPr>
              <w:t>介绍详细且分工明确</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具备信息化项目经历</w:t>
            </w:r>
            <w:r>
              <w:rPr>
                <w:rFonts w:hint="eastAsia" w:ascii="宋体" w:hAnsi="宋体" w:eastAsia="宋体" w:cs="宋体"/>
                <w:bCs/>
                <w:color w:val="auto"/>
                <w:sz w:val="21"/>
                <w:szCs w:val="21"/>
                <w:highlight w:val="none"/>
                <w:lang w:eastAsia="zh-CN"/>
              </w:rPr>
              <w:t>，质量保障措施详细有效、运行维护内容详细</w:t>
            </w:r>
            <w:r>
              <w:rPr>
                <w:rFonts w:hint="eastAsia" w:ascii="宋体" w:hAnsi="宋体" w:cs="宋体"/>
                <w:bCs/>
                <w:color w:val="auto"/>
                <w:sz w:val="21"/>
                <w:szCs w:val="21"/>
                <w:highlight w:val="none"/>
                <w:lang w:val="en-US" w:eastAsia="zh-CN"/>
              </w:rPr>
              <w:t>且有针对性</w:t>
            </w:r>
            <w:r>
              <w:rPr>
                <w:rFonts w:hint="eastAsia" w:ascii="宋体" w:hAnsi="宋体" w:eastAsia="宋体" w:cs="宋体"/>
                <w:bCs/>
                <w:color w:val="auto"/>
                <w:sz w:val="21"/>
                <w:szCs w:val="21"/>
                <w:highlight w:val="none"/>
                <w:lang w:eastAsia="zh-CN"/>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eastAsia="zh-CN"/>
              </w:rPr>
              <w:t>分。</w:t>
            </w:r>
          </w:p>
        </w:tc>
        <w:tc>
          <w:tcPr>
            <w:tcW w:w="720" w:type="dxa"/>
            <w:noWrap w:val="0"/>
            <w:vAlign w:val="center"/>
          </w:tcPr>
          <w:p w14:paraId="192A3D69">
            <w:pPr>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6</w:t>
            </w:r>
          </w:p>
        </w:tc>
      </w:tr>
      <w:tr w14:paraId="0358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2" w:type="dxa"/>
            <w:noWrap w:val="0"/>
            <w:vAlign w:val="center"/>
          </w:tcPr>
          <w:p w14:paraId="2165F770">
            <w:pPr>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222" w:type="dxa"/>
            <w:noWrap w:val="0"/>
            <w:vAlign w:val="center"/>
          </w:tcPr>
          <w:p w14:paraId="045074A6">
            <w:pPr>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w:t>
            </w:r>
          </w:p>
        </w:tc>
        <w:tc>
          <w:tcPr>
            <w:tcW w:w="7370" w:type="dxa"/>
            <w:noWrap w:val="0"/>
            <w:vAlign w:val="center"/>
          </w:tcPr>
          <w:p w14:paraId="5184D892">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售后服务方案</w:t>
            </w:r>
            <w:r>
              <w:rPr>
                <w:rFonts w:hint="eastAsia" w:ascii="宋体" w:hAnsi="宋体" w:eastAsia="宋体" w:cs="宋体"/>
                <w:bCs/>
                <w:color w:val="auto"/>
                <w:sz w:val="21"/>
                <w:szCs w:val="21"/>
                <w:highlight w:val="none"/>
                <w:lang w:eastAsia="zh-CN"/>
              </w:rPr>
              <w:t>：</w:t>
            </w:r>
          </w:p>
          <w:p w14:paraId="39ECE86C">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lang w:eastAsia="zh-CN"/>
              </w:rPr>
              <w:t>需对项目售后服务进行方案编制。内容包含但不限于故障处理流程、应急响应机制、培训方案。</w:t>
            </w:r>
          </w:p>
          <w:p w14:paraId="678E1729">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（1）方案内容与用户所需服务内容存在偏差，故障处理流程不到位、应急响应机制</w:t>
            </w:r>
            <w:r>
              <w:rPr>
                <w:rFonts w:hint="eastAsia" w:ascii="宋体" w:hAnsi="宋体" w:cs="宋体"/>
                <w:bCs/>
                <w:color w:val="auto"/>
                <w:sz w:val="21"/>
                <w:szCs w:val="21"/>
                <w:highlight w:val="none"/>
                <w:lang w:val="en-US" w:eastAsia="zh-CN"/>
              </w:rPr>
              <w:t>简单</w:t>
            </w:r>
            <w:r>
              <w:rPr>
                <w:rFonts w:hint="eastAsia" w:ascii="宋体" w:hAnsi="宋体" w:eastAsia="宋体" w:cs="宋体"/>
                <w:bCs/>
                <w:color w:val="auto"/>
                <w:sz w:val="21"/>
                <w:szCs w:val="21"/>
                <w:highlight w:val="none"/>
                <w:lang w:eastAsia="zh-CN"/>
              </w:rPr>
              <w:t>、培训方案不能覆盖全部使用需求，得1分。</w:t>
            </w:r>
          </w:p>
          <w:p w14:paraId="7B7B2350">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（2）方案内容贴合用户所需服务内容，但故障处理流程存在偏差、或应急响应机制简单、或培训方案不能覆盖使用需求，得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eastAsia="zh-CN"/>
              </w:rPr>
              <w:t>分。</w:t>
            </w:r>
          </w:p>
          <w:p w14:paraId="4D5EF74A">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（3）方案内容能够贴合用户所需服务内容，具有针对性的运行维护分析，故障处理流程详细有效且有针对性、应急响应机制</w:t>
            </w:r>
            <w:r>
              <w:rPr>
                <w:rFonts w:hint="eastAsia" w:ascii="宋体" w:hAnsi="宋体" w:cs="宋体"/>
                <w:bCs/>
                <w:color w:val="auto"/>
                <w:sz w:val="21"/>
                <w:szCs w:val="21"/>
                <w:highlight w:val="none"/>
                <w:lang w:val="en-US" w:eastAsia="zh-CN"/>
              </w:rPr>
              <w:t>详细</w:t>
            </w:r>
            <w:r>
              <w:rPr>
                <w:rFonts w:hint="eastAsia" w:ascii="宋体" w:hAnsi="宋体" w:eastAsia="宋体" w:cs="宋体"/>
                <w:bCs/>
                <w:color w:val="auto"/>
                <w:sz w:val="21"/>
                <w:szCs w:val="21"/>
                <w:highlight w:val="none"/>
                <w:lang w:eastAsia="zh-CN"/>
              </w:rPr>
              <w:t>、培训方案细致且能覆盖全部使用需求，得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eastAsia="zh-CN"/>
              </w:rPr>
              <w:t>分。</w:t>
            </w:r>
          </w:p>
        </w:tc>
        <w:tc>
          <w:tcPr>
            <w:tcW w:w="720" w:type="dxa"/>
            <w:noWrap w:val="0"/>
            <w:vAlign w:val="center"/>
          </w:tcPr>
          <w:p w14:paraId="054A6FD6">
            <w:pPr>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6</w:t>
            </w:r>
          </w:p>
        </w:tc>
      </w:tr>
      <w:tr w14:paraId="058E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2" w:type="dxa"/>
            <w:noWrap w:val="0"/>
            <w:vAlign w:val="center"/>
          </w:tcPr>
          <w:p w14:paraId="3CFE3AE8">
            <w:pPr>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222" w:type="dxa"/>
            <w:noWrap w:val="0"/>
            <w:vAlign w:val="center"/>
          </w:tcPr>
          <w:p w14:paraId="45823287">
            <w:pPr>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技术</w:t>
            </w:r>
          </w:p>
        </w:tc>
        <w:tc>
          <w:tcPr>
            <w:tcW w:w="7370" w:type="dxa"/>
            <w:noWrap w:val="0"/>
            <w:vAlign w:val="center"/>
          </w:tcPr>
          <w:p w14:paraId="37F875CE">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社会治安综合治理信息平台演示</w:t>
            </w:r>
            <w:r>
              <w:rPr>
                <w:rFonts w:hint="eastAsia" w:ascii="宋体" w:hAnsi="宋体" w:eastAsia="宋体" w:cs="宋体"/>
                <w:bCs/>
                <w:color w:val="auto"/>
                <w:sz w:val="21"/>
                <w:szCs w:val="21"/>
                <w:highlight w:val="none"/>
                <w:lang w:eastAsia="zh-CN"/>
              </w:rPr>
              <w:t>：</w:t>
            </w:r>
          </w:p>
          <w:p w14:paraId="2BA88D87">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演示内容：</w:t>
            </w:r>
          </w:p>
          <w:p w14:paraId="47E7739C">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1、矛盾纠纷化解流程演示：</w:t>
            </w:r>
          </w:p>
          <w:p w14:paraId="6C497D2D">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按照矛盾纠纷化解法治化“路线图”的要求演示一个矛盾纠纷事件从受理登记直到最后跟踪回访的业务全流程。</w:t>
            </w:r>
          </w:p>
          <w:p w14:paraId="65919F42">
            <w:pPr>
              <w:pStyle w:val="22"/>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系统应具备人物画像功能，支持对人员涉及的历史纠纷事件进行后台自动关联；支持根据后台对历史数据的智能分析结果，自动对人员风险进行预警，预警内容应包含风险预警类型以及对人员风险预警分值，并对该人员相关的其他人员进行关系图展示。</w:t>
            </w:r>
          </w:p>
          <w:p w14:paraId="561ECFC2">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eastAsia="zh-CN"/>
              </w:rPr>
              <w:t>可视化云图演示：</w:t>
            </w:r>
          </w:p>
          <w:p w14:paraId="15EBF326">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（1）综合态势云图演示：</w:t>
            </w:r>
          </w:p>
          <w:p w14:paraId="6E7AC29B">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①部门数据：分别展示相关单位共享的纠纷事件数量。可查看数据列表展示，并支持查看数据详情。</w:t>
            </w:r>
          </w:p>
          <w:p w14:paraId="1A34D0CB">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②纠纷化解：全面呈现辖区矛盾纠纷调解工作全貌，构建集化解成效和调解状态统计、成功案例溯源、</w:t>
            </w:r>
            <w:r>
              <w:rPr>
                <w:rFonts w:hint="eastAsia" w:ascii="宋体" w:hAnsi="宋体" w:cs="宋体"/>
                <w:bCs/>
                <w:color w:val="auto"/>
                <w:sz w:val="21"/>
                <w:szCs w:val="21"/>
                <w:highlight w:val="none"/>
                <w:lang w:eastAsia="zh-CN"/>
              </w:rPr>
              <w:t>纠纷类型</w:t>
            </w:r>
            <w:r>
              <w:rPr>
                <w:rFonts w:hint="eastAsia" w:ascii="宋体" w:hAnsi="宋体" w:eastAsia="宋体" w:cs="宋体"/>
                <w:bCs/>
                <w:color w:val="auto"/>
                <w:sz w:val="21"/>
                <w:szCs w:val="21"/>
                <w:highlight w:val="none"/>
                <w:lang w:eastAsia="zh-CN"/>
              </w:rPr>
              <w:t>分析及趋势动态研判于一体的云图展示内容。包括但不限于辖区内化解率，</w:t>
            </w:r>
          </w:p>
          <w:p w14:paraId="1AB1BE82">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部门协同事件数量，调解成功事件列表及事件详情，各类</w:t>
            </w:r>
            <w:r>
              <w:rPr>
                <w:rFonts w:hint="eastAsia" w:ascii="宋体" w:hAnsi="宋体" w:cs="宋体"/>
                <w:bCs/>
                <w:color w:val="auto"/>
                <w:sz w:val="21"/>
                <w:szCs w:val="21"/>
                <w:highlight w:val="none"/>
                <w:lang w:eastAsia="zh-CN"/>
              </w:rPr>
              <w:t>纠纷类型</w:t>
            </w:r>
            <w:r>
              <w:rPr>
                <w:rFonts w:hint="eastAsia" w:ascii="宋体" w:hAnsi="宋体" w:eastAsia="宋体" w:cs="宋体"/>
                <w:bCs/>
                <w:color w:val="auto"/>
                <w:sz w:val="21"/>
                <w:szCs w:val="21"/>
                <w:highlight w:val="none"/>
                <w:lang w:eastAsia="zh-CN"/>
              </w:rPr>
              <w:t>中纠纷事件的数量和比例，辖区内本年和去年矛盾纠纷数量的变化趋势等。</w:t>
            </w:r>
          </w:p>
          <w:p w14:paraId="3166FE65">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（2）纠纷化解云图演示：</w:t>
            </w:r>
          </w:p>
          <w:p w14:paraId="28746017">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围绕矛盾纠纷全周期管理，构建“总量掌控—处置效能—类型趋势”三位一体的监测分析框架，通过核心指标量化与趋势可视化，全面呈现辖区矛盾纠纷的规模增量、响应效率及类别演化态势。包括但不限于辖区内矛盾纠纷总数，昨日新增数量；辖区内事件办结、中心处置、部门处置的平均时长；各种类型矛盾纠纷事件数量变化趋势等。</w:t>
            </w:r>
          </w:p>
          <w:p w14:paraId="0220389F">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评分规则：</w:t>
            </w:r>
          </w:p>
          <w:p w14:paraId="4B8C2500">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（1）供应商未进行演示或演示内容简单，得0分。</w:t>
            </w:r>
          </w:p>
          <w:p w14:paraId="2CAA7687">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（2）供应商演示内容不能完全满足上述演示要求，演示内容缺失2项或以上，或数据不完整，不能满足项目实际使用需求，得4分。</w:t>
            </w:r>
          </w:p>
          <w:p w14:paraId="564C3A7F">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（3）供应商演示内容不能完全满足上述演示要求，演示内容缺失</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项或以上，或数据不完整，不能完全满足项目实际使用需求，得8分。</w:t>
            </w:r>
          </w:p>
          <w:p w14:paraId="11B1C820">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（4）供应商演示内容完全满足上述全部演示要求，细节充实数据丰富，同时能完全满足项目实际使用需求，能体现出可扩展性，得1</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eastAsia="zh-CN"/>
              </w:rPr>
              <w:t>分；</w:t>
            </w:r>
          </w:p>
        </w:tc>
        <w:tc>
          <w:tcPr>
            <w:tcW w:w="720" w:type="dxa"/>
            <w:noWrap w:val="0"/>
            <w:vAlign w:val="center"/>
          </w:tcPr>
          <w:p w14:paraId="4FFCFE96">
            <w:pPr>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3</w:t>
            </w:r>
          </w:p>
        </w:tc>
      </w:tr>
      <w:tr w14:paraId="44CF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2" w:type="dxa"/>
            <w:noWrap w:val="0"/>
            <w:vAlign w:val="center"/>
          </w:tcPr>
          <w:p w14:paraId="30B385DC">
            <w:pPr>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222" w:type="dxa"/>
            <w:noWrap w:val="0"/>
            <w:vAlign w:val="center"/>
          </w:tcPr>
          <w:p w14:paraId="527CEB00">
            <w:pPr>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w:t>
            </w:r>
          </w:p>
        </w:tc>
        <w:tc>
          <w:tcPr>
            <w:tcW w:w="7370" w:type="dxa"/>
            <w:noWrap w:val="0"/>
            <w:vAlign w:val="center"/>
          </w:tcPr>
          <w:p w14:paraId="30FB5136">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数据中台演示：</w:t>
            </w:r>
          </w:p>
          <w:p w14:paraId="5B458D4E">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演示内容：</w:t>
            </w:r>
          </w:p>
          <w:p w14:paraId="6FD873E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1．数据规划环节演示</w:t>
            </w:r>
          </w:p>
          <w:p w14:paraId="6467F65D">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演示功能：平台规划、分层规划、业务域规划功能。</w:t>
            </w:r>
          </w:p>
          <w:p w14:paraId="0FAC2F81">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①</w:t>
            </w:r>
            <w:r>
              <w:rPr>
                <w:rFonts w:hint="eastAsia" w:ascii="宋体" w:hAnsi="宋体" w:cs="宋体"/>
                <w:bCs/>
                <w:color w:val="auto"/>
                <w:szCs w:val="21"/>
                <w:highlight w:val="none"/>
              </w:rPr>
              <w:t>系统支持数据规范知识图谱功能，按照社会治安综合治理风险监测预警指标维度智能提取所汇聚矛盾纠纷事件数据中的风险实体与关联关系，并以知识图谱形式进行可视化呈现，形成直观数据规范图谱，服务风险态势预警。</w:t>
            </w:r>
          </w:p>
          <w:p w14:paraId="57AE4E9F">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②应支持上传政法数据保密规范、政法数据使用规范、政法数据治理规范、数据考核规范、数据共享共治协同标准等不少于五类制度文件。文档可在线编辑维护；支持创建空白文档功能，创建后支持在线编辑。</w:t>
            </w:r>
          </w:p>
          <w:p w14:paraId="3EE3707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2.数据汇聚环节演示</w:t>
            </w:r>
          </w:p>
          <w:p w14:paraId="1A350DB2">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演示功能：数据源管理、数据集成功能。</w:t>
            </w:r>
          </w:p>
          <w:p w14:paraId="34BA8E92">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①应支持政法数据采集功能，具备数据源管理和数据连接器功能。数据源管理需支持包含但不限于关系型数据库、非关系型数据库等在内的不少于39种数据源接入组件，可实现与标准化接口的数据进行对接，快速获取数据。</w:t>
            </w:r>
          </w:p>
          <w:p w14:paraId="24F94A22">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②应支持数据流、控制流功能，可通过可视化界面对数据流进行算子级编排，至少需包含5种输入节点模型、9种输出节点模型、10种基本转换节点模型、3种数学函数、2种格式化节点模型、2种聚合节点模型、7种高级算子模型、3种连接联合节点模型、3种数据安全节点模型。</w:t>
            </w:r>
          </w:p>
          <w:p w14:paraId="1CCDBC35">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3.主动数据治理环节演示</w:t>
            </w:r>
          </w:p>
          <w:p w14:paraId="68901552">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演示功能：专家库、数据资产管理功能。</w:t>
            </w:r>
          </w:p>
          <w:p w14:paraId="6B05874B">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①专家库应具备模型库功能，模型库需支持按照政法数据模型、重点群体模型、风险指标模型等维度进行归类。其中政法数据模型至少应包含政法委、公安、法院等</w:t>
            </w:r>
            <w:r>
              <w:rPr>
                <w:rFonts w:hint="eastAsia" w:ascii="宋体" w:hAnsi="宋体" w:cs="宋体"/>
                <w:bCs/>
                <w:color w:val="auto"/>
                <w:sz w:val="21"/>
                <w:szCs w:val="21"/>
                <w:highlight w:val="none"/>
                <w:lang w:eastAsia="zh-CN"/>
              </w:rPr>
              <w:t>多</w:t>
            </w:r>
            <w:r>
              <w:rPr>
                <w:rFonts w:hint="eastAsia" w:ascii="宋体" w:hAnsi="宋体" w:eastAsia="宋体" w:cs="宋体"/>
                <w:bCs/>
                <w:color w:val="auto"/>
                <w:sz w:val="21"/>
                <w:szCs w:val="21"/>
                <w:highlight w:val="none"/>
                <w:lang w:eastAsia="zh-CN"/>
              </w:rPr>
              <w:t>类综治相关数据模型。重点群体模型至少应包括吸毒人员、严重精神障碍患者、三失一偏人员等8类数据模型。</w:t>
            </w:r>
          </w:p>
          <w:p w14:paraId="581AA83C">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②应支持数据治理模型构建功能。模型库功能支持模型表单信息输入，录入内容包含但不限于模型名称、默认表名、模型描述等；支持关联推荐，可通过选择已有的数据模型和既定的数据源，自动匹配出相关数据表；支持智能推荐，可根据所选的相关数据表，自动推荐当前数据库下与当前数据表中字段和类型相同的数据表，或者某个字段数据交集比较多的数据表；支持识别规则和所选字段自动带入功能，可根据所选择的自动推荐数据表，带入模型构建的表单中，保存后可新增数据治理模型。</w:t>
            </w:r>
          </w:p>
          <w:p w14:paraId="571CA3A7">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③应支持基于数据治理模型生成数据资产功能。支持将新增后的模型进行模型加载、模型映射推荐并自动生成数据流任务。支持数据流管理功能，可设置数据流任务的调度周期、调度间隔、起止时间、是否激活等内容，满足多样化场景下的数据流调度需求，完成数据治理任务，形成数据资产。</w:t>
            </w:r>
          </w:p>
          <w:p w14:paraId="18D69CCF">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④应支持数据资产管理、数据资产采集、数据标签管理功能。支持对数据资产进行灵活筛选，筛选条件可按照资产名称、数据源类型、元数据标签、所属目录等灵活组合。数据资产管理中，政法数据至少包括政法委、公安、法院等</w:t>
            </w:r>
            <w:r>
              <w:rPr>
                <w:rFonts w:hint="eastAsia" w:ascii="宋体" w:hAnsi="宋体" w:cs="宋体"/>
                <w:bCs/>
                <w:color w:val="auto"/>
                <w:sz w:val="21"/>
                <w:szCs w:val="21"/>
                <w:highlight w:val="none"/>
                <w:lang w:eastAsia="zh-CN"/>
              </w:rPr>
              <w:t>多</w:t>
            </w:r>
            <w:r>
              <w:rPr>
                <w:rFonts w:hint="eastAsia" w:ascii="宋体" w:hAnsi="宋体" w:eastAsia="宋体" w:cs="宋体"/>
                <w:bCs/>
                <w:color w:val="auto"/>
                <w:sz w:val="21"/>
                <w:szCs w:val="21"/>
                <w:highlight w:val="none"/>
                <w:lang w:eastAsia="zh-CN"/>
              </w:rPr>
              <w:t>类综治相关数据资产，支持查看资产详情，详情内容包括但不限于资产数据、资产配置、数据结构、关联关系、血缘关系、分析图表、数据权限、生命周期等。</w:t>
            </w:r>
          </w:p>
          <w:p w14:paraId="796E6B95">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4．数据可视化决策环节演示</w:t>
            </w:r>
          </w:p>
          <w:p w14:paraId="540BE9E6">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演示内容：数据分析仪、数据大屏、数据文档功能。</w:t>
            </w:r>
          </w:p>
          <w:p w14:paraId="15FA8C0D">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①应支持数据分析仪功能，支持提供常用的数据分析图表类型，包括折线图、柱状图、面积图、饼图、仪表图、地图及自定义图表等。支持选择表格字段、图表类型，将已经治理好的矛盾纠纷数据资产，生成矛盾纠纷事件类型占比的分析图表，可下载数据统计表格，可分享给其他工作人员。</w:t>
            </w:r>
          </w:p>
          <w:p w14:paraId="11FBFE09">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②应支持数据大屏功能，可按照案事件数据中心、人员数据中心进行数据大屏的展示。数据大屏需支持内容自由布局功能，布局构建完成后，可一键进行效果预览。</w:t>
            </w:r>
          </w:p>
          <w:p w14:paraId="6EC85465">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③应支持数据文档功能，至少包含案事件数据文档中心与人员数据文档中心。案事件数据文档中心需支持政法工作日报、周报、月报以及矛盾纠纷事件类型分析文档、社会治安综合治理风险监测预警指标分析文档等内容。人员数据文档中心需支持8类重点人员一人一档专题分析文档。文档内容支持在线编辑，支持文字、图片、图表等元素插入，支持文档内容保存为模板。数据文档支持分享功能，可通过链接分享至其他政法工作人员，满足日常决策需求。</w:t>
            </w:r>
          </w:p>
          <w:p w14:paraId="53E7D277">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评分规则：</w:t>
            </w:r>
          </w:p>
          <w:p w14:paraId="55B6E1C0">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（1）供应商未进行演示或演示内容简单，得0分。</w:t>
            </w:r>
          </w:p>
          <w:p w14:paraId="04E665F0">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（2）供应商演示内容不能完全满足上述演示要求，演示内容缺失2项或以上，或数据不完整，不能满足项目实际使用需求，得4分。</w:t>
            </w:r>
          </w:p>
          <w:p w14:paraId="4C8DB342">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（3）供应商演示内容不能完全满足上述演示要求，演示内容缺失1项或以上，或数据不完整，不能完全满足项目实际使用需求，得8分。</w:t>
            </w:r>
          </w:p>
          <w:p w14:paraId="6C8055FC">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（4）供应商演示内容完全满足上述全部演示要求，细节充实数据丰富，同时能完全满足项目实际使用需求，能体现出可扩展性，得12分。</w:t>
            </w:r>
          </w:p>
        </w:tc>
        <w:tc>
          <w:tcPr>
            <w:tcW w:w="720" w:type="dxa"/>
            <w:noWrap w:val="0"/>
            <w:vAlign w:val="center"/>
          </w:tcPr>
          <w:p w14:paraId="698CB5F9">
            <w:pPr>
              <w:keepNext w:val="0"/>
              <w:keepLines w:val="0"/>
              <w:suppressLineNumbers w:val="0"/>
              <w:spacing w:before="0" w:beforeAutospacing="0" w:after="0" w:afterAutospacing="0"/>
              <w:ind w:left="0" w:right="0"/>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r>
      <w:tr w14:paraId="04D6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2" w:type="dxa"/>
            <w:noWrap w:val="0"/>
            <w:vAlign w:val="center"/>
          </w:tcPr>
          <w:p w14:paraId="57B37CEE">
            <w:pPr>
              <w:keepNext w:val="0"/>
              <w:keepLines w:val="0"/>
              <w:suppressLineNumbers w:val="0"/>
              <w:spacing w:before="0" w:beforeAutospacing="0" w:after="0" w:afterAutospacing="0"/>
              <w:ind w:left="0" w:right="0" w:firstLine="0" w:firstLineChars="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highlight w:val="none"/>
              </w:rPr>
              <w:t>9</w:t>
            </w:r>
          </w:p>
        </w:tc>
        <w:tc>
          <w:tcPr>
            <w:tcW w:w="1222" w:type="dxa"/>
            <w:noWrap w:val="0"/>
            <w:vAlign w:val="center"/>
          </w:tcPr>
          <w:p w14:paraId="54335C4F">
            <w:pPr>
              <w:keepNext w:val="0"/>
              <w:keepLines w:val="0"/>
              <w:suppressLineNumbers w:val="0"/>
              <w:spacing w:before="0" w:beforeAutospacing="0" w:after="0" w:afterAutospacing="0"/>
              <w:ind w:left="0" w:right="0" w:firstLine="0" w:firstLine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商务</w:t>
            </w:r>
          </w:p>
          <w:p w14:paraId="6EEEBB2C">
            <w:pPr>
              <w:keepNext w:val="0"/>
              <w:keepLines w:val="0"/>
              <w:suppressLineNumbers w:val="0"/>
              <w:spacing w:before="0" w:beforeAutospacing="0" w:after="0" w:afterAutospacing="0"/>
              <w:ind w:left="0" w:right="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highlight w:val="none"/>
              </w:rPr>
              <w:t>（客观分）</w:t>
            </w:r>
          </w:p>
        </w:tc>
        <w:tc>
          <w:tcPr>
            <w:tcW w:w="7370" w:type="dxa"/>
            <w:noWrap w:val="0"/>
            <w:vAlign w:val="center"/>
          </w:tcPr>
          <w:p w14:paraId="37F495B8">
            <w:pPr>
              <w:keepNext w:val="0"/>
              <w:keepLines w:val="0"/>
              <w:suppressLineNumbers w:val="0"/>
              <w:spacing w:before="0" w:beforeAutospacing="0" w:after="0" w:afterAutospacing="0"/>
              <w:ind w:left="0" w:right="0" w:firstLine="0" w:firstLineChars="0"/>
              <w:rPr>
                <w:rFonts w:hint="eastAsia" w:ascii="宋体" w:hAnsi="宋体" w:eastAsia="宋体" w:cs="宋体"/>
                <w:b w:val="0"/>
                <w:bCs/>
                <w:color w:val="auto"/>
                <w:highlight w:val="none"/>
              </w:rPr>
            </w:pPr>
            <w:r>
              <w:rPr>
                <w:rFonts w:hint="eastAsia" w:ascii="宋体" w:hAnsi="宋体" w:eastAsia="宋体" w:cs="宋体"/>
                <w:b w:val="0"/>
                <w:bCs/>
                <w:color w:val="auto"/>
                <w:highlight w:val="none"/>
              </w:rPr>
              <w:t>综合能力评价：</w:t>
            </w:r>
          </w:p>
          <w:p w14:paraId="78E1DB08">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1、供应商资质及认证</w:t>
            </w:r>
            <w:r>
              <w:rPr>
                <w:rFonts w:hint="eastAsia" w:ascii="宋体" w:hAnsi="宋体" w:eastAsia="宋体" w:cs="宋体"/>
                <w:b w:val="0"/>
                <w:bCs/>
                <w:color w:val="auto"/>
                <w:kern w:val="0"/>
                <w:highlight w:val="none"/>
              </w:rPr>
              <w:br w:type="textWrapping"/>
            </w:r>
            <w:r>
              <w:rPr>
                <w:rFonts w:hint="eastAsia" w:ascii="宋体" w:hAnsi="宋体" w:eastAsia="宋体" w:cs="宋体"/>
                <w:b w:val="0"/>
                <w:bCs/>
                <w:color w:val="auto"/>
                <w:kern w:val="0"/>
                <w:highlight w:val="none"/>
              </w:rPr>
              <w:t>（1）具有有效期内的ISO22301业务连续性管理体系认证证书的，得0.5分。</w:t>
            </w:r>
          </w:p>
          <w:p w14:paraId="714A6422">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（2）具有有效期内的ISO27701隐私信息管理体系认证证书的，得0.5分。</w:t>
            </w:r>
          </w:p>
          <w:p w14:paraId="65D5D309">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（3）具有有效期内的信息安全管理体系认证ISO 27001认证证书的，得0.5分。</w:t>
            </w:r>
          </w:p>
          <w:p w14:paraId="4582DD73">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w:t>
            </w:r>
            <w:r>
              <w:rPr>
                <w:rFonts w:hint="eastAsia" w:ascii="宋体" w:hAnsi="宋体" w:cs="宋体"/>
                <w:b w:val="0"/>
                <w:bCs/>
                <w:color w:val="auto"/>
                <w:kern w:val="0"/>
                <w:highlight w:val="none"/>
                <w:lang w:val="en-US" w:eastAsia="zh-CN"/>
              </w:rPr>
              <w:t>4</w:t>
            </w:r>
            <w:r>
              <w:rPr>
                <w:rFonts w:hint="eastAsia" w:ascii="宋体" w:hAnsi="宋体" w:eastAsia="宋体" w:cs="宋体"/>
                <w:b w:val="0"/>
                <w:bCs/>
                <w:color w:val="auto"/>
                <w:kern w:val="0"/>
                <w:highlight w:val="none"/>
              </w:rPr>
              <w:t>）具有有效期内的CCIA信息系统业务安全服务资质认证证书的，得1分。</w:t>
            </w:r>
          </w:p>
          <w:p w14:paraId="4B8F563A">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提供证书复印件并加盖投标人公章。</w:t>
            </w:r>
            <w:r>
              <w:rPr>
                <w:rFonts w:hint="eastAsia" w:ascii="宋体" w:hAnsi="宋体" w:eastAsia="宋体" w:cs="宋体"/>
                <w:b w:val="0"/>
                <w:bCs/>
                <w:color w:val="auto"/>
                <w:kern w:val="0"/>
                <w:highlight w:val="none"/>
              </w:rPr>
              <w:br w:type="textWrapping"/>
            </w:r>
            <w:r>
              <w:rPr>
                <w:rFonts w:hint="eastAsia" w:ascii="宋体" w:hAnsi="宋体" w:eastAsia="宋体" w:cs="宋体"/>
                <w:b w:val="0"/>
                <w:bCs/>
                <w:color w:val="auto"/>
                <w:kern w:val="0"/>
                <w:highlight w:val="none"/>
              </w:rPr>
              <w:t>2、所投广西社会治安综合治理信息平台、数据中台、AI智能应用系统产品厂商资质及认证：</w:t>
            </w:r>
          </w:p>
          <w:p w14:paraId="00E1DF0D">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（1）具备有效期内的ISO22301业务连续性管理体系认证证书,得0.5分。</w:t>
            </w:r>
          </w:p>
          <w:p w14:paraId="3F317F4F">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（2）具备有效期内的ISO27701隐私信息管理体系认证证书,得0.5分。</w:t>
            </w:r>
          </w:p>
          <w:p w14:paraId="04C37B2B">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（3）具备有效期内的ISO27001信息安全管理体系认证证书,得0.5分。</w:t>
            </w:r>
          </w:p>
          <w:p w14:paraId="6021D374">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w:t>
            </w:r>
            <w:r>
              <w:rPr>
                <w:rFonts w:hint="eastAsia" w:ascii="宋体" w:hAnsi="宋体" w:cs="宋体"/>
                <w:b w:val="0"/>
                <w:bCs/>
                <w:color w:val="auto"/>
                <w:kern w:val="0"/>
                <w:highlight w:val="none"/>
                <w:lang w:val="en-US" w:eastAsia="zh-CN"/>
              </w:rPr>
              <w:t>4</w:t>
            </w:r>
            <w:r>
              <w:rPr>
                <w:rFonts w:hint="eastAsia" w:ascii="宋体" w:hAnsi="宋体" w:eastAsia="宋体" w:cs="宋体"/>
                <w:b w:val="0"/>
                <w:bCs/>
                <w:color w:val="auto"/>
                <w:kern w:val="0"/>
                <w:highlight w:val="none"/>
              </w:rPr>
              <w:t>）具备有效期内的ISO29151个人身份信息保护管理体系认证证书,得</w:t>
            </w:r>
            <w:r>
              <w:rPr>
                <w:rFonts w:hint="eastAsia" w:ascii="宋体" w:hAnsi="宋体" w:cs="宋体"/>
                <w:b w:val="0"/>
                <w:bCs/>
                <w:color w:val="auto"/>
                <w:kern w:val="0"/>
                <w:highlight w:val="none"/>
                <w:lang w:val="en-US" w:eastAsia="zh-CN"/>
              </w:rPr>
              <w:t>1</w:t>
            </w:r>
            <w:r>
              <w:rPr>
                <w:rFonts w:hint="eastAsia" w:ascii="宋体" w:hAnsi="宋体" w:eastAsia="宋体" w:cs="宋体"/>
                <w:b w:val="0"/>
                <w:bCs/>
                <w:color w:val="auto"/>
                <w:kern w:val="0"/>
                <w:highlight w:val="none"/>
              </w:rPr>
              <w:t>分。</w:t>
            </w:r>
          </w:p>
          <w:p w14:paraId="068EAC68">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提供证书复印件并加盖产品生产厂商公章。</w:t>
            </w:r>
          </w:p>
          <w:p w14:paraId="5AB5EF96">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default" w:ascii="宋体" w:hAnsi="宋体" w:eastAsia="宋体" w:cs="宋体"/>
                <w:b w:val="0"/>
                <w:bCs/>
                <w:color w:val="auto"/>
                <w:kern w:val="0"/>
                <w:highlight w:val="none"/>
                <w:lang w:val="en-US"/>
              </w:rPr>
              <w:t>（</w:t>
            </w:r>
            <w:r>
              <w:rPr>
                <w:rFonts w:hint="eastAsia" w:ascii="宋体" w:hAnsi="宋体" w:cs="宋体"/>
                <w:b w:val="0"/>
                <w:bCs/>
                <w:color w:val="auto"/>
                <w:kern w:val="0"/>
                <w:highlight w:val="none"/>
                <w:lang w:val="en-US" w:eastAsia="zh-CN"/>
              </w:rPr>
              <w:t>5</w:t>
            </w:r>
            <w:r>
              <w:rPr>
                <w:rFonts w:hint="default" w:ascii="宋体" w:hAnsi="宋体" w:eastAsia="宋体" w:cs="宋体"/>
                <w:b w:val="0"/>
                <w:bCs/>
                <w:color w:val="auto"/>
                <w:kern w:val="0"/>
                <w:highlight w:val="none"/>
                <w:lang w:val="en-US"/>
              </w:rPr>
              <w:t>）</w:t>
            </w:r>
            <w:r>
              <w:rPr>
                <w:rFonts w:hint="eastAsia" w:ascii="宋体" w:hAnsi="宋体" w:eastAsia="宋体" w:cs="宋体"/>
                <w:b w:val="0"/>
                <w:bCs/>
                <w:color w:val="auto"/>
                <w:kern w:val="0"/>
                <w:highlight w:val="none"/>
              </w:rPr>
              <w:t xml:space="preserve">需具备自主开发能力且拥有相关软件产品自主知识产权： </w:t>
            </w:r>
          </w:p>
          <w:p w14:paraId="0014E89F">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①具备有效期内的案件分析类大模型软件著作权证书，得</w:t>
            </w:r>
            <w:r>
              <w:rPr>
                <w:rFonts w:hint="eastAsia" w:ascii="宋体" w:hAnsi="宋体" w:cs="宋体"/>
                <w:b w:val="0"/>
                <w:bCs/>
                <w:color w:val="auto"/>
                <w:kern w:val="0"/>
                <w:highlight w:val="none"/>
                <w:lang w:val="en-US" w:eastAsia="zh-CN"/>
              </w:rPr>
              <w:t>1</w:t>
            </w:r>
            <w:r>
              <w:rPr>
                <w:rFonts w:hint="eastAsia" w:ascii="宋体" w:hAnsi="宋体" w:eastAsia="宋体" w:cs="宋体"/>
                <w:b w:val="0"/>
                <w:bCs/>
                <w:color w:val="auto"/>
                <w:kern w:val="0"/>
                <w:highlight w:val="none"/>
              </w:rPr>
              <w:t>分；</w:t>
            </w:r>
          </w:p>
          <w:p w14:paraId="7258A414">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②具备有效期内的文书生成类大模型软件著作权证书，得</w:t>
            </w:r>
            <w:r>
              <w:rPr>
                <w:rFonts w:hint="eastAsia" w:ascii="宋体" w:hAnsi="宋体" w:cs="宋体"/>
                <w:b w:val="0"/>
                <w:bCs/>
                <w:color w:val="auto"/>
                <w:kern w:val="0"/>
                <w:highlight w:val="none"/>
                <w:lang w:val="en-US" w:eastAsia="zh-CN"/>
              </w:rPr>
              <w:t>1</w:t>
            </w:r>
            <w:r>
              <w:rPr>
                <w:rFonts w:hint="eastAsia" w:ascii="宋体" w:hAnsi="宋体" w:eastAsia="宋体" w:cs="宋体"/>
                <w:b w:val="0"/>
                <w:bCs/>
                <w:color w:val="auto"/>
                <w:kern w:val="0"/>
                <w:highlight w:val="none"/>
              </w:rPr>
              <w:t>分；</w:t>
            </w:r>
          </w:p>
          <w:p w14:paraId="3B8D0EAA">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③具备有效期内的证据链审查类大模型软件著作权证书，得</w:t>
            </w:r>
            <w:r>
              <w:rPr>
                <w:rFonts w:hint="eastAsia" w:ascii="宋体" w:hAnsi="宋体" w:cs="宋体"/>
                <w:b w:val="0"/>
                <w:bCs/>
                <w:color w:val="auto"/>
                <w:kern w:val="0"/>
                <w:highlight w:val="none"/>
                <w:lang w:val="en-US" w:eastAsia="zh-CN"/>
              </w:rPr>
              <w:t>1</w:t>
            </w:r>
            <w:r>
              <w:rPr>
                <w:rFonts w:hint="eastAsia" w:ascii="宋体" w:hAnsi="宋体" w:eastAsia="宋体" w:cs="宋体"/>
                <w:b w:val="0"/>
                <w:bCs/>
                <w:color w:val="auto"/>
                <w:kern w:val="0"/>
                <w:highlight w:val="none"/>
              </w:rPr>
              <w:t>分。</w:t>
            </w:r>
          </w:p>
          <w:p w14:paraId="0BF957BC">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b w:val="0"/>
                <w:bCs/>
                <w:color w:val="auto"/>
                <w:kern w:val="0"/>
                <w:highlight w:val="none"/>
              </w:rPr>
            </w:pPr>
            <w:r>
              <w:rPr>
                <w:rFonts w:hint="eastAsia" w:ascii="宋体" w:hAnsi="宋体" w:eastAsia="宋体" w:cs="宋体"/>
                <w:b w:val="0"/>
                <w:bCs/>
                <w:color w:val="auto"/>
                <w:kern w:val="0"/>
                <w:highlight w:val="none"/>
              </w:rPr>
              <w:t>提供著作权证书复印件并加盖产品生产厂商公章。</w:t>
            </w:r>
            <w:r>
              <w:rPr>
                <w:rFonts w:hint="eastAsia" w:ascii="宋体" w:hAnsi="宋体" w:eastAsia="宋体" w:cs="宋体"/>
                <w:b w:val="0"/>
                <w:bCs/>
                <w:color w:val="auto"/>
                <w:kern w:val="0"/>
                <w:highlight w:val="none"/>
              </w:rPr>
              <w:br w:type="textWrapping"/>
            </w:r>
            <w:r>
              <w:rPr>
                <w:rFonts w:hint="eastAsia" w:ascii="宋体" w:hAnsi="宋体" w:eastAsia="宋体" w:cs="宋体"/>
                <w:b w:val="0"/>
                <w:bCs/>
                <w:color w:val="auto"/>
                <w:kern w:val="0"/>
                <w:highlight w:val="none"/>
              </w:rPr>
              <w:t>注：</w:t>
            </w:r>
          </w:p>
          <w:p w14:paraId="15A53188">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sz w:val="21"/>
                <w:szCs w:val="21"/>
                <w:highlight w:val="none"/>
                <w:lang w:eastAsia="zh-CN"/>
              </w:rPr>
            </w:pPr>
            <w:r>
              <w:rPr>
                <w:rFonts w:hint="eastAsia" w:ascii="宋体" w:hAnsi="宋体" w:eastAsia="宋体" w:cs="宋体"/>
                <w:b w:val="0"/>
                <w:bCs/>
                <w:color w:val="auto"/>
                <w:kern w:val="0"/>
                <w:highlight w:val="none"/>
              </w:rPr>
              <w:t>以上软件著作权证书包含</w:t>
            </w:r>
            <w:r>
              <w:rPr>
                <w:rFonts w:hint="eastAsia" w:ascii="宋体" w:hAnsi="宋体" w:cs="宋体"/>
                <w:b w:val="0"/>
                <w:bCs/>
                <w:color w:val="auto"/>
                <w:kern w:val="0"/>
                <w:highlight w:val="none"/>
              </w:rPr>
              <w:t>“案件分析”、“文书生成”、“证据链”</w:t>
            </w:r>
            <w:r>
              <w:rPr>
                <w:rFonts w:hint="eastAsia" w:ascii="宋体" w:hAnsi="宋体" w:eastAsia="宋体" w:cs="宋体"/>
                <w:b w:val="0"/>
                <w:bCs/>
                <w:color w:val="auto"/>
                <w:kern w:val="0"/>
                <w:highlight w:val="none"/>
              </w:rPr>
              <w:t>等关键字即可</w:t>
            </w:r>
            <w:r>
              <w:rPr>
                <w:rFonts w:hint="eastAsia" w:ascii="宋体" w:hAnsi="宋体" w:eastAsia="宋体" w:cs="宋体"/>
                <w:b w:val="0"/>
                <w:bCs/>
                <w:color w:val="auto"/>
                <w:highlight w:val="none"/>
              </w:rPr>
              <w:t>。</w:t>
            </w:r>
          </w:p>
        </w:tc>
        <w:tc>
          <w:tcPr>
            <w:tcW w:w="720" w:type="dxa"/>
            <w:noWrap w:val="0"/>
            <w:vAlign w:val="center"/>
          </w:tcPr>
          <w:p w14:paraId="7BF1E232">
            <w:pPr>
              <w:keepNext w:val="0"/>
              <w:keepLines w:val="0"/>
              <w:suppressLineNumbers w:val="0"/>
              <w:spacing w:before="0" w:beforeAutospacing="0" w:after="0" w:afterAutospacing="0"/>
              <w:ind w:left="0" w:right="0" w:firstLine="0" w:firstLineChars="0"/>
              <w:jc w:val="center"/>
              <w:rPr>
                <w:rFonts w:hint="eastAsia" w:ascii="宋体" w:hAnsi="宋体" w:eastAsia="宋体" w:cs="宋体"/>
                <w:bCs/>
                <w:color w:val="auto"/>
                <w:sz w:val="21"/>
                <w:szCs w:val="21"/>
                <w:highlight w:val="none"/>
                <w:lang w:val="en-US" w:eastAsia="zh-CN"/>
              </w:rPr>
            </w:pPr>
            <w:r>
              <w:rPr>
                <w:rFonts w:hint="eastAsia" w:ascii="宋体" w:hAnsi="宋体" w:cs="宋体"/>
                <w:bCs/>
                <w:color w:val="auto"/>
                <w:highlight w:val="none"/>
                <w:lang w:val="en-US" w:eastAsia="zh-CN"/>
              </w:rPr>
              <w:t>8</w:t>
            </w:r>
          </w:p>
        </w:tc>
      </w:tr>
      <w:tr w14:paraId="421C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2" w:type="dxa"/>
            <w:noWrap w:val="0"/>
            <w:vAlign w:val="center"/>
          </w:tcPr>
          <w:p w14:paraId="2D8B1D61">
            <w:pPr>
              <w:keepNext w:val="0"/>
              <w:keepLines w:val="0"/>
              <w:suppressLineNumbers w:val="0"/>
              <w:spacing w:before="0" w:beforeAutospacing="0" w:after="0" w:afterAutospacing="0"/>
              <w:ind w:left="0" w:right="0" w:firstLine="0" w:firstLineChars="0"/>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highlight w:val="none"/>
                <w:lang w:val="en-US" w:eastAsia="zh-CN"/>
              </w:rPr>
              <w:t>10</w:t>
            </w:r>
          </w:p>
        </w:tc>
        <w:tc>
          <w:tcPr>
            <w:tcW w:w="1222" w:type="dxa"/>
            <w:noWrap w:val="0"/>
            <w:vAlign w:val="center"/>
          </w:tcPr>
          <w:p w14:paraId="4F7AEF39">
            <w:pPr>
              <w:keepNext w:val="0"/>
              <w:keepLines w:val="0"/>
              <w:suppressLineNumbers w:val="0"/>
              <w:spacing w:before="0" w:beforeAutospacing="0" w:after="0" w:afterAutospacing="0"/>
              <w:ind w:left="0" w:right="0" w:firstLine="0" w:firstLine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商务</w:t>
            </w:r>
          </w:p>
          <w:p w14:paraId="4993A1A2">
            <w:pPr>
              <w:keepNext w:val="0"/>
              <w:keepLines w:val="0"/>
              <w:suppressLineNumbers w:val="0"/>
              <w:spacing w:before="0" w:beforeAutospacing="0" w:after="0" w:afterAutospacing="0"/>
              <w:ind w:left="0" w:right="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highlight w:val="none"/>
              </w:rPr>
              <w:t>（客观分）</w:t>
            </w:r>
          </w:p>
        </w:tc>
        <w:tc>
          <w:tcPr>
            <w:tcW w:w="7370" w:type="dxa"/>
            <w:noWrap w:val="0"/>
            <w:vAlign w:val="center"/>
          </w:tcPr>
          <w:p w14:paraId="4D2CD667">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highlight w:val="none"/>
              </w:rPr>
            </w:pPr>
            <w:r>
              <w:rPr>
                <w:rFonts w:hint="eastAsia" w:ascii="宋体" w:hAnsi="宋体" w:eastAsia="宋体" w:cs="宋体"/>
                <w:bCs/>
                <w:color w:val="auto"/>
                <w:highlight w:val="none"/>
              </w:rPr>
              <w:t>一、项目经理评价：</w:t>
            </w:r>
          </w:p>
          <w:p w14:paraId="3BD5C208">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highlight w:val="none"/>
              </w:rPr>
            </w:pPr>
            <w:r>
              <w:rPr>
                <w:rFonts w:hint="eastAsia" w:ascii="宋体" w:hAnsi="宋体" w:eastAsia="宋体" w:cs="宋体"/>
                <w:bCs/>
                <w:color w:val="auto"/>
                <w:highlight w:val="none"/>
              </w:rPr>
              <w:t>1、本项目拟派1名项目经理（仅限1人，且与技术负责人、售后负责人不为同一人），具备以下证书，每具备一项得1分，同本证书不重复计分，满分4分：</w:t>
            </w:r>
          </w:p>
          <w:p w14:paraId="04908D66">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highlight w:val="none"/>
              </w:rPr>
            </w:pPr>
            <w:r>
              <w:rPr>
                <w:rFonts w:hint="eastAsia" w:ascii="宋体" w:hAnsi="宋体" w:eastAsia="宋体" w:cs="宋体"/>
                <w:bCs/>
                <w:color w:val="auto"/>
                <w:highlight w:val="none"/>
              </w:rPr>
              <w:t>①高级工程师（通信专业或信息工程或计算机或同类）职称证书；②信息系统项目管理师证书；③系统分析师认证证书；④系统架构设计师认证证书。</w:t>
            </w:r>
          </w:p>
          <w:p w14:paraId="1E4159F9">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highlight w:val="none"/>
              </w:rPr>
            </w:pPr>
            <w:r>
              <w:rPr>
                <w:rFonts w:hint="eastAsia" w:ascii="宋体" w:hAnsi="宋体" w:eastAsia="宋体" w:cs="宋体"/>
                <w:bCs/>
                <w:color w:val="auto"/>
                <w:highlight w:val="none"/>
              </w:rPr>
              <w:t>提供有效证书、身份证及2025年1月至今任意一个月在供应商缴纳社保证明或劳动合同或工资发放银行流水,以上材料须在首次响应文件中提交复印件并加盖供应商公章。</w:t>
            </w:r>
          </w:p>
          <w:p w14:paraId="21487BAE">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highlight w:val="none"/>
              </w:rPr>
            </w:pPr>
            <w:r>
              <w:rPr>
                <w:rFonts w:hint="eastAsia" w:ascii="宋体" w:hAnsi="宋体" w:eastAsia="宋体" w:cs="宋体"/>
                <w:bCs/>
                <w:color w:val="auto"/>
                <w:highlight w:val="none"/>
              </w:rPr>
              <w:t>二、项目团队评价</w:t>
            </w:r>
          </w:p>
          <w:p w14:paraId="12391331">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highlight w:val="none"/>
              </w:rPr>
            </w:pPr>
            <w:r>
              <w:rPr>
                <w:rFonts w:hint="eastAsia" w:ascii="宋体" w:hAnsi="宋体" w:eastAsia="宋体" w:cs="宋体"/>
                <w:bCs/>
                <w:color w:val="auto"/>
                <w:highlight w:val="none"/>
              </w:rPr>
              <w:t>1、本项目拟派1名技术负责人（仅限1人，且与项目经理、售后负责人不为同一人），具备以下证书，每具备一项得1分，同本证书不重复计分，满分4分：</w:t>
            </w:r>
          </w:p>
          <w:p w14:paraId="053FA4A3">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highlight w:val="none"/>
              </w:rPr>
            </w:pPr>
            <w:r>
              <w:rPr>
                <w:rFonts w:hint="eastAsia" w:ascii="宋体" w:hAnsi="宋体" w:eastAsia="宋体" w:cs="宋体"/>
                <w:bCs/>
                <w:color w:val="auto"/>
                <w:highlight w:val="none"/>
              </w:rPr>
              <w:t>①高级工程师（通信专业或信息工程或计算机或同类）职称证书；②信息系统项目管理师证书；③高级数据治理师认证证书；④注册信息安全工程师CISE认证证书。</w:t>
            </w:r>
          </w:p>
          <w:p w14:paraId="0788BCD9">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highlight w:val="none"/>
              </w:rPr>
            </w:pPr>
            <w:r>
              <w:rPr>
                <w:rFonts w:hint="eastAsia" w:ascii="宋体" w:hAnsi="宋体" w:eastAsia="宋体" w:cs="宋体"/>
                <w:bCs/>
                <w:color w:val="auto"/>
                <w:highlight w:val="none"/>
              </w:rPr>
              <w:t>提供有效证书、身份证及2025年1月至今任意一个月在供应商缴纳社保证明或劳动合同或工资发放银行流水,以上材料须在首次响应文件中提交复印件并加盖供应商公章。</w:t>
            </w:r>
          </w:p>
          <w:p w14:paraId="17FD9503">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highlight w:val="none"/>
              </w:rPr>
            </w:pPr>
            <w:r>
              <w:rPr>
                <w:rFonts w:hint="eastAsia" w:ascii="宋体" w:hAnsi="宋体" w:eastAsia="宋体" w:cs="宋体"/>
                <w:bCs/>
                <w:color w:val="auto"/>
                <w:highlight w:val="none"/>
              </w:rPr>
              <w:t>2、本项目拟派1名售后负责人（仅限1人，且与项目经理、技术负责人不能为同一人），具备以下证书，每具备一项得1分，同本证书不重复计分，满分3分：</w:t>
            </w:r>
          </w:p>
          <w:p w14:paraId="51FBF75A">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highlight w:val="none"/>
              </w:rPr>
            </w:pPr>
            <w:r>
              <w:rPr>
                <w:rFonts w:hint="eastAsia" w:ascii="宋体" w:hAnsi="宋体" w:eastAsia="宋体" w:cs="宋体"/>
                <w:bCs/>
                <w:color w:val="auto"/>
                <w:highlight w:val="none"/>
              </w:rPr>
              <w:t>①售后服务高级管理师认证证书；②系统规划与管理师认证证书；③注册信息安全工程师CISE认证证书。</w:t>
            </w:r>
          </w:p>
          <w:p w14:paraId="3C6DD8BD">
            <w:pPr>
              <w:keepNext w:val="0"/>
              <w:keepLines w:val="0"/>
              <w:suppressLineNumbers w:val="0"/>
              <w:spacing w:before="0" w:beforeAutospacing="0" w:after="0" w:afterAutospacing="0"/>
              <w:ind w:left="0" w:right="0" w:firstLine="0" w:firstLineChars="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highlight w:val="none"/>
              </w:rPr>
              <w:t>提供有效证书、身份证及2025年1月至今任意一个月在供应商缴纳社保证明或劳动合同或工资发放银行流水,以上材料须在首次响应文件中提交复印件并加盖供应商公章。</w:t>
            </w:r>
          </w:p>
        </w:tc>
        <w:tc>
          <w:tcPr>
            <w:tcW w:w="720" w:type="dxa"/>
            <w:noWrap w:val="0"/>
            <w:vAlign w:val="center"/>
          </w:tcPr>
          <w:p w14:paraId="6A374BC4">
            <w:pPr>
              <w:keepNext w:val="0"/>
              <w:keepLines w:val="0"/>
              <w:suppressLineNumbers w:val="0"/>
              <w:spacing w:before="0" w:beforeAutospacing="0" w:after="0" w:afterAutospacing="0"/>
              <w:ind w:left="0" w:right="0" w:firstLine="0" w:firstLineChars="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highlight w:val="none"/>
              </w:rPr>
              <w:t>11</w:t>
            </w:r>
          </w:p>
        </w:tc>
      </w:tr>
    </w:tbl>
    <w:p w14:paraId="1BDAD2BD">
      <w:pPr>
        <w:spacing w:line="360" w:lineRule="auto"/>
        <w:ind w:firstLine="420" w:firstLineChars="200"/>
        <w:rPr>
          <w:rFonts w:hint="eastAsia" w:ascii="宋体" w:hAnsi="宋体" w:cs="宋体"/>
          <w:color w:val="auto"/>
          <w:highlight w:val="none"/>
        </w:rPr>
      </w:pPr>
    </w:p>
    <w:p w14:paraId="165C3E2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7.2终止竞争性磋商采购活动</w:t>
      </w:r>
    </w:p>
    <w:p w14:paraId="6167B657">
      <w:pPr>
        <w:spacing w:line="360" w:lineRule="auto"/>
        <w:ind w:firstLine="420" w:firstLineChars="200"/>
        <w:rPr>
          <w:rFonts w:hint="eastAsia" w:ascii="宋体" w:hAnsi="宋体"/>
          <w:b/>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4666C921">
      <w:pPr>
        <w:pStyle w:val="3"/>
        <w:spacing w:before="0" w:after="0" w:line="360" w:lineRule="auto"/>
        <w:ind w:firstLine="640" w:firstLineChars="200"/>
        <w:jc w:val="center"/>
        <w:rPr>
          <w:rFonts w:hint="eastAsia" w:ascii="宋体" w:hAnsi="宋体"/>
          <w:b w:val="0"/>
          <w:color w:val="auto"/>
          <w:highlight w:val="none"/>
        </w:rPr>
      </w:pPr>
      <w:bookmarkStart w:id="120" w:name="_Toc80886939"/>
      <w:bookmarkStart w:id="121" w:name="_Toc22545"/>
      <w:bookmarkStart w:id="122" w:name="_Toc11595"/>
      <w:r>
        <w:rPr>
          <w:rFonts w:hint="eastAsia" w:ascii="宋体" w:hAnsi="宋体"/>
          <w:b w:val="0"/>
          <w:color w:val="auto"/>
          <w:highlight w:val="none"/>
        </w:rPr>
        <w:t>第二节 评审报告</w:t>
      </w:r>
      <w:bookmarkEnd w:id="119"/>
      <w:bookmarkEnd w:id="120"/>
      <w:bookmarkEnd w:id="121"/>
      <w:bookmarkEnd w:id="122"/>
    </w:p>
    <w:p w14:paraId="6F32D27B">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35B27EB0">
      <w:pPr>
        <w:spacing w:line="360" w:lineRule="auto"/>
        <w:ind w:firstLine="420" w:firstLineChars="200"/>
        <w:rPr>
          <w:rFonts w:hint="eastAsia" w:ascii="宋体" w:hAnsi="宋体" w:cs="宋体"/>
          <w:color w:val="auto"/>
          <w:sz w:val="24"/>
          <w:highlight w:val="none"/>
        </w:rPr>
      </w:pPr>
      <w:r>
        <w:rPr>
          <w:rFonts w:hint="eastAsia" w:ascii="宋体" w:hAnsi="宋体" w:cs="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商务指标优劣顺序推荐（按技术分得分由高到低排序，技术分得分相同的按照商务分得分由高到低排序）。评审得分、最后报价（不计算价格折扣）、技术分得分、商务分得分均相同的，由磋商小组随机抽取推荐。</w:t>
      </w:r>
    </w:p>
    <w:p w14:paraId="15E993DA">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w:t>
      </w:r>
      <w:r>
        <w:rPr>
          <w:rFonts w:ascii="黑体" w:hAnsi="黑体" w:eastAsia="黑体" w:cs="宋体"/>
          <w:color w:val="auto"/>
          <w:sz w:val="24"/>
          <w:szCs w:val="32"/>
          <w:highlight w:val="none"/>
        </w:rPr>
        <w:t>事项</w:t>
      </w:r>
      <w:r>
        <w:rPr>
          <w:rFonts w:hint="eastAsia" w:ascii="黑体" w:hAnsi="黑体" w:eastAsia="黑体" w:cs="宋体"/>
          <w:color w:val="auto"/>
          <w:sz w:val="24"/>
          <w:szCs w:val="32"/>
          <w:highlight w:val="none"/>
        </w:rPr>
        <w:t>处理</w:t>
      </w:r>
    </w:p>
    <w:p w14:paraId="72D17F20">
      <w:pPr>
        <w:pStyle w:val="67"/>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磋商小组成员对需要共同认定的事项存在争议的，应当按照少数服从多数的原则作出结论。持不同意见的磋商小组成员应当在评审报告上签署不同意见及理由，否则视为同意评审报告。</w:t>
      </w:r>
    </w:p>
    <w:p w14:paraId="574A51FB">
      <w:pPr>
        <w:pStyle w:val="67"/>
        <w:spacing w:before="0"/>
        <w:ind w:firstLine="420"/>
        <w:rPr>
          <w:rFonts w:cs="宋体"/>
          <w:color w:val="auto"/>
          <w:kern w:val="2"/>
          <w:sz w:val="21"/>
          <w:szCs w:val="24"/>
          <w:highlight w:val="none"/>
        </w:rPr>
      </w:pPr>
    </w:p>
    <w:p w14:paraId="132350C6">
      <w:pPr>
        <w:pStyle w:val="3"/>
        <w:spacing w:before="0" w:after="0" w:line="360" w:lineRule="auto"/>
        <w:ind w:firstLine="640" w:firstLineChars="200"/>
        <w:jc w:val="center"/>
        <w:rPr>
          <w:rFonts w:hint="eastAsia" w:ascii="宋体" w:hAnsi="宋体"/>
          <w:b w:val="0"/>
          <w:color w:val="auto"/>
          <w:highlight w:val="none"/>
        </w:rPr>
      </w:pPr>
      <w:bookmarkStart w:id="123" w:name="_Toc2025"/>
      <w:bookmarkStart w:id="124" w:name="_Toc20045"/>
      <w:bookmarkStart w:id="125" w:name="_Toc80886940"/>
      <w:bookmarkStart w:id="126" w:name="_Toc80205936"/>
      <w:r>
        <w:rPr>
          <w:rFonts w:hint="eastAsia" w:ascii="宋体" w:hAnsi="宋体"/>
          <w:b w:val="0"/>
          <w:color w:val="auto"/>
          <w:highlight w:val="none"/>
        </w:rPr>
        <w:t>第三节 评审过程的保密与录像</w:t>
      </w:r>
      <w:bookmarkEnd w:id="123"/>
      <w:bookmarkEnd w:id="124"/>
      <w:bookmarkEnd w:id="125"/>
      <w:bookmarkEnd w:id="126"/>
    </w:p>
    <w:p w14:paraId="4104ACD1">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015A41C">
      <w:pPr>
        <w:widowControl/>
        <w:spacing w:line="360" w:lineRule="auto"/>
        <w:ind w:firstLine="420" w:firstLineChars="200"/>
        <w:rPr>
          <w:rFonts w:cs="宋体"/>
          <w:color w:val="auto"/>
          <w:highlight w:val="none"/>
        </w:rPr>
      </w:pPr>
      <w:r>
        <w:rPr>
          <w:rFonts w:cs="宋体"/>
          <w:color w:val="auto"/>
          <w:highlight w:val="none"/>
        </w:rPr>
        <w:t>评审活动在严格保密的情况下进行。评审过程中凡是与响应文件评审和比较、中标成交供应商推荐等评审有关的情况，以及涉及国家秘密和商业秘密等信息，</w:t>
      </w:r>
      <w:r>
        <w:rPr>
          <w:rFonts w:hint="eastAsia" w:cs="宋体"/>
          <w:color w:val="auto"/>
          <w:highlight w:val="none"/>
        </w:rPr>
        <w:t>磋商小组</w:t>
      </w:r>
      <w:r>
        <w:rPr>
          <w:rFonts w:cs="宋体"/>
          <w:color w:val="auto"/>
          <w:highlight w:val="none"/>
        </w:rPr>
        <w:t>成员、采购人和采购</w:t>
      </w:r>
      <w:r>
        <w:rPr>
          <w:rFonts w:hint="eastAsia" w:cs="宋体"/>
          <w:color w:val="auto"/>
          <w:highlight w:val="none"/>
        </w:rPr>
        <w:t>代理</w:t>
      </w:r>
      <w:r>
        <w:rPr>
          <w:rFonts w:cs="宋体"/>
          <w:color w:val="auto"/>
          <w:highlight w:val="none"/>
        </w:rPr>
        <w:t>机构工作人员、相关监督人员等与评审有关的人员应当予以保密。</w:t>
      </w:r>
    </w:p>
    <w:p w14:paraId="2F0BD559">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3D236E9D">
      <w:pPr>
        <w:spacing w:line="360" w:lineRule="auto"/>
        <w:ind w:firstLine="420" w:firstLineChars="200"/>
        <w:rPr>
          <w:color w:val="auto"/>
          <w:highlight w:val="none"/>
        </w:rPr>
      </w:pPr>
      <w:r>
        <w:rPr>
          <w:rFonts w:hint="eastAsia" w:cs="宋体"/>
          <w:color w:val="auto"/>
          <w:highlight w:val="none"/>
        </w:rPr>
        <w:t>采购代理机构对评审工作现场及操作屏幕进行全过程录音录像，录音录像资料作为采购项目文件随其他文件一并存档。</w:t>
      </w:r>
    </w:p>
    <w:p w14:paraId="6E922D9E">
      <w:pPr>
        <w:pStyle w:val="3"/>
        <w:jc w:val="center"/>
        <w:rPr>
          <w:color w:val="auto"/>
          <w:highlight w:val="none"/>
        </w:rPr>
      </w:pPr>
      <w:r>
        <w:rPr>
          <w:color w:val="auto"/>
          <w:highlight w:val="none"/>
        </w:rPr>
        <w:br w:type="page"/>
      </w:r>
    </w:p>
    <w:p w14:paraId="7066EC99">
      <w:pPr>
        <w:pStyle w:val="3"/>
        <w:jc w:val="center"/>
        <w:rPr>
          <w:color w:val="auto"/>
          <w:highlight w:val="none"/>
        </w:rPr>
      </w:pPr>
    </w:p>
    <w:p w14:paraId="6145817B">
      <w:pPr>
        <w:pStyle w:val="3"/>
        <w:jc w:val="center"/>
        <w:rPr>
          <w:color w:val="auto"/>
          <w:highlight w:val="none"/>
        </w:rPr>
      </w:pPr>
    </w:p>
    <w:p w14:paraId="74199E46">
      <w:pPr>
        <w:pStyle w:val="3"/>
        <w:jc w:val="center"/>
        <w:rPr>
          <w:color w:val="auto"/>
          <w:highlight w:val="none"/>
        </w:rPr>
      </w:pPr>
    </w:p>
    <w:p w14:paraId="25EA7D32">
      <w:pPr>
        <w:rPr>
          <w:color w:val="auto"/>
          <w:highlight w:val="none"/>
        </w:rPr>
      </w:pPr>
    </w:p>
    <w:p w14:paraId="401BB9A3">
      <w:pPr>
        <w:pStyle w:val="2"/>
        <w:rPr>
          <w:color w:val="auto"/>
          <w:highlight w:val="none"/>
        </w:rPr>
      </w:pPr>
    </w:p>
    <w:p w14:paraId="56B0C57F">
      <w:pPr>
        <w:rPr>
          <w:color w:val="auto"/>
          <w:highlight w:val="none"/>
        </w:rPr>
      </w:pPr>
    </w:p>
    <w:p w14:paraId="03E6E8B9">
      <w:pPr>
        <w:pStyle w:val="2"/>
        <w:jc w:val="center"/>
        <w:rPr>
          <w:color w:val="auto"/>
          <w:highlight w:val="none"/>
        </w:rPr>
        <w:sectPr>
          <w:headerReference r:id="rId10" w:type="default"/>
          <w:footerReference r:id="rId11" w:type="default"/>
          <w:pgSz w:w="11911" w:h="16838"/>
          <w:pgMar w:top="1134" w:right="1134" w:bottom="1134" w:left="1134" w:header="720" w:footer="720" w:gutter="0"/>
          <w:cols w:space="720" w:num="1"/>
        </w:sectPr>
      </w:pPr>
      <w:bookmarkStart w:id="127" w:name="_Toc80886941"/>
      <w:bookmarkStart w:id="128" w:name="_Toc12890"/>
      <w:bookmarkStart w:id="129" w:name="_Toc7776"/>
      <w:bookmarkStart w:id="130" w:name="_Toc22302"/>
      <w:bookmarkStart w:id="131" w:name="_Toc27282"/>
      <w:bookmarkStart w:id="132" w:name="_Toc5005"/>
      <w:bookmarkStart w:id="133" w:name="_Toc17404"/>
      <w:bookmarkStart w:id="134" w:name="_Toc26272"/>
      <w:r>
        <w:rPr>
          <w:rFonts w:hint="eastAsia" w:ascii="Calibri" w:hAnsi="Calibri"/>
          <w:color w:val="auto"/>
          <w:highlight w:val="none"/>
        </w:rPr>
        <w:t>第五章 响应文件格式</w:t>
      </w:r>
      <w:bookmarkEnd w:id="127"/>
      <w:bookmarkEnd w:id="128"/>
      <w:bookmarkEnd w:id="129"/>
      <w:bookmarkEnd w:id="130"/>
      <w:bookmarkEnd w:id="131"/>
      <w:bookmarkEnd w:id="132"/>
      <w:bookmarkEnd w:id="133"/>
      <w:bookmarkEnd w:id="134"/>
    </w:p>
    <w:p w14:paraId="69BA9C60">
      <w:pPr>
        <w:pStyle w:val="3"/>
        <w:jc w:val="center"/>
        <w:rPr>
          <w:rFonts w:hint="eastAsia" w:ascii="宋体" w:hAnsi="宋体"/>
          <w:bCs w:val="0"/>
          <w:color w:val="auto"/>
          <w:highlight w:val="none"/>
        </w:rPr>
      </w:pPr>
      <w:bookmarkStart w:id="135" w:name="_Toc12994"/>
      <w:bookmarkStart w:id="136" w:name="_Toc80205939"/>
      <w:bookmarkStart w:id="137" w:name="_Toc80886943"/>
      <w:bookmarkStart w:id="138" w:name="_Toc22245"/>
      <w:r>
        <w:rPr>
          <w:rFonts w:hint="eastAsia" w:ascii="宋体" w:hAnsi="宋体"/>
          <w:bCs w:val="0"/>
          <w:color w:val="auto"/>
          <w:highlight w:val="none"/>
        </w:rPr>
        <w:t>第一节 资格证明文件格式</w:t>
      </w:r>
      <w:bookmarkEnd w:id="135"/>
      <w:bookmarkEnd w:id="136"/>
      <w:bookmarkEnd w:id="137"/>
      <w:bookmarkEnd w:id="138"/>
    </w:p>
    <w:p w14:paraId="6EE683AD">
      <w:pPr>
        <w:snapToGrid w:val="0"/>
        <w:spacing w:before="120" w:beforeLines="50" w:after="50"/>
        <w:jc w:val="left"/>
        <w:rPr>
          <w:color w:val="auto"/>
          <w:sz w:val="24"/>
          <w:highlight w:val="none"/>
        </w:rPr>
      </w:pPr>
      <w:r>
        <w:rPr>
          <w:rFonts w:hint="eastAsia" w:hAnsi="宋体" w:cs="宋体"/>
          <w:b/>
          <w:bCs/>
          <w:color w:val="auto"/>
          <w:sz w:val="28"/>
          <w:szCs w:val="28"/>
          <w:highlight w:val="none"/>
        </w:rPr>
        <w:t>1.资格证明文件封面的格式</w:t>
      </w:r>
      <w:r>
        <w:rPr>
          <w:rFonts w:hint="eastAsia" w:ascii="宋体" w:hAnsi="宋体" w:cs="宋体"/>
          <w:b/>
          <w:color w:val="auto"/>
          <w:sz w:val="28"/>
          <w:szCs w:val="28"/>
          <w:highlight w:val="none"/>
        </w:rPr>
        <w:t>（参照此格式自拟）</w:t>
      </w:r>
      <w:r>
        <w:rPr>
          <w:rFonts w:hint="eastAsia" w:hAnsi="宋体" w:cs="宋体"/>
          <w:b/>
          <w:bCs/>
          <w:color w:val="auto"/>
          <w:sz w:val="28"/>
          <w:szCs w:val="28"/>
          <w:highlight w:val="none"/>
        </w:rPr>
        <w:t>：</w:t>
      </w:r>
      <w:r>
        <w:rPr>
          <w:rFonts w:hint="eastAsia"/>
          <w:color w:val="auto"/>
          <w:sz w:val="24"/>
          <w:highlight w:val="none"/>
        </w:rPr>
        <w:t xml:space="preserve">                                      </w:t>
      </w:r>
    </w:p>
    <w:p w14:paraId="492BB850">
      <w:pPr>
        <w:snapToGrid w:val="0"/>
        <w:spacing w:before="120" w:beforeLines="50" w:after="50"/>
        <w:ind w:firstLine="6930" w:firstLineChars="3300"/>
        <w:rPr>
          <w:bCs/>
          <w:color w:val="auto"/>
          <w:sz w:val="32"/>
          <w:szCs w:val="20"/>
          <w:highlight w:val="none"/>
        </w:rPr>
      </w:pPr>
      <w:r>
        <w:rPr>
          <w:rFonts w:hint="eastAsia"/>
          <w:bCs/>
          <w:color w:val="auto"/>
          <w:highlight w:val="none"/>
        </w:rPr>
        <w:t>全流程电子文件</w:t>
      </w:r>
    </w:p>
    <w:p w14:paraId="36C44488">
      <w:pPr>
        <w:snapToGrid w:val="0"/>
        <w:spacing w:before="120" w:beforeLines="50" w:after="50"/>
        <w:rPr>
          <w:color w:val="auto"/>
          <w:sz w:val="24"/>
          <w:szCs w:val="20"/>
          <w:highlight w:val="none"/>
        </w:rPr>
      </w:pPr>
    </w:p>
    <w:p w14:paraId="4FED4A97">
      <w:pPr>
        <w:snapToGrid w:val="0"/>
        <w:spacing w:before="120" w:beforeLines="50" w:after="50"/>
        <w:rPr>
          <w:color w:val="auto"/>
          <w:sz w:val="24"/>
          <w:szCs w:val="20"/>
          <w:highlight w:val="none"/>
        </w:rPr>
      </w:pPr>
    </w:p>
    <w:p w14:paraId="3BEA4A50">
      <w:pPr>
        <w:snapToGrid w:val="0"/>
        <w:spacing w:before="120" w:beforeLines="50" w:after="5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资  格  证  明  文  件</w:t>
      </w:r>
    </w:p>
    <w:p w14:paraId="0B1A7C93">
      <w:pPr>
        <w:snapToGrid w:val="0"/>
        <w:spacing w:before="120" w:beforeLines="50" w:after="50"/>
        <w:rPr>
          <w:bCs/>
          <w:color w:val="auto"/>
          <w:sz w:val="24"/>
          <w:szCs w:val="20"/>
          <w:highlight w:val="none"/>
        </w:rPr>
      </w:pPr>
    </w:p>
    <w:p w14:paraId="77DC1513">
      <w:pPr>
        <w:snapToGrid w:val="0"/>
        <w:spacing w:before="120" w:beforeLines="50" w:after="50"/>
        <w:rPr>
          <w:bCs/>
          <w:color w:val="auto"/>
          <w:sz w:val="24"/>
          <w:szCs w:val="20"/>
          <w:highlight w:val="none"/>
        </w:rPr>
      </w:pPr>
    </w:p>
    <w:p w14:paraId="2BBED9E7">
      <w:pPr>
        <w:snapToGrid w:val="0"/>
        <w:spacing w:before="120" w:beforeLines="50" w:after="50"/>
        <w:rPr>
          <w:bCs/>
          <w:color w:val="auto"/>
          <w:sz w:val="24"/>
          <w:szCs w:val="20"/>
          <w:highlight w:val="none"/>
        </w:rPr>
      </w:pPr>
    </w:p>
    <w:p w14:paraId="24BDE861">
      <w:pPr>
        <w:snapToGrid w:val="0"/>
        <w:spacing w:before="120" w:beforeLines="50" w:after="50"/>
        <w:rPr>
          <w:bCs/>
          <w:color w:val="auto"/>
          <w:sz w:val="24"/>
          <w:szCs w:val="20"/>
          <w:highlight w:val="none"/>
        </w:rPr>
      </w:pPr>
    </w:p>
    <w:p w14:paraId="7633B6E8">
      <w:pPr>
        <w:snapToGrid w:val="0"/>
        <w:spacing w:before="120" w:beforeLines="50" w:after="50"/>
        <w:rPr>
          <w:bCs/>
          <w:color w:val="auto"/>
          <w:sz w:val="24"/>
          <w:szCs w:val="20"/>
          <w:highlight w:val="none"/>
        </w:rPr>
      </w:pPr>
    </w:p>
    <w:p w14:paraId="767CCCE7">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项目名称：</w:t>
      </w:r>
    </w:p>
    <w:p w14:paraId="76A73C49">
      <w:pPr>
        <w:snapToGrid w:val="0"/>
        <w:spacing w:before="120" w:beforeLines="50" w:after="50"/>
        <w:ind w:firstLine="720" w:firstLineChars="225"/>
        <w:rPr>
          <w:rFonts w:cs="仿宋_GB2312"/>
          <w:bCs/>
          <w:color w:val="auto"/>
          <w:sz w:val="32"/>
          <w:szCs w:val="32"/>
          <w:highlight w:val="none"/>
        </w:rPr>
      </w:pPr>
    </w:p>
    <w:p w14:paraId="67ED4584">
      <w:pPr>
        <w:snapToGrid w:val="0"/>
        <w:spacing w:before="120" w:beforeLines="50" w:after="50"/>
        <w:ind w:firstLine="720" w:firstLineChars="225"/>
        <w:rPr>
          <w:rFonts w:cs="仿宋_GB2312"/>
          <w:bCs/>
          <w:color w:val="auto"/>
          <w:sz w:val="32"/>
          <w:szCs w:val="32"/>
          <w:highlight w:val="none"/>
        </w:rPr>
      </w:pPr>
      <w:r>
        <w:rPr>
          <w:rFonts w:hint="eastAsia" w:cs="仿宋_GB2312"/>
          <w:bCs/>
          <w:color w:val="auto"/>
          <w:sz w:val="32"/>
          <w:szCs w:val="32"/>
          <w:highlight w:val="none"/>
        </w:rPr>
        <w:t>项目编号：</w:t>
      </w:r>
    </w:p>
    <w:p w14:paraId="778A1545">
      <w:pPr>
        <w:snapToGrid w:val="0"/>
        <w:spacing w:before="120" w:beforeLines="50" w:after="50"/>
        <w:ind w:firstLine="720" w:firstLineChars="225"/>
        <w:rPr>
          <w:rFonts w:cs="仿宋_GB2312"/>
          <w:bCs/>
          <w:color w:val="auto"/>
          <w:sz w:val="32"/>
          <w:szCs w:val="32"/>
          <w:highlight w:val="none"/>
        </w:rPr>
      </w:pPr>
      <w:r>
        <w:rPr>
          <w:rFonts w:hint="eastAsia" w:cs="仿宋_GB2312"/>
          <w:bCs/>
          <w:color w:val="auto"/>
          <w:sz w:val="32"/>
          <w:szCs w:val="32"/>
          <w:highlight w:val="none"/>
        </w:rPr>
        <w:t xml:space="preserve"> </w:t>
      </w:r>
    </w:p>
    <w:p w14:paraId="4E25D85B">
      <w:pPr>
        <w:snapToGrid w:val="0"/>
        <w:spacing w:before="120" w:beforeLines="50" w:after="50"/>
        <w:ind w:firstLine="720" w:firstLineChars="225"/>
        <w:rPr>
          <w:rFonts w:cs="仿宋_GB2312"/>
          <w:bCs/>
          <w:color w:val="auto"/>
          <w:sz w:val="32"/>
          <w:szCs w:val="32"/>
          <w:highlight w:val="none"/>
        </w:rPr>
      </w:pPr>
      <w:r>
        <w:rPr>
          <w:rFonts w:hint="eastAsia" w:cs="仿宋_GB2312"/>
          <w:bCs/>
          <w:color w:val="auto"/>
          <w:sz w:val="32"/>
          <w:szCs w:val="32"/>
          <w:highlight w:val="none"/>
        </w:rPr>
        <w:t>所竞分标（如有则填写，无分标时填写“无”或者留空）：</w:t>
      </w:r>
    </w:p>
    <w:p w14:paraId="5CB8021F">
      <w:pPr>
        <w:snapToGrid w:val="0"/>
        <w:spacing w:before="120" w:beforeLines="50" w:after="50"/>
        <w:ind w:firstLine="720" w:firstLineChars="225"/>
        <w:rPr>
          <w:rFonts w:cs="仿宋_GB2312"/>
          <w:bCs/>
          <w:color w:val="auto"/>
          <w:sz w:val="32"/>
          <w:szCs w:val="32"/>
          <w:highlight w:val="none"/>
        </w:rPr>
      </w:pPr>
    </w:p>
    <w:p w14:paraId="25E34D14">
      <w:pPr>
        <w:pStyle w:val="7"/>
        <w:snapToGrid w:val="0"/>
        <w:spacing w:before="50" w:after="50"/>
        <w:ind w:firstLine="720" w:firstLineChars="225"/>
        <w:rPr>
          <w:rFonts w:cs="仿宋_GB2312"/>
          <w:bCs/>
          <w:color w:val="auto"/>
          <w:sz w:val="32"/>
          <w:szCs w:val="32"/>
          <w:highlight w:val="none"/>
        </w:rPr>
      </w:pPr>
      <w:r>
        <w:rPr>
          <w:rFonts w:hint="eastAsia" w:cs="仿宋_GB2312"/>
          <w:bCs/>
          <w:color w:val="auto"/>
          <w:sz w:val="32"/>
          <w:szCs w:val="32"/>
          <w:highlight w:val="none"/>
        </w:rPr>
        <w:t>供应商名称：</w:t>
      </w:r>
    </w:p>
    <w:p w14:paraId="51376E3E">
      <w:pPr>
        <w:pStyle w:val="7"/>
        <w:snapToGrid w:val="0"/>
        <w:spacing w:before="50" w:after="50"/>
        <w:ind w:firstLine="720" w:firstLineChars="225"/>
        <w:rPr>
          <w:rFonts w:cs="仿宋_GB2312"/>
          <w:bCs/>
          <w:color w:val="auto"/>
          <w:sz w:val="32"/>
          <w:szCs w:val="32"/>
          <w:highlight w:val="none"/>
        </w:rPr>
      </w:pPr>
    </w:p>
    <w:p w14:paraId="7634FE14">
      <w:pPr>
        <w:pStyle w:val="7"/>
        <w:snapToGrid w:val="0"/>
        <w:spacing w:before="50" w:after="50"/>
        <w:ind w:firstLine="720" w:firstLineChars="225"/>
        <w:rPr>
          <w:rFonts w:cs="仿宋_GB2312"/>
          <w:bCs/>
          <w:color w:val="auto"/>
          <w:sz w:val="32"/>
          <w:szCs w:val="32"/>
          <w:highlight w:val="none"/>
        </w:rPr>
      </w:pPr>
    </w:p>
    <w:p w14:paraId="15913D23">
      <w:pPr>
        <w:pStyle w:val="7"/>
        <w:snapToGrid w:val="0"/>
        <w:spacing w:before="50" w:after="50"/>
        <w:ind w:firstLine="720" w:firstLineChars="225"/>
        <w:rPr>
          <w:rFonts w:cs="仿宋_GB2312"/>
          <w:bCs/>
          <w:color w:val="auto"/>
          <w:sz w:val="32"/>
          <w:szCs w:val="32"/>
          <w:highlight w:val="none"/>
        </w:rPr>
      </w:pPr>
    </w:p>
    <w:p w14:paraId="5B3DCD8A">
      <w:pPr>
        <w:pStyle w:val="7"/>
        <w:snapToGrid w:val="0"/>
        <w:spacing w:before="50" w:after="50"/>
        <w:ind w:firstLine="1280" w:firstLineChars="400"/>
        <w:rPr>
          <w:rFonts w:cs="仿宋_GB2312"/>
          <w:bCs/>
          <w:color w:val="auto"/>
          <w:sz w:val="32"/>
          <w:szCs w:val="32"/>
          <w:highlight w:val="none"/>
        </w:rPr>
      </w:pPr>
    </w:p>
    <w:p w14:paraId="20E9F5BC">
      <w:pPr>
        <w:snapToGrid w:val="0"/>
        <w:spacing w:before="120" w:beforeLines="50" w:after="50"/>
        <w:jc w:val="center"/>
        <w:rPr>
          <w:rFonts w:cs="仿宋_GB2312"/>
          <w:color w:val="auto"/>
          <w:sz w:val="32"/>
          <w:szCs w:val="32"/>
          <w:highlight w:val="none"/>
        </w:rPr>
      </w:pPr>
      <w:r>
        <w:rPr>
          <w:rFonts w:hint="eastAsia" w:cs="仿宋_GB2312"/>
          <w:color w:val="auto"/>
          <w:sz w:val="32"/>
          <w:szCs w:val="32"/>
          <w:highlight w:val="none"/>
        </w:rPr>
        <w:t>年    月    日</w:t>
      </w:r>
    </w:p>
    <w:p w14:paraId="4F71C893">
      <w:pPr>
        <w:snapToGrid w:val="0"/>
        <w:spacing w:before="120" w:beforeLines="50" w:after="50" w:line="360" w:lineRule="auto"/>
        <w:jc w:val="left"/>
        <w:rPr>
          <w:rFonts w:hint="eastAsia" w:ascii="宋体" w:hAnsi="宋体" w:cs="宋体"/>
          <w:b/>
          <w:bCs/>
          <w:color w:val="auto"/>
          <w:sz w:val="28"/>
          <w:szCs w:val="28"/>
          <w:highlight w:val="none"/>
        </w:rPr>
      </w:pPr>
      <w:r>
        <w:rPr>
          <w:color w:val="auto"/>
          <w:sz w:val="24"/>
          <w:highlight w:val="none"/>
        </w:rPr>
        <w:br w:type="page"/>
      </w:r>
      <w:r>
        <w:rPr>
          <w:rFonts w:hint="eastAsia" w:ascii="宋体" w:hAnsi="宋体" w:cs="宋体"/>
          <w:b/>
          <w:bCs/>
          <w:color w:val="auto"/>
          <w:sz w:val="28"/>
          <w:szCs w:val="28"/>
          <w:highlight w:val="none"/>
        </w:rPr>
        <w:t>2.资格证明文件目录</w:t>
      </w:r>
    </w:p>
    <w:p w14:paraId="38307BFD">
      <w:pPr>
        <w:spacing w:line="360" w:lineRule="auto"/>
        <w:rPr>
          <w:rFonts w:hint="eastAsia" w:ascii="宋体" w:hAnsi="宋体" w:cs="宋体"/>
          <w:b/>
          <w:bCs/>
          <w:color w:val="auto"/>
          <w:sz w:val="28"/>
          <w:szCs w:val="28"/>
          <w:highlight w:val="none"/>
        </w:rPr>
      </w:pPr>
      <w:r>
        <w:rPr>
          <w:rFonts w:hint="eastAsia" w:ascii="宋体" w:hAnsi="宋体" w:cs="宋体"/>
          <w:color w:val="auto"/>
          <w:sz w:val="28"/>
          <w:szCs w:val="28"/>
          <w:highlight w:val="none"/>
        </w:rPr>
        <w:t xml:space="preserve">    根据竞争性磋商文件规定及供应商提供的材料自行编写目录（部分格式后附）。</w:t>
      </w:r>
    </w:p>
    <w:p w14:paraId="6D7895F9">
      <w:pPr>
        <w:spacing w:line="320" w:lineRule="exact"/>
        <w:jc w:val="left"/>
        <w:rPr>
          <w:rFonts w:hint="eastAsia" w:ascii="宋体" w:hAnsi="宋体" w:cs="宋体"/>
          <w:b/>
          <w:bCs/>
          <w:color w:val="auto"/>
          <w:sz w:val="28"/>
          <w:szCs w:val="28"/>
          <w:highlight w:val="none"/>
        </w:rPr>
      </w:pPr>
      <w:r>
        <w:rPr>
          <w:rFonts w:hint="eastAsia"/>
          <w:color w:val="auto"/>
          <w:szCs w:val="21"/>
          <w:highlight w:val="none"/>
        </w:rPr>
        <w:br w:type="page"/>
      </w:r>
      <w:r>
        <w:rPr>
          <w:rFonts w:hint="eastAsia" w:ascii="宋体" w:hAnsi="宋体" w:cs="宋体"/>
          <w:b/>
          <w:bCs/>
          <w:color w:val="auto"/>
          <w:kern w:val="0"/>
          <w:sz w:val="28"/>
          <w:szCs w:val="28"/>
          <w:highlight w:val="none"/>
        </w:rPr>
        <w:t>3.声明函的格式：</w:t>
      </w:r>
    </w:p>
    <w:p w14:paraId="3F07A092">
      <w:pPr>
        <w:spacing w:line="320" w:lineRule="exact"/>
        <w:jc w:val="center"/>
        <w:rPr>
          <w:b/>
          <w:color w:val="auto"/>
          <w:sz w:val="32"/>
          <w:szCs w:val="32"/>
          <w:highlight w:val="none"/>
        </w:rPr>
      </w:pPr>
    </w:p>
    <w:p w14:paraId="3847C6C7">
      <w:pPr>
        <w:spacing w:line="320" w:lineRule="exact"/>
        <w:jc w:val="center"/>
        <w:rPr>
          <w:b/>
          <w:color w:val="auto"/>
          <w:sz w:val="32"/>
          <w:szCs w:val="32"/>
          <w:highlight w:val="none"/>
        </w:rPr>
      </w:pPr>
      <w:r>
        <w:rPr>
          <w:rFonts w:hint="eastAsia"/>
          <w:b/>
          <w:color w:val="auto"/>
          <w:sz w:val="32"/>
          <w:szCs w:val="32"/>
          <w:highlight w:val="none"/>
        </w:rPr>
        <w:t>声明函</w:t>
      </w:r>
    </w:p>
    <w:p w14:paraId="091968BB">
      <w:pPr>
        <w:spacing w:line="320" w:lineRule="exact"/>
        <w:jc w:val="center"/>
        <w:rPr>
          <w:color w:val="auto"/>
          <w:sz w:val="24"/>
          <w:szCs w:val="20"/>
          <w:highlight w:val="none"/>
        </w:rPr>
      </w:pPr>
    </w:p>
    <w:p w14:paraId="2785DB57">
      <w:pPr>
        <w:spacing w:line="440" w:lineRule="exact"/>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（采购代理机构名称）</w:t>
      </w:r>
      <w:r>
        <w:rPr>
          <w:rFonts w:hint="eastAsia" w:ascii="宋体" w:hAnsi="宋体" w:cs="宋体"/>
          <w:color w:val="auto"/>
          <w:sz w:val="24"/>
          <w:highlight w:val="none"/>
        </w:rPr>
        <w:t>：</w:t>
      </w:r>
    </w:p>
    <w:p w14:paraId="69AD55D5">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i/>
          <w:iCs/>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4F6EA46">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i/>
          <w:iCs/>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5AEC937A">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7D62D02C">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797F6F6">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2AA0F9B1">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7BB342DA">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（2）已详细审查磋商文件的全部内容，包括澄清或者更正公告（如有）；</w:t>
      </w:r>
    </w:p>
    <w:p w14:paraId="364D0D89">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6F122385">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14:paraId="6570AC7A">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根据《中华人民共和国政府采购法实施条例》第五十条要求对政府采购合同进行公告，但政府采购合同中涉及国家秘密、商业秘密的内容除外。我方就对本次响应文件进行注明如下：（两项内容中必须选择一项）</w:t>
      </w:r>
    </w:p>
    <w:p w14:paraId="1E908959">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5ACA1C37">
      <w:pPr>
        <w:spacing w:line="44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5667A562">
      <w:pPr>
        <w:pStyle w:val="17"/>
        <w:tabs>
          <w:tab w:val="left" w:pos="939"/>
        </w:tabs>
        <w:spacing w:line="440" w:lineRule="exact"/>
        <w:ind w:left="0" w:leftChars="0"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6.</w:t>
      </w:r>
      <w:r>
        <w:rPr>
          <w:rFonts w:hint="eastAsia" w:ascii="宋体" w:hAnsi="宋体" w:cs="宋体"/>
          <w:color w:val="auto"/>
          <w:sz w:val="24"/>
          <w:highlight w:val="none"/>
        </w:rPr>
        <w:t>以上事项如有虚假或者隐瞒，我方愿意承担一切后果，并不再寻求任何旨在减轻或者免除法律责任的辩解。</w:t>
      </w:r>
    </w:p>
    <w:p w14:paraId="2E00BB91">
      <w:pPr>
        <w:pStyle w:val="17"/>
        <w:tabs>
          <w:tab w:val="left" w:pos="939"/>
        </w:tabs>
        <w:spacing w:line="440" w:lineRule="exact"/>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14:paraId="65E96270">
      <w:pPr>
        <w:pStyle w:val="17"/>
        <w:tabs>
          <w:tab w:val="left" w:pos="939"/>
        </w:tabs>
        <w:spacing w:line="440" w:lineRule="exact"/>
        <w:ind w:left="0"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注：如为联合体竞标，盖章处须加盖联合体各方公章，否则其响应文件按无效响应处理。</w:t>
      </w:r>
    </w:p>
    <w:p w14:paraId="2AE7EED8">
      <w:pPr>
        <w:autoSpaceDE w:val="0"/>
        <w:autoSpaceDN w:val="0"/>
        <w:spacing w:line="360" w:lineRule="auto"/>
        <w:ind w:left="4365" w:leftChars="1850" w:hanging="480" w:hangingChars="200"/>
        <w:rPr>
          <w:rFonts w:hint="eastAsia" w:ascii="宋体" w:hAnsi="宋体" w:cs="宋体"/>
          <w:color w:val="auto"/>
          <w:kern w:val="0"/>
          <w:sz w:val="24"/>
          <w:highlight w:val="none"/>
        </w:rPr>
      </w:pPr>
    </w:p>
    <w:p w14:paraId="268A4891">
      <w:pPr>
        <w:autoSpaceDE w:val="0"/>
        <w:autoSpaceDN w:val="0"/>
        <w:spacing w:line="360" w:lineRule="auto"/>
        <w:ind w:left="4365" w:leftChars="1850" w:hanging="480" w:hangingChars="200"/>
        <w:rPr>
          <w:rFonts w:hint="eastAsia"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4E0509C5">
      <w:pPr>
        <w:autoSpaceDE w:val="0"/>
        <w:autoSpaceDN w:val="0"/>
        <w:spacing w:line="360" w:lineRule="auto"/>
        <w:ind w:firstLine="6120" w:firstLineChars="25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58009CC4">
      <w:pPr>
        <w:rPr>
          <w:rFonts w:hint="eastAsia" w:ascii="宋体" w:hAnsi="宋体" w:cs="宋体"/>
          <w:color w:val="auto"/>
          <w:kern w:val="0"/>
          <w:sz w:val="24"/>
          <w:highlight w:val="none"/>
          <w:lang w:val="zh-CN"/>
        </w:rPr>
      </w:pPr>
    </w:p>
    <w:p w14:paraId="67BA9F4C">
      <w:pPr>
        <w:snapToGrid w:val="0"/>
        <w:spacing w:line="360" w:lineRule="auto"/>
        <w:ind w:right="48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4.</w:t>
      </w:r>
      <w:r>
        <w:rPr>
          <w:rFonts w:hint="eastAsia" w:ascii="宋体" w:hAnsi="宋体" w:cs="宋体"/>
          <w:b/>
          <w:color w:val="auto"/>
          <w:sz w:val="28"/>
          <w:szCs w:val="28"/>
          <w:highlight w:val="none"/>
        </w:rPr>
        <w:t>供应商直接控股股东信息表的格式</w:t>
      </w:r>
      <w:r>
        <w:rPr>
          <w:rFonts w:hint="eastAsia"/>
          <w:color w:val="auto"/>
          <w:sz w:val="28"/>
          <w:szCs w:val="28"/>
          <w:highlight w:val="none"/>
        </w:rPr>
        <w:t>：</w:t>
      </w:r>
    </w:p>
    <w:p w14:paraId="65B73EF1">
      <w:pPr>
        <w:snapToGrid w:val="0"/>
        <w:jc w:val="left"/>
        <w:rPr>
          <w:color w:val="auto"/>
          <w:sz w:val="18"/>
          <w:szCs w:val="18"/>
          <w:highlight w:val="none"/>
        </w:rPr>
      </w:pPr>
    </w:p>
    <w:p w14:paraId="5D8181CB">
      <w:pPr>
        <w:snapToGrid w:val="0"/>
        <w:spacing w:before="50" w:after="120" w:afterLines="50" w:line="360" w:lineRule="auto"/>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供应商直接控股股东信息表</w:t>
      </w:r>
    </w:p>
    <w:tbl>
      <w:tblPr>
        <w:tblStyle w:val="31"/>
        <w:tblW w:w="9476" w:type="dxa"/>
        <w:tblInd w:w="125" w:type="dxa"/>
        <w:shd w:val="clear" w:color="auto" w:fill="FBFBFB"/>
        <w:tblLayout w:type="fixed"/>
        <w:tblCellMar>
          <w:top w:w="0" w:type="dxa"/>
          <w:left w:w="0" w:type="dxa"/>
          <w:bottom w:w="0" w:type="dxa"/>
          <w:right w:w="0" w:type="dxa"/>
        </w:tblCellMar>
      </w:tblPr>
      <w:tblGrid>
        <w:gridCol w:w="828"/>
        <w:gridCol w:w="2269"/>
        <w:gridCol w:w="1239"/>
        <w:gridCol w:w="3879"/>
        <w:gridCol w:w="1261"/>
      </w:tblGrid>
      <w:tr w14:paraId="403C9E5B">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8749C72">
            <w:pPr>
              <w:keepNext w:val="0"/>
              <w:keepLines w:val="0"/>
              <w:suppressLineNumbers w:val="0"/>
              <w:spacing w:before="0" w:beforeAutospacing="0" w:after="0" w:afterAutospacing="0" w:line="360" w:lineRule="auto"/>
              <w:ind w:left="0" w:right="0"/>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BF53415">
            <w:pPr>
              <w:keepNext w:val="0"/>
              <w:keepLines w:val="0"/>
              <w:suppressLineNumbers w:val="0"/>
              <w:spacing w:before="0" w:beforeAutospacing="0" w:after="0" w:afterAutospacing="0" w:line="360" w:lineRule="auto"/>
              <w:ind w:left="0" w:right="0"/>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4DC7472">
            <w:pPr>
              <w:keepNext w:val="0"/>
              <w:keepLines w:val="0"/>
              <w:suppressLineNumbers w:val="0"/>
              <w:spacing w:before="0" w:beforeAutospacing="0" w:after="0" w:afterAutospacing="0" w:line="360" w:lineRule="auto"/>
              <w:ind w:left="0" w:right="0"/>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87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9A07D90">
            <w:pPr>
              <w:keepNext w:val="0"/>
              <w:keepLines w:val="0"/>
              <w:suppressLineNumbers w:val="0"/>
              <w:spacing w:before="0" w:beforeAutospacing="0" w:after="0" w:afterAutospacing="0" w:line="360" w:lineRule="auto"/>
              <w:ind w:left="0" w:right="0"/>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261"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C1676A5">
            <w:pPr>
              <w:keepNext w:val="0"/>
              <w:keepLines w:val="0"/>
              <w:suppressLineNumbers w:val="0"/>
              <w:spacing w:before="0" w:beforeAutospacing="0" w:after="0" w:afterAutospacing="0" w:line="360" w:lineRule="auto"/>
              <w:ind w:left="0" w:right="0"/>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C1ED0E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29D849">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EEE4BC">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A540FD">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158DB8">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19EDBE">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r>
      <w:tr w14:paraId="32CC549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BE4F59">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0BAE43">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19C749">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C0F72D">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33DB68">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r>
      <w:tr w14:paraId="57EF7D1C">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F1705B">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350069">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5E397A">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D2FAFC">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67C9B8">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r>
      <w:tr w14:paraId="0043A53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5D4936">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40A0B2">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93B1F5">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E952BF">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5F08A2">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r>
    </w:tbl>
    <w:p w14:paraId="30741B78">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515EFD0A">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3B8F2A1">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64C1D91A">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14:paraId="7546EE40">
      <w:pPr>
        <w:snapToGrid w:val="0"/>
        <w:spacing w:before="50" w:after="120" w:afterLines="50"/>
        <w:ind w:firstLine="180" w:firstLineChars="100"/>
        <w:jc w:val="left"/>
        <w:rPr>
          <w:rFonts w:hint="eastAsia" w:ascii="宋体" w:hAnsi="宋体"/>
          <w:color w:val="auto"/>
          <w:sz w:val="18"/>
          <w:szCs w:val="18"/>
          <w:highlight w:val="none"/>
        </w:rPr>
      </w:pPr>
    </w:p>
    <w:p w14:paraId="393368BC">
      <w:pPr>
        <w:snapToGrid w:val="0"/>
        <w:spacing w:before="50" w:after="240" w:afterLines="100" w:line="360" w:lineRule="auto"/>
        <w:jc w:val="left"/>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3C5E1622">
      <w:pPr>
        <w:autoSpaceDE w:val="0"/>
        <w:autoSpaceDN w:val="0"/>
        <w:spacing w:line="360" w:lineRule="auto"/>
        <w:ind w:left="4365" w:leftChars="1850" w:hanging="480" w:hangingChars="200"/>
        <w:rPr>
          <w:rFonts w:hint="eastAsia" w:ascii="宋体" w:hAnsi="宋体" w:cs="宋体"/>
          <w:color w:val="auto"/>
          <w:kern w:val="0"/>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rPr>
        <w:t>供应商名称（盖公章）：</w:t>
      </w:r>
    </w:p>
    <w:p w14:paraId="4B43F2A1">
      <w:pPr>
        <w:snapToGrid w:val="0"/>
        <w:spacing w:before="50" w:after="240" w:afterLines="100" w:line="360" w:lineRule="auto"/>
        <w:ind w:left="7428" w:leftChars="2223" w:hanging="2760" w:hangingChars="1150"/>
        <w:jc w:val="left"/>
        <w:rPr>
          <w:rFonts w:hint="eastAsia" w:ascii="宋体" w:hAnsi="宋体" w:cs="宋体"/>
          <w:b/>
          <w:bCs/>
          <w:color w:val="auto"/>
          <w:sz w:val="30"/>
          <w:szCs w:val="30"/>
          <w:highlight w:val="none"/>
        </w:rPr>
      </w:pPr>
      <w:r>
        <w:rPr>
          <w:rFonts w:hint="eastAsia" w:ascii="宋体" w:hAnsi="宋体" w:cs="宋体"/>
          <w:color w:val="auto"/>
          <w:kern w:val="0"/>
          <w:sz w:val="24"/>
          <w:highlight w:val="none"/>
          <w:lang w:val="zh-CN"/>
        </w:rPr>
        <w:t>日期：  年  月   日</w:t>
      </w:r>
    </w:p>
    <w:p w14:paraId="501DC5DE">
      <w:pP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5088B045">
      <w:pPr>
        <w:snapToGrid w:val="0"/>
        <w:spacing w:line="360" w:lineRule="auto"/>
        <w:ind w:right="48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5.</w:t>
      </w:r>
      <w:r>
        <w:rPr>
          <w:rFonts w:hint="eastAsia" w:ascii="宋体" w:hAnsi="宋体" w:cs="宋体"/>
          <w:b/>
          <w:color w:val="auto"/>
          <w:sz w:val="28"/>
          <w:szCs w:val="28"/>
          <w:highlight w:val="none"/>
        </w:rPr>
        <w:t>供应商直接管理关系信息表的格式</w:t>
      </w:r>
      <w:r>
        <w:rPr>
          <w:rFonts w:hint="eastAsia"/>
          <w:color w:val="auto"/>
          <w:sz w:val="28"/>
          <w:szCs w:val="28"/>
          <w:highlight w:val="none"/>
        </w:rPr>
        <w:t>：</w:t>
      </w:r>
    </w:p>
    <w:p w14:paraId="2DDA0440">
      <w:pPr>
        <w:snapToGrid w:val="0"/>
        <w:jc w:val="left"/>
        <w:rPr>
          <w:color w:val="auto"/>
          <w:sz w:val="18"/>
          <w:szCs w:val="18"/>
          <w:highlight w:val="none"/>
        </w:rPr>
      </w:pPr>
    </w:p>
    <w:p w14:paraId="17FDE18F">
      <w:pPr>
        <w:snapToGrid w:val="0"/>
        <w:spacing w:line="360" w:lineRule="auto"/>
        <w:jc w:val="center"/>
        <w:rPr>
          <w:rFonts w:hint="eastAsia" w:ascii="宋体" w:hAnsi="宋体"/>
          <w:color w:val="auto"/>
          <w:sz w:val="32"/>
          <w:szCs w:val="32"/>
          <w:highlight w:val="none"/>
        </w:rPr>
      </w:pPr>
      <w:r>
        <w:rPr>
          <w:rFonts w:hint="eastAsia" w:ascii="宋体" w:hAnsi="宋体"/>
          <w:b/>
          <w:color w:val="auto"/>
          <w:sz w:val="32"/>
          <w:szCs w:val="32"/>
          <w:highlight w:val="none"/>
        </w:rPr>
        <w:t>供应商直接管理关系信息表</w:t>
      </w:r>
    </w:p>
    <w:tbl>
      <w:tblPr>
        <w:tblStyle w:val="31"/>
        <w:tblW w:w="9652" w:type="dxa"/>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18CACAA2">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1B0F1BC">
            <w:pPr>
              <w:keepNext w:val="0"/>
              <w:keepLines w:val="0"/>
              <w:suppressLineNumbers w:val="0"/>
              <w:spacing w:before="0" w:beforeAutospacing="0" w:after="0" w:afterAutospacing="0" w:line="360" w:lineRule="auto"/>
              <w:ind w:left="0" w:right="0"/>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738E8CF">
            <w:pPr>
              <w:keepNext w:val="0"/>
              <w:keepLines w:val="0"/>
              <w:suppressLineNumbers w:val="0"/>
              <w:spacing w:before="0" w:beforeAutospacing="0" w:after="0" w:afterAutospacing="0" w:line="360" w:lineRule="auto"/>
              <w:ind w:left="0" w:right="0"/>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34BC29F">
            <w:pPr>
              <w:keepNext w:val="0"/>
              <w:keepLines w:val="0"/>
              <w:suppressLineNumbers w:val="0"/>
              <w:spacing w:before="0" w:beforeAutospacing="0" w:after="0" w:afterAutospacing="0" w:line="360" w:lineRule="auto"/>
              <w:ind w:left="0" w:right="0"/>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E8FBF3C">
            <w:pPr>
              <w:keepNext w:val="0"/>
              <w:keepLines w:val="0"/>
              <w:suppressLineNumbers w:val="0"/>
              <w:spacing w:before="0" w:beforeAutospacing="0" w:after="0" w:afterAutospacing="0" w:line="360" w:lineRule="auto"/>
              <w:ind w:left="0" w:right="0"/>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B7E502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3C42F9">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25C7C0">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E2AB9C">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6D1716">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r>
      <w:tr w14:paraId="03AC345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BAEBD4">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160EB6">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DF8B0F">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2B2166">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r>
      <w:tr w14:paraId="319A30D4">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6A6D02">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549CF2">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65E082">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E2B581">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r>
      <w:tr w14:paraId="3FE33E42">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F35C03D">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455553">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3387AE">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C2F7B7">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4"/>
                <w:highlight w:val="none"/>
              </w:rPr>
            </w:pPr>
          </w:p>
        </w:tc>
      </w:tr>
    </w:tbl>
    <w:p w14:paraId="1D5D34EC">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4CE08F59">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34591755">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0CE0A67F">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14:paraId="5F9F187D">
      <w:pPr>
        <w:snapToGrid w:val="0"/>
        <w:spacing w:before="50" w:after="120" w:afterLines="50"/>
        <w:ind w:firstLine="180" w:firstLineChars="100"/>
        <w:jc w:val="left"/>
        <w:rPr>
          <w:rFonts w:hint="eastAsia" w:ascii="宋体" w:hAnsi="宋体"/>
          <w:color w:val="auto"/>
          <w:sz w:val="18"/>
          <w:szCs w:val="18"/>
          <w:highlight w:val="none"/>
        </w:rPr>
      </w:pPr>
    </w:p>
    <w:p w14:paraId="06C19E8B">
      <w:pPr>
        <w:snapToGrid w:val="0"/>
        <w:spacing w:before="50" w:after="240" w:afterLines="100" w:line="360" w:lineRule="auto"/>
        <w:jc w:val="left"/>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36D55E31">
      <w:pPr>
        <w:autoSpaceDE w:val="0"/>
        <w:autoSpaceDN w:val="0"/>
        <w:spacing w:line="360" w:lineRule="auto"/>
        <w:ind w:left="4365" w:leftChars="1850" w:hanging="480" w:hangingChars="200"/>
        <w:rPr>
          <w:rFonts w:hint="eastAsia" w:ascii="宋体" w:hAnsi="宋体" w:cs="宋体"/>
          <w:color w:val="auto"/>
          <w:kern w:val="0"/>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rPr>
        <w:t>供应商名称（盖公章）：</w:t>
      </w:r>
    </w:p>
    <w:p w14:paraId="1D2C9073">
      <w:pPr>
        <w:snapToGrid w:val="0"/>
        <w:spacing w:before="50" w:after="240" w:afterLines="100" w:line="360" w:lineRule="auto"/>
        <w:ind w:left="7428" w:leftChars="2223" w:hanging="2760" w:hangingChars="1150"/>
        <w:jc w:val="left"/>
        <w:rPr>
          <w:rFonts w:hint="eastAsia" w:ascii="宋体" w:hAnsi="宋体" w:cs="宋体"/>
          <w:b/>
          <w:bCs/>
          <w:color w:val="auto"/>
          <w:sz w:val="30"/>
          <w:szCs w:val="30"/>
          <w:highlight w:val="none"/>
        </w:rPr>
      </w:pPr>
      <w:r>
        <w:rPr>
          <w:rFonts w:hint="eastAsia" w:ascii="宋体" w:hAnsi="宋体" w:cs="宋体"/>
          <w:color w:val="auto"/>
          <w:kern w:val="0"/>
          <w:sz w:val="24"/>
          <w:highlight w:val="none"/>
          <w:lang w:val="zh-CN"/>
        </w:rPr>
        <w:t>日期：  年  月   日</w:t>
      </w:r>
    </w:p>
    <w:p w14:paraId="76FFA18A">
      <w:pP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4567D289">
      <w:pPr>
        <w:pStyle w:val="7"/>
        <w:overflowPunct w:val="0"/>
        <w:spacing w:line="520" w:lineRule="exact"/>
        <w:ind w:firstLine="0"/>
        <w:rPr>
          <w:rFonts w:hint="eastAsia" w:ascii="宋体" w:hAnsi="宋体" w:cs="宋体"/>
          <w:b/>
          <w:bCs/>
          <w:color w:val="auto"/>
          <w:sz w:val="28"/>
          <w:szCs w:val="28"/>
          <w:highlight w:val="none"/>
        </w:rPr>
      </w:pPr>
      <w:r>
        <w:rPr>
          <w:rFonts w:hint="eastAsia" w:ascii="宋体" w:hAnsi="宋体" w:cs="宋体"/>
          <w:b/>
          <w:color w:val="auto"/>
          <w:kern w:val="0"/>
          <w:sz w:val="28"/>
          <w:szCs w:val="28"/>
          <w:highlight w:val="none"/>
        </w:rPr>
        <w:t>6.联合体竞标协议书的格式：</w:t>
      </w:r>
    </w:p>
    <w:p w14:paraId="22B0F752">
      <w:pPr>
        <w:spacing w:line="600" w:lineRule="exact"/>
        <w:jc w:val="center"/>
        <w:rPr>
          <w:rFonts w:hint="eastAsia" w:ascii="仿宋" w:hAnsi="仿宋" w:eastAsia="仿宋" w:cs="仿宋"/>
          <w:color w:val="auto"/>
          <w:sz w:val="44"/>
          <w:szCs w:val="44"/>
          <w:highlight w:val="none"/>
        </w:rPr>
      </w:pPr>
    </w:p>
    <w:p w14:paraId="6592A70C">
      <w:pPr>
        <w:spacing w:line="60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联合体竞标协议书</w:t>
      </w:r>
    </w:p>
    <w:p w14:paraId="6E717201">
      <w:pPr>
        <w:autoSpaceDE w:val="0"/>
        <w:autoSpaceDN w:val="0"/>
        <w:adjustRightInd w:val="0"/>
        <w:spacing w:line="360" w:lineRule="auto"/>
        <w:jc w:val="left"/>
        <w:rPr>
          <w:rFonts w:hAnsi="Calibri" w:cs="宋体"/>
          <w:color w:val="auto"/>
          <w:kern w:val="0"/>
          <w:szCs w:val="21"/>
          <w:highlight w:val="none"/>
          <w:u w:val="single"/>
        </w:rPr>
      </w:pPr>
    </w:p>
    <w:p w14:paraId="48F5425F">
      <w:pPr>
        <w:autoSpaceDE w:val="0"/>
        <w:autoSpaceDN w:val="0"/>
        <w:adjustRightInd w:val="0"/>
        <w:spacing w:line="3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（所有成员单位名称）自愿组成联合体，共同参加</w:t>
      </w:r>
      <w:r>
        <w:rPr>
          <w:rFonts w:hint="eastAsia" w:ascii="宋体" w:hAnsi="宋体" w:cs="宋体"/>
          <w:color w:val="auto"/>
          <w:kern w:val="0"/>
          <w:sz w:val="24"/>
          <w:highlight w:val="none"/>
          <w:u w:val="single"/>
        </w:rPr>
        <w:t xml:space="preserve">     </w:t>
      </w:r>
      <w:r>
        <w:rPr>
          <w:rFonts w:hint="eastAsia" w:ascii="宋体" w:hAnsi="宋体" w:cs="宋体"/>
          <w:i/>
          <w:iCs/>
          <w:color w:val="auto"/>
          <w:kern w:val="0"/>
          <w:sz w:val="24"/>
          <w:highlight w:val="none"/>
          <w:u w:val="single"/>
        </w:rPr>
        <w:t>（采购代理机构名称）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组织的</w:t>
      </w:r>
      <w:r>
        <w:rPr>
          <w:rFonts w:hint="eastAsia" w:ascii="宋体" w:hAnsi="宋体" w:cs="宋体"/>
          <w:color w:val="auto"/>
          <w:kern w:val="0"/>
          <w:sz w:val="24"/>
          <w:highlight w:val="none"/>
          <w:u w:val="single"/>
        </w:rPr>
        <w:t xml:space="preserve">        </w:t>
      </w:r>
      <w:r>
        <w:rPr>
          <w:rFonts w:hint="eastAsia" w:ascii="宋体" w:hAnsi="宋体" w:cs="宋体"/>
          <w:i/>
          <w:iCs/>
          <w:color w:val="auto"/>
          <w:kern w:val="0"/>
          <w:sz w:val="24"/>
          <w:highlight w:val="none"/>
          <w:u w:val="single"/>
        </w:rPr>
        <w:t xml:space="preserve"> （项目名称）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（项目编号：</w:t>
      </w:r>
      <w:r>
        <w:rPr>
          <w:rFonts w:hint="eastAsia" w:ascii="宋体" w:hAnsi="宋体" w:cs="宋体"/>
          <w:i/>
          <w:iCs/>
          <w:color w:val="auto"/>
          <w:kern w:val="0"/>
          <w:sz w:val="24"/>
          <w:highlight w:val="none"/>
          <w:u w:val="single"/>
        </w:rPr>
        <w:t>（项目编号）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）竞争性磋商采购。现就联合体竞标事宜订立如下协议：</w:t>
      </w:r>
    </w:p>
    <w:p w14:paraId="297DD807">
      <w:pPr>
        <w:autoSpaceDE w:val="0"/>
        <w:autoSpaceDN w:val="0"/>
        <w:adjustRightInd w:val="0"/>
        <w:spacing w:line="360" w:lineRule="exact"/>
        <w:ind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（某成员单位名称）为联合体名称牵头人。</w:t>
      </w:r>
    </w:p>
    <w:p w14:paraId="609FB40E">
      <w:pPr>
        <w:autoSpaceDE w:val="0"/>
        <w:autoSpaceDN w:val="0"/>
        <w:adjustRightInd w:val="0"/>
        <w:spacing w:line="360" w:lineRule="exact"/>
        <w:ind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278AD4CD">
      <w:pPr>
        <w:autoSpaceDE w:val="0"/>
        <w:autoSpaceDN w:val="0"/>
        <w:adjustRightInd w:val="0"/>
        <w:spacing w:line="360" w:lineRule="exact"/>
        <w:ind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3、联合体牵头人在本项目中签署和盖章的一切文件和处理的一切事宜，联合体各成员均予以承认。 联合体各成员将严格按照磋商文件、响应文件和合同的要求全面履行义务，并向采购人承担连带责任。</w:t>
      </w:r>
    </w:p>
    <w:p w14:paraId="46494A49">
      <w:pPr>
        <w:autoSpaceDE w:val="0"/>
        <w:autoSpaceDN w:val="0"/>
        <w:adjustRightInd w:val="0"/>
        <w:spacing w:line="360" w:lineRule="exact"/>
        <w:ind w:left="479" w:leftChars="228"/>
        <w:jc w:val="left"/>
        <w:rPr>
          <w:rFonts w:hint="eastAsia" w:ascii="宋体" w:hAnsi="宋体" w:cs="宋体"/>
          <w:color w:val="auto"/>
          <w:kern w:val="0"/>
          <w:sz w:val="24"/>
          <w:highlight w:val="none"/>
        </w:rPr>
      </w:pPr>
      <w:r>
        <w:rPr>
          <w:rFonts w:hint="eastAsia" w:ascii="宋体" w:hAnsi="宋体" w:cs="宋体"/>
          <w:color w:val="auto"/>
          <w:kern w:val="0"/>
          <w:sz w:val="24"/>
          <w:highlight w:val="none"/>
        </w:rPr>
        <w:t>4、联合体各成员单位内部的职责分工如下：</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702049F5">
      <w:pPr>
        <w:spacing w:line="36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5、本联合体中，</w:t>
      </w:r>
      <w:r>
        <w:rPr>
          <w:rFonts w:hint="eastAsia" w:ascii="宋体" w:hAnsi="宋体" w:cs="宋体"/>
          <w:color w:val="auto"/>
          <w:kern w:val="0"/>
          <w:sz w:val="24"/>
          <w:highlight w:val="none"/>
          <w:u w:val="single"/>
        </w:rPr>
        <w:t xml:space="preserve">                         （某成员单位名称）为       </w:t>
      </w:r>
      <w:r>
        <w:rPr>
          <w:rFonts w:hint="eastAsia" w:ascii="宋体" w:hAnsi="宋体" w:cs="宋体"/>
          <w:color w:val="auto"/>
          <w:kern w:val="0"/>
          <w:sz w:val="24"/>
          <w:highlight w:val="none"/>
        </w:rPr>
        <w:t>（请填写：中型、小型、微型）企业，其协议合同金额占联合体协议合同总金额的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%。【如联合体成员中有小型、微型企业的，请填写此条，否则无需填写；如联合体成员中有多个小型、微型企业的，请逐一列出。】</w:t>
      </w:r>
    </w:p>
    <w:p w14:paraId="6448A2EB">
      <w:pPr>
        <w:autoSpaceDE w:val="0"/>
        <w:autoSpaceDN w:val="0"/>
        <w:adjustRightInd w:val="0"/>
        <w:spacing w:line="360" w:lineRule="exact"/>
        <w:ind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6、本协议书自签署之日起生效，合同履行完毕后自动失效。</w:t>
      </w:r>
    </w:p>
    <w:p w14:paraId="49A8E83C">
      <w:pPr>
        <w:autoSpaceDE w:val="0"/>
        <w:autoSpaceDN w:val="0"/>
        <w:adjustRightInd w:val="0"/>
        <w:spacing w:line="360" w:lineRule="exact"/>
        <w:ind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7、本协议书一式</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份，联合体成员和采购代理机构各执一份。</w:t>
      </w:r>
    </w:p>
    <w:p w14:paraId="21EA816E">
      <w:pPr>
        <w:autoSpaceDE w:val="0"/>
        <w:autoSpaceDN w:val="0"/>
        <w:adjustRightInd w:val="0"/>
        <w:spacing w:line="360" w:lineRule="exact"/>
        <w:ind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注：本协议书由法定代表人签字的，应附法定代表人身份证明；本协议书由委托代理人签字的，应附法定代表人授权委托书。</w:t>
      </w:r>
    </w:p>
    <w:p w14:paraId="6A949B90">
      <w:pPr>
        <w:autoSpaceDE w:val="0"/>
        <w:autoSpaceDN w:val="0"/>
        <w:adjustRightInd w:val="0"/>
        <w:spacing w:line="3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牵头人名称：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（盖公章）</w:t>
      </w:r>
    </w:p>
    <w:p w14:paraId="07AEAAE5">
      <w:pPr>
        <w:autoSpaceDE w:val="0"/>
        <w:autoSpaceDN w:val="0"/>
        <w:adjustRightInd w:val="0"/>
        <w:spacing w:line="3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法定代表人或其委托代理人：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（签字）</w:t>
      </w:r>
    </w:p>
    <w:p w14:paraId="4A93D9AA">
      <w:pPr>
        <w:autoSpaceDE w:val="0"/>
        <w:autoSpaceDN w:val="0"/>
        <w:adjustRightInd w:val="0"/>
        <w:spacing w:line="360" w:lineRule="exact"/>
        <w:jc w:val="left"/>
        <w:rPr>
          <w:rFonts w:hint="eastAsia" w:ascii="宋体" w:hAnsi="宋体" w:cs="宋体"/>
          <w:color w:val="auto"/>
          <w:kern w:val="0"/>
          <w:sz w:val="24"/>
          <w:highlight w:val="none"/>
        </w:rPr>
      </w:pPr>
    </w:p>
    <w:p w14:paraId="27D922B1">
      <w:pPr>
        <w:autoSpaceDE w:val="0"/>
        <w:autoSpaceDN w:val="0"/>
        <w:adjustRightInd w:val="0"/>
        <w:spacing w:line="3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成员一名称：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（盖公章）</w:t>
      </w:r>
    </w:p>
    <w:p w14:paraId="028E3263">
      <w:pPr>
        <w:autoSpaceDE w:val="0"/>
        <w:autoSpaceDN w:val="0"/>
        <w:adjustRightInd w:val="0"/>
        <w:spacing w:line="3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法定代表人或其委托代理人：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（签字）</w:t>
      </w:r>
    </w:p>
    <w:p w14:paraId="69C9B897">
      <w:pPr>
        <w:autoSpaceDE w:val="0"/>
        <w:autoSpaceDN w:val="0"/>
        <w:adjustRightInd w:val="0"/>
        <w:spacing w:line="360" w:lineRule="exact"/>
        <w:jc w:val="left"/>
        <w:rPr>
          <w:rFonts w:hint="eastAsia" w:ascii="宋体" w:hAnsi="宋体" w:cs="宋体"/>
          <w:color w:val="auto"/>
          <w:kern w:val="0"/>
          <w:szCs w:val="21"/>
          <w:highlight w:val="none"/>
        </w:rPr>
      </w:pPr>
    </w:p>
    <w:p w14:paraId="236854C4">
      <w:pPr>
        <w:autoSpaceDE w:val="0"/>
        <w:autoSpaceDN w:val="0"/>
        <w:adjustRightInd w:val="0"/>
        <w:spacing w:line="3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成员二名称：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（盖公章）</w:t>
      </w:r>
    </w:p>
    <w:p w14:paraId="11126904">
      <w:pPr>
        <w:autoSpaceDE w:val="0"/>
        <w:autoSpaceDN w:val="0"/>
        <w:adjustRightInd w:val="0"/>
        <w:spacing w:line="3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法定代表人或其委托代理人：                         （签字）</w:t>
      </w:r>
    </w:p>
    <w:p w14:paraId="61C1A412">
      <w:pPr>
        <w:autoSpaceDE w:val="0"/>
        <w:autoSpaceDN w:val="0"/>
        <w:adjustRightInd w:val="0"/>
        <w:spacing w:line="360" w:lineRule="exact"/>
        <w:jc w:val="left"/>
        <w:rPr>
          <w:rFonts w:hint="eastAsia" w:ascii="宋体" w:hAnsi="宋体" w:cs="宋体"/>
          <w:color w:val="auto"/>
          <w:kern w:val="0"/>
          <w:sz w:val="24"/>
          <w:highlight w:val="none"/>
        </w:rPr>
      </w:pPr>
    </w:p>
    <w:p w14:paraId="10503A12">
      <w:pPr>
        <w:autoSpaceDE w:val="0"/>
        <w:autoSpaceDN w:val="0"/>
        <w:adjustRightInd w:val="0"/>
        <w:spacing w:line="3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w:t>
      </w:r>
    </w:p>
    <w:p w14:paraId="3C374D75">
      <w:pPr>
        <w:autoSpaceDE w:val="0"/>
        <w:autoSpaceDN w:val="0"/>
        <w:spacing w:line="360" w:lineRule="exact"/>
        <w:ind w:left="4365" w:leftChars="1850" w:hanging="480" w:hangingChars="200"/>
        <w:rPr>
          <w:rFonts w:hint="eastAsia" w:ascii="宋体" w:hAnsi="宋体" w:cs="宋体"/>
          <w:color w:val="auto"/>
          <w:kern w:val="0"/>
          <w:sz w:val="24"/>
          <w:highlight w:val="none"/>
        </w:rPr>
      </w:pPr>
    </w:p>
    <w:p w14:paraId="5720D836">
      <w:pPr>
        <w:autoSpaceDE w:val="0"/>
        <w:autoSpaceDN w:val="0"/>
        <w:spacing w:line="360" w:lineRule="exact"/>
        <w:ind w:firstLine="6120" w:firstLineChars="25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5FEA6D09">
      <w:pPr>
        <w:autoSpaceDE w:val="0"/>
        <w:autoSpaceDN w:val="0"/>
        <w:spacing w:line="360" w:lineRule="auto"/>
        <w:ind w:firstLine="6120" w:firstLineChars="2550"/>
        <w:rPr>
          <w:rFonts w:hint="eastAsia" w:ascii="仿宋_GB2312" w:hAnsi="仿宋" w:eastAsia="仿宋_GB2312" w:cs="仿宋_GB2312"/>
          <w:color w:val="auto"/>
          <w:kern w:val="0"/>
          <w:sz w:val="24"/>
          <w:highlight w:val="none"/>
          <w:lang w:val="zh-CN"/>
        </w:rPr>
      </w:pPr>
    </w:p>
    <w:p w14:paraId="279B4406">
      <w:pPr>
        <w:autoSpaceDE w:val="0"/>
        <w:autoSpaceDN w:val="0"/>
        <w:spacing w:line="360" w:lineRule="auto"/>
        <w:ind w:firstLine="6120" w:firstLineChars="2550"/>
        <w:rPr>
          <w:rFonts w:hint="eastAsia" w:ascii="仿宋_GB2312" w:hAnsi="仿宋" w:eastAsia="仿宋_GB2312" w:cs="仿宋_GB2312"/>
          <w:color w:val="auto"/>
          <w:kern w:val="0"/>
          <w:sz w:val="24"/>
          <w:highlight w:val="none"/>
          <w:lang w:val="zh-CN"/>
        </w:rPr>
      </w:pPr>
    </w:p>
    <w:p w14:paraId="14C535D4">
      <w:pPr>
        <w:pStyle w:val="3"/>
        <w:jc w:val="center"/>
        <w:rPr>
          <w:rFonts w:hint="eastAsia" w:ascii="宋体" w:hAnsi="宋体"/>
          <w:b w:val="0"/>
          <w:color w:val="auto"/>
          <w:highlight w:val="none"/>
        </w:rPr>
      </w:pPr>
      <w:bookmarkStart w:id="139" w:name="_Toc80205940"/>
      <w:bookmarkStart w:id="140" w:name="_Toc20562"/>
      <w:bookmarkStart w:id="141" w:name="_Toc80886944"/>
      <w:bookmarkStart w:id="142" w:name="_Toc15951"/>
      <w:r>
        <w:rPr>
          <w:rFonts w:hint="eastAsia" w:ascii="宋体" w:hAnsi="宋体"/>
          <w:b w:val="0"/>
          <w:bCs w:val="0"/>
          <w:color w:val="auto"/>
          <w:highlight w:val="none"/>
        </w:rPr>
        <w:t xml:space="preserve">第二节 </w:t>
      </w:r>
      <w:r>
        <w:rPr>
          <w:rFonts w:hint="eastAsia" w:ascii="宋体" w:hAnsi="宋体"/>
          <w:b w:val="0"/>
          <w:color w:val="auto"/>
          <w:highlight w:val="none"/>
        </w:rPr>
        <w:t>商务技术文件格式</w:t>
      </w:r>
      <w:bookmarkEnd w:id="139"/>
      <w:bookmarkEnd w:id="140"/>
      <w:bookmarkEnd w:id="141"/>
      <w:bookmarkEnd w:id="142"/>
    </w:p>
    <w:p w14:paraId="3E000DAC">
      <w:pPr>
        <w:snapToGrid w:val="0"/>
        <w:spacing w:before="120" w:beforeLines="50" w:after="50" w:line="360" w:lineRule="auto"/>
        <w:jc w:val="left"/>
        <w:rPr>
          <w:rFonts w:hint="eastAsia" w:ascii="宋体" w:hAnsi="宋体"/>
          <w:b/>
          <w:color w:val="auto"/>
          <w:sz w:val="32"/>
          <w:szCs w:val="32"/>
          <w:highlight w:val="none"/>
        </w:rPr>
      </w:pPr>
      <w:r>
        <w:rPr>
          <w:rFonts w:hint="eastAsia" w:ascii="宋体" w:hAnsi="宋体"/>
          <w:b/>
          <w:color w:val="auto"/>
          <w:sz w:val="28"/>
          <w:szCs w:val="28"/>
          <w:highlight w:val="none"/>
        </w:rPr>
        <w:t>1.商务技术文件封面的格式</w:t>
      </w:r>
      <w:r>
        <w:rPr>
          <w:rFonts w:hint="eastAsia" w:ascii="宋体" w:hAnsi="宋体" w:cs="宋体"/>
          <w:b/>
          <w:color w:val="auto"/>
          <w:sz w:val="28"/>
          <w:szCs w:val="28"/>
          <w:highlight w:val="none"/>
        </w:rPr>
        <w:t>（参照此格式自拟）</w:t>
      </w:r>
      <w:r>
        <w:rPr>
          <w:rFonts w:hint="eastAsia" w:ascii="宋体" w:hAnsi="宋体"/>
          <w:b/>
          <w:color w:val="auto"/>
          <w:sz w:val="28"/>
          <w:szCs w:val="28"/>
          <w:highlight w:val="none"/>
        </w:rPr>
        <w:t>：</w:t>
      </w:r>
    </w:p>
    <w:p w14:paraId="4A44F7CC">
      <w:pPr>
        <w:snapToGrid w:val="0"/>
        <w:spacing w:before="120" w:beforeLines="50" w:after="50"/>
        <w:rPr>
          <w:color w:val="auto"/>
          <w:sz w:val="24"/>
          <w:highlight w:val="none"/>
        </w:rPr>
      </w:pPr>
      <w:r>
        <w:rPr>
          <w:rFonts w:hint="eastAsia"/>
          <w:color w:val="auto"/>
          <w:sz w:val="24"/>
          <w:highlight w:val="none"/>
        </w:rPr>
        <w:t xml:space="preserve">                                             </w:t>
      </w:r>
    </w:p>
    <w:p w14:paraId="697D9BF8">
      <w:pPr>
        <w:snapToGrid w:val="0"/>
        <w:spacing w:before="120" w:beforeLines="50" w:after="50"/>
        <w:ind w:firstLine="6720" w:firstLineChars="3200"/>
        <w:rPr>
          <w:bCs/>
          <w:color w:val="auto"/>
          <w:sz w:val="32"/>
          <w:szCs w:val="20"/>
          <w:highlight w:val="none"/>
        </w:rPr>
      </w:pPr>
      <w:r>
        <w:rPr>
          <w:rFonts w:hint="eastAsia"/>
          <w:bCs/>
          <w:color w:val="auto"/>
          <w:highlight w:val="none"/>
        </w:rPr>
        <w:t>全流程电子文件</w:t>
      </w:r>
    </w:p>
    <w:p w14:paraId="57735AD2">
      <w:pPr>
        <w:snapToGrid w:val="0"/>
        <w:spacing w:before="120" w:beforeLines="50" w:after="50"/>
        <w:rPr>
          <w:color w:val="auto"/>
          <w:sz w:val="24"/>
          <w:szCs w:val="20"/>
          <w:highlight w:val="none"/>
        </w:rPr>
      </w:pPr>
    </w:p>
    <w:p w14:paraId="3C4B0A2A">
      <w:pPr>
        <w:snapToGrid w:val="0"/>
        <w:spacing w:before="120" w:beforeLines="50" w:after="50"/>
        <w:rPr>
          <w:color w:val="auto"/>
          <w:sz w:val="24"/>
          <w:szCs w:val="20"/>
          <w:highlight w:val="none"/>
        </w:rPr>
      </w:pPr>
    </w:p>
    <w:p w14:paraId="19C5066D">
      <w:pPr>
        <w:snapToGrid w:val="0"/>
        <w:spacing w:before="120" w:beforeLines="50" w:after="50"/>
        <w:rPr>
          <w:color w:val="auto"/>
          <w:sz w:val="24"/>
          <w:szCs w:val="20"/>
          <w:highlight w:val="none"/>
        </w:rPr>
      </w:pPr>
    </w:p>
    <w:p w14:paraId="14E67147">
      <w:pPr>
        <w:snapToGrid w:val="0"/>
        <w:spacing w:before="120" w:beforeLines="50" w:after="5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商  务  技  术  文  件</w:t>
      </w:r>
    </w:p>
    <w:p w14:paraId="78B0B71A">
      <w:pPr>
        <w:snapToGrid w:val="0"/>
        <w:spacing w:before="120" w:beforeLines="50" w:after="50"/>
        <w:rPr>
          <w:bCs/>
          <w:color w:val="auto"/>
          <w:sz w:val="24"/>
          <w:szCs w:val="20"/>
          <w:highlight w:val="none"/>
        </w:rPr>
      </w:pPr>
    </w:p>
    <w:p w14:paraId="64E2CB50">
      <w:pPr>
        <w:snapToGrid w:val="0"/>
        <w:spacing w:before="120" w:beforeLines="50" w:after="50"/>
        <w:rPr>
          <w:bCs/>
          <w:color w:val="auto"/>
          <w:sz w:val="24"/>
          <w:szCs w:val="20"/>
          <w:highlight w:val="none"/>
        </w:rPr>
      </w:pPr>
    </w:p>
    <w:p w14:paraId="775461D2">
      <w:pPr>
        <w:snapToGrid w:val="0"/>
        <w:spacing w:before="120" w:beforeLines="50" w:after="50"/>
        <w:rPr>
          <w:bCs/>
          <w:color w:val="auto"/>
          <w:sz w:val="24"/>
          <w:szCs w:val="20"/>
          <w:highlight w:val="none"/>
        </w:rPr>
      </w:pPr>
    </w:p>
    <w:p w14:paraId="6937D7EC">
      <w:pPr>
        <w:snapToGrid w:val="0"/>
        <w:spacing w:before="120" w:beforeLines="50" w:after="50"/>
        <w:rPr>
          <w:bCs/>
          <w:color w:val="auto"/>
          <w:sz w:val="24"/>
          <w:szCs w:val="20"/>
          <w:highlight w:val="none"/>
        </w:rPr>
      </w:pPr>
    </w:p>
    <w:p w14:paraId="5CDAA3CA">
      <w:pPr>
        <w:snapToGrid w:val="0"/>
        <w:spacing w:before="120" w:beforeLines="50" w:after="50"/>
        <w:rPr>
          <w:bCs/>
          <w:color w:val="auto"/>
          <w:sz w:val="24"/>
          <w:szCs w:val="20"/>
          <w:highlight w:val="none"/>
        </w:rPr>
      </w:pPr>
    </w:p>
    <w:p w14:paraId="11971902">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项目名称：</w:t>
      </w:r>
    </w:p>
    <w:p w14:paraId="773209FC">
      <w:pPr>
        <w:snapToGrid w:val="0"/>
        <w:spacing w:before="120" w:beforeLines="50" w:after="50"/>
        <w:ind w:firstLine="720" w:firstLineChars="225"/>
        <w:rPr>
          <w:rFonts w:cs="仿宋_GB2312"/>
          <w:bCs/>
          <w:color w:val="auto"/>
          <w:sz w:val="32"/>
          <w:szCs w:val="32"/>
          <w:highlight w:val="none"/>
        </w:rPr>
      </w:pPr>
    </w:p>
    <w:p w14:paraId="0ADAE1A0">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项目编号：</w:t>
      </w:r>
    </w:p>
    <w:p w14:paraId="65907542">
      <w:pPr>
        <w:snapToGrid w:val="0"/>
        <w:spacing w:before="120" w:beforeLines="50" w:after="50"/>
        <w:ind w:firstLine="720" w:firstLineChars="225"/>
        <w:rPr>
          <w:rFonts w:cs="仿宋_GB2312"/>
          <w:bCs/>
          <w:color w:val="auto"/>
          <w:sz w:val="32"/>
          <w:szCs w:val="32"/>
          <w:highlight w:val="none"/>
        </w:rPr>
      </w:pPr>
      <w:r>
        <w:rPr>
          <w:rFonts w:hint="eastAsia" w:cs="仿宋_GB2312"/>
          <w:bCs/>
          <w:color w:val="auto"/>
          <w:sz w:val="32"/>
          <w:szCs w:val="32"/>
          <w:highlight w:val="none"/>
        </w:rPr>
        <w:t xml:space="preserve"> </w:t>
      </w:r>
    </w:p>
    <w:p w14:paraId="6F4D2DAE">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所竞分标（如有则填写，无分标时填写“无”或者留空）：</w:t>
      </w:r>
    </w:p>
    <w:p w14:paraId="1203CF32">
      <w:pPr>
        <w:snapToGrid w:val="0"/>
        <w:spacing w:before="120" w:beforeLines="50" w:after="50"/>
        <w:ind w:firstLine="720" w:firstLineChars="225"/>
        <w:rPr>
          <w:rFonts w:cs="仿宋_GB2312"/>
          <w:bCs/>
          <w:color w:val="auto"/>
          <w:sz w:val="32"/>
          <w:szCs w:val="32"/>
          <w:highlight w:val="none"/>
        </w:rPr>
      </w:pPr>
    </w:p>
    <w:p w14:paraId="4002D5FB">
      <w:pPr>
        <w:pStyle w:val="7"/>
        <w:snapToGrid w:val="0"/>
        <w:spacing w:before="50" w:after="50"/>
        <w:ind w:firstLine="640" w:firstLineChars="200"/>
        <w:rPr>
          <w:rFonts w:cs="仿宋_GB2312"/>
          <w:bCs/>
          <w:color w:val="auto"/>
          <w:sz w:val="32"/>
          <w:szCs w:val="32"/>
          <w:highlight w:val="none"/>
        </w:rPr>
      </w:pPr>
      <w:r>
        <w:rPr>
          <w:rFonts w:hint="eastAsia" w:cs="仿宋_GB2312"/>
          <w:bCs/>
          <w:color w:val="auto"/>
          <w:sz w:val="32"/>
          <w:szCs w:val="32"/>
          <w:highlight w:val="none"/>
        </w:rPr>
        <w:t>供应商名称：</w:t>
      </w:r>
    </w:p>
    <w:p w14:paraId="20E3D536">
      <w:pPr>
        <w:pStyle w:val="7"/>
        <w:snapToGrid w:val="0"/>
        <w:spacing w:before="50" w:after="50"/>
        <w:ind w:firstLine="720" w:firstLineChars="225"/>
        <w:rPr>
          <w:rFonts w:cs="仿宋_GB2312"/>
          <w:bCs/>
          <w:color w:val="auto"/>
          <w:sz w:val="32"/>
          <w:szCs w:val="32"/>
          <w:highlight w:val="none"/>
        </w:rPr>
      </w:pPr>
    </w:p>
    <w:p w14:paraId="24C70F9F">
      <w:pPr>
        <w:pStyle w:val="7"/>
        <w:snapToGrid w:val="0"/>
        <w:spacing w:before="50" w:after="50"/>
        <w:ind w:firstLine="720" w:firstLineChars="225"/>
        <w:rPr>
          <w:rFonts w:cs="仿宋_GB2312"/>
          <w:bCs/>
          <w:color w:val="auto"/>
          <w:sz w:val="32"/>
          <w:szCs w:val="32"/>
          <w:highlight w:val="none"/>
        </w:rPr>
      </w:pPr>
    </w:p>
    <w:p w14:paraId="0639D3E2">
      <w:pPr>
        <w:pStyle w:val="7"/>
        <w:snapToGrid w:val="0"/>
        <w:spacing w:before="50" w:after="50"/>
        <w:ind w:firstLine="1280" w:firstLineChars="400"/>
        <w:rPr>
          <w:rFonts w:cs="仿宋_GB2312"/>
          <w:bCs/>
          <w:color w:val="auto"/>
          <w:sz w:val="32"/>
          <w:szCs w:val="32"/>
          <w:highlight w:val="none"/>
        </w:rPr>
      </w:pPr>
    </w:p>
    <w:p w14:paraId="6E403C17">
      <w:pPr>
        <w:snapToGrid w:val="0"/>
        <w:spacing w:before="120" w:beforeLines="50" w:after="50"/>
        <w:jc w:val="center"/>
        <w:rPr>
          <w:rFonts w:cs="仿宋_GB2312"/>
          <w:color w:val="auto"/>
          <w:sz w:val="32"/>
          <w:szCs w:val="32"/>
          <w:highlight w:val="none"/>
        </w:rPr>
      </w:pPr>
      <w:r>
        <w:rPr>
          <w:rFonts w:hint="eastAsia" w:cs="仿宋_GB2312"/>
          <w:color w:val="auto"/>
          <w:sz w:val="32"/>
          <w:szCs w:val="32"/>
          <w:highlight w:val="none"/>
        </w:rPr>
        <w:t>年    月    日</w:t>
      </w:r>
    </w:p>
    <w:p w14:paraId="5B3C86D5">
      <w:pPr>
        <w:snapToGrid w:val="0"/>
        <w:spacing w:before="120" w:beforeLines="50" w:after="50" w:line="360" w:lineRule="auto"/>
        <w:ind w:left="142" w:firstLine="643" w:firstLineChars="200"/>
        <w:jc w:val="left"/>
        <w:rPr>
          <w:b/>
          <w:bCs/>
          <w:color w:val="auto"/>
          <w:sz w:val="32"/>
          <w:szCs w:val="32"/>
          <w:highlight w:val="none"/>
        </w:rPr>
        <w:sectPr>
          <w:pgSz w:w="11911" w:h="16838"/>
          <w:pgMar w:top="1134" w:right="1134" w:bottom="1134" w:left="1134" w:header="720" w:footer="720" w:gutter="0"/>
          <w:cols w:space="720" w:num="1"/>
        </w:sectPr>
      </w:pPr>
    </w:p>
    <w:p w14:paraId="16DCBF7A">
      <w:pPr>
        <w:spacing w:line="360" w:lineRule="auto"/>
        <w:ind w:right="420"/>
        <w:rPr>
          <w:rFonts w:hint="eastAsia" w:ascii="宋体" w:hAnsi="宋体" w:cs="宋体"/>
          <w:color w:val="auto"/>
          <w:sz w:val="24"/>
          <w:szCs w:val="20"/>
          <w:highlight w:val="none"/>
        </w:rPr>
      </w:pPr>
      <w:r>
        <w:rPr>
          <w:rFonts w:hint="eastAsia" w:ascii="宋体" w:hAnsi="宋体" w:cs="宋体"/>
          <w:b/>
          <w:bCs/>
          <w:color w:val="auto"/>
          <w:sz w:val="28"/>
          <w:szCs w:val="28"/>
          <w:highlight w:val="none"/>
        </w:rPr>
        <w:t>2.商务技术文件目录</w:t>
      </w:r>
    </w:p>
    <w:p w14:paraId="125820ED">
      <w:pPr>
        <w:spacing w:line="400" w:lineRule="exact"/>
        <w:rPr>
          <w:rFonts w:hint="eastAsia" w:ascii="仿宋_GB2312" w:hAnsi="仿宋_GB2312" w:eastAsia="仿宋_GB2312" w:cs="仿宋_GB2312"/>
          <w:color w:val="auto"/>
          <w:sz w:val="32"/>
          <w:szCs w:val="32"/>
          <w:highlight w:val="none"/>
        </w:rPr>
      </w:pPr>
      <w:r>
        <w:rPr>
          <w:rFonts w:hint="eastAsia" w:ascii="宋体" w:hAnsi="宋体" w:cs="宋体"/>
          <w:color w:val="auto"/>
          <w:kern w:val="0"/>
          <w:sz w:val="24"/>
          <w:highlight w:val="none"/>
        </w:rPr>
        <w:t xml:space="preserve">  根据竞争性磋商文件规定及供应商提供的材料自行编写目录（部分格式后附）。</w:t>
      </w:r>
    </w:p>
    <w:p w14:paraId="5CF9CB49">
      <w:pPr>
        <w:spacing w:line="520" w:lineRule="exact"/>
        <w:jc w:val="left"/>
        <w:rPr>
          <w:rFonts w:hint="eastAsia" w:ascii="宋体" w:hAnsi="宋体" w:cs="宋体"/>
          <w:color w:val="auto"/>
          <w:sz w:val="28"/>
          <w:szCs w:val="28"/>
          <w:highlight w:val="none"/>
        </w:rPr>
      </w:pPr>
      <w:r>
        <w:rPr>
          <w:rFonts w:hint="eastAsia" w:ascii="仿宋" w:hAnsi="仿宋" w:eastAsia="仿宋" w:cs="仿宋"/>
          <w:color w:val="auto"/>
          <w:sz w:val="44"/>
          <w:szCs w:val="44"/>
          <w:highlight w:val="none"/>
        </w:rPr>
        <w:br w:type="page"/>
      </w:r>
      <w:r>
        <w:rPr>
          <w:rFonts w:hint="eastAsia" w:ascii="宋体" w:hAnsi="宋体" w:cs="宋体"/>
          <w:b/>
          <w:color w:val="auto"/>
          <w:sz w:val="28"/>
          <w:szCs w:val="28"/>
          <w:highlight w:val="none"/>
        </w:rPr>
        <w:t>3.无串通竞标行为的承诺函的格式：</w:t>
      </w:r>
    </w:p>
    <w:p w14:paraId="090DA53F">
      <w:pPr>
        <w:spacing w:line="520" w:lineRule="exact"/>
        <w:jc w:val="center"/>
        <w:rPr>
          <w:rFonts w:hint="eastAsia" w:ascii="仿宋" w:hAnsi="仿宋" w:eastAsia="仿宋" w:cs="仿宋"/>
          <w:color w:val="auto"/>
          <w:sz w:val="44"/>
          <w:szCs w:val="44"/>
          <w:highlight w:val="none"/>
        </w:rPr>
      </w:pPr>
    </w:p>
    <w:p w14:paraId="786B14DA">
      <w:pPr>
        <w:spacing w:line="52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无串通竞标行为的承诺函</w:t>
      </w:r>
    </w:p>
    <w:p w14:paraId="5C3E271A">
      <w:pPr>
        <w:spacing w:line="520" w:lineRule="exact"/>
        <w:ind w:firstLine="640" w:firstLineChars="200"/>
        <w:rPr>
          <w:rFonts w:hint="eastAsia" w:ascii="仿宋_GB2312" w:hAnsi="仿宋_GB2312" w:eastAsia="仿宋_GB2312" w:cs="仿宋_GB2312"/>
          <w:color w:val="auto"/>
          <w:sz w:val="32"/>
          <w:szCs w:val="32"/>
          <w:highlight w:val="none"/>
        </w:rPr>
      </w:pPr>
    </w:p>
    <w:p w14:paraId="458B6EFA">
      <w:pPr>
        <w:spacing w:line="360" w:lineRule="auto"/>
        <w:ind w:firstLine="482" w:firstLineChars="200"/>
        <w:contextualSpacing/>
        <w:rPr>
          <w:rFonts w:hint="eastAsia" w:ascii="宋体" w:hAnsi="宋体" w:cs="宋体"/>
          <w:b/>
          <w:bCs/>
          <w:color w:val="auto"/>
          <w:sz w:val="24"/>
          <w:highlight w:val="none"/>
        </w:rPr>
      </w:pPr>
      <w:r>
        <w:rPr>
          <w:rFonts w:hint="eastAsia" w:ascii="宋体" w:hAnsi="宋体" w:cs="宋体"/>
          <w:b/>
          <w:bCs/>
          <w:color w:val="auto"/>
          <w:sz w:val="24"/>
          <w:highlight w:val="none"/>
        </w:rPr>
        <w:t>一、我方承诺无下列相互串通竞标的情形：</w:t>
      </w:r>
    </w:p>
    <w:p w14:paraId="74C59C3C">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 xml:space="preserve">1.不同供应商的响应文件由同一单位或者个人编制；或不同供应商报名的IP地址一致的； </w:t>
      </w:r>
    </w:p>
    <w:p w14:paraId="3F3D3B7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2.不同供应商委托同一单位或者个人办理竞标事宜；</w:t>
      </w:r>
    </w:p>
    <w:p w14:paraId="44D907AB">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3.不同供应商的响应文件载明的项目管理员为同一个人；</w:t>
      </w:r>
    </w:p>
    <w:p w14:paraId="139AFAD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4.不</w:t>
      </w:r>
      <w:r>
        <w:rPr>
          <w:rFonts w:hint="eastAsia" w:ascii="宋体" w:hAnsi="宋体" w:cs="宋体"/>
          <w:color w:val="auto"/>
          <w:spacing w:val="-6"/>
          <w:sz w:val="24"/>
          <w:highlight w:val="none"/>
        </w:rPr>
        <w:t>同供应商的响应文件异常一致或者响应报价呈规律性差异；</w:t>
      </w:r>
    </w:p>
    <w:p w14:paraId="2180C35F">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5.不同供应商的响应文件相互混装；</w:t>
      </w:r>
    </w:p>
    <w:p w14:paraId="0BE4E2E3">
      <w:pPr>
        <w:pStyle w:val="15"/>
        <w:ind w:firstLine="480" w:firstLineChars="200"/>
        <w:rPr>
          <w:rFonts w:hint="eastAsia" w:ascii="宋体" w:hAnsi="宋体" w:cs="宋体"/>
          <w:color w:val="auto"/>
          <w:highlight w:val="none"/>
        </w:rPr>
      </w:pPr>
      <w:r>
        <w:rPr>
          <w:rFonts w:hint="eastAsia" w:ascii="宋体" w:hAnsi="宋体" w:cs="宋体"/>
          <w:color w:val="auto"/>
          <w:sz w:val="24"/>
          <w:highlight w:val="none"/>
        </w:rPr>
        <w:t>6.不同供应商的磋商保证金从同一单位或者个人账户转出。</w:t>
      </w:r>
    </w:p>
    <w:p w14:paraId="033408D6">
      <w:pPr>
        <w:spacing w:line="360" w:lineRule="auto"/>
        <w:ind w:firstLine="482" w:firstLineChars="200"/>
        <w:contextualSpacing/>
        <w:rPr>
          <w:rFonts w:hint="eastAsia" w:ascii="宋体" w:hAnsi="宋体" w:cs="宋体"/>
          <w:b/>
          <w:bCs/>
          <w:color w:val="auto"/>
          <w:sz w:val="24"/>
          <w:highlight w:val="none"/>
        </w:rPr>
      </w:pPr>
      <w:r>
        <w:rPr>
          <w:rFonts w:hint="eastAsia" w:ascii="宋体" w:hAnsi="宋体" w:cs="宋体"/>
          <w:b/>
          <w:bCs/>
          <w:color w:val="auto"/>
          <w:sz w:val="24"/>
          <w:highlight w:val="none"/>
        </w:rPr>
        <w:t>二、我方承诺无下列恶意串通的情形：</w:t>
      </w:r>
    </w:p>
    <w:p w14:paraId="6D2D6A5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1.供应商直接或者间接从采购人或者采购代理机构处获得其他供应商的相关信息并修改其响应文件；</w:t>
      </w:r>
    </w:p>
    <w:p w14:paraId="573452D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2.供应商按照采购人或者采购代理机构的授意撤换、修改响应文件；</w:t>
      </w:r>
    </w:p>
    <w:p w14:paraId="45D60E22">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3.供</w:t>
      </w:r>
      <w:r>
        <w:rPr>
          <w:rFonts w:hint="eastAsia" w:ascii="宋体" w:hAnsi="宋体" w:cs="宋体"/>
          <w:color w:val="auto"/>
          <w:spacing w:val="-6"/>
          <w:sz w:val="24"/>
          <w:highlight w:val="none"/>
        </w:rPr>
        <w:t>应商之间协商报价、技术方案等响应文件的实质性内容；</w:t>
      </w:r>
    </w:p>
    <w:p w14:paraId="312D37B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4.属于同一集团、协会、商会等组织成员的供应商按照该组织要求协同参加政府采购活动；</w:t>
      </w:r>
    </w:p>
    <w:p w14:paraId="14259C3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79DE268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6.供应商之间商定部分供应商放弃参加政府采购活动或者放弃成交；</w:t>
      </w:r>
    </w:p>
    <w:p w14:paraId="6F85AF58">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7.供应商与采购人或者采购代理机构之间、供应商相互之间，为</w:t>
      </w:r>
      <w:r>
        <w:rPr>
          <w:rFonts w:hint="eastAsia" w:ascii="宋体" w:hAnsi="宋体" w:cs="宋体"/>
          <w:color w:val="auto"/>
          <w:spacing w:val="-6"/>
          <w:sz w:val="24"/>
          <w:highlight w:val="none"/>
        </w:rPr>
        <w:t>谋求特定供应商成交或者排斥其他供应商的其他串通行为。</w:t>
      </w:r>
    </w:p>
    <w:p w14:paraId="32E405C5">
      <w:pPr>
        <w:spacing w:line="360" w:lineRule="auto"/>
        <w:ind w:firstLine="480" w:firstLineChars="200"/>
        <w:contextualSpacing/>
        <w:rPr>
          <w:rFonts w:hint="eastAsia" w:ascii="宋体" w:hAnsi="宋体" w:cs="宋体"/>
          <w:color w:val="auto"/>
          <w:sz w:val="24"/>
          <w:highlight w:val="none"/>
        </w:rPr>
      </w:pPr>
    </w:p>
    <w:p w14:paraId="23CF5F2B">
      <w:pPr>
        <w:spacing w:line="360" w:lineRule="auto"/>
        <w:ind w:firstLine="482" w:firstLineChars="200"/>
        <w:contextualSpacing/>
        <w:rPr>
          <w:rFonts w:hint="eastAsia" w:ascii="宋体" w:hAnsi="宋体" w:cs="宋体"/>
          <w:b/>
          <w:bCs/>
          <w:color w:val="auto"/>
          <w:sz w:val="24"/>
          <w:highlight w:val="none"/>
        </w:rPr>
      </w:pPr>
      <w:r>
        <w:rPr>
          <w:rFonts w:hint="eastAsia" w:ascii="宋体" w:hAnsi="宋体" w:cs="宋体"/>
          <w:b/>
          <w:bCs/>
          <w:color w:val="auto"/>
          <w:sz w:val="24"/>
          <w:highlight w:val="none"/>
        </w:rPr>
        <w:t>以上情形一经核查属实，接受政府采购监管部门对我方认定存在围标串标行为，我方愿意承担一切后果，并不再寻求任何旨在减轻或者免除法律责任的辩解。</w:t>
      </w:r>
    </w:p>
    <w:p w14:paraId="53A35A2A">
      <w:pPr>
        <w:pStyle w:val="22"/>
        <w:rPr>
          <w:rFonts w:hint="eastAsia" w:ascii="宋体" w:hAnsi="宋体" w:cs="宋体"/>
          <w:b/>
          <w:bCs/>
          <w:color w:val="auto"/>
          <w:sz w:val="24"/>
          <w:highlight w:val="none"/>
        </w:rPr>
      </w:pPr>
    </w:p>
    <w:p w14:paraId="3366DFC0">
      <w:pPr>
        <w:pStyle w:val="22"/>
        <w:rPr>
          <w:rFonts w:hint="eastAsia" w:ascii="宋体" w:hAnsi="宋体" w:cs="宋体"/>
          <w:b/>
          <w:bCs/>
          <w:color w:val="auto"/>
          <w:sz w:val="24"/>
          <w:highlight w:val="none"/>
        </w:rPr>
      </w:pPr>
    </w:p>
    <w:p w14:paraId="142649A4">
      <w:pPr>
        <w:autoSpaceDE w:val="0"/>
        <w:autoSpaceDN w:val="0"/>
        <w:spacing w:line="360" w:lineRule="auto"/>
        <w:ind w:left="4335" w:leftChars="1950" w:hanging="240" w:hangingChars="100"/>
        <w:rPr>
          <w:rFonts w:hint="eastAsia"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6303B0A5">
      <w:pPr>
        <w:spacing w:line="480" w:lineRule="auto"/>
        <w:ind w:firstLine="5040" w:firstLineChars="2100"/>
        <w:jc w:val="left"/>
        <w:rPr>
          <w:rFonts w:hint="eastAsia" w:ascii="宋体" w:hAnsi="宋体" w:cs="宋体"/>
          <w:b/>
          <w:bCs/>
          <w:color w:val="auto"/>
          <w:sz w:val="28"/>
          <w:szCs w:val="28"/>
          <w:highlight w:val="none"/>
        </w:rPr>
      </w:pPr>
      <w:r>
        <w:rPr>
          <w:rFonts w:hint="eastAsia" w:ascii="宋体" w:hAnsi="宋体" w:cs="宋体"/>
          <w:color w:val="auto"/>
          <w:kern w:val="0"/>
          <w:sz w:val="24"/>
          <w:highlight w:val="none"/>
          <w:lang w:val="zh-CN"/>
        </w:rPr>
        <w:t xml:space="preserve">日期：  年  月   日   </w:t>
      </w:r>
      <w:r>
        <w:rPr>
          <w:b/>
          <w:bCs/>
          <w:color w:val="auto"/>
          <w:sz w:val="32"/>
          <w:szCs w:val="32"/>
          <w:highlight w:val="none"/>
        </w:rPr>
        <w:br w:type="page"/>
      </w:r>
      <w:r>
        <w:rPr>
          <w:rFonts w:hint="eastAsia" w:ascii="宋体" w:hAnsi="宋体" w:cs="宋体"/>
          <w:b/>
          <w:bCs/>
          <w:color w:val="auto"/>
          <w:sz w:val="28"/>
          <w:szCs w:val="28"/>
          <w:highlight w:val="none"/>
        </w:rPr>
        <w:t>4.法定代表人身份证明的格式：</w:t>
      </w:r>
    </w:p>
    <w:p w14:paraId="7B70C8EB">
      <w:pPr>
        <w:spacing w:line="520" w:lineRule="exact"/>
        <w:jc w:val="center"/>
        <w:rPr>
          <w:rFonts w:hint="eastAsia" w:ascii="仿宋_GB2312" w:hAnsi="仿宋_GB2312" w:eastAsia="仿宋_GB2312" w:cs="仿宋_GB2312"/>
          <w:color w:val="auto"/>
          <w:sz w:val="32"/>
          <w:szCs w:val="32"/>
          <w:highlight w:val="none"/>
        </w:rPr>
      </w:pPr>
      <w:r>
        <w:rPr>
          <w:rFonts w:hint="eastAsia" w:ascii="宋体" w:hAnsi="宋体" w:cs="宋体"/>
          <w:bCs/>
          <w:color w:val="auto"/>
          <w:sz w:val="32"/>
          <w:szCs w:val="32"/>
          <w:highlight w:val="none"/>
        </w:rPr>
        <w:t>法定代表人身份证明</w:t>
      </w:r>
    </w:p>
    <w:p w14:paraId="5490F9AF">
      <w:pPr>
        <w:spacing w:line="360" w:lineRule="auto"/>
        <w:ind w:left="540"/>
        <w:contextualSpacing/>
        <w:rPr>
          <w:rFonts w:hint="eastAsia" w:ascii="仿宋_GB2312" w:hAnsi="仿宋_GB2312" w:eastAsia="仿宋_GB2312" w:cs="仿宋_GB2312"/>
          <w:color w:val="auto"/>
          <w:sz w:val="32"/>
          <w:szCs w:val="32"/>
          <w:highlight w:val="none"/>
        </w:rPr>
      </w:pPr>
    </w:p>
    <w:p w14:paraId="0AD57C22">
      <w:pPr>
        <w:spacing w:line="360" w:lineRule="auto"/>
        <w:ind w:left="540"/>
        <w:contextualSpacing/>
        <w:rPr>
          <w:rFonts w:hint="eastAsia"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p>
    <w:p w14:paraId="0D41B4B0">
      <w:pPr>
        <w:spacing w:line="360" w:lineRule="auto"/>
        <w:ind w:left="540"/>
        <w:contextualSpacing/>
        <w:rPr>
          <w:rFonts w:hint="eastAsia"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02685BF8">
      <w:pPr>
        <w:spacing w:line="360" w:lineRule="auto"/>
        <w:ind w:left="540"/>
        <w:contextualSpacing/>
        <w:rPr>
          <w:rFonts w:hint="eastAsia"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45212ADB">
      <w:pPr>
        <w:spacing w:line="360" w:lineRule="auto"/>
        <w:ind w:left="540"/>
        <w:contextualSpacing/>
        <w:rPr>
          <w:rFonts w:hint="eastAsia"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48464DFB">
      <w:pPr>
        <w:spacing w:line="360" w:lineRule="auto"/>
        <w:ind w:left="540"/>
        <w:contextualSpacing/>
        <w:rPr>
          <w:rFonts w:hint="eastAsia"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7D77C0FF">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的法定代表人。</w:t>
      </w:r>
    </w:p>
    <w:p w14:paraId="2DBEFC04">
      <w:pPr>
        <w:spacing w:line="360" w:lineRule="auto"/>
        <w:ind w:left="540"/>
        <w:contextualSpacing/>
        <w:rPr>
          <w:rFonts w:hint="eastAsia" w:ascii="宋体" w:hAnsi="宋体" w:cs="宋体"/>
          <w:color w:val="auto"/>
          <w:sz w:val="24"/>
          <w:highlight w:val="none"/>
        </w:rPr>
      </w:pPr>
      <w:r>
        <w:rPr>
          <w:rFonts w:hint="eastAsia" w:ascii="宋体" w:hAnsi="宋体" w:cs="宋体"/>
          <w:color w:val="auto"/>
          <w:sz w:val="24"/>
          <w:highlight w:val="none"/>
        </w:rPr>
        <w:t>特此证明。</w:t>
      </w:r>
    </w:p>
    <w:p w14:paraId="59F5006B">
      <w:pPr>
        <w:spacing w:line="360" w:lineRule="auto"/>
        <w:ind w:left="540"/>
        <w:contextualSpacing/>
        <w:rPr>
          <w:rFonts w:hint="eastAsia" w:ascii="宋体" w:hAnsi="宋体" w:cs="宋体"/>
          <w:color w:val="auto"/>
          <w:sz w:val="24"/>
          <w:highlight w:val="none"/>
        </w:rPr>
      </w:pPr>
    </w:p>
    <w:p w14:paraId="2DFE24FF">
      <w:pPr>
        <w:spacing w:line="360" w:lineRule="auto"/>
        <w:ind w:left="540"/>
        <w:contextualSpacing/>
        <w:rPr>
          <w:rFonts w:hint="eastAsia" w:ascii="宋体" w:hAnsi="宋体" w:cs="宋体"/>
          <w:color w:val="auto"/>
          <w:sz w:val="24"/>
          <w:highlight w:val="none"/>
        </w:rPr>
      </w:pPr>
    </w:p>
    <w:p w14:paraId="6741BF1B">
      <w:pPr>
        <w:spacing w:line="360" w:lineRule="auto"/>
        <w:ind w:left="540"/>
        <w:contextualSpacing/>
        <w:rPr>
          <w:rFonts w:hint="eastAsia" w:ascii="宋体" w:hAnsi="宋体" w:cs="宋体"/>
          <w:color w:val="auto"/>
          <w:sz w:val="24"/>
          <w:highlight w:val="none"/>
        </w:rPr>
      </w:pPr>
    </w:p>
    <w:p w14:paraId="382DC608">
      <w:pPr>
        <w:spacing w:line="360" w:lineRule="auto"/>
        <w:ind w:left="540"/>
        <w:contextualSpacing/>
        <w:rPr>
          <w:rFonts w:hint="eastAsia"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37D19511">
      <w:pPr>
        <w:spacing w:line="360" w:lineRule="auto"/>
        <w:ind w:left="540"/>
        <w:contextualSpacing/>
        <w:rPr>
          <w:rFonts w:hint="eastAsia" w:ascii="宋体" w:hAnsi="宋体" w:cs="宋体"/>
          <w:color w:val="auto"/>
          <w:sz w:val="24"/>
          <w:highlight w:val="none"/>
        </w:rPr>
      </w:pPr>
    </w:p>
    <w:p w14:paraId="05449981">
      <w:pPr>
        <w:autoSpaceDE w:val="0"/>
        <w:autoSpaceDN w:val="0"/>
        <w:spacing w:line="360" w:lineRule="auto"/>
        <w:ind w:left="4335" w:leftChars="1950" w:hanging="240" w:hangingChars="100"/>
        <w:rPr>
          <w:rFonts w:hint="eastAsia"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15DCCAD9">
      <w:pPr>
        <w:spacing w:line="360" w:lineRule="auto"/>
        <w:contextualSpacing/>
        <w:jc w:val="center"/>
        <w:rPr>
          <w:rFonts w:hint="eastAsia"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24D1B0ED">
      <w:pPr>
        <w:spacing w:line="360" w:lineRule="auto"/>
        <w:contextualSpacing/>
        <w:jc w:val="left"/>
        <w:rPr>
          <w:rFonts w:hint="eastAsia" w:ascii="宋体" w:hAnsi="宋体" w:cs="宋体"/>
          <w:color w:val="auto"/>
          <w:sz w:val="24"/>
          <w:highlight w:val="none"/>
        </w:rPr>
      </w:pPr>
    </w:p>
    <w:p w14:paraId="29B21CAB">
      <w:pPr>
        <w:spacing w:line="360" w:lineRule="auto"/>
        <w:contextualSpacing/>
        <w:jc w:val="left"/>
        <w:rPr>
          <w:rFonts w:hint="eastAsia" w:ascii="宋体" w:hAnsi="宋体" w:cs="宋体"/>
          <w:color w:val="auto"/>
          <w:sz w:val="24"/>
          <w:highlight w:val="none"/>
        </w:rPr>
      </w:pPr>
    </w:p>
    <w:p w14:paraId="6519ADBD">
      <w:pPr>
        <w:spacing w:line="360" w:lineRule="auto"/>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57519E86">
      <w:pPr>
        <w:spacing w:line="360" w:lineRule="auto"/>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1.自然人竞标的无需提供，联合体竞标的只需牵头人出具。</w:t>
      </w:r>
    </w:p>
    <w:p w14:paraId="52B18B3E">
      <w:pPr>
        <w:spacing w:line="360" w:lineRule="auto"/>
        <w:ind w:firstLine="420" w:firstLineChars="200"/>
        <w:contextualSpacing/>
        <w:jc w:val="left"/>
        <w:rPr>
          <w:rFonts w:hint="eastAsia" w:ascii="宋体" w:hAnsi="宋体" w:cs="宋体"/>
          <w:color w:val="auto"/>
          <w:szCs w:val="21"/>
          <w:highlight w:val="none"/>
        </w:rPr>
        <w:sectPr>
          <w:pgSz w:w="11911" w:h="16838"/>
          <w:pgMar w:top="1134" w:right="1134" w:bottom="1134" w:left="1134" w:header="720" w:footer="720" w:gutter="0"/>
          <w:cols w:space="720" w:num="1"/>
        </w:sectPr>
      </w:pPr>
      <w:r>
        <w:rPr>
          <w:rFonts w:hint="eastAsia" w:ascii="宋体" w:hAnsi="宋体" w:cs="宋体"/>
          <w:color w:val="auto"/>
          <w:szCs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5B9D0CB">
      <w:pPr>
        <w:spacing w:line="360" w:lineRule="auto"/>
        <w:ind w:firstLine="482" w:firstLineChars="200"/>
        <w:contextualSpacing/>
        <w:jc w:val="left"/>
        <w:rPr>
          <w:rFonts w:hint="eastAsia" w:ascii="仿宋_GB2312" w:hAnsi="仿宋_GB2312" w:eastAsia="仿宋_GB2312" w:cs="仿宋_GB2312"/>
          <w:b/>
          <w:color w:val="auto"/>
          <w:sz w:val="32"/>
          <w:szCs w:val="32"/>
          <w:highlight w:val="none"/>
        </w:rPr>
      </w:pPr>
      <w:r>
        <w:rPr>
          <w:rFonts w:hint="eastAsia" w:ascii="Calibri"/>
          <w:b/>
          <w:color w:val="auto"/>
          <w:sz w:val="24"/>
          <w:highlight w:val="none"/>
        </w:rPr>
        <w:t>附件：</w:t>
      </w:r>
    </w:p>
    <w:tbl>
      <w:tblPr>
        <w:tblStyle w:val="31"/>
        <w:tblW w:w="8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0C1C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2" w:hRule="atLeast"/>
          <w:jc w:val="center"/>
        </w:trPr>
        <w:tc>
          <w:tcPr>
            <w:tcW w:w="8461" w:type="dxa"/>
          </w:tcPr>
          <w:p w14:paraId="580DD585">
            <w:pPr>
              <w:keepNext w:val="0"/>
              <w:keepLines w:val="0"/>
              <w:suppressLineNumbers w:val="0"/>
              <w:spacing w:before="0" w:beforeAutospacing="0" w:after="0" w:afterAutospacing="0" w:line="360" w:lineRule="auto"/>
              <w:ind w:left="0" w:right="0"/>
              <w:rPr>
                <w:rFonts w:hint="default" w:hAnsi="Calibri"/>
                <w:b/>
                <w:color w:val="auto"/>
                <w:sz w:val="24"/>
                <w:highlight w:val="none"/>
              </w:rPr>
            </w:pPr>
          </w:p>
          <w:p w14:paraId="6D426A64">
            <w:pPr>
              <w:keepNext w:val="0"/>
              <w:keepLines w:val="0"/>
              <w:suppressLineNumbers w:val="0"/>
              <w:spacing w:before="0" w:beforeAutospacing="0" w:after="0" w:afterAutospacing="0" w:line="360" w:lineRule="auto"/>
              <w:ind w:left="0" w:right="0"/>
              <w:rPr>
                <w:rFonts w:hint="default" w:hAnsi="Calibri"/>
                <w:b/>
                <w:color w:val="auto"/>
                <w:sz w:val="24"/>
                <w:highlight w:val="none"/>
              </w:rPr>
            </w:pPr>
            <w:r>
              <w:rPr>
                <w:rFonts w:hint="eastAsia" w:hAnsi="Calibri"/>
                <w:b/>
                <w:color w:val="auto"/>
                <w:sz w:val="24"/>
                <w:highlight w:val="none"/>
              </w:rPr>
              <w:t>法定代表人身份证复印件粘贴处（正、反面）</w:t>
            </w:r>
          </w:p>
        </w:tc>
      </w:tr>
    </w:tbl>
    <w:p w14:paraId="0B28734C">
      <w:pPr>
        <w:adjustRightInd w:val="0"/>
        <w:snapToGrid w:val="0"/>
        <w:spacing w:line="300" w:lineRule="auto"/>
        <w:jc w:val="left"/>
        <w:rPr>
          <w:b/>
          <w:color w:val="auto"/>
          <w:szCs w:val="21"/>
          <w:highlight w:val="none"/>
        </w:rPr>
      </w:pPr>
    </w:p>
    <w:p w14:paraId="60C8B3CA">
      <w:pPr>
        <w:spacing w:line="520" w:lineRule="exact"/>
        <w:ind w:firstLine="880"/>
        <w:jc w:val="left"/>
        <w:rPr>
          <w:rFonts w:hint="eastAsia" w:ascii="宋体" w:hAnsi="宋体" w:cs="宋体"/>
          <w:color w:val="auto"/>
          <w:szCs w:val="21"/>
          <w:highlight w:val="none"/>
        </w:rPr>
      </w:pPr>
    </w:p>
    <w:p w14:paraId="45F21FFD">
      <w:pPr>
        <w:spacing w:line="520" w:lineRule="exact"/>
        <w:jc w:val="left"/>
        <w:rPr>
          <w:rFonts w:hint="eastAsia" w:ascii="仿宋" w:hAnsi="仿宋" w:eastAsia="仿宋" w:cs="仿宋"/>
          <w:bCs/>
          <w:color w:val="auto"/>
          <w:sz w:val="44"/>
          <w:szCs w:val="44"/>
          <w:highlight w:val="none"/>
        </w:rPr>
      </w:pPr>
      <w:r>
        <w:rPr>
          <w:rFonts w:hint="eastAsia" w:ascii="仿宋" w:hAnsi="仿宋" w:eastAsia="仿宋" w:cs="仿宋"/>
          <w:color w:val="auto"/>
          <w:sz w:val="44"/>
          <w:szCs w:val="44"/>
          <w:highlight w:val="none"/>
        </w:rPr>
        <w:br w:type="page"/>
      </w:r>
      <w:r>
        <w:rPr>
          <w:rFonts w:hint="eastAsia" w:ascii="宋体" w:hAnsi="宋体" w:cs="宋体"/>
          <w:b/>
          <w:bCs/>
          <w:color w:val="auto"/>
          <w:sz w:val="28"/>
          <w:szCs w:val="28"/>
          <w:highlight w:val="none"/>
        </w:rPr>
        <w:t>5.法定代表人授权委托书的格式：</w:t>
      </w:r>
    </w:p>
    <w:p w14:paraId="6F62EA05">
      <w:pPr>
        <w:spacing w:line="500" w:lineRule="exact"/>
        <w:jc w:val="center"/>
        <w:rPr>
          <w:rFonts w:hint="eastAsia" w:ascii="仿宋" w:hAnsi="仿宋" w:eastAsia="仿宋" w:cs="仿宋"/>
          <w:color w:val="auto"/>
          <w:sz w:val="44"/>
          <w:szCs w:val="44"/>
          <w:highlight w:val="none"/>
        </w:rPr>
      </w:pPr>
    </w:p>
    <w:p w14:paraId="0B792BD4">
      <w:pPr>
        <w:spacing w:line="520"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授权委托书（非联合体竞标格式）</w:t>
      </w:r>
    </w:p>
    <w:p w14:paraId="73AC633B">
      <w:pPr>
        <w:spacing w:line="520"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（如有委托时）</w:t>
      </w:r>
    </w:p>
    <w:p w14:paraId="6143D61B">
      <w:pPr>
        <w:spacing w:line="520" w:lineRule="exact"/>
        <w:rPr>
          <w:rFonts w:hint="eastAsia" w:ascii="仿宋_GB2312" w:hAnsi="仿宋_GB2312" w:eastAsia="仿宋_GB2312" w:cs="仿宋_GB2312"/>
          <w:color w:val="auto"/>
          <w:sz w:val="32"/>
          <w:szCs w:val="32"/>
          <w:highlight w:val="none"/>
        </w:rPr>
      </w:pPr>
    </w:p>
    <w:p w14:paraId="2EEB1562">
      <w:pPr>
        <w:spacing w:line="360" w:lineRule="auto"/>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75D2938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□法定代表人/□负责人/□自然人本人</w:t>
      </w:r>
      <w:r>
        <w:rPr>
          <w:rFonts w:hint="eastAsia" w:ascii="宋体" w:hAnsi="宋体" w:cs="宋体"/>
          <w:color w:val="auto"/>
          <w:sz w:val="24"/>
          <w:highlight w:val="none"/>
        </w:rPr>
        <w:t>），现授权</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以我方的名义参加</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项目的竞标活动，并代表我方全权办理针对上述项目的所有采购程序和环节的具体事务和签署相关文件。</w:t>
      </w:r>
    </w:p>
    <w:p w14:paraId="33989363">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我方对委托代理人的签字事项负全部责任。</w:t>
      </w:r>
    </w:p>
    <w:p w14:paraId="2771B9F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0BC09CA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委托代理人无转委托权，特此委托。</w:t>
      </w:r>
    </w:p>
    <w:p w14:paraId="347F496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附：委托代理人有效身份证正反面复印件</w:t>
      </w:r>
    </w:p>
    <w:p w14:paraId="12630037">
      <w:pPr>
        <w:spacing w:line="360" w:lineRule="auto"/>
        <w:rPr>
          <w:rFonts w:hint="eastAsia" w:ascii="宋体" w:hAnsi="宋体" w:cs="宋体"/>
          <w:color w:val="auto"/>
          <w:sz w:val="24"/>
          <w:highlight w:val="none"/>
        </w:rPr>
      </w:pPr>
    </w:p>
    <w:p w14:paraId="7722C5C0">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委托代理人（签字）：         法定代表人（签字）：                    </w:t>
      </w:r>
    </w:p>
    <w:p w14:paraId="0134B213">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委托代理人身份证号码：                              </w:t>
      </w:r>
    </w:p>
    <w:p w14:paraId="2CA195A5">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6AF8D1DD">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rPr>
        <w:t>供应商名称（盖公章）：</w:t>
      </w:r>
    </w:p>
    <w:p w14:paraId="52D4F772">
      <w:pPr>
        <w:spacing w:line="360" w:lineRule="auto"/>
        <w:contextualSpacing/>
        <w:jc w:val="center"/>
        <w:rPr>
          <w:rFonts w:hint="eastAsia"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17C6D387">
      <w:pPr>
        <w:spacing w:line="360" w:lineRule="auto"/>
        <w:rPr>
          <w:rFonts w:hint="eastAsia" w:ascii="宋体" w:hAnsi="宋体" w:cs="宋体"/>
          <w:color w:val="auto"/>
          <w:sz w:val="24"/>
          <w:highlight w:val="none"/>
        </w:rPr>
      </w:pPr>
    </w:p>
    <w:p w14:paraId="283D95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p>
    <w:p w14:paraId="2BCFF7A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法定代表人和委托代理人必须在授权委托书上签字，</w:t>
      </w:r>
      <w:r>
        <w:rPr>
          <w:rFonts w:hint="eastAsia" w:ascii="宋体" w:hAnsi="宋体" w:cs="宋体"/>
          <w:b/>
          <w:color w:val="auto"/>
          <w:szCs w:val="21"/>
          <w:highlight w:val="none"/>
        </w:rPr>
        <w:t>否则其响应文件按无效响应处理。</w:t>
      </w:r>
    </w:p>
    <w:p w14:paraId="4E7C8F98">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36221AF">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法人、其他组织竞标时“我方”是指“我单位”，自然人竞标时“我方”是指“本人”。</w:t>
      </w:r>
    </w:p>
    <w:p w14:paraId="580EC610">
      <w:pPr>
        <w:spacing w:line="500" w:lineRule="exact"/>
        <w:jc w:val="center"/>
        <w:rPr>
          <w:rFonts w:hint="eastAsia" w:ascii="宋体" w:hAnsi="宋体" w:cs="宋体"/>
          <w:b/>
          <w:bCs/>
          <w:color w:val="auto"/>
          <w:sz w:val="32"/>
          <w:szCs w:val="32"/>
          <w:highlight w:val="none"/>
        </w:rPr>
      </w:pPr>
      <w:r>
        <w:rPr>
          <w:rFonts w:ascii="仿宋_GB2312" w:hAnsi="仿宋_GB2312" w:eastAsia="仿宋_GB2312" w:cs="仿宋_GB2312"/>
          <w:color w:val="auto"/>
          <w:szCs w:val="21"/>
          <w:highlight w:val="none"/>
        </w:rPr>
        <w:br w:type="page"/>
      </w:r>
      <w:r>
        <w:rPr>
          <w:rFonts w:hint="eastAsia" w:ascii="宋体" w:hAnsi="宋体" w:cs="宋体"/>
          <w:b/>
          <w:bCs/>
          <w:color w:val="auto"/>
          <w:sz w:val="32"/>
          <w:szCs w:val="32"/>
          <w:highlight w:val="none"/>
        </w:rPr>
        <w:t>授权委托书（联合体竞标格式）</w:t>
      </w:r>
    </w:p>
    <w:p w14:paraId="3FEF92E4">
      <w:pPr>
        <w:spacing w:line="50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（如有委托时）</w:t>
      </w:r>
    </w:p>
    <w:p w14:paraId="43565B50">
      <w:pPr>
        <w:spacing w:line="500" w:lineRule="exact"/>
        <w:jc w:val="center"/>
        <w:rPr>
          <w:rFonts w:hint="eastAsia" w:ascii="仿宋" w:hAnsi="仿宋" w:eastAsia="仿宋" w:cs="仿宋"/>
          <w:color w:val="auto"/>
          <w:sz w:val="44"/>
          <w:szCs w:val="44"/>
          <w:highlight w:val="none"/>
        </w:rPr>
      </w:pPr>
    </w:p>
    <w:p w14:paraId="72A1C2C7">
      <w:pPr>
        <w:spacing w:line="500" w:lineRule="exact"/>
        <w:jc w:val="center"/>
        <w:rPr>
          <w:rFonts w:hint="eastAsia" w:ascii="仿宋_GB2312" w:hAnsi="仿宋_GB2312" w:eastAsia="仿宋_GB2312" w:cs="仿宋_GB2312"/>
          <w:color w:val="auto"/>
          <w:sz w:val="32"/>
          <w:szCs w:val="32"/>
          <w:highlight w:val="none"/>
        </w:rPr>
      </w:pPr>
    </w:p>
    <w:p w14:paraId="16C15EDA">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本授权委托书声明：根据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（牵头人名称）与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（联合体其他成员名称）签订的《联合体竞标协议书》的内容，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（牵头人名称）的法定代表人</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（姓名）</w:t>
      </w:r>
      <w:r>
        <w:rPr>
          <w:rFonts w:hint="eastAsia" w:ascii="宋体" w:hAnsi="宋体" w:cs="宋体"/>
          <w:color w:val="auto"/>
          <w:sz w:val="24"/>
          <w:highlight w:val="none"/>
        </w:rPr>
        <w:t>现授权</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 xml:space="preserve"> （姓名）</w:t>
      </w:r>
      <w:r>
        <w:rPr>
          <w:rFonts w:hint="eastAsia" w:ascii="宋体" w:hAnsi="宋体" w:cs="宋体"/>
          <w:color w:val="auto"/>
          <w:sz w:val="24"/>
          <w:highlight w:val="none"/>
        </w:rPr>
        <w:t>为联合委托代理人，并代表我方全权办理针对上述项目的所有采购程序和环节的具体事务和签署相关文件。</w:t>
      </w:r>
    </w:p>
    <w:p w14:paraId="27B9553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我方对委托代理人的签字事项负全部责任。</w:t>
      </w:r>
    </w:p>
    <w:p w14:paraId="19F30FC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6A8CC68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委托代理人无转委托权，特此委托。</w:t>
      </w:r>
    </w:p>
    <w:p w14:paraId="0B6D818C">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69A045E8">
      <w:pPr>
        <w:spacing w:line="360" w:lineRule="auto"/>
        <w:ind w:firstLine="1560" w:firstLineChars="650"/>
        <w:rPr>
          <w:rFonts w:hint="eastAsia" w:ascii="宋体" w:hAnsi="宋体" w:cs="宋体"/>
          <w:color w:val="auto"/>
          <w:sz w:val="24"/>
          <w:highlight w:val="none"/>
        </w:rPr>
      </w:pPr>
      <w:r>
        <w:rPr>
          <w:rFonts w:hint="eastAsia" w:ascii="宋体" w:hAnsi="宋体" w:cs="宋体"/>
          <w:color w:val="auto"/>
          <w:sz w:val="24"/>
          <w:highlight w:val="none"/>
        </w:rPr>
        <w:t>牵头人法定代表人（签字）：</w:t>
      </w:r>
    </w:p>
    <w:p w14:paraId="30DAD98A">
      <w:pPr>
        <w:spacing w:line="360" w:lineRule="auto"/>
        <w:ind w:firstLine="3120" w:firstLineChars="1300"/>
        <w:rPr>
          <w:rFonts w:hint="eastAsia" w:ascii="宋体" w:hAnsi="宋体" w:cs="宋体"/>
          <w:color w:val="auto"/>
          <w:sz w:val="24"/>
          <w:highlight w:val="none"/>
        </w:rPr>
      </w:pPr>
      <w:r>
        <w:rPr>
          <w:rFonts w:hint="eastAsia" w:ascii="宋体" w:hAnsi="宋体" w:cs="宋体"/>
          <w:color w:val="auto"/>
          <w:sz w:val="24"/>
          <w:highlight w:val="none"/>
        </w:rPr>
        <w:t>牵头人名称（盖公章）：</w:t>
      </w:r>
    </w:p>
    <w:p w14:paraId="70AF1804">
      <w:pPr>
        <w:spacing w:line="360" w:lineRule="auto"/>
        <w:ind w:firstLine="3840" w:firstLineChars="1600"/>
        <w:rPr>
          <w:rFonts w:hint="eastAsia" w:ascii="宋体" w:hAnsi="宋体" w:cs="宋体"/>
          <w:color w:val="auto"/>
          <w:sz w:val="24"/>
          <w:highlight w:val="none"/>
        </w:rPr>
      </w:pPr>
      <w:r>
        <w:rPr>
          <w:rFonts w:hint="eastAsia" w:ascii="宋体" w:hAnsi="宋体" w:cs="宋体"/>
          <w:color w:val="auto"/>
          <w:sz w:val="24"/>
          <w:highlight w:val="none"/>
        </w:rPr>
        <w:t>日期：    年   月   日</w:t>
      </w:r>
    </w:p>
    <w:p w14:paraId="48E73A3A">
      <w:pPr>
        <w:spacing w:line="360" w:lineRule="auto"/>
        <w:rPr>
          <w:rFonts w:hint="eastAsia" w:ascii="宋体" w:hAnsi="宋体" w:cs="宋体"/>
          <w:color w:val="auto"/>
          <w:sz w:val="24"/>
          <w:highlight w:val="none"/>
        </w:rPr>
      </w:pPr>
    </w:p>
    <w:p w14:paraId="471EC4FC">
      <w:pPr>
        <w:spacing w:line="360" w:lineRule="auto"/>
        <w:ind w:firstLine="3120" w:firstLineChars="1300"/>
        <w:rPr>
          <w:rFonts w:hint="eastAsia" w:ascii="宋体" w:hAnsi="宋体" w:cs="宋体"/>
          <w:color w:val="auto"/>
          <w:sz w:val="24"/>
          <w:highlight w:val="none"/>
        </w:rPr>
      </w:pPr>
      <w:r>
        <w:rPr>
          <w:rFonts w:hint="eastAsia" w:ascii="宋体" w:hAnsi="宋体" w:cs="宋体"/>
          <w:color w:val="auto"/>
          <w:sz w:val="24"/>
          <w:highlight w:val="none"/>
        </w:rPr>
        <w:t>委托代理人（签字）：</w:t>
      </w:r>
    </w:p>
    <w:p w14:paraId="69DE1A61">
      <w:pPr>
        <w:spacing w:line="360" w:lineRule="auto"/>
        <w:ind w:firstLine="3840" w:firstLineChars="1600"/>
        <w:rPr>
          <w:rFonts w:hint="eastAsia" w:ascii="宋体" w:hAnsi="宋体" w:cs="宋体"/>
          <w:color w:val="auto"/>
          <w:sz w:val="24"/>
          <w:highlight w:val="none"/>
        </w:rPr>
      </w:pPr>
      <w:r>
        <w:rPr>
          <w:rFonts w:hint="eastAsia" w:ascii="宋体" w:hAnsi="宋体" w:cs="宋体"/>
          <w:color w:val="auto"/>
          <w:sz w:val="24"/>
          <w:highlight w:val="none"/>
        </w:rPr>
        <w:t>日期：    年   月   日</w:t>
      </w:r>
    </w:p>
    <w:p w14:paraId="5D76E726">
      <w:pPr>
        <w:spacing w:line="360" w:lineRule="auto"/>
        <w:rPr>
          <w:rFonts w:hint="eastAsia" w:ascii="宋体" w:hAnsi="宋体" w:cs="宋体"/>
          <w:color w:val="auto"/>
          <w:sz w:val="24"/>
          <w:highlight w:val="none"/>
        </w:rPr>
      </w:pPr>
    </w:p>
    <w:p w14:paraId="036F9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p>
    <w:p w14:paraId="23644C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法定代表人和委托代理人必须在授权委托书上签字，</w:t>
      </w:r>
      <w:r>
        <w:rPr>
          <w:rFonts w:hint="eastAsia" w:ascii="宋体" w:hAnsi="宋体" w:cs="宋体"/>
          <w:b/>
          <w:color w:val="auto"/>
          <w:szCs w:val="21"/>
          <w:highlight w:val="none"/>
        </w:rPr>
        <w:t>否则其响应文件按无效响应处理。</w:t>
      </w:r>
    </w:p>
    <w:p w14:paraId="0222D48C">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2.本授权委托书应由联合体牵头人的法定代表人按上述规定签署。</w:t>
      </w:r>
    </w:p>
    <w:p w14:paraId="107E8A7E">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58C6388">
      <w:pPr>
        <w:spacing w:line="360" w:lineRule="auto"/>
        <w:ind w:firstLine="420" w:firstLineChars="200"/>
        <w:jc w:val="left"/>
        <w:rPr>
          <w:rFonts w:hint="eastAsia" w:ascii="宋体" w:hAnsi="宋体" w:cs="宋体"/>
          <w:color w:val="auto"/>
          <w:sz w:val="24"/>
          <w:highlight w:val="none"/>
        </w:rPr>
      </w:pPr>
      <w:r>
        <w:rPr>
          <w:rFonts w:hint="eastAsia" w:ascii="宋体" w:hAnsi="宋体" w:cs="宋体"/>
          <w:color w:val="auto"/>
          <w:szCs w:val="21"/>
          <w:highlight w:val="none"/>
        </w:rPr>
        <w:t>4.法人、其他组织竞标时“我方”是指“我单位”，自然人竞标时“我方”是指“本人”。</w:t>
      </w:r>
    </w:p>
    <w:p w14:paraId="7577B990">
      <w:pPr>
        <w:spacing w:line="360" w:lineRule="auto"/>
        <w:ind w:firstLine="420" w:firstLineChars="200"/>
        <w:jc w:val="left"/>
        <w:rPr>
          <w:rFonts w:hint="eastAsia" w:ascii="仿宋_GB2312" w:hAnsi="仿宋_GB2312" w:eastAsia="仿宋_GB2312" w:cs="仿宋_GB2312"/>
          <w:color w:val="auto"/>
          <w:szCs w:val="21"/>
          <w:highlight w:val="none"/>
        </w:rPr>
      </w:pPr>
    </w:p>
    <w:p w14:paraId="077C6704">
      <w:pPr>
        <w:spacing w:line="520" w:lineRule="exact"/>
        <w:jc w:val="left"/>
        <w:rPr>
          <w:rFonts w:hint="eastAsia" w:ascii="仿宋" w:hAnsi="仿宋" w:eastAsia="仿宋" w:cs="仿宋_GB2312"/>
          <w:b/>
          <w:color w:val="auto"/>
          <w:sz w:val="30"/>
          <w:szCs w:val="30"/>
          <w:highlight w:val="none"/>
        </w:rPr>
      </w:pPr>
      <w:r>
        <w:rPr>
          <w:rFonts w:hint="eastAsia" w:ascii="仿宋_GB2312" w:hAnsi="仿宋_GB2312" w:eastAsia="仿宋_GB2312" w:cs="仿宋_GB2312"/>
          <w:color w:val="auto"/>
          <w:sz w:val="32"/>
          <w:szCs w:val="32"/>
          <w:highlight w:val="none"/>
        </w:rPr>
        <w:br w:type="page"/>
      </w:r>
      <w:r>
        <w:rPr>
          <w:rFonts w:hint="eastAsia" w:ascii="宋体" w:hAnsi="宋体" w:cs="宋体"/>
          <w:b/>
          <w:color w:val="auto"/>
          <w:sz w:val="28"/>
          <w:szCs w:val="28"/>
          <w:highlight w:val="none"/>
        </w:rPr>
        <w:t>6.商务条款偏离表的格式：</w:t>
      </w:r>
    </w:p>
    <w:p w14:paraId="29BBD8E1">
      <w:pPr>
        <w:pStyle w:val="22"/>
        <w:rPr>
          <w:color w:val="auto"/>
          <w:highlight w:val="none"/>
        </w:rPr>
      </w:pPr>
    </w:p>
    <w:p w14:paraId="642B057C">
      <w:pPr>
        <w:spacing w:line="500" w:lineRule="exact"/>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rPr>
        <w:t>商务条款偏离表</w:t>
      </w:r>
    </w:p>
    <w:p w14:paraId="254862D2">
      <w:pPr>
        <w:spacing w:line="520" w:lineRule="exact"/>
        <w:rPr>
          <w:rFonts w:hint="eastAsia" w:ascii="宋体" w:hAnsi="宋体" w:cs="宋体"/>
          <w:color w:val="auto"/>
          <w:sz w:val="32"/>
          <w:szCs w:val="32"/>
          <w:highlight w:val="none"/>
        </w:rPr>
      </w:pPr>
    </w:p>
    <w:p w14:paraId="326E8C82">
      <w:pPr>
        <w:spacing w:line="360" w:lineRule="auto"/>
        <w:contextualSpacing/>
        <w:rPr>
          <w:rFonts w:hint="eastAsia"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45191A54">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p>
    <w:p w14:paraId="50507842">
      <w:pPr>
        <w:spacing w:line="360" w:lineRule="auto"/>
        <w:contextualSpacing/>
        <w:rPr>
          <w:rFonts w:hint="eastAsia" w:ascii="宋体" w:hAnsi="宋体" w:cs="宋体"/>
          <w:color w:val="auto"/>
          <w:sz w:val="24"/>
          <w:highlight w:val="none"/>
          <w:u w:val="single"/>
        </w:rPr>
      </w:pPr>
      <w:r>
        <w:rPr>
          <w:rFonts w:hint="eastAsia" w:ascii="宋体" w:hAnsi="宋体" w:cs="宋体"/>
          <w:color w:val="auto"/>
          <w:sz w:val="24"/>
          <w:highlight w:val="none"/>
        </w:rPr>
        <w:t>所竞分标（如有则填写，无分标时填写“无”或者留空）：</w:t>
      </w:r>
      <w:r>
        <w:rPr>
          <w:rFonts w:hint="eastAsia" w:ascii="宋体" w:hAnsi="宋体" w:cs="宋体"/>
          <w:color w:val="auto"/>
          <w:sz w:val="24"/>
          <w:highlight w:val="none"/>
          <w:u w:val="single"/>
        </w:rPr>
        <w:t xml:space="preserve">                </w:t>
      </w:r>
    </w:p>
    <w:tbl>
      <w:tblPr>
        <w:tblStyle w:val="31"/>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14CC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91" w:type="dxa"/>
            <w:tcBorders>
              <w:top w:val="single" w:color="auto" w:sz="4" w:space="0"/>
              <w:left w:val="single" w:color="auto" w:sz="4" w:space="0"/>
              <w:bottom w:val="single" w:color="auto" w:sz="4" w:space="0"/>
              <w:right w:val="single" w:color="auto" w:sz="4" w:space="0"/>
            </w:tcBorders>
            <w:vAlign w:val="center"/>
          </w:tcPr>
          <w:p w14:paraId="66EE3E9B">
            <w:pPr>
              <w:keepNext w:val="0"/>
              <w:keepLines w:val="0"/>
              <w:suppressLineNumbers w:val="0"/>
              <w:spacing w:before="0" w:beforeAutospacing="0" w:after="0" w:afterAutospacing="0" w:line="34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565F0116">
            <w:pPr>
              <w:keepNext w:val="0"/>
              <w:keepLines w:val="0"/>
              <w:suppressLineNumbers w:val="0"/>
              <w:spacing w:before="0" w:beforeAutospacing="0" w:after="0" w:afterAutospacing="0" w:line="34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竞争性磋商文件的商务条款</w:t>
            </w:r>
          </w:p>
        </w:tc>
        <w:tc>
          <w:tcPr>
            <w:tcW w:w="3589" w:type="dxa"/>
            <w:tcBorders>
              <w:top w:val="single" w:color="auto" w:sz="4" w:space="0"/>
              <w:left w:val="single" w:color="auto" w:sz="4" w:space="0"/>
              <w:bottom w:val="single" w:color="auto" w:sz="4" w:space="0"/>
              <w:right w:val="single" w:color="auto" w:sz="4" w:space="0"/>
            </w:tcBorders>
            <w:vAlign w:val="center"/>
          </w:tcPr>
          <w:p w14:paraId="4AFF4E07">
            <w:pPr>
              <w:keepNext w:val="0"/>
              <w:keepLines w:val="0"/>
              <w:suppressLineNumbers w:val="0"/>
              <w:spacing w:before="0" w:beforeAutospacing="0" w:after="0" w:afterAutospacing="0" w:line="34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响应文件响应的商务条款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18889693">
            <w:pPr>
              <w:keepNext w:val="0"/>
              <w:keepLines w:val="0"/>
              <w:suppressLineNumbers w:val="0"/>
              <w:spacing w:before="0" w:beforeAutospacing="0" w:after="0" w:afterAutospacing="0" w:line="34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偏离说明</w:t>
            </w:r>
          </w:p>
        </w:tc>
      </w:tr>
      <w:tr w14:paraId="7FF8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35969ECC">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tcPr>
          <w:p w14:paraId="7411C2CF">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14:paraId="1C2F8AAF">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14:paraId="7747DBBD">
            <w:pPr>
              <w:keepNext w:val="0"/>
              <w:keepLines w:val="0"/>
              <w:suppressLineNumbers w:val="0"/>
              <w:spacing w:before="0" w:beforeAutospacing="0" w:after="0" w:afterAutospacing="0" w:line="300" w:lineRule="exact"/>
              <w:ind w:left="0" w:right="0"/>
              <w:rPr>
                <w:rFonts w:hint="eastAsia" w:ascii="宋体" w:hAnsi="宋体" w:cs="宋体"/>
                <w:color w:val="auto"/>
                <w:szCs w:val="21"/>
                <w:highlight w:val="none"/>
              </w:rPr>
            </w:pPr>
          </w:p>
        </w:tc>
      </w:tr>
      <w:tr w14:paraId="1A8D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134232EE">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tcPr>
          <w:p w14:paraId="777B1771">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14:paraId="26D52D78">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14:paraId="0CAAAC94">
            <w:pPr>
              <w:keepNext w:val="0"/>
              <w:keepLines w:val="0"/>
              <w:suppressLineNumbers w:val="0"/>
              <w:spacing w:before="0" w:beforeAutospacing="0" w:after="0" w:afterAutospacing="0" w:line="300" w:lineRule="exact"/>
              <w:ind w:left="0" w:right="0"/>
              <w:rPr>
                <w:rFonts w:hint="eastAsia" w:ascii="宋体" w:hAnsi="宋体" w:cs="宋体"/>
                <w:color w:val="auto"/>
                <w:szCs w:val="21"/>
                <w:highlight w:val="none"/>
              </w:rPr>
            </w:pPr>
          </w:p>
        </w:tc>
      </w:tr>
      <w:tr w14:paraId="36C1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669CC15F">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tcPr>
          <w:p w14:paraId="03BF3DF7">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14:paraId="3D51535F">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14:paraId="2ECD6B01">
            <w:pPr>
              <w:keepNext w:val="0"/>
              <w:keepLines w:val="0"/>
              <w:suppressLineNumbers w:val="0"/>
              <w:spacing w:before="0" w:beforeAutospacing="0" w:after="0" w:afterAutospacing="0" w:line="300" w:lineRule="exact"/>
              <w:ind w:left="0" w:right="0"/>
              <w:rPr>
                <w:rFonts w:hint="eastAsia" w:ascii="宋体" w:hAnsi="宋体" w:cs="宋体"/>
                <w:color w:val="auto"/>
                <w:szCs w:val="21"/>
                <w:highlight w:val="none"/>
              </w:rPr>
            </w:pPr>
          </w:p>
        </w:tc>
      </w:tr>
    </w:tbl>
    <w:p w14:paraId="5E3DA86B">
      <w:pPr>
        <w:pStyle w:val="16"/>
        <w:spacing w:line="400" w:lineRule="exact"/>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1D262B84">
      <w:pPr>
        <w:pStyle w:val="16"/>
        <w:spacing w:line="40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1.应对照磋商文件“第二章 采购需求”中的商务条款逐条作出明确响应，并作出偏离说明。</w:t>
      </w:r>
    </w:p>
    <w:p w14:paraId="0C71C8C1">
      <w:pPr>
        <w:pStyle w:val="16"/>
        <w:spacing w:line="40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2.供应商应根据自身的承诺，对照磋商文件要求，在“偏离说明”中注明“正偏离”或者“负偏离”或者“无偏离”。既不属于“正偏离”也不属于“负偏离”即为“无偏离”。 当响应文件的商务内容低于竞争性磋商文件要求时，供应商应当如实写明“负偏离”。</w:t>
      </w:r>
    </w:p>
    <w:p w14:paraId="3468B31F">
      <w:pPr>
        <w:spacing w:line="40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3.表格内容均需按要求填写，不得留空，</w:t>
      </w:r>
      <w:r>
        <w:rPr>
          <w:rFonts w:hint="eastAsia" w:ascii="宋体" w:hAnsi="宋体" w:cs="宋体"/>
          <w:b/>
          <w:bCs/>
          <w:color w:val="auto"/>
          <w:kern w:val="0"/>
          <w:sz w:val="24"/>
          <w:highlight w:val="none"/>
        </w:rPr>
        <w:t>否则按竞标无效处理。</w:t>
      </w:r>
    </w:p>
    <w:p w14:paraId="1AA6749C">
      <w:pPr>
        <w:spacing w:line="400" w:lineRule="exact"/>
        <w:ind w:firstLine="480" w:firstLineChars="200"/>
        <w:contextualSpacing/>
        <w:rPr>
          <w:rFonts w:hint="eastAsia" w:ascii="宋体" w:hAnsi="宋体" w:cs="宋体"/>
          <w:color w:val="auto"/>
          <w:kern w:val="0"/>
          <w:sz w:val="24"/>
          <w:highlight w:val="none"/>
        </w:rPr>
      </w:pPr>
    </w:p>
    <w:p w14:paraId="06B5F299">
      <w:pPr>
        <w:spacing w:line="360" w:lineRule="auto"/>
        <w:ind w:firstLine="3840" w:firstLineChars="1600"/>
        <w:rPr>
          <w:rFonts w:hint="eastAsia" w:ascii="宋体" w:hAnsi="宋体" w:cs="宋体"/>
          <w:color w:val="auto"/>
          <w:sz w:val="24"/>
          <w:highlight w:val="none"/>
        </w:rPr>
      </w:pPr>
      <w:r>
        <w:rPr>
          <w:rFonts w:hint="eastAsia" w:ascii="宋体" w:hAnsi="宋体" w:cs="宋体"/>
          <w:color w:val="auto"/>
          <w:kern w:val="0"/>
          <w:sz w:val="24"/>
          <w:highlight w:val="none"/>
        </w:rPr>
        <w:t>供应商名称（盖公章）：</w:t>
      </w:r>
    </w:p>
    <w:p w14:paraId="0A6C1B41">
      <w:pPr>
        <w:spacing w:line="360" w:lineRule="auto"/>
        <w:contextualSpacing/>
        <w:jc w:val="center"/>
        <w:rPr>
          <w:rFonts w:hint="eastAsia"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70683C10">
      <w:pPr>
        <w:snapToGrid w:val="0"/>
        <w:spacing w:line="360" w:lineRule="auto"/>
        <w:ind w:firstLine="602" w:firstLineChars="200"/>
        <w:rPr>
          <w:rFonts w:hint="eastAsia" w:ascii="仿宋" w:hAnsi="仿宋" w:eastAsia="仿宋" w:cs="仿宋_GB2312"/>
          <w:b/>
          <w:color w:val="auto"/>
          <w:sz w:val="30"/>
          <w:szCs w:val="30"/>
          <w:highlight w:val="none"/>
        </w:rPr>
      </w:pPr>
    </w:p>
    <w:p w14:paraId="0F995B46">
      <w:pPr>
        <w:snapToGrid w:val="0"/>
        <w:spacing w:line="360" w:lineRule="auto"/>
        <w:ind w:firstLine="602" w:firstLineChars="200"/>
        <w:rPr>
          <w:rFonts w:hint="eastAsia" w:ascii="仿宋" w:hAnsi="仿宋" w:eastAsia="仿宋" w:cs="仿宋_GB2312"/>
          <w:b/>
          <w:color w:val="auto"/>
          <w:sz w:val="30"/>
          <w:szCs w:val="30"/>
          <w:highlight w:val="none"/>
        </w:rPr>
      </w:pPr>
    </w:p>
    <w:p w14:paraId="0ADEFF26">
      <w:pPr>
        <w:pStyle w:val="22"/>
        <w:rPr>
          <w:color w:val="auto"/>
          <w:highlight w:val="none"/>
        </w:rPr>
      </w:pPr>
    </w:p>
    <w:p w14:paraId="37BD812D">
      <w:pPr>
        <w:snapToGrid w:val="0"/>
        <w:spacing w:line="360" w:lineRule="auto"/>
        <w:ind w:firstLine="602" w:firstLineChars="200"/>
        <w:rPr>
          <w:rFonts w:hint="eastAsia" w:ascii="仿宋" w:hAnsi="仿宋" w:eastAsia="仿宋" w:cs="仿宋_GB2312"/>
          <w:b/>
          <w:color w:val="auto"/>
          <w:sz w:val="30"/>
          <w:szCs w:val="30"/>
          <w:highlight w:val="none"/>
        </w:rPr>
      </w:pPr>
    </w:p>
    <w:p w14:paraId="6D80453C">
      <w:pPr>
        <w:pStyle w:val="25"/>
        <w:snapToGrid w:val="0"/>
        <w:ind w:left="562" w:hanging="562"/>
        <w:rPr>
          <w:rFonts w:hint="eastAsia" w:ascii="宋体" w:hAnsi="宋体" w:cs="宋体"/>
          <w:i/>
          <w:iCs/>
          <w:color w:val="auto"/>
          <w:sz w:val="24"/>
          <w:highlight w:val="none"/>
        </w:rPr>
      </w:pPr>
      <w:r>
        <w:rPr>
          <w:rFonts w:hint="eastAsia" w:ascii="宋体" w:hAnsi="宋体" w:cs="宋体"/>
          <w:b/>
          <w:color w:val="auto"/>
          <w:sz w:val="28"/>
          <w:szCs w:val="28"/>
          <w:highlight w:val="none"/>
        </w:rPr>
        <w:t>7.供应商类似的业绩证明文件</w:t>
      </w:r>
      <w:r>
        <w:rPr>
          <w:rFonts w:hint="eastAsia" w:ascii="宋体" w:hAnsi="宋体" w:cs="宋体"/>
          <w:b/>
          <w:bCs/>
          <w:color w:val="auto"/>
          <w:sz w:val="30"/>
          <w:szCs w:val="30"/>
          <w:highlight w:val="none"/>
        </w:rPr>
        <w:t>（如有要求）：</w:t>
      </w:r>
    </w:p>
    <w:p w14:paraId="478A4FFF">
      <w:pPr>
        <w:spacing w:line="360" w:lineRule="auto"/>
        <w:ind w:firstLine="2880" w:firstLineChars="900"/>
        <w:contextualSpacing/>
        <w:rPr>
          <w:rFonts w:hint="eastAsia" w:ascii="宋体" w:hAnsi="宋体" w:cs="宋体"/>
          <w:color w:val="auto"/>
          <w:sz w:val="32"/>
          <w:szCs w:val="32"/>
          <w:highlight w:val="none"/>
        </w:rPr>
      </w:pPr>
    </w:p>
    <w:p w14:paraId="3635D319">
      <w:pPr>
        <w:spacing w:line="500" w:lineRule="exact"/>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rPr>
        <w:t>类似项目的业绩一览表</w:t>
      </w:r>
    </w:p>
    <w:p w14:paraId="3A02111E">
      <w:pPr>
        <w:spacing w:line="360" w:lineRule="auto"/>
        <w:contextualSpacing/>
        <w:rPr>
          <w:rFonts w:hint="eastAsia" w:ascii="宋体" w:hAnsi="宋体" w:eastAsia="宋体" w:cs="宋体"/>
          <w:color w:val="auto"/>
          <w:sz w:val="24"/>
          <w:szCs w:val="24"/>
          <w:highlight w:val="none"/>
        </w:rPr>
      </w:pPr>
    </w:p>
    <w:p w14:paraId="129D6943">
      <w:pPr>
        <w:spacing w:line="360" w:lineRule="auto"/>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42C51ABB">
      <w:pPr>
        <w:spacing w:line="360" w:lineRule="auto"/>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14:paraId="056E663D">
      <w:pPr>
        <w:spacing w:line="360" w:lineRule="auto"/>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所竞分标（如有则填写，无分标时填写“无”或者留空）：</w:t>
      </w:r>
      <w:r>
        <w:rPr>
          <w:rFonts w:hint="eastAsia" w:ascii="宋体" w:hAnsi="宋体" w:eastAsia="宋体" w:cs="宋体"/>
          <w:color w:val="auto"/>
          <w:sz w:val="24"/>
          <w:szCs w:val="24"/>
          <w:highlight w:val="none"/>
          <w:u w:val="single"/>
        </w:rPr>
        <w:t xml:space="preserve">                </w:t>
      </w:r>
    </w:p>
    <w:tbl>
      <w:tblPr>
        <w:tblStyle w:val="31"/>
        <w:tblW w:w="96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69"/>
        <w:gridCol w:w="1827"/>
        <w:gridCol w:w="1134"/>
        <w:gridCol w:w="1134"/>
        <w:gridCol w:w="1701"/>
        <w:gridCol w:w="1276"/>
        <w:gridCol w:w="1387"/>
      </w:tblGrid>
      <w:tr w14:paraId="67F07A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jc w:val="center"/>
        </w:trPr>
        <w:tc>
          <w:tcPr>
            <w:tcW w:w="1169" w:type="dxa"/>
            <w:vMerge w:val="restart"/>
            <w:tcBorders>
              <w:top w:val="single" w:color="auto" w:sz="4" w:space="0"/>
              <w:left w:val="single" w:color="auto" w:sz="4" w:space="0"/>
              <w:bottom w:val="single" w:color="auto" w:sz="4" w:space="0"/>
              <w:right w:val="single" w:color="auto" w:sz="4" w:space="0"/>
            </w:tcBorders>
            <w:vAlign w:val="center"/>
          </w:tcPr>
          <w:p w14:paraId="0ED11F34">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p>
        </w:tc>
        <w:tc>
          <w:tcPr>
            <w:tcW w:w="1827" w:type="dxa"/>
            <w:vMerge w:val="restart"/>
            <w:tcBorders>
              <w:top w:val="single" w:color="auto" w:sz="4" w:space="0"/>
              <w:left w:val="single" w:color="auto" w:sz="4" w:space="0"/>
              <w:bottom w:val="single" w:color="auto" w:sz="4" w:space="0"/>
              <w:right w:val="single" w:color="auto" w:sz="4" w:space="0"/>
            </w:tcBorders>
            <w:vAlign w:val="center"/>
          </w:tcPr>
          <w:p w14:paraId="3958FC50">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07B1CA8F">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w:t>
            </w:r>
          </w:p>
          <w:p w14:paraId="2E2326C3">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金额</w:t>
            </w:r>
          </w:p>
          <w:p w14:paraId="2FD38F41">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4111" w:type="dxa"/>
            <w:gridSpan w:val="3"/>
            <w:tcBorders>
              <w:top w:val="single" w:color="auto" w:sz="4" w:space="0"/>
              <w:left w:val="single" w:color="auto" w:sz="4" w:space="0"/>
              <w:bottom w:val="single" w:color="auto" w:sz="4" w:space="0"/>
              <w:right w:val="single" w:color="auto" w:sz="4" w:space="0"/>
            </w:tcBorders>
            <w:vAlign w:val="center"/>
          </w:tcPr>
          <w:p w14:paraId="4B7B146A">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附件在响应文件中页码</w:t>
            </w:r>
          </w:p>
        </w:tc>
        <w:tc>
          <w:tcPr>
            <w:tcW w:w="1387" w:type="dxa"/>
            <w:vMerge w:val="restart"/>
            <w:tcBorders>
              <w:top w:val="single" w:color="auto" w:sz="4" w:space="0"/>
              <w:left w:val="single" w:color="auto" w:sz="4" w:space="0"/>
              <w:bottom w:val="single" w:color="auto" w:sz="4" w:space="0"/>
              <w:right w:val="single" w:color="auto" w:sz="4" w:space="0"/>
            </w:tcBorders>
            <w:vAlign w:val="center"/>
          </w:tcPr>
          <w:p w14:paraId="4EDADCA2">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采购人联系人及联系电话</w:t>
            </w:r>
          </w:p>
        </w:tc>
      </w:tr>
      <w:tr w14:paraId="166E4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169" w:type="dxa"/>
            <w:vMerge w:val="continue"/>
            <w:tcBorders>
              <w:top w:val="single" w:color="auto" w:sz="4" w:space="0"/>
              <w:left w:val="single" w:color="auto" w:sz="4" w:space="0"/>
              <w:bottom w:val="single" w:color="auto" w:sz="4" w:space="0"/>
              <w:right w:val="single" w:color="auto" w:sz="4" w:space="0"/>
            </w:tcBorders>
            <w:vAlign w:val="center"/>
          </w:tcPr>
          <w:p w14:paraId="63FD0831">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p>
        </w:tc>
        <w:tc>
          <w:tcPr>
            <w:tcW w:w="1827" w:type="dxa"/>
            <w:vMerge w:val="continue"/>
            <w:tcBorders>
              <w:top w:val="single" w:color="auto" w:sz="4" w:space="0"/>
              <w:left w:val="single" w:color="auto" w:sz="4" w:space="0"/>
              <w:bottom w:val="single" w:color="auto" w:sz="4" w:space="0"/>
              <w:right w:val="single" w:color="auto" w:sz="4" w:space="0"/>
            </w:tcBorders>
            <w:vAlign w:val="center"/>
          </w:tcPr>
          <w:p w14:paraId="132FADE5">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6B7128A">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04EE107">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合同或中标（成交）通知书</w:t>
            </w:r>
          </w:p>
        </w:tc>
        <w:tc>
          <w:tcPr>
            <w:tcW w:w="1701" w:type="dxa"/>
            <w:tcBorders>
              <w:top w:val="single" w:color="auto" w:sz="4" w:space="0"/>
              <w:left w:val="single" w:color="auto" w:sz="4" w:space="0"/>
              <w:bottom w:val="single" w:color="auto" w:sz="4" w:space="0"/>
              <w:right w:val="single" w:color="auto" w:sz="4" w:space="0"/>
            </w:tcBorders>
            <w:vAlign w:val="center"/>
          </w:tcPr>
          <w:p w14:paraId="2D8108DE">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验收报告</w:t>
            </w:r>
          </w:p>
        </w:tc>
        <w:tc>
          <w:tcPr>
            <w:tcW w:w="1276" w:type="dxa"/>
            <w:tcBorders>
              <w:top w:val="single" w:color="auto" w:sz="4" w:space="0"/>
              <w:left w:val="single" w:color="auto" w:sz="4" w:space="0"/>
              <w:bottom w:val="single" w:color="auto" w:sz="4" w:space="0"/>
              <w:right w:val="single" w:color="auto" w:sz="4" w:space="0"/>
            </w:tcBorders>
            <w:vAlign w:val="center"/>
          </w:tcPr>
          <w:p w14:paraId="363F871D">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用户评价</w:t>
            </w:r>
          </w:p>
        </w:tc>
        <w:tc>
          <w:tcPr>
            <w:tcW w:w="1387" w:type="dxa"/>
            <w:vMerge w:val="continue"/>
            <w:tcBorders>
              <w:top w:val="single" w:color="auto" w:sz="4" w:space="0"/>
              <w:left w:val="single" w:color="auto" w:sz="4" w:space="0"/>
              <w:bottom w:val="single" w:color="auto" w:sz="4" w:space="0"/>
              <w:right w:val="single" w:color="auto" w:sz="4" w:space="0"/>
            </w:tcBorders>
            <w:vAlign w:val="center"/>
          </w:tcPr>
          <w:p w14:paraId="69B392FC">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p>
        </w:tc>
      </w:tr>
      <w:tr w14:paraId="7CA7B5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169" w:type="dxa"/>
            <w:tcBorders>
              <w:top w:val="single" w:color="auto" w:sz="4" w:space="0"/>
              <w:left w:val="single" w:color="auto" w:sz="4" w:space="0"/>
              <w:bottom w:val="single" w:color="auto" w:sz="4" w:space="0"/>
              <w:right w:val="single" w:color="auto" w:sz="4" w:space="0"/>
            </w:tcBorders>
          </w:tcPr>
          <w:p w14:paraId="56052305">
            <w:pPr>
              <w:keepNext w:val="0"/>
              <w:keepLines w:val="0"/>
              <w:suppressLineNumbers w:val="0"/>
              <w:snapToGrid w:val="0"/>
              <w:spacing w:before="0" w:beforeAutospacing="0" w:after="0" w:afterAutospacing="0" w:line="240" w:lineRule="exact"/>
              <w:ind w:left="0" w:right="0"/>
              <w:jc w:val="left"/>
              <w:rPr>
                <w:rFonts w:hint="eastAsia" w:ascii="宋体" w:hAnsi="宋体" w:eastAsia="宋体" w:cs="宋体"/>
                <w:color w:val="auto"/>
                <w:sz w:val="24"/>
                <w:szCs w:val="24"/>
                <w:highlight w:val="none"/>
              </w:rPr>
            </w:pPr>
          </w:p>
        </w:tc>
        <w:tc>
          <w:tcPr>
            <w:tcW w:w="1827" w:type="dxa"/>
            <w:tcBorders>
              <w:top w:val="single" w:color="auto" w:sz="4" w:space="0"/>
              <w:left w:val="single" w:color="auto" w:sz="4" w:space="0"/>
              <w:bottom w:val="single" w:color="auto" w:sz="4" w:space="0"/>
              <w:right w:val="single" w:color="auto" w:sz="4" w:space="0"/>
            </w:tcBorders>
          </w:tcPr>
          <w:p w14:paraId="048C4F61">
            <w:pPr>
              <w:keepNext w:val="0"/>
              <w:keepLines w:val="0"/>
              <w:suppressLineNumbers w:val="0"/>
              <w:snapToGrid w:val="0"/>
              <w:spacing w:before="0" w:beforeAutospacing="0" w:after="0" w:afterAutospacing="0" w:line="240" w:lineRule="exact"/>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9B6FD09">
            <w:pPr>
              <w:keepNext w:val="0"/>
              <w:keepLines w:val="0"/>
              <w:suppressLineNumbers w:val="0"/>
              <w:snapToGrid w:val="0"/>
              <w:spacing w:before="0" w:beforeAutospacing="0" w:after="0" w:afterAutospacing="0" w:line="240" w:lineRule="exact"/>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1EF95702">
            <w:pPr>
              <w:keepNext w:val="0"/>
              <w:keepLines w:val="0"/>
              <w:suppressLineNumbers w:val="0"/>
              <w:snapToGrid w:val="0"/>
              <w:spacing w:before="0" w:beforeAutospacing="0" w:after="0" w:afterAutospacing="0" w:line="240" w:lineRule="exact"/>
              <w:ind w:left="0" w:right="0"/>
              <w:jc w:val="left"/>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4E168E1A">
            <w:pPr>
              <w:keepNext w:val="0"/>
              <w:keepLines w:val="0"/>
              <w:suppressLineNumbers w:val="0"/>
              <w:snapToGrid w:val="0"/>
              <w:spacing w:before="0" w:beforeAutospacing="0" w:after="0" w:afterAutospacing="0" w:line="240" w:lineRule="exact"/>
              <w:ind w:left="0" w:right="0"/>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1DEDC34C">
            <w:pPr>
              <w:keepNext w:val="0"/>
              <w:keepLines w:val="0"/>
              <w:suppressLineNumbers w:val="0"/>
              <w:snapToGrid w:val="0"/>
              <w:spacing w:before="0" w:beforeAutospacing="0" w:after="0" w:afterAutospacing="0" w:line="240" w:lineRule="exact"/>
              <w:ind w:left="0" w:right="0"/>
              <w:jc w:val="left"/>
              <w:rPr>
                <w:rFonts w:hint="eastAsia" w:ascii="宋体" w:hAnsi="宋体" w:eastAsia="宋体" w:cs="宋体"/>
                <w:color w:val="auto"/>
                <w:sz w:val="24"/>
                <w:szCs w:val="24"/>
                <w:highlight w:val="none"/>
              </w:rPr>
            </w:pPr>
          </w:p>
        </w:tc>
        <w:tc>
          <w:tcPr>
            <w:tcW w:w="1387" w:type="dxa"/>
            <w:tcBorders>
              <w:top w:val="single" w:color="auto" w:sz="4" w:space="0"/>
              <w:left w:val="single" w:color="auto" w:sz="4" w:space="0"/>
              <w:bottom w:val="single" w:color="auto" w:sz="4" w:space="0"/>
              <w:right w:val="single" w:color="auto" w:sz="4" w:space="0"/>
            </w:tcBorders>
          </w:tcPr>
          <w:p w14:paraId="44AA8DEE">
            <w:pPr>
              <w:keepNext w:val="0"/>
              <w:keepLines w:val="0"/>
              <w:suppressLineNumbers w:val="0"/>
              <w:snapToGrid w:val="0"/>
              <w:spacing w:before="0" w:beforeAutospacing="0" w:after="0" w:afterAutospacing="0" w:line="240" w:lineRule="exact"/>
              <w:ind w:left="0" w:right="0"/>
              <w:jc w:val="left"/>
              <w:rPr>
                <w:rFonts w:hint="eastAsia" w:ascii="宋体" w:hAnsi="宋体" w:eastAsia="宋体" w:cs="宋体"/>
                <w:color w:val="auto"/>
                <w:sz w:val="24"/>
                <w:szCs w:val="24"/>
                <w:highlight w:val="none"/>
              </w:rPr>
            </w:pPr>
          </w:p>
        </w:tc>
      </w:tr>
      <w:tr w14:paraId="4B7D91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tcPr>
          <w:p w14:paraId="6DECBD0A">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827" w:type="dxa"/>
            <w:tcBorders>
              <w:top w:val="single" w:color="auto" w:sz="4" w:space="0"/>
              <w:left w:val="single" w:color="auto" w:sz="4" w:space="0"/>
              <w:bottom w:val="single" w:color="auto" w:sz="4" w:space="0"/>
              <w:right w:val="single" w:color="auto" w:sz="4" w:space="0"/>
            </w:tcBorders>
          </w:tcPr>
          <w:p w14:paraId="2765A6EE">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3CA5C065">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A933B82">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650DAD8F">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0085BB07">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387" w:type="dxa"/>
            <w:tcBorders>
              <w:top w:val="single" w:color="auto" w:sz="4" w:space="0"/>
              <w:left w:val="single" w:color="auto" w:sz="4" w:space="0"/>
              <w:bottom w:val="single" w:color="auto" w:sz="4" w:space="0"/>
              <w:right w:val="single" w:color="auto" w:sz="4" w:space="0"/>
            </w:tcBorders>
          </w:tcPr>
          <w:p w14:paraId="4FDE216E">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r>
      <w:tr w14:paraId="3F4D46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169" w:type="dxa"/>
            <w:tcBorders>
              <w:top w:val="single" w:color="auto" w:sz="4" w:space="0"/>
              <w:left w:val="single" w:color="auto" w:sz="4" w:space="0"/>
              <w:bottom w:val="single" w:color="auto" w:sz="4" w:space="0"/>
              <w:right w:val="single" w:color="auto" w:sz="4" w:space="0"/>
            </w:tcBorders>
          </w:tcPr>
          <w:p w14:paraId="6BBC6B8B">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827" w:type="dxa"/>
            <w:tcBorders>
              <w:top w:val="single" w:color="auto" w:sz="4" w:space="0"/>
              <w:left w:val="single" w:color="auto" w:sz="4" w:space="0"/>
              <w:bottom w:val="single" w:color="auto" w:sz="4" w:space="0"/>
              <w:right w:val="single" w:color="auto" w:sz="4" w:space="0"/>
            </w:tcBorders>
          </w:tcPr>
          <w:p w14:paraId="62F695BB">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3453B892">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31338D4">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7CDDE59C">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1FC1A34D">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387" w:type="dxa"/>
            <w:tcBorders>
              <w:top w:val="single" w:color="auto" w:sz="4" w:space="0"/>
              <w:left w:val="single" w:color="auto" w:sz="4" w:space="0"/>
              <w:bottom w:val="single" w:color="auto" w:sz="4" w:space="0"/>
              <w:right w:val="single" w:color="auto" w:sz="4" w:space="0"/>
            </w:tcBorders>
          </w:tcPr>
          <w:p w14:paraId="5EA72E82">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r>
      <w:tr w14:paraId="77DE1C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tcPr>
          <w:p w14:paraId="38E7DBA6">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827" w:type="dxa"/>
            <w:tcBorders>
              <w:top w:val="single" w:color="auto" w:sz="4" w:space="0"/>
              <w:left w:val="single" w:color="auto" w:sz="4" w:space="0"/>
              <w:bottom w:val="single" w:color="auto" w:sz="4" w:space="0"/>
              <w:right w:val="single" w:color="auto" w:sz="4" w:space="0"/>
            </w:tcBorders>
          </w:tcPr>
          <w:p w14:paraId="23A1A1D4">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2838693B">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642A9D5E">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305E0D34">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1768C1BC">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387" w:type="dxa"/>
            <w:tcBorders>
              <w:top w:val="single" w:color="auto" w:sz="4" w:space="0"/>
              <w:left w:val="single" w:color="auto" w:sz="4" w:space="0"/>
              <w:bottom w:val="single" w:color="auto" w:sz="4" w:space="0"/>
              <w:right w:val="single" w:color="auto" w:sz="4" w:space="0"/>
            </w:tcBorders>
          </w:tcPr>
          <w:p w14:paraId="3D213B19">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r>
      <w:tr w14:paraId="714215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tcPr>
          <w:p w14:paraId="28A7D345">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827" w:type="dxa"/>
            <w:tcBorders>
              <w:top w:val="single" w:color="auto" w:sz="4" w:space="0"/>
              <w:left w:val="single" w:color="auto" w:sz="4" w:space="0"/>
              <w:bottom w:val="single" w:color="auto" w:sz="4" w:space="0"/>
              <w:right w:val="single" w:color="auto" w:sz="4" w:space="0"/>
            </w:tcBorders>
          </w:tcPr>
          <w:p w14:paraId="25BC0C4B">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570884E6">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428413D8">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2C66BB50">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145C3C6E">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c>
          <w:tcPr>
            <w:tcW w:w="1387" w:type="dxa"/>
            <w:tcBorders>
              <w:top w:val="single" w:color="auto" w:sz="4" w:space="0"/>
              <w:left w:val="single" w:color="auto" w:sz="4" w:space="0"/>
              <w:bottom w:val="single" w:color="auto" w:sz="4" w:space="0"/>
              <w:right w:val="single" w:color="auto" w:sz="4" w:space="0"/>
            </w:tcBorders>
          </w:tcPr>
          <w:p w14:paraId="017AAA3D">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auto"/>
                <w:sz w:val="24"/>
                <w:szCs w:val="24"/>
                <w:highlight w:val="none"/>
              </w:rPr>
            </w:pPr>
          </w:p>
        </w:tc>
      </w:tr>
    </w:tbl>
    <w:p w14:paraId="10D8AF11">
      <w:pPr>
        <w:snapToGrid w:val="0"/>
        <w:spacing w:line="360" w:lineRule="auto"/>
        <w:ind w:firstLine="5640" w:firstLineChars="2350"/>
        <w:rPr>
          <w:rFonts w:hint="eastAsia" w:ascii="宋体" w:hAnsi="宋体" w:eastAsia="宋体" w:cs="宋体"/>
          <w:color w:val="auto"/>
          <w:sz w:val="24"/>
          <w:szCs w:val="24"/>
          <w:highlight w:val="none"/>
        </w:rPr>
      </w:pPr>
    </w:p>
    <w:p w14:paraId="5B18C3A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注：在填写时，如本表格不适合供应商的实际情况，可参照本表格式自行制表填写，并附上相关证明材料。</w:t>
      </w:r>
    </w:p>
    <w:p w14:paraId="6EFA6957">
      <w:pPr>
        <w:snapToGrid w:val="0"/>
        <w:spacing w:line="360" w:lineRule="auto"/>
        <w:rPr>
          <w:rFonts w:hint="eastAsia" w:ascii="宋体" w:hAnsi="宋体" w:cs="宋体"/>
          <w:color w:val="auto"/>
          <w:szCs w:val="21"/>
          <w:highlight w:val="none"/>
        </w:rPr>
      </w:pPr>
    </w:p>
    <w:p w14:paraId="05157B80">
      <w:pPr>
        <w:snapToGrid w:val="0"/>
        <w:spacing w:line="360" w:lineRule="auto"/>
        <w:rPr>
          <w:rFonts w:hint="eastAsia" w:ascii="宋体" w:hAnsi="宋体" w:cs="宋体"/>
          <w:color w:val="auto"/>
          <w:szCs w:val="21"/>
          <w:highlight w:val="none"/>
        </w:rPr>
      </w:pPr>
    </w:p>
    <w:p w14:paraId="0A13A0D9">
      <w:pPr>
        <w:snapToGrid w:val="0"/>
        <w:spacing w:line="360" w:lineRule="auto"/>
        <w:rPr>
          <w:rFonts w:hint="eastAsia"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供应商名称(盖公章)：</w:t>
      </w:r>
    </w:p>
    <w:p w14:paraId="3344A29E">
      <w:pPr>
        <w:spacing w:line="500" w:lineRule="exact"/>
        <w:jc w:val="center"/>
        <w:rPr>
          <w:rFonts w:hint="eastAsia" w:ascii="宋体" w:hAnsi="宋体" w:cs="宋体"/>
          <w:color w:val="auto"/>
          <w:sz w:val="32"/>
          <w:szCs w:val="32"/>
          <w:highlight w:val="none"/>
        </w:rPr>
        <w:sectPr>
          <w:pgSz w:w="11911" w:h="16838"/>
          <w:pgMar w:top="1134" w:right="1134" w:bottom="1134" w:left="1134" w:header="720" w:footer="720" w:gutter="0"/>
          <w:cols w:space="720" w:num="1"/>
        </w:sect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486F586">
      <w:pPr>
        <w:snapToGrid w:val="0"/>
        <w:spacing w:line="360" w:lineRule="auto"/>
        <w:rPr>
          <w:rFonts w:hint="eastAsia" w:ascii="宋体" w:hAnsi="宋体" w:cs="宋体"/>
          <w:color w:val="auto"/>
          <w:sz w:val="28"/>
          <w:szCs w:val="28"/>
          <w:highlight w:val="none"/>
        </w:rPr>
      </w:pPr>
      <w:r>
        <w:rPr>
          <w:rFonts w:hint="eastAsia" w:ascii="宋体" w:hAnsi="宋体" w:cs="宋体"/>
          <w:b/>
          <w:color w:val="auto"/>
          <w:sz w:val="28"/>
          <w:szCs w:val="28"/>
          <w:highlight w:val="none"/>
        </w:rPr>
        <w:t>8.服务需求偏离表的格式：</w:t>
      </w:r>
    </w:p>
    <w:p w14:paraId="785AD626">
      <w:pPr>
        <w:spacing w:line="500" w:lineRule="exact"/>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rPr>
        <w:t>服务需求偏离表</w:t>
      </w:r>
    </w:p>
    <w:p w14:paraId="651BB7DF">
      <w:pPr>
        <w:spacing w:line="360" w:lineRule="auto"/>
        <w:contextualSpacing/>
        <w:jc w:val="left"/>
        <w:rPr>
          <w:rFonts w:hint="eastAsia" w:ascii="宋体" w:hAnsi="宋体" w:cs="宋体"/>
          <w:color w:val="auto"/>
          <w:sz w:val="24"/>
          <w:highlight w:val="none"/>
        </w:rPr>
      </w:pPr>
    </w:p>
    <w:p w14:paraId="76BE9712">
      <w:pPr>
        <w:spacing w:line="360" w:lineRule="auto"/>
        <w:ind w:firstLine="630" w:firstLineChars="300"/>
        <w:contextualSpacing/>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项目名称：</w:t>
      </w:r>
      <w:r>
        <w:rPr>
          <w:rFonts w:hint="eastAsia" w:ascii="宋体" w:hAnsi="宋体" w:cs="宋体"/>
          <w:color w:val="auto"/>
          <w:sz w:val="21"/>
          <w:szCs w:val="21"/>
          <w:highlight w:val="none"/>
          <w:u w:val="single"/>
        </w:rPr>
        <w:t xml:space="preserve">                 </w:t>
      </w:r>
    </w:p>
    <w:p w14:paraId="6DCBB558">
      <w:pPr>
        <w:spacing w:line="360" w:lineRule="auto"/>
        <w:ind w:firstLine="630" w:firstLineChars="3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u w:val="single"/>
        </w:rPr>
        <w:t xml:space="preserve">                 </w:t>
      </w:r>
    </w:p>
    <w:p w14:paraId="713BBDFF">
      <w:pPr>
        <w:spacing w:line="360" w:lineRule="auto"/>
        <w:ind w:firstLine="630" w:firstLineChars="300"/>
        <w:contextualSpacing/>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所竞分标（如有则填写，无分标时填写“无”或者留空）：</w:t>
      </w:r>
      <w:r>
        <w:rPr>
          <w:rFonts w:hint="eastAsia" w:ascii="宋体" w:hAnsi="宋体" w:cs="宋体"/>
          <w:color w:val="auto"/>
          <w:sz w:val="21"/>
          <w:szCs w:val="21"/>
          <w:highlight w:val="none"/>
          <w:u w:val="single"/>
        </w:rPr>
        <w:t xml:space="preserve">              </w:t>
      </w:r>
    </w:p>
    <w:tbl>
      <w:tblPr>
        <w:tblStyle w:val="31"/>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75"/>
        <w:gridCol w:w="3197"/>
        <w:gridCol w:w="2944"/>
        <w:gridCol w:w="1095"/>
      </w:tblGrid>
      <w:tr w14:paraId="5CC4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14:paraId="1DEDF7D0">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r>
              <w:rPr>
                <w:rFonts w:hint="eastAsia" w:ascii="宋体" w:hAnsi="宋体" w:cs="宋体"/>
                <w:color w:val="auto"/>
                <w:sz w:val="21"/>
                <w:szCs w:val="21"/>
                <w:highlight w:val="none"/>
              </w:rPr>
              <w:t>项号</w:t>
            </w:r>
          </w:p>
        </w:tc>
        <w:tc>
          <w:tcPr>
            <w:tcW w:w="1175" w:type="dxa"/>
            <w:tcBorders>
              <w:top w:val="single" w:color="auto" w:sz="4" w:space="0"/>
              <w:left w:val="single" w:color="auto" w:sz="4" w:space="0"/>
              <w:bottom w:val="single" w:color="auto" w:sz="4" w:space="0"/>
              <w:right w:val="single" w:color="auto" w:sz="4" w:space="0"/>
            </w:tcBorders>
            <w:vAlign w:val="center"/>
          </w:tcPr>
          <w:p w14:paraId="277255ED">
            <w:pPr>
              <w:keepNext w:val="0"/>
              <w:keepLines w:val="0"/>
              <w:suppressLineNumbers w:val="0"/>
              <w:spacing w:before="0" w:beforeAutospacing="0" w:after="0" w:afterAutospacing="0"/>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标的名称</w:t>
            </w:r>
          </w:p>
        </w:tc>
        <w:tc>
          <w:tcPr>
            <w:tcW w:w="3197" w:type="dxa"/>
            <w:tcBorders>
              <w:top w:val="single" w:color="auto" w:sz="4" w:space="0"/>
              <w:left w:val="single" w:color="auto" w:sz="4" w:space="0"/>
              <w:bottom w:val="single" w:color="auto" w:sz="4" w:space="0"/>
              <w:right w:val="single" w:color="auto" w:sz="4" w:space="0"/>
            </w:tcBorders>
            <w:vAlign w:val="center"/>
          </w:tcPr>
          <w:p w14:paraId="4ACA03D4">
            <w:pPr>
              <w:keepNext w:val="0"/>
              <w:keepLines w:val="0"/>
              <w:suppressLineNumbers w:val="0"/>
              <w:spacing w:before="0" w:beforeAutospacing="0" w:after="0" w:afterAutospacing="0"/>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竞争性磋商文件</w:t>
            </w:r>
            <w:r>
              <w:rPr>
                <w:rFonts w:hint="eastAsia" w:ascii="宋体" w:hAnsi="宋体"/>
                <w:color w:val="auto"/>
                <w:sz w:val="21"/>
                <w:szCs w:val="21"/>
                <w:highlight w:val="none"/>
              </w:rPr>
              <w:t>采购需求中的技术要求</w:t>
            </w:r>
          </w:p>
        </w:tc>
        <w:tc>
          <w:tcPr>
            <w:tcW w:w="2944" w:type="dxa"/>
            <w:tcBorders>
              <w:top w:val="single" w:color="auto" w:sz="4" w:space="0"/>
              <w:left w:val="single" w:color="auto" w:sz="4" w:space="0"/>
              <w:bottom w:val="single" w:color="auto" w:sz="4" w:space="0"/>
              <w:right w:val="single" w:color="auto" w:sz="4" w:space="0"/>
            </w:tcBorders>
            <w:vAlign w:val="center"/>
          </w:tcPr>
          <w:p w14:paraId="51FE51E9">
            <w:pPr>
              <w:keepNext w:val="0"/>
              <w:keepLines w:val="0"/>
              <w:suppressLineNumbers w:val="0"/>
              <w:spacing w:before="0" w:beforeAutospacing="0" w:after="0" w:afterAutospacing="0"/>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响应文件响应的</w:t>
            </w:r>
            <w:r>
              <w:rPr>
                <w:rFonts w:hint="eastAsia" w:ascii="宋体" w:hAnsi="宋体"/>
                <w:color w:val="auto"/>
                <w:sz w:val="21"/>
                <w:szCs w:val="21"/>
                <w:highlight w:val="none"/>
              </w:rPr>
              <w:t>技术要求</w:t>
            </w:r>
          </w:p>
        </w:tc>
        <w:tc>
          <w:tcPr>
            <w:tcW w:w="1095" w:type="dxa"/>
            <w:tcBorders>
              <w:top w:val="single" w:color="auto" w:sz="4" w:space="0"/>
              <w:left w:val="single" w:color="auto" w:sz="4" w:space="0"/>
              <w:bottom w:val="single" w:color="auto" w:sz="4" w:space="0"/>
              <w:right w:val="single" w:color="auto" w:sz="4" w:space="0"/>
            </w:tcBorders>
            <w:vAlign w:val="center"/>
          </w:tcPr>
          <w:p w14:paraId="4A395971">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r>
              <w:rPr>
                <w:rFonts w:hint="eastAsia" w:ascii="宋体" w:hAnsi="宋体" w:cs="宋体"/>
                <w:color w:val="auto"/>
                <w:sz w:val="21"/>
                <w:szCs w:val="21"/>
                <w:highlight w:val="none"/>
              </w:rPr>
              <w:t>偏离说明</w:t>
            </w:r>
          </w:p>
        </w:tc>
      </w:tr>
      <w:tr w14:paraId="1B70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14:paraId="379AA3D5">
            <w:pPr>
              <w:keepNext w:val="0"/>
              <w:keepLines w:val="0"/>
              <w:suppressLineNumbers w:val="0"/>
              <w:spacing w:before="0" w:beforeAutospacing="0" w:after="0" w:afterAutospacing="0"/>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1175" w:type="dxa"/>
            <w:tcBorders>
              <w:top w:val="single" w:color="auto" w:sz="4" w:space="0"/>
              <w:left w:val="single" w:color="auto" w:sz="4" w:space="0"/>
              <w:bottom w:val="single" w:color="auto" w:sz="4" w:space="0"/>
              <w:right w:val="single" w:color="auto" w:sz="4" w:space="0"/>
            </w:tcBorders>
            <w:vAlign w:val="center"/>
          </w:tcPr>
          <w:p w14:paraId="1A8C27FA">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c>
          <w:tcPr>
            <w:tcW w:w="3197" w:type="dxa"/>
            <w:tcBorders>
              <w:top w:val="single" w:color="auto" w:sz="4" w:space="0"/>
              <w:left w:val="single" w:color="auto" w:sz="4" w:space="0"/>
              <w:bottom w:val="single" w:color="auto" w:sz="4" w:space="0"/>
              <w:right w:val="single" w:color="auto" w:sz="4" w:space="0"/>
            </w:tcBorders>
            <w:vAlign w:val="center"/>
          </w:tcPr>
          <w:p w14:paraId="211F3344">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c>
          <w:tcPr>
            <w:tcW w:w="2944" w:type="dxa"/>
            <w:tcBorders>
              <w:top w:val="single" w:color="auto" w:sz="4" w:space="0"/>
              <w:left w:val="single" w:color="auto" w:sz="4" w:space="0"/>
              <w:bottom w:val="single" w:color="auto" w:sz="4" w:space="0"/>
              <w:right w:val="single" w:color="auto" w:sz="4" w:space="0"/>
            </w:tcBorders>
            <w:vAlign w:val="center"/>
          </w:tcPr>
          <w:p w14:paraId="3B5A0F0A">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29AEC0B3">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r>
      <w:tr w14:paraId="178B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14:paraId="545F22B5">
            <w:pPr>
              <w:keepNext w:val="0"/>
              <w:keepLines w:val="0"/>
              <w:suppressLineNumbers w:val="0"/>
              <w:spacing w:before="0" w:beforeAutospacing="0" w:after="0" w:afterAutospacing="0"/>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1175" w:type="dxa"/>
            <w:tcBorders>
              <w:top w:val="single" w:color="auto" w:sz="4" w:space="0"/>
              <w:left w:val="single" w:color="auto" w:sz="4" w:space="0"/>
              <w:bottom w:val="single" w:color="auto" w:sz="4" w:space="0"/>
              <w:right w:val="single" w:color="auto" w:sz="4" w:space="0"/>
            </w:tcBorders>
            <w:vAlign w:val="center"/>
          </w:tcPr>
          <w:p w14:paraId="0F39170B">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c>
          <w:tcPr>
            <w:tcW w:w="3197" w:type="dxa"/>
            <w:tcBorders>
              <w:top w:val="single" w:color="auto" w:sz="4" w:space="0"/>
              <w:left w:val="single" w:color="auto" w:sz="4" w:space="0"/>
              <w:bottom w:val="single" w:color="auto" w:sz="4" w:space="0"/>
              <w:right w:val="single" w:color="auto" w:sz="4" w:space="0"/>
            </w:tcBorders>
            <w:vAlign w:val="center"/>
          </w:tcPr>
          <w:p w14:paraId="6EB330B5">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c>
          <w:tcPr>
            <w:tcW w:w="2944" w:type="dxa"/>
            <w:tcBorders>
              <w:top w:val="single" w:color="auto" w:sz="4" w:space="0"/>
              <w:left w:val="single" w:color="auto" w:sz="4" w:space="0"/>
              <w:bottom w:val="single" w:color="auto" w:sz="4" w:space="0"/>
              <w:right w:val="single" w:color="auto" w:sz="4" w:space="0"/>
            </w:tcBorders>
            <w:vAlign w:val="center"/>
          </w:tcPr>
          <w:p w14:paraId="0A948D91">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35FAB398">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r>
      <w:tr w14:paraId="6FED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14:paraId="35146EC2">
            <w:pPr>
              <w:keepNext w:val="0"/>
              <w:keepLines w:val="0"/>
              <w:suppressLineNumbers w:val="0"/>
              <w:spacing w:before="0" w:beforeAutospacing="0" w:after="0" w:afterAutospacing="0"/>
              <w:ind w:left="0" w:right="0"/>
              <w:jc w:val="center"/>
              <w:rPr>
                <w:rFonts w:hint="eastAsia" w:ascii="宋体" w:hAnsi="宋体" w:cs="宋体"/>
                <w:color w:val="auto"/>
                <w:sz w:val="21"/>
                <w:szCs w:val="21"/>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3E99B63F">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c>
          <w:tcPr>
            <w:tcW w:w="3197" w:type="dxa"/>
            <w:tcBorders>
              <w:top w:val="single" w:color="auto" w:sz="4" w:space="0"/>
              <w:left w:val="single" w:color="auto" w:sz="4" w:space="0"/>
              <w:bottom w:val="single" w:color="auto" w:sz="4" w:space="0"/>
              <w:right w:val="single" w:color="auto" w:sz="4" w:space="0"/>
            </w:tcBorders>
            <w:vAlign w:val="center"/>
          </w:tcPr>
          <w:p w14:paraId="40AC65BE">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c>
          <w:tcPr>
            <w:tcW w:w="2944" w:type="dxa"/>
            <w:tcBorders>
              <w:top w:val="single" w:color="auto" w:sz="4" w:space="0"/>
              <w:left w:val="single" w:color="auto" w:sz="4" w:space="0"/>
              <w:bottom w:val="single" w:color="auto" w:sz="4" w:space="0"/>
              <w:right w:val="single" w:color="auto" w:sz="4" w:space="0"/>
            </w:tcBorders>
            <w:vAlign w:val="center"/>
          </w:tcPr>
          <w:p w14:paraId="1C7B680E">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22066700">
            <w:pPr>
              <w:keepNext w:val="0"/>
              <w:keepLines w:val="0"/>
              <w:suppressLineNumbers w:val="0"/>
              <w:spacing w:before="0" w:beforeAutospacing="0" w:after="0" w:afterAutospacing="0"/>
              <w:ind w:left="0" w:right="0"/>
              <w:rPr>
                <w:rFonts w:hint="eastAsia" w:ascii="宋体" w:hAnsi="宋体" w:cs="宋体"/>
                <w:color w:val="auto"/>
                <w:sz w:val="21"/>
                <w:szCs w:val="21"/>
                <w:highlight w:val="none"/>
              </w:rPr>
            </w:pPr>
          </w:p>
        </w:tc>
      </w:tr>
    </w:tbl>
    <w:p w14:paraId="4570C720">
      <w:pPr>
        <w:pStyle w:val="16"/>
        <w:ind w:firstLine="845"/>
        <w:rPr>
          <w:rFonts w:hint="eastAsia" w:ascii="宋体" w:hAnsi="宋体" w:cs="宋体"/>
          <w:color w:val="auto"/>
          <w:sz w:val="21"/>
          <w:szCs w:val="21"/>
          <w:highlight w:val="none"/>
          <w:u w:val="single"/>
        </w:rPr>
      </w:pPr>
    </w:p>
    <w:p w14:paraId="0D7EC605">
      <w:pPr>
        <w:pStyle w:val="14"/>
        <w:spacing w:after="0" w:line="360" w:lineRule="auto"/>
        <w:contextualSpacing/>
        <w:rPr>
          <w:rFonts w:hint="eastAsia" w:ascii="宋体" w:hAnsi="宋体" w:cs="宋体"/>
          <w:color w:val="auto"/>
          <w:kern w:val="0"/>
          <w:sz w:val="21"/>
          <w:szCs w:val="21"/>
          <w:highlight w:val="none"/>
        </w:rPr>
      </w:pPr>
    </w:p>
    <w:p w14:paraId="1928BD0D">
      <w:pPr>
        <w:pStyle w:val="14"/>
        <w:spacing w:after="0" w:line="480" w:lineRule="auto"/>
        <w:ind w:firstLine="420" w:firstLineChars="200"/>
        <w:contextualSpacing/>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注：</w:t>
      </w:r>
    </w:p>
    <w:p w14:paraId="3DC02F76">
      <w:pPr>
        <w:pStyle w:val="14"/>
        <w:spacing w:after="0" w:line="480" w:lineRule="auto"/>
        <w:ind w:firstLine="420" w:firstLineChars="200"/>
        <w:contextualSpacing/>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1.说明：应对照磋商文件“第二章  </w:t>
      </w:r>
      <w:r>
        <w:rPr>
          <w:rFonts w:hint="eastAsia" w:ascii="Cambria" w:hAnsi="Cambria"/>
          <w:bCs/>
          <w:color w:val="auto"/>
          <w:sz w:val="21"/>
          <w:szCs w:val="21"/>
          <w:highlight w:val="none"/>
        </w:rPr>
        <w:t>采购需求</w:t>
      </w:r>
      <w:r>
        <w:rPr>
          <w:rFonts w:hint="eastAsia" w:ascii="宋体" w:hAnsi="宋体" w:cs="宋体"/>
          <w:color w:val="auto"/>
          <w:kern w:val="0"/>
          <w:sz w:val="21"/>
          <w:szCs w:val="21"/>
          <w:highlight w:val="none"/>
        </w:rPr>
        <w:t>”中“需求一览表”的技术要求条款逐条作出明确响应，并作出偏离说明。</w:t>
      </w:r>
    </w:p>
    <w:p w14:paraId="1A7F19D0">
      <w:pPr>
        <w:pStyle w:val="16"/>
        <w:spacing w:line="48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2.供应商应根据自身的承诺，对照磋商文件要求，在“偏离说明”中注明“正偏离”或者“负偏离”或者“无偏离”。既不属于“正偏离”也不属于“负偏离”即为“无偏离”。 当响应文件的技术要求内容低于竞争性磋商文件要求时，供应商应当如实写明“负偏离”。</w:t>
      </w:r>
    </w:p>
    <w:p w14:paraId="474545A0">
      <w:pPr>
        <w:spacing w:line="480" w:lineRule="auto"/>
        <w:ind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3.表格内容均需按要求填写并盖公章，不得留空，</w:t>
      </w:r>
      <w:r>
        <w:rPr>
          <w:rFonts w:hint="eastAsia" w:ascii="宋体" w:hAnsi="宋体" w:cs="宋体"/>
          <w:b/>
          <w:bCs/>
          <w:color w:val="auto"/>
          <w:kern w:val="0"/>
          <w:sz w:val="21"/>
          <w:szCs w:val="21"/>
          <w:highlight w:val="none"/>
        </w:rPr>
        <w:t>否则按竞标无效处理。</w:t>
      </w:r>
    </w:p>
    <w:p w14:paraId="67950FE3">
      <w:pPr>
        <w:pStyle w:val="16"/>
        <w:spacing w:line="480" w:lineRule="auto"/>
        <w:ind w:firstLine="420" w:firstLineChars="200"/>
        <w:contextualSpacing/>
        <w:rPr>
          <w:rFonts w:hint="eastAsia" w:ascii="宋体" w:hAnsi="宋体" w:eastAsia="宋体" w:cs="宋体"/>
          <w:color w:val="auto"/>
          <w:sz w:val="21"/>
          <w:szCs w:val="21"/>
          <w:highlight w:val="none"/>
        </w:rPr>
      </w:pPr>
    </w:p>
    <w:p w14:paraId="293970C2">
      <w:pPr>
        <w:snapToGrid w:val="0"/>
        <w:spacing w:line="360" w:lineRule="auto"/>
        <w:rPr>
          <w:rFonts w:hint="eastAsia" w:ascii="宋体" w:hAnsi="宋体" w:cs="宋体"/>
          <w:b/>
          <w:color w:val="auto"/>
          <w:sz w:val="30"/>
          <w:szCs w:val="30"/>
          <w:highlight w:val="none"/>
        </w:rPr>
      </w:pPr>
    </w:p>
    <w:p w14:paraId="16C67EB4">
      <w:pPr>
        <w:autoSpaceDE w:val="0"/>
        <w:autoSpaceDN w:val="0"/>
        <w:spacing w:line="360" w:lineRule="auto"/>
        <w:ind w:left="4335" w:leftChars="1950" w:hanging="240" w:hangingChars="100"/>
        <w:rPr>
          <w:rFonts w:hint="eastAsia"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329F41B2">
      <w:pPr>
        <w:autoSpaceDE w:val="0"/>
        <w:autoSpaceDN w:val="0"/>
        <w:spacing w:line="360" w:lineRule="auto"/>
        <w:ind w:firstLine="6480" w:firstLineChars="27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3CDDCE56">
      <w:pPr>
        <w:snapToGrid w:val="0"/>
        <w:spacing w:line="360" w:lineRule="auto"/>
        <w:rPr>
          <w:rFonts w:hint="eastAsia" w:ascii="宋体" w:hAnsi="宋体" w:cs="宋体"/>
          <w:b/>
          <w:color w:val="auto"/>
          <w:sz w:val="28"/>
          <w:szCs w:val="28"/>
          <w:highlight w:val="none"/>
        </w:rPr>
      </w:pPr>
    </w:p>
    <w:p w14:paraId="4ACB1C0F">
      <w:pPr>
        <w:snapToGrid w:val="0"/>
        <w:spacing w:line="360" w:lineRule="auto"/>
        <w:rPr>
          <w:rFonts w:hint="eastAsia" w:ascii="宋体" w:hAnsi="宋体" w:cs="宋体"/>
          <w:b/>
          <w:color w:val="auto"/>
          <w:sz w:val="28"/>
          <w:szCs w:val="28"/>
          <w:highlight w:val="none"/>
        </w:rPr>
      </w:pPr>
    </w:p>
    <w:p w14:paraId="01046AB7">
      <w:pPr>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9.服务配置清单</w:t>
      </w:r>
    </w:p>
    <w:p w14:paraId="0ABAD5A7">
      <w:pPr>
        <w:spacing w:line="500" w:lineRule="exact"/>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rPr>
        <w:t>服务配置清单</w:t>
      </w:r>
    </w:p>
    <w:p w14:paraId="0524F3E0">
      <w:pPr>
        <w:shd w:val="clear" w:color="auto" w:fill="auto"/>
        <w:spacing w:line="360" w:lineRule="auto"/>
        <w:contextualSpacing/>
        <w:jc w:val="left"/>
        <w:rPr>
          <w:rFonts w:hint="eastAsia" w:ascii="宋体" w:hAnsi="宋体" w:eastAsia="宋体" w:cs="Times New Roman"/>
          <w:color w:val="auto"/>
          <w:sz w:val="24"/>
          <w:highlight w:val="none"/>
        </w:rPr>
      </w:pPr>
    </w:p>
    <w:p w14:paraId="3403079C">
      <w:pPr>
        <w:shd w:val="clear" w:color="auto" w:fill="auto"/>
        <w:spacing w:line="360" w:lineRule="auto"/>
        <w:contextualSpacing/>
        <w:rPr>
          <w:rFonts w:hint="eastAsia" w:ascii="宋体" w:hAnsi="宋体" w:eastAsia="宋体" w:cs="仿宋_GB2312"/>
          <w:color w:val="auto"/>
          <w:sz w:val="21"/>
          <w:szCs w:val="21"/>
          <w:highlight w:val="none"/>
          <w:u w:val="single"/>
        </w:rPr>
      </w:pPr>
      <w:r>
        <w:rPr>
          <w:rFonts w:hint="eastAsia" w:ascii="宋体" w:hAnsi="宋体" w:eastAsia="宋体" w:cs="仿宋_GB2312"/>
          <w:color w:val="auto"/>
          <w:sz w:val="21"/>
          <w:szCs w:val="21"/>
          <w:highlight w:val="none"/>
        </w:rPr>
        <w:t>采购项目编号：</w:t>
      </w:r>
      <w:r>
        <w:rPr>
          <w:rFonts w:hint="eastAsia" w:ascii="宋体" w:hAnsi="宋体" w:eastAsia="宋体" w:cs="仿宋_GB2312"/>
          <w:color w:val="auto"/>
          <w:sz w:val="21"/>
          <w:szCs w:val="21"/>
          <w:highlight w:val="none"/>
          <w:u w:val="single"/>
        </w:rPr>
        <w:t xml:space="preserve">                 </w:t>
      </w:r>
    </w:p>
    <w:p w14:paraId="431ADE99">
      <w:pPr>
        <w:shd w:val="clear" w:color="auto" w:fill="auto"/>
        <w:spacing w:line="360" w:lineRule="auto"/>
        <w:contextualSpacing/>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采购项目名称：</w:t>
      </w:r>
      <w:r>
        <w:rPr>
          <w:rFonts w:hint="eastAsia" w:ascii="宋体" w:hAnsi="宋体" w:eastAsia="宋体" w:cs="仿宋_GB2312"/>
          <w:color w:val="auto"/>
          <w:sz w:val="21"/>
          <w:szCs w:val="21"/>
          <w:highlight w:val="none"/>
          <w:u w:val="single"/>
        </w:rPr>
        <w:t xml:space="preserve">                 </w:t>
      </w:r>
    </w:p>
    <w:p w14:paraId="6F6DA1B1">
      <w:pPr>
        <w:shd w:val="clear" w:color="auto" w:fill="auto"/>
        <w:spacing w:line="360" w:lineRule="auto"/>
        <w:rPr>
          <w:rFonts w:hint="eastAsia" w:ascii="宋体" w:hAnsi="宋体" w:eastAsia="宋体" w:cs="仿宋_GB2312"/>
          <w:color w:val="auto"/>
          <w:sz w:val="21"/>
          <w:szCs w:val="21"/>
          <w:highlight w:val="none"/>
          <w:u w:val="single"/>
        </w:rPr>
      </w:pPr>
      <w:r>
        <w:rPr>
          <w:rFonts w:hint="eastAsia" w:ascii="宋体" w:hAnsi="宋体" w:eastAsia="宋体" w:cs="仿宋_GB2312"/>
          <w:color w:val="auto"/>
          <w:sz w:val="21"/>
          <w:szCs w:val="21"/>
          <w:highlight w:val="none"/>
        </w:rPr>
        <w:t>分标号</w:t>
      </w:r>
      <w:r>
        <w:rPr>
          <w:rFonts w:hint="eastAsia" w:ascii="宋体" w:hAnsi="宋体" w:eastAsia="宋体" w:cs="Times New Roman"/>
          <w:color w:val="auto"/>
          <w:sz w:val="21"/>
          <w:szCs w:val="21"/>
          <w:highlight w:val="none"/>
        </w:rPr>
        <w:t>（此处有分标时填写具体分标号，无分标时填写“无”）</w:t>
      </w:r>
      <w:r>
        <w:rPr>
          <w:rFonts w:hint="eastAsia" w:ascii="宋体" w:hAnsi="宋体" w:eastAsia="宋体" w:cs="仿宋_GB2312"/>
          <w:color w:val="auto"/>
          <w:sz w:val="21"/>
          <w:szCs w:val="21"/>
          <w:highlight w:val="none"/>
        </w:rPr>
        <w:t>：</w:t>
      </w:r>
      <w:r>
        <w:rPr>
          <w:rFonts w:hint="eastAsia" w:ascii="宋体" w:hAnsi="宋体" w:eastAsia="宋体" w:cs="仿宋_GB2312"/>
          <w:color w:val="auto"/>
          <w:sz w:val="21"/>
          <w:szCs w:val="21"/>
          <w:highlight w:val="none"/>
          <w:u w:val="single"/>
        </w:rPr>
        <w:t xml:space="preserve">                       </w:t>
      </w:r>
    </w:p>
    <w:tbl>
      <w:tblPr>
        <w:tblStyle w:val="31"/>
        <w:tblW w:w="98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6"/>
        <w:gridCol w:w="1781"/>
        <w:gridCol w:w="2015"/>
        <w:gridCol w:w="1183"/>
        <w:gridCol w:w="1841"/>
        <w:gridCol w:w="2003"/>
      </w:tblGrid>
      <w:tr w14:paraId="5E5CC0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1036" w:type="dxa"/>
            <w:tcBorders>
              <w:top w:val="single" w:color="auto" w:sz="4" w:space="0"/>
              <w:left w:val="single" w:color="auto" w:sz="4" w:space="0"/>
              <w:bottom w:val="single" w:color="auto" w:sz="4" w:space="0"/>
              <w:right w:val="single" w:color="auto" w:sz="4" w:space="0"/>
            </w:tcBorders>
            <w:noWrap w:val="0"/>
            <w:vAlign w:val="center"/>
          </w:tcPr>
          <w:p w14:paraId="43B1EFC2">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r>
              <w:rPr>
                <w:rFonts w:hint="eastAsia" w:ascii="宋体" w:hAnsi="宋体" w:eastAsia="宋体" w:cs="Times New Roman"/>
                <w:color w:val="auto"/>
                <w:sz w:val="24"/>
                <w:highlight w:val="none"/>
              </w:rPr>
              <w:t>序号</w:t>
            </w:r>
          </w:p>
        </w:tc>
        <w:tc>
          <w:tcPr>
            <w:tcW w:w="1781" w:type="dxa"/>
            <w:tcBorders>
              <w:top w:val="single" w:color="auto" w:sz="4" w:space="0"/>
              <w:left w:val="single" w:color="auto" w:sz="4" w:space="0"/>
              <w:bottom w:val="single" w:color="auto" w:sz="4" w:space="0"/>
              <w:right w:val="single" w:color="auto" w:sz="4" w:space="0"/>
            </w:tcBorders>
            <w:noWrap w:val="0"/>
            <w:vAlign w:val="center"/>
          </w:tcPr>
          <w:p w14:paraId="10FE4C9C">
            <w:pPr>
              <w:keepNext w:val="0"/>
              <w:keepLines w:val="0"/>
              <w:suppressLineNumbers w:val="0"/>
              <w:snapToGrid w:val="0"/>
              <w:spacing w:before="50" w:beforeAutospacing="0" w:after="50" w:afterAutospacing="0"/>
              <w:ind w:left="0" w:right="0"/>
              <w:jc w:val="center"/>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标的名称</w:t>
            </w:r>
          </w:p>
        </w:tc>
        <w:tc>
          <w:tcPr>
            <w:tcW w:w="2015" w:type="dxa"/>
            <w:tcBorders>
              <w:top w:val="single" w:color="auto" w:sz="4" w:space="0"/>
              <w:left w:val="single" w:color="auto" w:sz="4" w:space="0"/>
              <w:bottom w:val="single" w:color="auto" w:sz="4" w:space="0"/>
              <w:right w:val="single" w:color="auto" w:sz="4" w:space="0"/>
            </w:tcBorders>
            <w:noWrap w:val="0"/>
            <w:vAlign w:val="center"/>
          </w:tcPr>
          <w:p w14:paraId="4D8D2792">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r>
              <w:rPr>
                <w:rFonts w:hint="eastAsia" w:ascii="宋体" w:hAnsi="宋体" w:eastAsia="宋体" w:cs="Times New Roman"/>
                <w:color w:val="auto"/>
                <w:sz w:val="24"/>
                <w:highlight w:val="none"/>
              </w:rPr>
              <w:t>数量及单位</w:t>
            </w:r>
          </w:p>
        </w:tc>
        <w:tc>
          <w:tcPr>
            <w:tcW w:w="1183" w:type="dxa"/>
            <w:tcBorders>
              <w:top w:val="single" w:color="auto" w:sz="4" w:space="0"/>
              <w:left w:val="single" w:color="auto" w:sz="4" w:space="0"/>
              <w:bottom w:val="single" w:color="auto" w:sz="4" w:space="0"/>
              <w:right w:val="single" w:color="auto" w:sz="4" w:space="0"/>
            </w:tcBorders>
            <w:noWrap w:val="0"/>
            <w:vAlign w:val="center"/>
          </w:tcPr>
          <w:p w14:paraId="18EFAD5C">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r>
              <w:rPr>
                <w:rFonts w:hint="eastAsia" w:ascii="宋体" w:hAnsi="宋体" w:eastAsia="宋体" w:cs="Times New Roman"/>
                <w:color w:val="auto"/>
                <w:sz w:val="24"/>
                <w:highlight w:val="none"/>
              </w:rPr>
              <w:t>品牌</w:t>
            </w:r>
          </w:p>
        </w:tc>
        <w:tc>
          <w:tcPr>
            <w:tcW w:w="1841" w:type="dxa"/>
            <w:tcBorders>
              <w:top w:val="single" w:color="auto" w:sz="4" w:space="0"/>
              <w:left w:val="single" w:color="auto" w:sz="4" w:space="0"/>
              <w:bottom w:val="single" w:color="auto" w:sz="4" w:space="0"/>
              <w:right w:val="single" w:color="auto" w:sz="4" w:space="0"/>
            </w:tcBorders>
            <w:noWrap w:val="0"/>
            <w:vAlign w:val="center"/>
          </w:tcPr>
          <w:p w14:paraId="536246CB">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r>
              <w:rPr>
                <w:rFonts w:hint="eastAsia" w:ascii="宋体" w:hAnsi="宋体" w:eastAsia="宋体" w:cs="Times New Roman"/>
                <w:color w:val="auto"/>
                <w:sz w:val="24"/>
                <w:highlight w:val="none"/>
              </w:rPr>
              <w:t>规格型号</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7F3869C6">
            <w:pPr>
              <w:keepNext w:val="0"/>
              <w:keepLines w:val="0"/>
              <w:suppressLineNumbers w:val="0"/>
              <w:snapToGrid w:val="0"/>
              <w:spacing w:before="50" w:beforeAutospacing="0" w:after="50" w:afterAutospacing="0"/>
              <w:ind w:left="0" w:right="0"/>
              <w:jc w:val="center"/>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rPr>
              <w:t>软件开发厂商</w:t>
            </w:r>
            <w:r>
              <w:rPr>
                <w:rFonts w:hint="eastAsia" w:ascii="宋体" w:hAnsi="宋体" w:cs="Times New Roman"/>
                <w:color w:val="auto"/>
                <w:sz w:val="24"/>
                <w:highlight w:val="none"/>
                <w:lang w:eastAsia="zh-CN"/>
              </w:rPr>
              <w:t>或产品生产厂商</w:t>
            </w:r>
          </w:p>
        </w:tc>
      </w:tr>
      <w:tr w14:paraId="40A341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1036" w:type="dxa"/>
            <w:tcBorders>
              <w:top w:val="single" w:color="auto" w:sz="4" w:space="0"/>
              <w:left w:val="single" w:color="auto" w:sz="4" w:space="0"/>
              <w:bottom w:val="single" w:color="auto" w:sz="4" w:space="0"/>
              <w:right w:val="single" w:color="auto" w:sz="4" w:space="0"/>
            </w:tcBorders>
            <w:noWrap w:val="0"/>
            <w:vAlign w:val="center"/>
          </w:tcPr>
          <w:p w14:paraId="533BD3E2">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1781" w:type="dxa"/>
            <w:tcBorders>
              <w:top w:val="single" w:color="auto" w:sz="4" w:space="0"/>
              <w:left w:val="single" w:color="auto" w:sz="4" w:space="0"/>
              <w:bottom w:val="single" w:color="auto" w:sz="4" w:space="0"/>
              <w:right w:val="single" w:color="auto" w:sz="4" w:space="0"/>
            </w:tcBorders>
            <w:noWrap w:val="0"/>
            <w:vAlign w:val="center"/>
          </w:tcPr>
          <w:p w14:paraId="1AF798B2">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14:paraId="6E015D40">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1183" w:type="dxa"/>
            <w:tcBorders>
              <w:top w:val="single" w:color="auto" w:sz="4" w:space="0"/>
              <w:left w:val="single" w:color="auto" w:sz="4" w:space="0"/>
              <w:bottom w:val="single" w:color="auto" w:sz="4" w:space="0"/>
              <w:right w:val="single" w:color="auto" w:sz="4" w:space="0"/>
            </w:tcBorders>
            <w:noWrap w:val="0"/>
            <w:vAlign w:val="center"/>
          </w:tcPr>
          <w:p w14:paraId="494BEAAA">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134B4DBD">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2003" w:type="dxa"/>
            <w:tcBorders>
              <w:top w:val="single" w:color="auto" w:sz="4" w:space="0"/>
              <w:left w:val="single" w:color="auto" w:sz="4" w:space="0"/>
              <w:bottom w:val="single" w:color="auto" w:sz="4" w:space="0"/>
              <w:right w:val="single" w:color="auto" w:sz="4" w:space="0"/>
            </w:tcBorders>
            <w:noWrap w:val="0"/>
            <w:vAlign w:val="center"/>
          </w:tcPr>
          <w:p w14:paraId="7231B2A1">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r>
      <w:tr w14:paraId="6C4783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1036" w:type="dxa"/>
            <w:tcBorders>
              <w:top w:val="single" w:color="auto" w:sz="4" w:space="0"/>
              <w:left w:val="single" w:color="auto" w:sz="4" w:space="0"/>
              <w:bottom w:val="single" w:color="auto" w:sz="4" w:space="0"/>
              <w:right w:val="single" w:color="auto" w:sz="4" w:space="0"/>
            </w:tcBorders>
            <w:noWrap w:val="0"/>
            <w:vAlign w:val="center"/>
          </w:tcPr>
          <w:p w14:paraId="08024B4C">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1781" w:type="dxa"/>
            <w:tcBorders>
              <w:top w:val="single" w:color="auto" w:sz="4" w:space="0"/>
              <w:left w:val="single" w:color="auto" w:sz="4" w:space="0"/>
              <w:bottom w:val="single" w:color="auto" w:sz="4" w:space="0"/>
              <w:right w:val="single" w:color="auto" w:sz="4" w:space="0"/>
            </w:tcBorders>
            <w:noWrap w:val="0"/>
            <w:vAlign w:val="center"/>
          </w:tcPr>
          <w:p w14:paraId="3D1DA0C8">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14:paraId="7B7A4E0E">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1183" w:type="dxa"/>
            <w:tcBorders>
              <w:top w:val="single" w:color="auto" w:sz="4" w:space="0"/>
              <w:left w:val="single" w:color="auto" w:sz="4" w:space="0"/>
              <w:bottom w:val="single" w:color="auto" w:sz="4" w:space="0"/>
              <w:right w:val="single" w:color="auto" w:sz="4" w:space="0"/>
            </w:tcBorders>
            <w:noWrap w:val="0"/>
            <w:vAlign w:val="center"/>
          </w:tcPr>
          <w:p w14:paraId="2127D7A3">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163BABB6">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2003" w:type="dxa"/>
            <w:tcBorders>
              <w:top w:val="single" w:color="auto" w:sz="4" w:space="0"/>
              <w:left w:val="single" w:color="auto" w:sz="4" w:space="0"/>
              <w:bottom w:val="single" w:color="auto" w:sz="4" w:space="0"/>
              <w:right w:val="single" w:color="auto" w:sz="4" w:space="0"/>
            </w:tcBorders>
            <w:noWrap w:val="0"/>
            <w:vAlign w:val="center"/>
          </w:tcPr>
          <w:p w14:paraId="62069597">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r>
      <w:tr w14:paraId="3282EB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036" w:type="dxa"/>
            <w:tcBorders>
              <w:top w:val="single" w:color="auto" w:sz="4" w:space="0"/>
              <w:left w:val="single" w:color="auto" w:sz="4" w:space="0"/>
              <w:bottom w:val="single" w:color="auto" w:sz="4" w:space="0"/>
              <w:right w:val="single" w:color="auto" w:sz="4" w:space="0"/>
            </w:tcBorders>
            <w:noWrap w:val="0"/>
            <w:vAlign w:val="center"/>
          </w:tcPr>
          <w:p w14:paraId="7592CF5E">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1781" w:type="dxa"/>
            <w:tcBorders>
              <w:top w:val="single" w:color="auto" w:sz="4" w:space="0"/>
              <w:left w:val="single" w:color="auto" w:sz="4" w:space="0"/>
              <w:bottom w:val="single" w:color="auto" w:sz="4" w:space="0"/>
              <w:right w:val="single" w:color="auto" w:sz="4" w:space="0"/>
            </w:tcBorders>
            <w:noWrap w:val="0"/>
            <w:vAlign w:val="center"/>
          </w:tcPr>
          <w:p w14:paraId="3850E358">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14:paraId="75839472">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1183" w:type="dxa"/>
            <w:tcBorders>
              <w:top w:val="single" w:color="auto" w:sz="4" w:space="0"/>
              <w:left w:val="single" w:color="auto" w:sz="4" w:space="0"/>
              <w:bottom w:val="single" w:color="auto" w:sz="4" w:space="0"/>
              <w:right w:val="single" w:color="auto" w:sz="4" w:space="0"/>
            </w:tcBorders>
            <w:noWrap w:val="0"/>
            <w:vAlign w:val="center"/>
          </w:tcPr>
          <w:p w14:paraId="04550593">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056AF4D8">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c>
          <w:tcPr>
            <w:tcW w:w="2003" w:type="dxa"/>
            <w:tcBorders>
              <w:top w:val="single" w:color="auto" w:sz="4" w:space="0"/>
              <w:left w:val="single" w:color="auto" w:sz="4" w:space="0"/>
              <w:bottom w:val="single" w:color="auto" w:sz="4" w:space="0"/>
              <w:right w:val="single" w:color="auto" w:sz="4" w:space="0"/>
            </w:tcBorders>
            <w:noWrap w:val="0"/>
            <w:vAlign w:val="center"/>
          </w:tcPr>
          <w:p w14:paraId="2647B3F0">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rPr>
            </w:pPr>
          </w:p>
        </w:tc>
      </w:tr>
    </w:tbl>
    <w:p w14:paraId="6AB9F1E4">
      <w:pPr>
        <w:spacing w:line="360" w:lineRule="auto"/>
        <w:rPr>
          <w:rFonts w:ascii="宋体" w:hAnsi="宋体" w:eastAsia="宋体" w:cs="Times New Roman"/>
          <w:color w:val="auto"/>
          <w:sz w:val="24"/>
          <w:highlight w:val="none"/>
        </w:rPr>
      </w:pPr>
      <w:r>
        <w:rPr>
          <w:rFonts w:hint="eastAsia" w:ascii="宋体" w:hAnsi="宋体" w:eastAsia="宋体" w:cs="Times New Roman"/>
          <w:color w:val="auto"/>
          <w:sz w:val="24"/>
          <w:highlight w:val="none"/>
        </w:rPr>
        <w:t>备注：</w:t>
      </w:r>
    </w:p>
    <w:p w14:paraId="0D77E7A7">
      <w:pPr>
        <w:tabs>
          <w:tab w:val="left" w:pos="1065"/>
        </w:tabs>
        <w:adjustRightInd w:val="0"/>
        <w:spacing w:line="360" w:lineRule="auto"/>
        <w:rPr>
          <w:rFonts w:ascii="宋体" w:hAnsi="宋体" w:eastAsia="宋体" w:cs="仿宋_GB2312"/>
          <w:color w:val="auto"/>
          <w:sz w:val="24"/>
          <w:highlight w:val="none"/>
        </w:rPr>
      </w:pPr>
      <w:r>
        <w:rPr>
          <w:rFonts w:hint="eastAsia" w:ascii="宋体" w:hAnsi="宋体" w:eastAsia="宋体" w:cs="Times New Roman"/>
          <w:color w:val="auto"/>
          <w:sz w:val="24"/>
          <w:highlight w:val="none"/>
        </w:rPr>
        <w:t>以上</w:t>
      </w:r>
      <w:r>
        <w:rPr>
          <w:rFonts w:hint="eastAsia" w:ascii="宋体" w:hAnsi="宋体" w:eastAsia="宋体" w:cs="Times New Roman"/>
          <w:color w:val="auto"/>
          <w:sz w:val="24"/>
          <w:highlight w:val="none"/>
          <w:lang w:val="en-US" w:eastAsia="zh-CN"/>
        </w:rPr>
        <w:t>服务</w:t>
      </w:r>
      <w:r>
        <w:rPr>
          <w:rFonts w:hint="eastAsia" w:ascii="宋体" w:hAnsi="宋体" w:eastAsia="宋体" w:cs="Times New Roman"/>
          <w:color w:val="auto"/>
          <w:sz w:val="24"/>
          <w:highlight w:val="none"/>
        </w:rPr>
        <w:t>配置清单中“</w:t>
      </w:r>
      <w:r>
        <w:rPr>
          <w:rFonts w:hint="eastAsia" w:ascii="宋体" w:hAnsi="宋体" w:eastAsia="宋体" w:cs="Times New Roman"/>
          <w:color w:val="auto"/>
          <w:sz w:val="24"/>
          <w:highlight w:val="none"/>
          <w:lang w:eastAsia="zh-CN"/>
        </w:rPr>
        <w:t>标的名称</w:t>
      </w:r>
      <w:r>
        <w:rPr>
          <w:rFonts w:hint="eastAsia" w:ascii="宋体" w:hAnsi="宋体" w:eastAsia="宋体" w:cs="Times New Roman"/>
          <w:color w:val="auto"/>
          <w:sz w:val="24"/>
          <w:highlight w:val="none"/>
        </w:rPr>
        <w:t>、数量及单位、品牌、规格型号、软件开发厂商</w:t>
      </w:r>
      <w:r>
        <w:rPr>
          <w:rFonts w:hint="eastAsia" w:ascii="宋体" w:hAnsi="宋体" w:cs="Times New Roman"/>
          <w:color w:val="auto"/>
          <w:sz w:val="24"/>
          <w:highlight w:val="none"/>
          <w:lang w:eastAsia="zh-CN"/>
        </w:rPr>
        <w:t>或产品生产厂商</w:t>
      </w:r>
      <w:r>
        <w:rPr>
          <w:rFonts w:hint="eastAsia" w:ascii="宋体" w:hAnsi="宋体" w:eastAsia="宋体" w:cs="Times New Roman"/>
          <w:color w:val="auto"/>
          <w:sz w:val="24"/>
          <w:highlight w:val="none"/>
        </w:rPr>
        <w:t>”必须如实填写完整，品牌、规格型号没有则填无，填写有缺漏的，响应文件作无效处理。</w:t>
      </w:r>
      <w:r>
        <w:rPr>
          <w:rFonts w:hint="eastAsia" w:ascii="宋体" w:hAnsi="宋体" w:eastAsia="宋体" w:cs="Times New Roman"/>
          <w:color w:val="auto"/>
          <w:sz w:val="24"/>
          <w:highlight w:val="none"/>
          <w:lang w:eastAsia="zh-CN"/>
        </w:rPr>
        <w:t>标的名称</w:t>
      </w:r>
      <w:r>
        <w:rPr>
          <w:rFonts w:hint="eastAsia" w:ascii="宋体" w:hAnsi="宋体" w:eastAsia="宋体" w:cs="Times New Roman"/>
          <w:color w:val="auto"/>
          <w:sz w:val="24"/>
          <w:highlight w:val="none"/>
        </w:rPr>
        <w:t>、数量及单位必须与“服务需求一览表”一致，</w:t>
      </w:r>
      <w:r>
        <w:rPr>
          <w:rFonts w:hint="eastAsia" w:ascii="宋体" w:hAnsi="宋体" w:eastAsia="宋体" w:cs="Times New Roman"/>
          <w:bCs/>
          <w:color w:val="auto"/>
          <w:sz w:val="24"/>
          <w:highlight w:val="none"/>
        </w:rPr>
        <w:t>否则响应文件作无效处理</w:t>
      </w:r>
      <w:r>
        <w:rPr>
          <w:rFonts w:hint="eastAsia" w:ascii="宋体" w:hAnsi="宋体" w:eastAsia="宋体" w:cs="Times New Roman"/>
          <w:b/>
          <w:color w:val="auto"/>
          <w:sz w:val="24"/>
          <w:highlight w:val="none"/>
        </w:rPr>
        <w:t>。</w:t>
      </w:r>
    </w:p>
    <w:p w14:paraId="66E89B1A">
      <w:pPr>
        <w:rPr>
          <w:color w:val="auto"/>
          <w:highlight w:val="none"/>
          <w:lang w:val="zh-CN"/>
        </w:rPr>
      </w:pPr>
    </w:p>
    <w:p w14:paraId="022CB58B">
      <w:pPr>
        <w:pStyle w:val="2"/>
        <w:ind w:firstLine="3840" w:firstLineChars="1600"/>
        <w:rPr>
          <w:rFonts w:hint="eastAsia" w:ascii="宋体" w:hAnsi="宋体" w:cs="宋体"/>
          <w:b w:val="0"/>
          <w:bCs w:val="0"/>
          <w:color w:val="auto"/>
          <w:kern w:val="0"/>
          <w:sz w:val="24"/>
          <w:highlight w:val="none"/>
          <w:lang w:val="zh-CN"/>
        </w:rPr>
      </w:pPr>
      <w:r>
        <w:rPr>
          <w:rFonts w:hint="eastAsia" w:ascii="宋体" w:hAnsi="宋体" w:cs="宋体"/>
          <w:b w:val="0"/>
          <w:bCs w:val="0"/>
          <w:color w:val="auto"/>
          <w:kern w:val="0"/>
          <w:sz w:val="24"/>
          <w:highlight w:val="none"/>
          <w:lang w:val="zh-CN"/>
        </w:rPr>
        <w:t>供应商名称（盖公章）：</w:t>
      </w:r>
    </w:p>
    <w:p w14:paraId="674E65C1">
      <w:pPr>
        <w:pStyle w:val="2"/>
        <w:ind w:firstLine="6000" w:firstLineChars="2500"/>
        <w:rPr>
          <w:rFonts w:hint="eastAsia" w:ascii="宋体" w:hAnsi="宋体" w:cs="宋体"/>
          <w:b w:val="0"/>
          <w:bCs w:val="0"/>
          <w:color w:val="auto"/>
          <w:kern w:val="0"/>
          <w:sz w:val="24"/>
          <w:highlight w:val="none"/>
          <w:lang w:val="zh-CN"/>
        </w:rPr>
      </w:pPr>
      <w:r>
        <w:rPr>
          <w:rFonts w:hint="eastAsia" w:ascii="宋体" w:hAnsi="宋体" w:cs="宋体"/>
          <w:b w:val="0"/>
          <w:bCs w:val="0"/>
          <w:color w:val="auto"/>
          <w:kern w:val="0"/>
          <w:sz w:val="24"/>
          <w:highlight w:val="none"/>
          <w:lang w:val="zh-CN"/>
        </w:rPr>
        <w:t>日期：  年  月   日</w:t>
      </w:r>
    </w:p>
    <w:p w14:paraId="3B7995F5">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3D5D3F5A">
      <w:pPr>
        <w:snapToGrid w:val="0"/>
        <w:spacing w:line="360" w:lineRule="auto"/>
        <w:rPr>
          <w:rFonts w:hint="eastAsia" w:ascii="宋体" w:hAnsi="宋体" w:cs="宋体"/>
          <w:b/>
          <w:color w:val="auto"/>
          <w:sz w:val="28"/>
          <w:szCs w:val="28"/>
          <w:highlight w:val="none"/>
        </w:rPr>
      </w:pPr>
      <w:r>
        <w:rPr>
          <w:rFonts w:hint="eastAsia" w:ascii="宋体" w:hAnsi="宋体" w:cs="宋体"/>
          <w:b/>
          <w:color w:val="auto"/>
          <w:sz w:val="28"/>
          <w:szCs w:val="28"/>
          <w:highlight w:val="none"/>
          <w:lang w:val="en-US" w:eastAsia="zh-CN"/>
        </w:rPr>
        <w:t>10</w:t>
      </w:r>
      <w:r>
        <w:rPr>
          <w:rFonts w:hint="eastAsia" w:ascii="宋体" w:hAnsi="宋体" w:cs="宋体"/>
          <w:b/>
          <w:color w:val="auto"/>
          <w:sz w:val="28"/>
          <w:szCs w:val="28"/>
          <w:highlight w:val="none"/>
        </w:rPr>
        <w:t>.组织服务方案</w:t>
      </w:r>
    </w:p>
    <w:p w14:paraId="7E1C657F">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（由供应商根据采购需求及采购文件要求编制）</w:t>
      </w:r>
    </w:p>
    <w:p w14:paraId="0067C3DD">
      <w:pPr>
        <w:keepNext/>
        <w:keepLines/>
        <w:widowControl w:val="0"/>
        <w:spacing w:before="340" w:after="330" w:line="578" w:lineRule="auto"/>
        <w:jc w:val="both"/>
        <w:outlineLvl w:val="0"/>
        <w:rPr>
          <w:rFonts w:hint="eastAsia" w:ascii="宋体" w:hAnsi="宋体" w:eastAsia="宋体" w:cs="宋体"/>
          <w:b/>
          <w:bCs/>
          <w:color w:val="auto"/>
          <w:kern w:val="0"/>
          <w:sz w:val="24"/>
          <w:szCs w:val="44"/>
          <w:highlight w:val="none"/>
          <w:lang w:val="zh-CN" w:eastAsia="zh-CN" w:bidi="ar-SA"/>
        </w:rPr>
      </w:pPr>
    </w:p>
    <w:p w14:paraId="0B008AF4">
      <w:pPr>
        <w:rPr>
          <w:rFonts w:hint="eastAsia" w:ascii="宋体" w:hAnsi="宋体" w:eastAsia="宋体" w:cs="宋体"/>
          <w:color w:val="auto"/>
          <w:kern w:val="0"/>
          <w:sz w:val="24"/>
          <w:highlight w:val="none"/>
          <w:lang w:val="zh-CN"/>
        </w:rPr>
      </w:pPr>
    </w:p>
    <w:p w14:paraId="3D4F772E">
      <w:pPr>
        <w:keepNext/>
        <w:keepLines/>
        <w:widowControl w:val="0"/>
        <w:spacing w:before="340" w:after="330" w:line="578" w:lineRule="auto"/>
        <w:jc w:val="both"/>
        <w:outlineLvl w:val="0"/>
        <w:rPr>
          <w:rFonts w:hint="eastAsia" w:ascii="宋体" w:hAnsi="宋体" w:eastAsia="宋体" w:cs="宋体"/>
          <w:b/>
          <w:bCs/>
          <w:color w:val="auto"/>
          <w:kern w:val="0"/>
          <w:sz w:val="24"/>
          <w:szCs w:val="44"/>
          <w:highlight w:val="none"/>
          <w:lang w:val="zh-CN" w:eastAsia="zh-CN" w:bidi="ar-SA"/>
        </w:rPr>
      </w:pPr>
    </w:p>
    <w:p w14:paraId="28DC4D4C">
      <w:pPr>
        <w:rPr>
          <w:rFonts w:ascii="Times New Roman" w:hAnsi="Times New Roman" w:eastAsia="宋体" w:cs="Times New Roman"/>
          <w:color w:val="auto"/>
          <w:highlight w:val="none"/>
          <w:lang w:val="zh-CN"/>
        </w:rPr>
      </w:pPr>
    </w:p>
    <w:p w14:paraId="2BF1529A">
      <w:pPr>
        <w:rPr>
          <w:rFonts w:ascii="Times New Roman" w:hAnsi="Times New Roman" w:eastAsia="宋体" w:cs="Times New Roman"/>
          <w:color w:val="auto"/>
          <w:highlight w:val="none"/>
          <w:lang w:val="zh-CN"/>
        </w:rPr>
      </w:pPr>
    </w:p>
    <w:p w14:paraId="7A088592">
      <w:pPr>
        <w:keepNext/>
        <w:keepLines/>
        <w:widowControl w:val="0"/>
        <w:spacing w:before="340" w:after="330" w:line="578" w:lineRule="auto"/>
        <w:jc w:val="center"/>
        <w:outlineLvl w:val="0"/>
        <w:rPr>
          <w:rFonts w:hint="eastAsia" w:ascii="宋体" w:hAnsi="宋体" w:eastAsia="宋体" w:cs="宋体"/>
          <w:b/>
          <w:bCs/>
          <w:color w:val="auto"/>
          <w:kern w:val="0"/>
          <w:sz w:val="24"/>
          <w:szCs w:val="44"/>
          <w:highlight w:val="none"/>
          <w:lang w:val="en-US" w:eastAsia="zh-CN" w:bidi="ar-SA"/>
        </w:rPr>
      </w:pPr>
      <w:r>
        <w:rPr>
          <w:rFonts w:hint="eastAsia" w:ascii="宋体" w:hAnsi="宋体" w:eastAsia="宋体" w:cs="宋体"/>
          <w:b/>
          <w:bCs/>
          <w:color w:val="auto"/>
          <w:kern w:val="0"/>
          <w:sz w:val="24"/>
          <w:szCs w:val="44"/>
          <w:highlight w:val="none"/>
          <w:lang w:val="en-US" w:eastAsia="zh-CN" w:bidi="ar-SA"/>
        </w:rPr>
        <w:t>（格式自拟）</w:t>
      </w:r>
    </w:p>
    <w:p w14:paraId="4A15B529">
      <w:pPr>
        <w:rPr>
          <w:rFonts w:hint="eastAsia" w:ascii="宋体" w:hAnsi="宋体" w:eastAsia="宋体" w:cs="宋体"/>
          <w:color w:val="auto"/>
          <w:kern w:val="0"/>
          <w:sz w:val="24"/>
          <w:highlight w:val="none"/>
          <w:lang w:val="zh-CN"/>
        </w:rPr>
      </w:pPr>
    </w:p>
    <w:p w14:paraId="2A2A617A">
      <w:pPr>
        <w:keepNext/>
        <w:keepLines/>
        <w:widowControl w:val="0"/>
        <w:spacing w:before="340" w:after="330" w:line="578" w:lineRule="auto"/>
        <w:jc w:val="both"/>
        <w:outlineLvl w:val="0"/>
        <w:rPr>
          <w:rFonts w:hint="eastAsia" w:ascii="宋体" w:hAnsi="宋体" w:eastAsia="宋体" w:cs="宋体"/>
          <w:b/>
          <w:bCs/>
          <w:color w:val="auto"/>
          <w:kern w:val="0"/>
          <w:sz w:val="24"/>
          <w:szCs w:val="44"/>
          <w:highlight w:val="none"/>
          <w:lang w:val="zh-CN" w:eastAsia="zh-CN" w:bidi="ar-SA"/>
        </w:rPr>
      </w:pPr>
    </w:p>
    <w:p w14:paraId="381DE316">
      <w:pPr>
        <w:rPr>
          <w:rFonts w:hint="eastAsia" w:ascii="宋体" w:hAnsi="宋体" w:eastAsia="宋体" w:cs="宋体"/>
          <w:color w:val="auto"/>
          <w:kern w:val="0"/>
          <w:sz w:val="24"/>
          <w:highlight w:val="none"/>
          <w:lang w:val="zh-CN"/>
        </w:rPr>
      </w:pPr>
    </w:p>
    <w:p w14:paraId="731FA28A">
      <w:pPr>
        <w:keepNext/>
        <w:keepLines/>
        <w:widowControl w:val="0"/>
        <w:spacing w:before="340" w:after="330" w:line="578" w:lineRule="auto"/>
        <w:jc w:val="both"/>
        <w:outlineLvl w:val="0"/>
        <w:rPr>
          <w:rFonts w:ascii="Times New Roman" w:hAnsi="Times New Roman" w:eastAsia="宋体" w:cs="Times New Roman"/>
          <w:b/>
          <w:bCs/>
          <w:color w:val="auto"/>
          <w:kern w:val="44"/>
          <w:sz w:val="44"/>
          <w:szCs w:val="44"/>
          <w:highlight w:val="none"/>
          <w:lang w:val="zh-CN" w:eastAsia="zh-CN" w:bidi="ar-SA"/>
        </w:rPr>
      </w:pPr>
    </w:p>
    <w:p w14:paraId="1DA7C823">
      <w:pPr>
        <w:rPr>
          <w:rFonts w:ascii="Times New Roman" w:hAnsi="Times New Roman" w:eastAsia="宋体" w:cs="Times New Roman"/>
          <w:color w:val="auto"/>
          <w:highlight w:val="none"/>
          <w:lang w:val="zh-CN"/>
        </w:rPr>
      </w:pPr>
    </w:p>
    <w:p w14:paraId="3D766A64">
      <w:pPr>
        <w:keepNext/>
        <w:keepLines/>
        <w:widowControl w:val="0"/>
        <w:spacing w:before="340" w:after="330" w:line="578" w:lineRule="auto"/>
        <w:ind w:firstLine="3840" w:firstLineChars="1600"/>
        <w:jc w:val="both"/>
        <w:outlineLvl w:val="0"/>
        <w:rPr>
          <w:rFonts w:hint="eastAsia" w:ascii="宋体" w:hAnsi="宋体" w:eastAsia="宋体" w:cs="宋体"/>
          <w:b w:val="0"/>
          <w:bCs w:val="0"/>
          <w:color w:val="auto"/>
          <w:kern w:val="0"/>
          <w:sz w:val="24"/>
          <w:szCs w:val="44"/>
          <w:highlight w:val="none"/>
          <w:lang w:val="zh-CN" w:eastAsia="zh-CN" w:bidi="ar-SA"/>
        </w:rPr>
      </w:pPr>
      <w:r>
        <w:rPr>
          <w:rFonts w:hint="eastAsia" w:ascii="宋体" w:hAnsi="宋体" w:eastAsia="宋体" w:cs="宋体"/>
          <w:b w:val="0"/>
          <w:bCs w:val="0"/>
          <w:color w:val="auto"/>
          <w:kern w:val="0"/>
          <w:sz w:val="24"/>
          <w:szCs w:val="44"/>
          <w:highlight w:val="none"/>
          <w:lang w:val="zh-CN" w:eastAsia="zh-CN" w:bidi="ar-SA"/>
        </w:rPr>
        <w:t>供应商名称（盖公章）：</w:t>
      </w:r>
    </w:p>
    <w:p w14:paraId="3ED3299D">
      <w:pPr>
        <w:keepNext/>
        <w:keepLines/>
        <w:widowControl w:val="0"/>
        <w:spacing w:before="340" w:after="330" w:line="578" w:lineRule="auto"/>
        <w:ind w:firstLine="6000" w:firstLineChars="2500"/>
        <w:jc w:val="both"/>
        <w:outlineLvl w:val="0"/>
        <w:rPr>
          <w:rFonts w:hint="eastAsia" w:ascii="宋体" w:hAnsi="宋体" w:eastAsia="宋体" w:cs="宋体"/>
          <w:b w:val="0"/>
          <w:bCs w:val="0"/>
          <w:color w:val="auto"/>
          <w:kern w:val="0"/>
          <w:sz w:val="24"/>
          <w:szCs w:val="44"/>
          <w:highlight w:val="none"/>
          <w:lang w:val="zh-CN" w:eastAsia="zh-CN" w:bidi="ar-SA"/>
        </w:rPr>
      </w:pPr>
      <w:r>
        <w:rPr>
          <w:rFonts w:hint="eastAsia" w:ascii="宋体" w:hAnsi="宋体" w:eastAsia="宋体" w:cs="宋体"/>
          <w:b w:val="0"/>
          <w:bCs w:val="0"/>
          <w:color w:val="auto"/>
          <w:kern w:val="0"/>
          <w:sz w:val="24"/>
          <w:szCs w:val="44"/>
          <w:highlight w:val="none"/>
          <w:lang w:val="zh-CN" w:eastAsia="zh-CN" w:bidi="ar-SA"/>
        </w:rPr>
        <w:t>日期：  年  月   日</w:t>
      </w:r>
    </w:p>
    <w:p w14:paraId="1E7515D0">
      <w:pPr>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br w:type="page"/>
      </w:r>
    </w:p>
    <w:p w14:paraId="01EAD26F">
      <w:pPr>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11</w:t>
      </w:r>
      <w:r>
        <w:rPr>
          <w:rFonts w:hint="eastAsia" w:ascii="宋体" w:hAnsi="宋体" w:eastAsia="宋体" w:cs="宋体"/>
          <w:b/>
          <w:color w:val="auto"/>
          <w:sz w:val="28"/>
          <w:szCs w:val="28"/>
          <w:highlight w:val="none"/>
        </w:rPr>
        <w:t>.售后服务承诺</w:t>
      </w:r>
    </w:p>
    <w:p w14:paraId="1D45CEC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（由供应商根据采购需求及采购文件要求编制）</w:t>
      </w:r>
    </w:p>
    <w:p w14:paraId="07CBC64A">
      <w:pPr>
        <w:keepNext/>
        <w:keepLines/>
        <w:widowControl w:val="0"/>
        <w:spacing w:before="340" w:after="330" w:line="578" w:lineRule="auto"/>
        <w:jc w:val="both"/>
        <w:outlineLvl w:val="0"/>
        <w:rPr>
          <w:rFonts w:hint="eastAsia" w:ascii="宋体" w:hAnsi="宋体" w:eastAsia="宋体" w:cs="宋体"/>
          <w:b/>
          <w:bCs/>
          <w:color w:val="auto"/>
          <w:kern w:val="0"/>
          <w:sz w:val="24"/>
          <w:szCs w:val="44"/>
          <w:highlight w:val="none"/>
          <w:lang w:val="zh-CN" w:eastAsia="zh-CN" w:bidi="ar-SA"/>
        </w:rPr>
      </w:pPr>
    </w:p>
    <w:p w14:paraId="78C534FD">
      <w:pPr>
        <w:rPr>
          <w:rFonts w:hint="eastAsia" w:ascii="宋体" w:hAnsi="宋体" w:eastAsia="宋体" w:cs="宋体"/>
          <w:color w:val="auto"/>
          <w:kern w:val="0"/>
          <w:sz w:val="24"/>
          <w:highlight w:val="none"/>
          <w:lang w:val="zh-CN"/>
        </w:rPr>
      </w:pPr>
    </w:p>
    <w:p w14:paraId="69407A53">
      <w:pPr>
        <w:keepNext/>
        <w:keepLines/>
        <w:widowControl w:val="0"/>
        <w:spacing w:before="340" w:after="330" w:line="578" w:lineRule="auto"/>
        <w:jc w:val="both"/>
        <w:outlineLvl w:val="0"/>
        <w:rPr>
          <w:rFonts w:hint="eastAsia" w:ascii="宋体" w:hAnsi="宋体" w:eastAsia="宋体" w:cs="宋体"/>
          <w:b/>
          <w:bCs/>
          <w:color w:val="auto"/>
          <w:kern w:val="0"/>
          <w:sz w:val="24"/>
          <w:szCs w:val="44"/>
          <w:highlight w:val="none"/>
          <w:lang w:val="zh-CN" w:eastAsia="zh-CN" w:bidi="ar-SA"/>
        </w:rPr>
      </w:pPr>
    </w:p>
    <w:p w14:paraId="05B48F27">
      <w:pPr>
        <w:rPr>
          <w:rFonts w:ascii="Times New Roman" w:hAnsi="Times New Roman" w:eastAsia="宋体" w:cs="Times New Roman"/>
          <w:color w:val="auto"/>
          <w:highlight w:val="none"/>
          <w:lang w:val="zh-CN"/>
        </w:rPr>
      </w:pPr>
    </w:p>
    <w:p w14:paraId="34C4CA64">
      <w:pPr>
        <w:rPr>
          <w:rFonts w:ascii="Times New Roman" w:hAnsi="Times New Roman" w:eastAsia="宋体" w:cs="Times New Roman"/>
          <w:color w:val="auto"/>
          <w:highlight w:val="none"/>
          <w:lang w:val="zh-CN"/>
        </w:rPr>
      </w:pPr>
    </w:p>
    <w:p w14:paraId="5FF55861">
      <w:pPr>
        <w:keepNext/>
        <w:keepLines/>
        <w:widowControl w:val="0"/>
        <w:spacing w:before="340" w:after="330" w:line="578" w:lineRule="auto"/>
        <w:jc w:val="center"/>
        <w:outlineLvl w:val="0"/>
        <w:rPr>
          <w:rFonts w:hint="eastAsia" w:ascii="宋体" w:hAnsi="宋体" w:eastAsia="宋体" w:cs="宋体"/>
          <w:b/>
          <w:bCs/>
          <w:color w:val="auto"/>
          <w:kern w:val="0"/>
          <w:sz w:val="24"/>
          <w:szCs w:val="44"/>
          <w:highlight w:val="none"/>
          <w:lang w:val="en-US" w:eastAsia="zh-CN" w:bidi="ar-SA"/>
        </w:rPr>
      </w:pPr>
      <w:r>
        <w:rPr>
          <w:rFonts w:hint="eastAsia" w:ascii="宋体" w:hAnsi="宋体" w:eastAsia="宋体" w:cs="宋体"/>
          <w:b/>
          <w:bCs/>
          <w:color w:val="auto"/>
          <w:kern w:val="0"/>
          <w:sz w:val="24"/>
          <w:szCs w:val="44"/>
          <w:highlight w:val="none"/>
          <w:lang w:val="en-US" w:eastAsia="zh-CN" w:bidi="ar-SA"/>
        </w:rPr>
        <w:t>（格式自拟）</w:t>
      </w:r>
    </w:p>
    <w:p w14:paraId="484726F8">
      <w:pPr>
        <w:rPr>
          <w:rFonts w:hint="eastAsia" w:ascii="宋体" w:hAnsi="宋体" w:eastAsia="宋体" w:cs="宋体"/>
          <w:color w:val="auto"/>
          <w:kern w:val="0"/>
          <w:sz w:val="24"/>
          <w:highlight w:val="none"/>
          <w:lang w:val="zh-CN"/>
        </w:rPr>
      </w:pPr>
    </w:p>
    <w:p w14:paraId="6B3EA2BF">
      <w:pPr>
        <w:keepNext/>
        <w:keepLines/>
        <w:widowControl w:val="0"/>
        <w:spacing w:before="340" w:after="330" w:line="578" w:lineRule="auto"/>
        <w:jc w:val="both"/>
        <w:outlineLvl w:val="0"/>
        <w:rPr>
          <w:rFonts w:hint="eastAsia" w:ascii="宋体" w:hAnsi="宋体" w:eastAsia="宋体" w:cs="宋体"/>
          <w:b/>
          <w:bCs/>
          <w:color w:val="auto"/>
          <w:kern w:val="0"/>
          <w:sz w:val="24"/>
          <w:szCs w:val="44"/>
          <w:highlight w:val="none"/>
          <w:lang w:val="zh-CN" w:eastAsia="zh-CN" w:bidi="ar-SA"/>
        </w:rPr>
      </w:pPr>
    </w:p>
    <w:p w14:paraId="496248E8">
      <w:pPr>
        <w:rPr>
          <w:rFonts w:hint="eastAsia" w:ascii="宋体" w:hAnsi="宋体" w:eastAsia="宋体" w:cs="宋体"/>
          <w:color w:val="auto"/>
          <w:kern w:val="0"/>
          <w:sz w:val="24"/>
          <w:highlight w:val="none"/>
          <w:lang w:val="zh-CN"/>
        </w:rPr>
      </w:pPr>
    </w:p>
    <w:p w14:paraId="28016172">
      <w:pPr>
        <w:keepNext/>
        <w:keepLines/>
        <w:widowControl w:val="0"/>
        <w:spacing w:before="340" w:after="330" w:line="578" w:lineRule="auto"/>
        <w:jc w:val="both"/>
        <w:outlineLvl w:val="0"/>
        <w:rPr>
          <w:rFonts w:ascii="Times New Roman" w:hAnsi="Times New Roman" w:eastAsia="宋体" w:cs="Times New Roman"/>
          <w:b/>
          <w:bCs/>
          <w:color w:val="auto"/>
          <w:kern w:val="44"/>
          <w:sz w:val="44"/>
          <w:szCs w:val="44"/>
          <w:highlight w:val="none"/>
          <w:lang w:val="zh-CN" w:eastAsia="zh-CN" w:bidi="ar-SA"/>
        </w:rPr>
      </w:pPr>
    </w:p>
    <w:p w14:paraId="5B80674A">
      <w:pPr>
        <w:rPr>
          <w:rFonts w:ascii="Times New Roman" w:hAnsi="Times New Roman" w:eastAsia="宋体" w:cs="Times New Roman"/>
          <w:color w:val="auto"/>
          <w:highlight w:val="none"/>
          <w:lang w:val="zh-CN"/>
        </w:rPr>
      </w:pPr>
    </w:p>
    <w:p w14:paraId="042626BC">
      <w:pPr>
        <w:keepNext/>
        <w:keepLines/>
        <w:widowControl w:val="0"/>
        <w:spacing w:before="340" w:after="330" w:line="578" w:lineRule="auto"/>
        <w:ind w:firstLine="3840" w:firstLineChars="1600"/>
        <w:jc w:val="both"/>
        <w:outlineLvl w:val="0"/>
        <w:rPr>
          <w:rFonts w:hint="eastAsia" w:ascii="宋体" w:hAnsi="宋体" w:eastAsia="宋体" w:cs="宋体"/>
          <w:b w:val="0"/>
          <w:bCs w:val="0"/>
          <w:color w:val="auto"/>
          <w:kern w:val="0"/>
          <w:sz w:val="24"/>
          <w:szCs w:val="44"/>
          <w:highlight w:val="none"/>
          <w:lang w:val="zh-CN" w:eastAsia="zh-CN" w:bidi="ar-SA"/>
        </w:rPr>
      </w:pPr>
      <w:r>
        <w:rPr>
          <w:rFonts w:hint="eastAsia" w:ascii="宋体" w:hAnsi="宋体" w:eastAsia="宋体" w:cs="宋体"/>
          <w:b w:val="0"/>
          <w:bCs w:val="0"/>
          <w:color w:val="auto"/>
          <w:kern w:val="0"/>
          <w:sz w:val="24"/>
          <w:szCs w:val="44"/>
          <w:highlight w:val="none"/>
          <w:lang w:val="zh-CN" w:eastAsia="zh-CN" w:bidi="ar-SA"/>
        </w:rPr>
        <w:t>供应商名称（盖公章）：</w:t>
      </w:r>
    </w:p>
    <w:p w14:paraId="2E31D4F1">
      <w:pPr>
        <w:keepNext/>
        <w:keepLines/>
        <w:widowControl w:val="0"/>
        <w:spacing w:before="340" w:after="330" w:line="578" w:lineRule="auto"/>
        <w:ind w:firstLine="6000" w:firstLineChars="2500"/>
        <w:jc w:val="both"/>
        <w:outlineLvl w:val="0"/>
        <w:rPr>
          <w:rFonts w:hint="eastAsia" w:ascii="宋体" w:hAnsi="宋体" w:eastAsia="宋体" w:cs="宋体"/>
          <w:b w:val="0"/>
          <w:bCs w:val="0"/>
          <w:color w:val="auto"/>
          <w:kern w:val="0"/>
          <w:sz w:val="24"/>
          <w:szCs w:val="44"/>
          <w:highlight w:val="none"/>
          <w:lang w:val="zh-CN" w:eastAsia="zh-CN" w:bidi="ar-SA"/>
        </w:rPr>
      </w:pPr>
      <w:r>
        <w:rPr>
          <w:rFonts w:hint="eastAsia" w:ascii="宋体" w:hAnsi="宋体" w:eastAsia="宋体" w:cs="宋体"/>
          <w:b w:val="0"/>
          <w:bCs w:val="0"/>
          <w:color w:val="auto"/>
          <w:kern w:val="0"/>
          <w:sz w:val="24"/>
          <w:szCs w:val="44"/>
          <w:highlight w:val="none"/>
          <w:lang w:val="zh-CN" w:eastAsia="zh-CN" w:bidi="ar-SA"/>
        </w:rPr>
        <w:t>日期：  年  月   日</w:t>
      </w:r>
    </w:p>
    <w:p w14:paraId="2F46CF2E">
      <w:pPr>
        <w:autoSpaceDE w:val="0"/>
        <w:autoSpaceDN w:val="0"/>
        <w:spacing w:line="360" w:lineRule="auto"/>
        <w:ind w:firstLine="6480" w:firstLineChars="2700"/>
        <w:rPr>
          <w:rFonts w:hint="eastAsia" w:ascii="仿宋_GB2312" w:hAnsi="仿宋" w:eastAsia="仿宋_GB2312" w:cs="仿宋_GB2312"/>
          <w:color w:val="auto"/>
          <w:kern w:val="0"/>
          <w:sz w:val="24"/>
          <w:highlight w:val="none"/>
          <w:lang w:val="zh-CN"/>
        </w:rPr>
      </w:pPr>
    </w:p>
    <w:p w14:paraId="2799C8BF">
      <w:pPr>
        <w:autoSpaceDE w:val="0"/>
        <w:autoSpaceDN w:val="0"/>
        <w:spacing w:line="360" w:lineRule="auto"/>
        <w:ind w:firstLine="8132" w:firstLineChars="2700"/>
        <w:rPr>
          <w:rFonts w:hint="eastAsia" w:ascii="仿宋_GB2312" w:hAnsi="仿宋" w:eastAsia="仿宋_GB2312" w:cs="仿宋_GB2312"/>
          <w:b/>
          <w:bCs/>
          <w:color w:val="auto"/>
          <w:sz w:val="24"/>
          <w:highlight w:val="none"/>
        </w:rPr>
      </w:pPr>
      <w:r>
        <w:rPr>
          <w:rFonts w:hint="eastAsia" w:ascii="仿宋" w:hAnsi="仿宋" w:eastAsia="仿宋" w:cs="仿宋_GB2312"/>
          <w:b/>
          <w:color w:val="auto"/>
          <w:sz w:val="30"/>
          <w:szCs w:val="30"/>
          <w:highlight w:val="none"/>
        </w:rPr>
        <w:br w:type="page"/>
      </w:r>
    </w:p>
    <w:p w14:paraId="24608C87">
      <w:pPr>
        <w:snapToGrid w:val="0"/>
        <w:spacing w:line="360" w:lineRule="auto"/>
        <w:rPr>
          <w:rFonts w:hint="eastAsia" w:ascii="宋体" w:hAnsi="宋体" w:eastAsia="宋体" w:cs="宋体"/>
          <w:b/>
          <w:color w:val="auto"/>
          <w:sz w:val="28"/>
          <w:szCs w:val="28"/>
          <w:highlight w:val="none"/>
        </w:rPr>
      </w:pPr>
      <w:bookmarkStart w:id="143" w:name="_Toc31035"/>
      <w:bookmarkStart w:id="144" w:name="_Toc80205941"/>
      <w:bookmarkStart w:id="145" w:name="_Toc80886945"/>
      <w:bookmarkStart w:id="146" w:name="_Toc12611"/>
      <w:r>
        <w:rPr>
          <w:rFonts w:hint="eastAsia" w:ascii="宋体" w:hAnsi="宋体" w:eastAsia="宋体" w:cs="宋体"/>
          <w:b/>
          <w:color w:val="auto"/>
          <w:sz w:val="28"/>
          <w:szCs w:val="28"/>
          <w:highlight w:val="none"/>
          <w:lang w:val="en-US" w:eastAsia="zh-CN"/>
        </w:rPr>
        <w:t>1</w:t>
      </w:r>
      <w:r>
        <w:rPr>
          <w:rFonts w:hint="eastAsia" w:ascii="宋体" w:hAnsi="宋体" w:cs="宋体"/>
          <w:b/>
          <w:color w:val="auto"/>
          <w:sz w:val="28"/>
          <w:szCs w:val="28"/>
          <w:highlight w:val="none"/>
          <w:lang w:val="en-US" w:eastAsia="zh-CN"/>
        </w:rPr>
        <w:t>2</w:t>
      </w:r>
      <w:r>
        <w:rPr>
          <w:rFonts w:hint="eastAsia" w:ascii="宋体" w:hAnsi="宋体" w:eastAsia="宋体" w:cs="宋体"/>
          <w:b/>
          <w:color w:val="auto"/>
          <w:sz w:val="28"/>
          <w:szCs w:val="28"/>
          <w:highlight w:val="none"/>
        </w:rPr>
        <w:t>.</w:t>
      </w:r>
      <w:r>
        <w:rPr>
          <w:rFonts w:hint="eastAsia" w:ascii="宋体" w:hAnsi="宋体" w:cs="宋体"/>
          <w:b/>
          <w:color w:val="auto"/>
          <w:sz w:val="28"/>
          <w:szCs w:val="28"/>
          <w:highlight w:val="none"/>
        </w:rPr>
        <w:t>项目实施人员一览表</w:t>
      </w:r>
    </w:p>
    <w:p w14:paraId="6CCA2FE2">
      <w:pPr>
        <w:snapToGrid w:val="0"/>
        <w:spacing w:before="120" w:beforeLines="50" w:after="50"/>
        <w:ind w:left="142"/>
        <w:jc w:val="center"/>
        <w:rPr>
          <w:rFonts w:hint="eastAsia" w:ascii="宋体" w:hAnsi="宋体"/>
          <w:b/>
          <w:color w:val="auto"/>
          <w:sz w:val="32"/>
          <w:szCs w:val="32"/>
          <w:highlight w:val="none"/>
        </w:rPr>
      </w:pPr>
    </w:p>
    <w:p w14:paraId="2358CDA9">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14:paraId="70C3FE43">
      <w:pPr>
        <w:spacing w:line="360" w:lineRule="auto"/>
        <w:contextualSpacing/>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6AE0E6B8">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p>
    <w:p w14:paraId="460C00DB">
      <w:pPr>
        <w:spacing w:line="360" w:lineRule="auto"/>
        <w:contextualSpacing/>
        <w:rPr>
          <w:rFonts w:ascii="宋体" w:hAnsi="宋体" w:cs="宋体"/>
          <w:color w:val="auto"/>
          <w:sz w:val="24"/>
          <w:highlight w:val="none"/>
          <w:u w:val="single"/>
        </w:rPr>
      </w:pPr>
      <w:r>
        <w:rPr>
          <w:rFonts w:hint="eastAsia" w:ascii="宋体" w:hAnsi="宋体" w:cs="宋体"/>
          <w:color w:val="auto"/>
          <w:sz w:val="24"/>
          <w:highlight w:val="none"/>
        </w:rPr>
        <w:t>所竞分标（如有则填写，无分标时填写“无”或者留空）：</w:t>
      </w:r>
      <w:r>
        <w:rPr>
          <w:rFonts w:hint="eastAsia" w:ascii="宋体" w:hAnsi="宋体" w:cs="宋体"/>
          <w:color w:val="auto"/>
          <w:sz w:val="24"/>
          <w:highlight w:val="none"/>
          <w:u w:val="single"/>
        </w:rPr>
        <w:t xml:space="preserve">                </w:t>
      </w:r>
    </w:p>
    <w:tbl>
      <w:tblPr>
        <w:tblStyle w:val="31"/>
        <w:tblW w:w="97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712"/>
        <w:gridCol w:w="712"/>
        <w:gridCol w:w="712"/>
        <w:gridCol w:w="924"/>
        <w:gridCol w:w="2900"/>
        <w:gridCol w:w="1291"/>
        <w:gridCol w:w="1526"/>
      </w:tblGrid>
      <w:tr w14:paraId="2EE1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14:paraId="0DE41BBF">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姓名</w:t>
            </w:r>
          </w:p>
        </w:tc>
        <w:tc>
          <w:tcPr>
            <w:tcW w:w="712" w:type="dxa"/>
            <w:vAlign w:val="center"/>
          </w:tcPr>
          <w:p w14:paraId="72EC4E97">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性别</w:t>
            </w:r>
          </w:p>
        </w:tc>
        <w:tc>
          <w:tcPr>
            <w:tcW w:w="712" w:type="dxa"/>
            <w:vAlign w:val="center"/>
          </w:tcPr>
          <w:p w14:paraId="594E8164">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职务</w:t>
            </w:r>
          </w:p>
        </w:tc>
        <w:tc>
          <w:tcPr>
            <w:tcW w:w="712" w:type="dxa"/>
            <w:vAlign w:val="center"/>
          </w:tcPr>
          <w:p w14:paraId="405F2463">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学历</w:t>
            </w:r>
          </w:p>
        </w:tc>
        <w:tc>
          <w:tcPr>
            <w:tcW w:w="924" w:type="dxa"/>
            <w:vAlign w:val="center"/>
          </w:tcPr>
          <w:p w14:paraId="66D64828">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工作年限</w:t>
            </w:r>
          </w:p>
        </w:tc>
        <w:tc>
          <w:tcPr>
            <w:tcW w:w="2900" w:type="dxa"/>
            <w:vAlign w:val="center"/>
          </w:tcPr>
          <w:p w14:paraId="0F005DE5">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291" w:type="dxa"/>
            <w:vAlign w:val="center"/>
          </w:tcPr>
          <w:p w14:paraId="51C691B3">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在本项目中的职责分工</w:t>
            </w:r>
          </w:p>
        </w:tc>
        <w:tc>
          <w:tcPr>
            <w:tcW w:w="1526" w:type="dxa"/>
            <w:vAlign w:val="center"/>
          </w:tcPr>
          <w:p w14:paraId="7DBA4F9E">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项目经历</w:t>
            </w:r>
          </w:p>
        </w:tc>
      </w:tr>
      <w:tr w14:paraId="6E7C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14:paraId="5F951C43">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712" w:type="dxa"/>
            <w:vAlign w:val="center"/>
          </w:tcPr>
          <w:p w14:paraId="5448C645">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712" w:type="dxa"/>
            <w:vAlign w:val="center"/>
          </w:tcPr>
          <w:p w14:paraId="1C692495">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712" w:type="dxa"/>
            <w:vAlign w:val="center"/>
          </w:tcPr>
          <w:p w14:paraId="35AC534A">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924" w:type="dxa"/>
            <w:vAlign w:val="center"/>
          </w:tcPr>
          <w:p w14:paraId="37520DDF">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2900" w:type="dxa"/>
            <w:vAlign w:val="center"/>
          </w:tcPr>
          <w:p w14:paraId="1FBCA8F1">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1291" w:type="dxa"/>
            <w:vAlign w:val="center"/>
          </w:tcPr>
          <w:p w14:paraId="4927D4D1">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1526" w:type="dxa"/>
            <w:vAlign w:val="center"/>
          </w:tcPr>
          <w:p w14:paraId="4522B85F">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r>
      <w:tr w14:paraId="79C2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14:paraId="1F412DDC">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712" w:type="dxa"/>
            <w:vAlign w:val="center"/>
          </w:tcPr>
          <w:p w14:paraId="4E586794">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712" w:type="dxa"/>
            <w:vAlign w:val="center"/>
          </w:tcPr>
          <w:p w14:paraId="68BE8847">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712" w:type="dxa"/>
            <w:vAlign w:val="center"/>
          </w:tcPr>
          <w:p w14:paraId="402E2D4C">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924" w:type="dxa"/>
            <w:vAlign w:val="center"/>
          </w:tcPr>
          <w:p w14:paraId="45E69C06">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2900" w:type="dxa"/>
            <w:vAlign w:val="center"/>
          </w:tcPr>
          <w:p w14:paraId="5C7F29F5">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1291" w:type="dxa"/>
            <w:vAlign w:val="center"/>
          </w:tcPr>
          <w:p w14:paraId="457CB182">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1526" w:type="dxa"/>
            <w:vAlign w:val="center"/>
          </w:tcPr>
          <w:p w14:paraId="55AFFA5E">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r>
      <w:tr w14:paraId="10BA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14:paraId="739783A4">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712" w:type="dxa"/>
            <w:vAlign w:val="center"/>
          </w:tcPr>
          <w:p w14:paraId="743AF7FF">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712" w:type="dxa"/>
            <w:vAlign w:val="center"/>
          </w:tcPr>
          <w:p w14:paraId="65E8BD21">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712" w:type="dxa"/>
            <w:vAlign w:val="center"/>
          </w:tcPr>
          <w:p w14:paraId="3A0B67AA">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924" w:type="dxa"/>
            <w:vAlign w:val="center"/>
          </w:tcPr>
          <w:p w14:paraId="2F4AF867">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2900" w:type="dxa"/>
            <w:vAlign w:val="center"/>
          </w:tcPr>
          <w:p w14:paraId="10C8A874">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1291" w:type="dxa"/>
            <w:vAlign w:val="center"/>
          </w:tcPr>
          <w:p w14:paraId="3033F5C4">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c>
          <w:tcPr>
            <w:tcW w:w="1526" w:type="dxa"/>
            <w:vAlign w:val="center"/>
          </w:tcPr>
          <w:p w14:paraId="7D9C604B">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p>
        </w:tc>
      </w:tr>
      <w:tr w14:paraId="211A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14:paraId="5F19AA8F">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default" w:ascii="宋体" w:hAnsi="宋体"/>
                <w:color w:val="auto"/>
                <w:sz w:val="24"/>
                <w:szCs w:val="20"/>
                <w:highlight w:val="none"/>
              </w:rPr>
              <w:t>……</w:t>
            </w:r>
          </w:p>
        </w:tc>
        <w:tc>
          <w:tcPr>
            <w:tcW w:w="712" w:type="dxa"/>
            <w:vAlign w:val="center"/>
          </w:tcPr>
          <w:p w14:paraId="4305AEBE">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default" w:ascii="宋体" w:hAnsi="宋体"/>
                <w:color w:val="auto"/>
                <w:sz w:val="24"/>
                <w:szCs w:val="20"/>
                <w:highlight w:val="none"/>
              </w:rPr>
              <w:t>……</w:t>
            </w:r>
          </w:p>
        </w:tc>
        <w:tc>
          <w:tcPr>
            <w:tcW w:w="712" w:type="dxa"/>
            <w:vAlign w:val="center"/>
          </w:tcPr>
          <w:p w14:paraId="0DF60350">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default" w:ascii="宋体" w:hAnsi="宋体"/>
                <w:color w:val="auto"/>
                <w:sz w:val="24"/>
                <w:szCs w:val="20"/>
                <w:highlight w:val="none"/>
              </w:rPr>
              <w:t>……</w:t>
            </w:r>
          </w:p>
        </w:tc>
        <w:tc>
          <w:tcPr>
            <w:tcW w:w="712" w:type="dxa"/>
            <w:vAlign w:val="center"/>
          </w:tcPr>
          <w:p w14:paraId="0EF0A73B">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default" w:ascii="宋体" w:hAnsi="宋体"/>
                <w:color w:val="auto"/>
                <w:sz w:val="24"/>
                <w:szCs w:val="20"/>
                <w:highlight w:val="none"/>
              </w:rPr>
              <w:t>……</w:t>
            </w:r>
          </w:p>
        </w:tc>
        <w:tc>
          <w:tcPr>
            <w:tcW w:w="924" w:type="dxa"/>
            <w:vAlign w:val="center"/>
          </w:tcPr>
          <w:p w14:paraId="75E5B5E5">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default" w:ascii="宋体" w:hAnsi="宋体"/>
                <w:color w:val="auto"/>
                <w:sz w:val="24"/>
                <w:szCs w:val="20"/>
                <w:highlight w:val="none"/>
              </w:rPr>
              <w:t>……</w:t>
            </w:r>
          </w:p>
        </w:tc>
        <w:tc>
          <w:tcPr>
            <w:tcW w:w="2900" w:type="dxa"/>
            <w:vAlign w:val="center"/>
          </w:tcPr>
          <w:p w14:paraId="0145CC28">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default" w:ascii="宋体" w:hAnsi="宋体"/>
                <w:color w:val="auto"/>
                <w:sz w:val="24"/>
                <w:szCs w:val="20"/>
                <w:highlight w:val="none"/>
              </w:rPr>
              <w:t>……</w:t>
            </w:r>
          </w:p>
        </w:tc>
        <w:tc>
          <w:tcPr>
            <w:tcW w:w="1291" w:type="dxa"/>
            <w:vAlign w:val="center"/>
          </w:tcPr>
          <w:p w14:paraId="2ACADE63">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default" w:ascii="宋体" w:hAnsi="宋体"/>
                <w:color w:val="auto"/>
                <w:sz w:val="24"/>
                <w:szCs w:val="20"/>
                <w:highlight w:val="none"/>
              </w:rPr>
              <w:t>……</w:t>
            </w:r>
          </w:p>
        </w:tc>
        <w:tc>
          <w:tcPr>
            <w:tcW w:w="1526" w:type="dxa"/>
            <w:vAlign w:val="center"/>
          </w:tcPr>
          <w:p w14:paraId="604D5142">
            <w:pPr>
              <w:keepNext w:val="0"/>
              <w:keepLines w:val="0"/>
              <w:suppressLineNumbers w:val="0"/>
              <w:snapToGrid w:val="0"/>
              <w:spacing w:before="50" w:beforeAutospacing="0" w:after="120" w:afterLines="50" w:afterAutospacing="0"/>
              <w:ind w:left="0" w:right="0"/>
              <w:jc w:val="center"/>
              <w:rPr>
                <w:rFonts w:hint="default" w:ascii="宋体" w:hAnsi="宋体"/>
                <w:color w:val="auto"/>
                <w:sz w:val="24"/>
                <w:szCs w:val="20"/>
                <w:highlight w:val="none"/>
              </w:rPr>
            </w:pPr>
            <w:r>
              <w:rPr>
                <w:rFonts w:hint="default" w:ascii="宋体" w:hAnsi="宋体"/>
                <w:color w:val="auto"/>
                <w:sz w:val="24"/>
                <w:szCs w:val="20"/>
                <w:highlight w:val="none"/>
              </w:rPr>
              <w:t>……</w:t>
            </w:r>
          </w:p>
        </w:tc>
      </w:tr>
    </w:tbl>
    <w:p w14:paraId="1B6B253C">
      <w:pPr>
        <w:spacing w:line="500" w:lineRule="exact"/>
        <w:jc w:val="center"/>
        <w:rPr>
          <w:rFonts w:ascii="宋体" w:hAnsi="宋体"/>
          <w:color w:val="auto"/>
          <w:sz w:val="24"/>
          <w:szCs w:val="20"/>
          <w:highlight w:val="none"/>
        </w:rPr>
      </w:pPr>
    </w:p>
    <w:p w14:paraId="39F5AFB3">
      <w:pPr>
        <w:snapToGrid w:val="0"/>
        <w:spacing w:line="360" w:lineRule="auto"/>
        <w:jc w:val="right"/>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供应商名称(盖公章)：</w:t>
      </w:r>
    </w:p>
    <w:p w14:paraId="45228AFE">
      <w:pPr>
        <w:pStyle w:val="3"/>
        <w:jc w:val="center"/>
        <w:rPr>
          <w:rFonts w:hint="eastAsia" w:ascii="宋体" w:hAnsi="宋体"/>
          <w:color w:val="auto"/>
          <w:highlight w:val="none"/>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BEDD9B3">
      <w:pPr>
        <w:rPr>
          <w:rFonts w:hint="eastAsia" w:ascii="宋体" w:hAnsi="宋体"/>
          <w:color w:val="auto"/>
          <w:highlight w:val="none"/>
        </w:rPr>
      </w:pPr>
      <w:r>
        <w:rPr>
          <w:rFonts w:hint="eastAsia" w:ascii="宋体" w:hAnsi="宋体"/>
          <w:color w:val="auto"/>
          <w:highlight w:val="none"/>
        </w:rPr>
        <w:br w:type="page"/>
      </w:r>
    </w:p>
    <w:p w14:paraId="784E363B">
      <w:pPr>
        <w:pStyle w:val="3"/>
        <w:jc w:val="center"/>
        <w:rPr>
          <w:rFonts w:hint="eastAsia" w:ascii="宋体" w:hAnsi="宋体"/>
          <w:color w:val="auto"/>
          <w:highlight w:val="none"/>
        </w:rPr>
      </w:pPr>
      <w:r>
        <w:rPr>
          <w:rFonts w:hint="eastAsia" w:ascii="宋体" w:hAnsi="宋体"/>
          <w:color w:val="auto"/>
          <w:highlight w:val="none"/>
        </w:rPr>
        <w:t>第三节 报价文件格式</w:t>
      </w:r>
      <w:bookmarkEnd w:id="143"/>
      <w:bookmarkEnd w:id="144"/>
      <w:bookmarkEnd w:id="145"/>
      <w:bookmarkEnd w:id="146"/>
    </w:p>
    <w:p w14:paraId="5CDC1025">
      <w:pPr>
        <w:pStyle w:val="22"/>
        <w:rPr>
          <w:color w:val="auto"/>
          <w:highlight w:val="none"/>
          <w:lang w:val="zh-CN"/>
        </w:rPr>
      </w:pPr>
      <w:r>
        <w:rPr>
          <w:rFonts w:hint="eastAsia"/>
          <w:color w:val="auto"/>
          <w:sz w:val="24"/>
          <w:highlight w:val="none"/>
        </w:rPr>
        <w:t xml:space="preserve">  </w:t>
      </w:r>
      <w:r>
        <w:rPr>
          <w:rFonts w:hint="eastAsia" w:ascii="宋体" w:hAnsi="宋体" w:cs="宋体"/>
          <w:b/>
          <w:bCs/>
          <w:color w:val="auto"/>
          <w:sz w:val="28"/>
          <w:szCs w:val="28"/>
          <w:highlight w:val="none"/>
        </w:rPr>
        <w:t>1.报价文件封面的格式</w:t>
      </w:r>
      <w:r>
        <w:rPr>
          <w:rFonts w:hint="eastAsia" w:ascii="宋体" w:hAnsi="宋体" w:cs="宋体"/>
          <w:b/>
          <w:color w:val="auto"/>
          <w:sz w:val="28"/>
          <w:szCs w:val="28"/>
          <w:highlight w:val="none"/>
        </w:rPr>
        <w:t>（参照此格式自拟）</w:t>
      </w:r>
      <w:r>
        <w:rPr>
          <w:rFonts w:hint="eastAsia" w:ascii="宋体" w:hAnsi="宋体" w:cs="宋体"/>
          <w:b/>
          <w:bCs/>
          <w:color w:val="auto"/>
          <w:sz w:val="28"/>
          <w:szCs w:val="28"/>
          <w:highlight w:val="none"/>
        </w:rPr>
        <w:t>：</w:t>
      </w:r>
    </w:p>
    <w:p w14:paraId="1D03DF5A">
      <w:pPr>
        <w:snapToGrid w:val="0"/>
        <w:spacing w:before="120" w:beforeLines="50" w:after="50"/>
        <w:rPr>
          <w:color w:val="auto"/>
          <w:sz w:val="24"/>
          <w:highlight w:val="none"/>
        </w:rPr>
      </w:pPr>
      <w:r>
        <w:rPr>
          <w:rFonts w:hint="eastAsia"/>
          <w:color w:val="auto"/>
          <w:sz w:val="24"/>
          <w:highlight w:val="none"/>
        </w:rPr>
        <w:t xml:space="preserve">                                             </w:t>
      </w:r>
    </w:p>
    <w:p w14:paraId="4B8DFDD1">
      <w:pPr>
        <w:snapToGrid w:val="0"/>
        <w:spacing w:before="120" w:beforeLines="50" w:after="50"/>
        <w:ind w:firstLine="6720" w:firstLineChars="3200"/>
        <w:rPr>
          <w:bCs/>
          <w:color w:val="auto"/>
          <w:sz w:val="32"/>
          <w:szCs w:val="20"/>
          <w:highlight w:val="none"/>
        </w:rPr>
      </w:pPr>
      <w:r>
        <w:rPr>
          <w:rFonts w:hint="eastAsia"/>
          <w:bCs/>
          <w:color w:val="auto"/>
          <w:highlight w:val="none"/>
        </w:rPr>
        <w:t>全流程电子文件</w:t>
      </w:r>
    </w:p>
    <w:p w14:paraId="44BD6ACC">
      <w:pPr>
        <w:snapToGrid w:val="0"/>
        <w:spacing w:before="120" w:beforeLines="50" w:after="50"/>
        <w:rPr>
          <w:color w:val="auto"/>
          <w:sz w:val="24"/>
          <w:szCs w:val="20"/>
          <w:highlight w:val="none"/>
        </w:rPr>
      </w:pPr>
    </w:p>
    <w:p w14:paraId="30F1546F">
      <w:pPr>
        <w:snapToGrid w:val="0"/>
        <w:spacing w:before="120" w:beforeLines="50" w:after="50"/>
        <w:rPr>
          <w:color w:val="auto"/>
          <w:sz w:val="24"/>
          <w:szCs w:val="20"/>
          <w:highlight w:val="none"/>
        </w:rPr>
      </w:pPr>
    </w:p>
    <w:p w14:paraId="6137051D">
      <w:pPr>
        <w:snapToGrid w:val="0"/>
        <w:spacing w:before="120" w:beforeLines="50" w:after="50"/>
        <w:rPr>
          <w:color w:val="auto"/>
          <w:sz w:val="24"/>
          <w:szCs w:val="20"/>
          <w:highlight w:val="none"/>
        </w:rPr>
      </w:pPr>
    </w:p>
    <w:p w14:paraId="16BC89B5">
      <w:pPr>
        <w:snapToGrid w:val="0"/>
        <w:spacing w:before="120" w:beforeLines="50" w:after="5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 xml:space="preserve">报 </w:t>
      </w:r>
      <w:r>
        <w:rPr>
          <w:rFonts w:ascii="仿宋" w:hAnsi="仿宋" w:eastAsia="仿宋" w:cs="仿宋"/>
          <w:bCs/>
          <w:color w:val="auto"/>
          <w:sz w:val="44"/>
          <w:szCs w:val="44"/>
          <w:highlight w:val="none"/>
        </w:rPr>
        <w:t xml:space="preserve"> </w:t>
      </w:r>
      <w:r>
        <w:rPr>
          <w:rFonts w:hint="eastAsia" w:ascii="仿宋" w:hAnsi="仿宋" w:eastAsia="仿宋" w:cs="仿宋"/>
          <w:bCs/>
          <w:color w:val="auto"/>
          <w:sz w:val="44"/>
          <w:szCs w:val="44"/>
          <w:highlight w:val="none"/>
        </w:rPr>
        <w:t>价  文  件</w:t>
      </w:r>
    </w:p>
    <w:p w14:paraId="08332EF5">
      <w:pPr>
        <w:snapToGrid w:val="0"/>
        <w:spacing w:before="120" w:beforeLines="50" w:after="50"/>
        <w:rPr>
          <w:bCs/>
          <w:color w:val="auto"/>
          <w:sz w:val="24"/>
          <w:szCs w:val="20"/>
          <w:highlight w:val="none"/>
        </w:rPr>
      </w:pPr>
    </w:p>
    <w:p w14:paraId="11DF7E58">
      <w:pPr>
        <w:snapToGrid w:val="0"/>
        <w:spacing w:before="120" w:beforeLines="50" w:after="50"/>
        <w:rPr>
          <w:bCs/>
          <w:color w:val="auto"/>
          <w:sz w:val="24"/>
          <w:szCs w:val="20"/>
          <w:highlight w:val="none"/>
        </w:rPr>
      </w:pPr>
    </w:p>
    <w:p w14:paraId="09E9C742">
      <w:pPr>
        <w:snapToGrid w:val="0"/>
        <w:spacing w:before="120" w:beforeLines="50" w:after="50"/>
        <w:rPr>
          <w:bCs/>
          <w:color w:val="auto"/>
          <w:sz w:val="24"/>
          <w:szCs w:val="20"/>
          <w:highlight w:val="none"/>
        </w:rPr>
      </w:pPr>
    </w:p>
    <w:p w14:paraId="722891F4">
      <w:pPr>
        <w:snapToGrid w:val="0"/>
        <w:spacing w:before="120" w:beforeLines="50" w:after="50"/>
        <w:rPr>
          <w:bCs/>
          <w:color w:val="auto"/>
          <w:sz w:val="24"/>
          <w:szCs w:val="20"/>
          <w:highlight w:val="none"/>
        </w:rPr>
      </w:pPr>
    </w:p>
    <w:p w14:paraId="1E942A50">
      <w:pPr>
        <w:snapToGrid w:val="0"/>
        <w:spacing w:before="120" w:beforeLines="50" w:after="50"/>
        <w:rPr>
          <w:bCs/>
          <w:color w:val="auto"/>
          <w:sz w:val="24"/>
          <w:szCs w:val="20"/>
          <w:highlight w:val="none"/>
        </w:rPr>
      </w:pPr>
    </w:p>
    <w:p w14:paraId="7298D797">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项目名称：</w:t>
      </w:r>
    </w:p>
    <w:p w14:paraId="5FC62C84">
      <w:pPr>
        <w:snapToGrid w:val="0"/>
        <w:spacing w:before="120" w:beforeLines="50" w:after="50"/>
        <w:ind w:firstLine="720" w:firstLineChars="225"/>
        <w:rPr>
          <w:rFonts w:cs="仿宋_GB2312"/>
          <w:bCs/>
          <w:color w:val="auto"/>
          <w:sz w:val="32"/>
          <w:szCs w:val="32"/>
          <w:highlight w:val="none"/>
        </w:rPr>
      </w:pPr>
    </w:p>
    <w:p w14:paraId="363E0ECF">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项目编号：</w:t>
      </w:r>
    </w:p>
    <w:p w14:paraId="032913BE">
      <w:pPr>
        <w:snapToGrid w:val="0"/>
        <w:spacing w:before="120" w:beforeLines="50" w:after="50"/>
        <w:ind w:firstLine="720" w:firstLineChars="225"/>
        <w:rPr>
          <w:rFonts w:cs="仿宋_GB2312"/>
          <w:bCs/>
          <w:color w:val="auto"/>
          <w:sz w:val="32"/>
          <w:szCs w:val="32"/>
          <w:highlight w:val="none"/>
        </w:rPr>
      </w:pPr>
      <w:r>
        <w:rPr>
          <w:rFonts w:hint="eastAsia" w:cs="仿宋_GB2312"/>
          <w:bCs/>
          <w:color w:val="auto"/>
          <w:sz w:val="32"/>
          <w:szCs w:val="32"/>
          <w:highlight w:val="none"/>
        </w:rPr>
        <w:t xml:space="preserve"> </w:t>
      </w:r>
    </w:p>
    <w:p w14:paraId="30CB6A3B">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所竞分标（如有则填写，无分标时填写“无”或者留空）：</w:t>
      </w:r>
    </w:p>
    <w:p w14:paraId="0D4D74DD">
      <w:pPr>
        <w:snapToGrid w:val="0"/>
        <w:spacing w:before="120" w:beforeLines="50" w:after="50"/>
        <w:ind w:firstLine="720" w:firstLineChars="225"/>
        <w:rPr>
          <w:rFonts w:cs="仿宋_GB2312"/>
          <w:bCs/>
          <w:color w:val="auto"/>
          <w:sz w:val="32"/>
          <w:szCs w:val="32"/>
          <w:highlight w:val="none"/>
        </w:rPr>
      </w:pPr>
    </w:p>
    <w:p w14:paraId="5F0A5525">
      <w:pPr>
        <w:pStyle w:val="7"/>
        <w:snapToGrid w:val="0"/>
        <w:spacing w:before="50" w:after="50"/>
        <w:ind w:firstLine="640" w:firstLineChars="200"/>
        <w:rPr>
          <w:rFonts w:cs="仿宋_GB2312"/>
          <w:bCs/>
          <w:color w:val="auto"/>
          <w:sz w:val="32"/>
          <w:szCs w:val="32"/>
          <w:highlight w:val="none"/>
        </w:rPr>
      </w:pPr>
      <w:r>
        <w:rPr>
          <w:rFonts w:hint="eastAsia" w:cs="仿宋_GB2312"/>
          <w:bCs/>
          <w:color w:val="auto"/>
          <w:sz w:val="32"/>
          <w:szCs w:val="32"/>
          <w:highlight w:val="none"/>
        </w:rPr>
        <w:t>供应商名称：</w:t>
      </w:r>
    </w:p>
    <w:p w14:paraId="27650B79">
      <w:pPr>
        <w:pStyle w:val="7"/>
        <w:snapToGrid w:val="0"/>
        <w:spacing w:before="50" w:after="50"/>
        <w:ind w:firstLine="720" w:firstLineChars="225"/>
        <w:rPr>
          <w:rFonts w:cs="仿宋_GB2312"/>
          <w:bCs/>
          <w:color w:val="auto"/>
          <w:sz w:val="32"/>
          <w:szCs w:val="32"/>
          <w:highlight w:val="none"/>
        </w:rPr>
      </w:pPr>
    </w:p>
    <w:p w14:paraId="4637110C">
      <w:pPr>
        <w:pStyle w:val="7"/>
        <w:snapToGrid w:val="0"/>
        <w:spacing w:before="50" w:after="50"/>
        <w:ind w:firstLine="720" w:firstLineChars="225"/>
        <w:rPr>
          <w:rFonts w:cs="仿宋_GB2312"/>
          <w:bCs/>
          <w:color w:val="auto"/>
          <w:sz w:val="32"/>
          <w:szCs w:val="32"/>
          <w:highlight w:val="none"/>
        </w:rPr>
      </w:pPr>
    </w:p>
    <w:p w14:paraId="78E32FC3">
      <w:pPr>
        <w:pStyle w:val="7"/>
        <w:snapToGrid w:val="0"/>
        <w:spacing w:before="50" w:after="50"/>
        <w:ind w:firstLine="1280" w:firstLineChars="400"/>
        <w:rPr>
          <w:rFonts w:cs="仿宋_GB2312"/>
          <w:bCs/>
          <w:color w:val="auto"/>
          <w:sz w:val="32"/>
          <w:szCs w:val="32"/>
          <w:highlight w:val="none"/>
        </w:rPr>
      </w:pPr>
    </w:p>
    <w:p w14:paraId="78036747">
      <w:pPr>
        <w:snapToGrid w:val="0"/>
        <w:spacing w:before="120" w:beforeLines="50" w:after="50"/>
        <w:jc w:val="center"/>
        <w:rPr>
          <w:rFonts w:cs="仿宋_GB2312"/>
          <w:color w:val="auto"/>
          <w:sz w:val="32"/>
          <w:szCs w:val="32"/>
          <w:highlight w:val="none"/>
        </w:rPr>
      </w:pPr>
      <w:r>
        <w:rPr>
          <w:rFonts w:hint="eastAsia" w:cs="仿宋_GB2312"/>
          <w:color w:val="auto"/>
          <w:sz w:val="32"/>
          <w:szCs w:val="32"/>
          <w:highlight w:val="none"/>
        </w:rPr>
        <w:t>年    月    日</w:t>
      </w:r>
    </w:p>
    <w:p w14:paraId="2531BB44">
      <w:pPr>
        <w:snapToGrid w:val="0"/>
        <w:spacing w:before="120" w:beforeLines="50" w:after="50" w:line="360" w:lineRule="auto"/>
        <w:jc w:val="left"/>
        <w:rPr>
          <w:rFonts w:hint="eastAsia" w:ascii="宋体" w:hAnsi="宋体" w:cs="宋体"/>
          <w:color w:val="auto"/>
          <w:sz w:val="28"/>
          <w:szCs w:val="28"/>
          <w:highlight w:val="none"/>
        </w:rPr>
      </w:pPr>
      <w:r>
        <w:rPr>
          <w:color w:val="auto"/>
          <w:sz w:val="24"/>
          <w:highlight w:val="none"/>
        </w:rPr>
        <w:br w:type="page"/>
      </w:r>
      <w:r>
        <w:rPr>
          <w:rFonts w:hint="eastAsia" w:ascii="宋体" w:hAnsi="宋体" w:cs="宋体"/>
          <w:b/>
          <w:color w:val="auto"/>
          <w:sz w:val="28"/>
          <w:szCs w:val="28"/>
          <w:highlight w:val="none"/>
        </w:rPr>
        <w:t>2.</w:t>
      </w:r>
      <w:r>
        <w:rPr>
          <w:rFonts w:hint="eastAsia" w:ascii="宋体" w:hAnsi="宋体" w:cs="宋体"/>
          <w:b/>
          <w:bCs/>
          <w:color w:val="auto"/>
          <w:sz w:val="28"/>
          <w:szCs w:val="28"/>
          <w:highlight w:val="none"/>
        </w:rPr>
        <w:t>报价文件目录</w:t>
      </w:r>
    </w:p>
    <w:p w14:paraId="00CFAE72">
      <w:pPr>
        <w:snapToGrid w:val="0"/>
        <w:spacing w:before="50" w:after="120" w:afterLines="50" w:line="360" w:lineRule="auto"/>
        <w:jc w:val="left"/>
        <w:rPr>
          <w:rFonts w:hint="eastAsia" w:ascii="宋体" w:hAnsi="宋体" w:cs="宋体"/>
          <w:b/>
          <w:color w:val="auto"/>
          <w:sz w:val="28"/>
          <w:szCs w:val="28"/>
          <w:highlight w:val="none"/>
        </w:rPr>
      </w:pPr>
      <w:r>
        <w:rPr>
          <w:rFonts w:hint="eastAsia" w:ascii="宋体" w:hAnsi="宋体" w:cs="宋体"/>
          <w:color w:val="auto"/>
          <w:sz w:val="28"/>
          <w:szCs w:val="28"/>
          <w:highlight w:val="none"/>
        </w:rPr>
        <w:t>根据竞争性磋商文件规定及供应商提供的材料自行编写目录</w:t>
      </w:r>
      <w:r>
        <w:rPr>
          <w:rFonts w:hint="eastAsia" w:ascii="宋体" w:hAnsi="宋体" w:cs="宋体"/>
          <w:color w:val="auto"/>
          <w:kern w:val="0"/>
          <w:sz w:val="28"/>
          <w:szCs w:val="28"/>
          <w:highlight w:val="none"/>
        </w:rPr>
        <w:t>（部分格式后附）</w:t>
      </w:r>
      <w:r>
        <w:rPr>
          <w:rFonts w:hint="eastAsia" w:ascii="宋体" w:hAnsi="宋体" w:cs="宋体"/>
          <w:color w:val="auto"/>
          <w:sz w:val="28"/>
          <w:szCs w:val="28"/>
          <w:highlight w:val="none"/>
        </w:rPr>
        <w:t>。</w:t>
      </w:r>
    </w:p>
    <w:p w14:paraId="01032879">
      <w:pPr>
        <w:spacing w:line="360" w:lineRule="auto"/>
        <w:rPr>
          <w:rFonts w:hint="eastAsia" w:ascii="仿宋_GB2312" w:hAnsi="仿宋" w:eastAsia="仿宋_GB2312" w:cs="仿宋_GB2312"/>
          <w:color w:val="auto"/>
          <w:sz w:val="24"/>
          <w:highlight w:val="none"/>
        </w:rPr>
      </w:pPr>
    </w:p>
    <w:p w14:paraId="60BEEBE1">
      <w:pPr>
        <w:snapToGrid w:val="0"/>
        <w:spacing w:before="120" w:beforeLines="50" w:after="50" w:line="360" w:lineRule="auto"/>
        <w:ind w:left="142" w:firstLine="640" w:firstLineChars="200"/>
        <w:jc w:val="left"/>
        <w:rPr>
          <w:rFonts w:hint="eastAsia" w:ascii="仿宋_GB2312" w:hAnsi="仿宋_GB2312" w:eastAsia="仿宋_GB2312" w:cs="仿宋_GB2312"/>
          <w:color w:val="auto"/>
          <w:sz w:val="32"/>
          <w:szCs w:val="32"/>
          <w:highlight w:val="none"/>
        </w:rPr>
      </w:pPr>
    </w:p>
    <w:p w14:paraId="1F66625A">
      <w:pPr>
        <w:snapToGrid w:val="0"/>
        <w:spacing w:before="120" w:beforeLines="50" w:after="50" w:line="360" w:lineRule="auto"/>
        <w:jc w:val="left"/>
        <w:rPr>
          <w:rFonts w:ascii="Calibri" w:cs="仿宋_GB2312"/>
          <w:color w:val="auto"/>
          <w:sz w:val="24"/>
          <w:highlight w:val="none"/>
        </w:rPr>
      </w:pPr>
      <w:r>
        <w:rPr>
          <w:rFonts w:ascii="Calibri" w:cs="仿宋_GB2312"/>
          <w:color w:val="auto"/>
          <w:sz w:val="24"/>
          <w:highlight w:val="none"/>
        </w:rPr>
        <w:br w:type="page"/>
      </w:r>
      <w:r>
        <w:rPr>
          <w:rFonts w:hint="eastAsia" w:ascii="宋体" w:hAnsi="宋体" w:cs="宋体"/>
          <w:b/>
          <w:color w:val="auto"/>
          <w:sz w:val="28"/>
          <w:szCs w:val="28"/>
          <w:highlight w:val="none"/>
        </w:rPr>
        <w:t>3.</w:t>
      </w:r>
      <w:r>
        <w:rPr>
          <w:rFonts w:hint="eastAsia" w:ascii="宋体" w:hAnsi="宋体" w:cs="宋体"/>
          <w:b/>
          <w:color w:val="auto"/>
          <w:sz w:val="28"/>
          <w:szCs w:val="28"/>
          <w:highlight w:val="none"/>
          <w:lang w:val="zh-CN"/>
        </w:rPr>
        <w:t>响应函的格式：</w:t>
      </w:r>
    </w:p>
    <w:p w14:paraId="5FC857C8">
      <w:pPr>
        <w:spacing w:line="500" w:lineRule="exact"/>
        <w:jc w:val="center"/>
        <w:rPr>
          <w:b/>
          <w:bCs/>
          <w:color w:val="auto"/>
          <w:kern w:val="0"/>
          <w:sz w:val="30"/>
          <w:szCs w:val="30"/>
          <w:highlight w:val="none"/>
        </w:rPr>
      </w:pPr>
      <w:r>
        <w:rPr>
          <w:rFonts w:hint="eastAsia"/>
          <w:b/>
          <w:bCs/>
          <w:color w:val="auto"/>
          <w:kern w:val="0"/>
          <w:sz w:val="30"/>
          <w:szCs w:val="30"/>
          <w:highlight w:val="none"/>
        </w:rPr>
        <w:t>响应函</w:t>
      </w:r>
    </w:p>
    <w:p w14:paraId="28481357">
      <w:pPr>
        <w:spacing w:line="460" w:lineRule="exact"/>
        <w:rPr>
          <w:color w:val="auto"/>
          <w:kern w:val="0"/>
          <w:sz w:val="24"/>
          <w:highlight w:val="none"/>
        </w:rPr>
      </w:pPr>
    </w:p>
    <w:p w14:paraId="424AE92E">
      <w:pPr>
        <w:spacing w:line="46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（采购代理机构名称）</w:t>
      </w:r>
    </w:p>
    <w:p w14:paraId="15AFB7EE">
      <w:pPr>
        <w:spacing w:line="460" w:lineRule="exact"/>
        <w:ind w:firstLine="480" w:firstLineChars="200"/>
        <w:rPr>
          <w:rFonts w:hint="eastAsia" w:ascii="宋体" w:hAnsi="宋体" w:cs="宋体"/>
          <w:color w:val="auto"/>
          <w:kern w:val="0"/>
          <w:sz w:val="24"/>
          <w:highlight w:val="none"/>
        </w:rPr>
      </w:pPr>
    </w:p>
    <w:p w14:paraId="5B7E8859">
      <w:pPr>
        <w:spacing w:line="46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我方已仔细阅读了贵方组织的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项目（项目编号：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）的竞争性磋商文件的全部内容，现正式递交下述文件参加贵方组织的本次政府采购活动： </w:t>
      </w:r>
    </w:p>
    <w:p w14:paraId="4A9EBABB">
      <w:pPr>
        <w:spacing w:line="46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一、首次报价文件电子版（包含按“第三章 供应商须知”提交的全部文件）；</w:t>
      </w:r>
    </w:p>
    <w:p w14:paraId="0BC913CF">
      <w:pPr>
        <w:spacing w:line="46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二、技术文件电子版（包含按“第三章 供应商须知”提交的全部文件）；商务文件电子版（包含按“第三章 供应商须知”提交的全部文件）；</w:t>
      </w:r>
    </w:p>
    <w:p w14:paraId="20299AA0">
      <w:pPr>
        <w:spacing w:line="46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三、资格证明文件电子版（包含按“第三章供应商须知”提交的全部文件）。</w:t>
      </w:r>
    </w:p>
    <w:p w14:paraId="1374D756">
      <w:pPr>
        <w:spacing w:line="46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据此函，我方兹宣布：</w:t>
      </w:r>
    </w:p>
    <w:p w14:paraId="2C09C0EC">
      <w:pPr>
        <w:spacing w:line="460" w:lineRule="exact"/>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1、我方愿意以磋商时</w:t>
      </w:r>
      <w:r>
        <w:rPr>
          <w:rFonts w:hint="eastAsia" w:hAnsi="宋体" w:cs="宋体"/>
          <w:color w:val="auto"/>
          <w:sz w:val="24"/>
          <w:highlight w:val="none"/>
        </w:rPr>
        <w:t>提交的最后报价表中的竞标总</w:t>
      </w:r>
      <w:r>
        <w:rPr>
          <w:rFonts w:hint="eastAsia" w:ascii="宋体" w:hAnsi="宋体" w:cs="宋体"/>
          <w:color w:val="auto"/>
          <w:sz w:val="24"/>
          <w:highlight w:val="none"/>
        </w:rPr>
        <w:t>报价</w:t>
      </w:r>
      <w:r>
        <w:rPr>
          <w:rFonts w:hint="eastAsia" w:hAnsi="宋体" w:cs="宋体"/>
          <w:color w:val="auto"/>
          <w:sz w:val="24"/>
          <w:highlight w:val="none"/>
        </w:rPr>
        <w:t>，在承诺的</w:t>
      </w:r>
      <w:r>
        <w:rPr>
          <w:rFonts w:hint="eastAsia" w:ascii="宋体" w:hAnsi="宋体" w:cs="宋体"/>
          <w:color w:val="auto"/>
          <w:kern w:val="0"/>
          <w:sz w:val="24"/>
          <w:highlight w:val="none"/>
        </w:rPr>
        <w:t>服务期限</w:t>
      </w:r>
      <w:r>
        <w:rPr>
          <w:rFonts w:hint="eastAsia" w:hAnsi="宋体" w:cs="宋体"/>
          <w:color w:val="auto"/>
          <w:sz w:val="24"/>
          <w:highlight w:val="none"/>
        </w:rPr>
        <w:t>内</w:t>
      </w:r>
      <w:r>
        <w:rPr>
          <w:rFonts w:hint="eastAsia" w:ascii="宋体" w:hAnsi="宋体" w:cs="宋体"/>
          <w:color w:val="auto"/>
          <w:kern w:val="0"/>
          <w:sz w:val="24"/>
          <w:highlight w:val="none"/>
        </w:rPr>
        <w:t>提供本项目竞争性磋商文件第二章“采购需求”中相应的采购内容</w:t>
      </w:r>
      <w:r>
        <w:rPr>
          <w:rFonts w:hint="eastAsia" w:hAnsi="宋体" w:cs="宋体"/>
          <w:color w:val="auto"/>
          <w:sz w:val="24"/>
          <w:highlight w:val="none"/>
        </w:rPr>
        <w:t>，具体详见最后报价表</w:t>
      </w:r>
      <w:r>
        <w:rPr>
          <w:rFonts w:hint="eastAsia" w:ascii="宋体" w:hAnsi="宋体" w:cs="宋体"/>
          <w:color w:val="auto"/>
          <w:kern w:val="0"/>
          <w:sz w:val="24"/>
          <w:highlight w:val="none"/>
        </w:rPr>
        <w:t>。</w:t>
      </w:r>
    </w:p>
    <w:p w14:paraId="4995D04D">
      <w:pPr>
        <w:spacing w:line="460" w:lineRule="exact"/>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2、我方同意自本项目竞争性磋商文件采购公告规定的提交响应文件截止时间起遵循本响应函，并承诺在“第三章 供应商须知”规定的竞标有效期内不修改、撤销响应文件。</w:t>
      </w:r>
    </w:p>
    <w:p w14:paraId="5825C7A7">
      <w:pPr>
        <w:spacing w:line="460" w:lineRule="exact"/>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3、我方在此声明，所递交的响应文件及有关资料内容完整、真实和准确。</w:t>
      </w:r>
    </w:p>
    <w:p w14:paraId="0918F971">
      <w:pPr>
        <w:spacing w:line="460" w:lineRule="exact"/>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4、如本项目采购内容涉及须符合国家强制规定的，我方承诺我方本次竞标均符合国家有关强制规定。</w:t>
      </w:r>
    </w:p>
    <w:p w14:paraId="3D1C6453">
      <w:pPr>
        <w:spacing w:line="460" w:lineRule="exact"/>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5、如我方成交，我方承诺在收到成交通知书后，在成交通知书规定的期限内，根据竞争性磋商文件、我方的响应文件及有关澄清承诺书的要求按第六章“合同文本”与采购人订立书面合同，并按照合同约定承担完成合同的责任和义务。</w:t>
      </w:r>
    </w:p>
    <w:p w14:paraId="07D58586">
      <w:pPr>
        <w:spacing w:line="460" w:lineRule="exact"/>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6、我方已详细审核竞争性磋商文件，我方知道必须放弃提出含糊不清或误解问题的权利。</w:t>
      </w:r>
    </w:p>
    <w:p w14:paraId="4D39F37B">
      <w:pPr>
        <w:spacing w:line="460" w:lineRule="exact"/>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7、我方承诺满足竞争性磋商文件第六章“合同文本”的条款，承担完成合同的责任和义务。</w:t>
      </w:r>
    </w:p>
    <w:p w14:paraId="0E5BD939">
      <w:pPr>
        <w:spacing w:line="460" w:lineRule="exact"/>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8、我方同意应贵方要求提供与本竞标有关的任何数据或资料。若贵方需要，我方愿意提供我方作出的一切承诺的证明材料。</w:t>
      </w:r>
    </w:p>
    <w:p w14:paraId="4D020937">
      <w:pPr>
        <w:spacing w:line="460" w:lineRule="exact"/>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9、我方完全理解贵方不一定接受响应报价最低的供应商为成交供应商的行为。</w:t>
      </w:r>
    </w:p>
    <w:p w14:paraId="024FC3BD">
      <w:pPr>
        <w:spacing w:line="460" w:lineRule="exact"/>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71A9996">
      <w:pPr>
        <w:numPr>
          <w:ilvl w:val="0"/>
          <w:numId w:val="3"/>
        </w:numPr>
        <w:tabs>
          <w:tab w:val="left" w:pos="945"/>
        </w:tabs>
        <w:spacing w:line="46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提供虚假材料谋取中标、成交的；</w:t>
      </w:r>
    </w:p>
    <w:p w14:paraId="5671FE11">
      <w:pPr>
        <w:numPr>
          <w:ilvl w:val="0"/>
          <w:numId w:val="3"/>
        </w:numPr>
        <w:tabs>
          <w:tab w:val="left" w:pos="945"/>
        </w:tabs>
        <w:spacing w:line="46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采取不正当手段诋毁、排挤其他供应商的；</w:t>
      </w:r>
    </w:p>
    <w:p w14:paraId="431FE178">
      <w:pPr>
        <w:numPr>
          <w:ilvl w:val="0"/>
          <w:numId w:val="3"/>
        </w:numPr>
        <w:tabs>
          <w:tab w:val="left" w:pos="945"/>
        </w:tabs>
        <w:spacing w:line="46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与采购人、其他供应商或者采购代理机构恶意串通的；</w:t>
      </w:r>
    </w:p>
    <w:p w14:paraId="6ECDC1BF">
      <w:pPr>
        <w:numPr>
          <w:ilvl w:val="0"/>
          <w:numId w:val="3"/>
        </w:numPr>
        <w:tabs>
          <w:tab w:val="left" w:pos="945"/>
        </w:tabs>
        <w:spacing w:line="46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向采购人、采购代理机构行贿或者提供其他不正当利益的；</w:t>
      </w:r>
    </w:p>
    <w:p w14:paraId="29A7432F">
      <w:pPr>
        <w:numPr>
          <w:ilvl w:val="0"/>
          <w:numId w:val="3"/>
        </w:numPr>
        <w:tabs>
          <w:tab w:val="left" w:pos="945"/>
        </w:tabs>
        <w:spacing w:line="46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在采购过程中与采购人进行协商磋商的；</w:t>
      </w:r>
    </w:p>
    <w:p w14:paraId="1A025F1D">
      <w:pPr>
        <w:numPr>
          <w:ilvl w:val="0"/>
          <w:numId w:val="3"/>
        </w:numPr>
        <w:tabs>
          <w:tab w:val="left" w:pos="945"/>
        </w:tabs>
        <w:spacing w:line="46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拒绝有关部门监督检查或提供虚假情况的。</w:t>
      </w:r>
    </w:p>
    <w:p w14:paraId="430A555E">
      <w:pPr>
        <w:spacing w:line="460" w:lineRule="exact"/>
        <w:ind w:firstLine="420"/>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11、以上事项如有虚假或者隐瞒，我方愿意承担一切后果，并不再寻求任何旨在减轻或者免除法律责任的辩解。</w:t>
      </w:r>
    </w:p>
    <w:p w14:paraId="27FCD78A">
      <w:pPr>
        <w:spacing w:line="460" w:lineRule="exact"/>
        <w:ind w:firstLine="420"/>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 xml:space="preserve">12、与本磋商有关的一切正式往来信函请寄： </w:t>
      </w:r>
    </w:p>
    <w:p w14:paraId="4F9749A4">
      <w:pPr>
        <w:spacing w:line="46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地址：</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21D2CE9E">
      <w:pPr>
        <w:spacing w:line="460" w:lineRule="exact"/>
        <w:ind w:firstLine="420"/>
        <w:rPr>
          <w:rFonts w:hint="eastAsia" w:ascii="宋体" w:hAnsi="宋体" w:cs="宋体"/>
          <w:color w:val="auto"/>
          <w:kern w:val="0"/>
          <w:sz w:val="24"/>
          <w:highlight w:val="none"/>
          <w:u w:val="single"/>
        </w:rPr>
      </w:pPr>
      <w:r>
        <w:rPr>
          <w:rFonts w:hint="eastAsia" w:ascii="宋体" w:hAnsi="宋体" w:cs="宋体"/>
          <w:color w:val="auto"/>
          <w:kern w:val="0"/>
          <w:sz w:val="24"/>
          <w:highlight w:val="none"/>
        </w:rPr>
        <w:t>电话：</w:t>
      </w:r>
      <w:r>
        <w:rPr>
          <w:rFonts w:hint="eastAsia" w:ascii="宋体" w:hAnsi="宋体" w:cs="宋体"/>
          <w:color w:val="auto"/>
          <w:kern w:val="0"/>
          <w:sz w:val="24"/>
          <w:highlight w:val="none"/>
          <w:u w:val="single"/>
        </w:rPr>
        <w:t xml:space="preserve">                                      　　　　　　　　　</w:t>
      </w:r>
    </w:p>
    <w:p w14:paraId="198C192C">
      <w:pPr>
        <w:spacing w:line="460" w:lineRule="exact"/>
        <w:ind w:firstLine="420"/>
        <w:rPr>
          <w:rFonts w:hint="eastAsia" w:ascii="宋体" w:hAnsi="宋体" w:cs="宋体"/>
          <w:color w:val="auto"/>
          <w:kern w:val="0"/>
          <w:sz w:val="24"/>
          <w:highlight w:val="none"/>
          <w:u w:val="single"/>
        </w:rPr>
      </w:pPr>
      <w:r>
        <w:rPr>
          <w:rFonts w:hint="eastAsia" w:ascii="宋体" w:hAnsi="宋体" w:cs="宋体"/>
          <w:color w:val="auto"/>
          <w:kern w:val="0"/>
          <w:sz w:val="24"/>
          <w:highlight w:val="none"/>
        </w:rPr>
        <w:t>传真：</w:t>
      </w:r>
      <w:r>
        <w:rPr>
          <w:rFonts w:hint="eastAsia" w:ascii="宋体" w:hAnsi="宋体" w:cs="宋体"/>
          <w:color w:val="auto"/>
          <w:kern w:val="0"/>
          <w:sz w:val="24"/>
          <w:highlight w:val="none"/>
          <w:u w:val="single"/>
        </w:rPr>
        <w:t>　　　　　　　　　　　　　　　　　　　　　　　　　　　　</w:t>
      </w:r>
    </w:p>
    <w:p w14:paraId="21A67031">
      <w:pPr>
        <w:spacing w:line="460" w:lineRule="exact"/>
        <w:ind w:firstLine="420"/>
        <w:rPr>
          <w:rFonts w:hint="eastAsia" w:ascii="宋体" w:hAnsi="宋体" w:cs="宋体"/>
          <w:color w:val="auto"/>
          <w:sz w:val="24"/>
          <w:highlight w:val="none"/>
        </w:rPr>
      </w:pPr>
      <w:r>
        <w:rPr>
          <w:rFonts w:hint="eastAsia" w:ascii="宋体" w:hAnsi="宋体" w:cs="宋体"/>
          <w:color w:val="auto"/>
          <w:kern w:val="0"/>
          <w:sz w:val="24"/>
          <w:highlight w:val="none"/>
        </w:rPr>
        <w:t>电子邮箱：</w:t>
      </w:r>
      <w:r>
        <w:rPr>
          <w:rFonts w:hint="eastAsia" w:ascii="宋体" w:hAnsi="宋体" w:cs="宋体"/>
          <w:color w:val="auto"/>
          <w:kern w:val="0"/>
          <w:sz w:val="24"/>
          <w:highlight w:val="none"/>
          <w:u w:val="single"/>
        </w:rPr>
        <w:t>　　　　　　　　　　　　　　　　　　　　　　　　　　</w:t>
      </w:r>
    </w:p>
    <w:p w14:paraId="4DE503E1">
      <w:pPr>
        <w:spacing w:line="460" w:lineRule="exact"/>
        <w:ind w:firstLine="420"/>
        <w:rPr>
          <w:rFonts w:hint="eastAsia" w:ascii="宋体" w:hAnsi="宋体" w:cs="宋体"/>
          <w:color w:val="auto"/>
          <w:kern w:val="0"/>
          <w:sz w:val="24"/>
          <w:highlight w:val="none"/>
          <w:u w:val="single"/>
        </w:rPr>
      </w:pPr>
      <w:r>
        <w:rPr>
          <w:rFonts w:hint="eastAsia" w:ascii="宋体" w:hAnsi="宋体" w:cs="宋体"/>
          <w:color w:val="auto"/>
          <w:kern w:val="0"/>
          <w:sz w:val="24"/>
          <w:highlight w:val="none"/>
        </w:rPr>
        <w:t>邮政编码：</w:t>
      </w:r>
      <w:r>
        <w:rPr>
          <w:rFonts w:hint="eastAsia" w:ascii="宋体" w:hAnsi="宋体" w:cs="宋体"/>
          <w:color w:val="auto"/>
          <w:kern w:val="0"/>
          <w:sz w:val="24"/>
          <w:highlight w:val="none"/>
          <w:u w:val="single"/>
        </w:rPr>
        <w:t xml:space="preserve">                                                    </w:t>
      </w:r>
    </w:p>
    <w:p w14:paraId="669A0206">
      <w:pPr>
        <w:spacing w:line="460" w:lineRule="exact"/>
        <w:ind w:firstLine="420"/>
        <w:rPr>
          <w:rFonts w:hint="eastAsia" w:ascii="宋体" w:hAnsi="宋体" w:cs="宋体"/>
          <w:color w:val="auto"/>
          <w:kern w:val="0"/>
          <w:sz w:val="24"/>
          <w:highlight w:val="none"/>
          <w:u w:val="single"/>
        </w:rPr>
      </w:pPr>
      <w:r>
        <w:rPr>
          <w:rFonts w:hint="eastAsia" w:ascii="宋体" w:hAnsi="宋体" w:cs="宋体"/>
          <w:color w:val="auto"/>
          <w:kern w:val="0"/>
          <w:sz w:val="24"/>
          <w:highlight w:val="none"/>
        </w:rPr>
        <w:t>开户名称：</w:t>
      </w:r>
      <w:r>
        <w:rPr>
          <w:rFonts w:hint="eastAsia" w:ascii="宋体" w:hAnsi="宋体" w:cs="宋体"/>
          <w:color w:val="auto"/>
          <w:kern w:val="0"/>
          <w:sz w:val="24"/>
          <w:highlight w:val="none"/>
          <w:u w:val="single"/>
        </w:rPr>
        <w:t xml:space="preserve">                                                    </w:t>
      </w:r>
    </w:p>
    <w:p w14:paraId="3D8182FA">
      <w:pPr>
        <w:spacing w:line="460" w:lineRule="exact"/>
        <w:ind w:firstLine="420"/>
        <w:rPr>
          <w:rFonts w:hint="eastAsia" w:ascii="宋体" w:hAnsi="宋体" w:cs="宋体"/>
          <w:color w:val="auto"/>
          <w:kern w:val="0"/>
          <w:sz w:val="24"/>
          <w:highlight w:val="none"/>
          <w:u w:val="single"/>
        </w:rPr>
      </w:pPr>
      <w:r>
        <w:rPr>
          <w:rFonts w:hint="eastAsia" w:ascii="宋体" w:hAnsi="宋体" w:cs="宋体"/>
          <w:color w:val="auto"/>
          <w:kern w:val="0"/>
          <w:sz w:val="24"/>
          <w:highlight w:val="none"/>
        </w:rPr>
        <w:t>开户银行：</w:t>
      </w:r>
      <w:r>
        <w:rPr>
          <w:rFonts w:hint="eastAsia" w:ascii="宋体" w:hAnsi="宋体" w:cs="宋体"/>
          <w:color w:val="auto"/>
          <w:kern w:val="0"/>
          <w:sz w:val="24"/>
          <w:highlight w:val="none"/>
          <w:u w:val="single"/>
        </w:rPr>
        <w:t xml:space="preserve">                                                    </w:t>
      </w:r>
    </w:p>
    <w:p w14:paraId="584F48B0">
      <w:pPr>
        <w:spacing w:line="460" w:lineRule="exact"/>
        <w:ind w:firstLine="420"/>
        <w:rPr>
          <w:rFonts w:hint="eastAsia" w:ascii="宋体" w:hAnsi="宋体" w:cs="宋体"/>
          <w:color w:val="auto"/>
          <w:kern w:val="0"/>
          <w:sz w:val="24"/>
          <w:highlight w:val="none"/>
          <w:u w:val="single"/>
        </w:rPr>
      </w:pPr>
      <w:r>
        <w:rPr>
          <w:rFonts w:hint="eastAsia" w:ascii="宋体" w:hAnsi="宋体" w:cs="宋体"/>
          <w:color w:val="auto"/>
          <w:kern w:val="0"/>
          <w:sz w:val="24"/>
          <w:highlight w:val="none"/>
        </w:rPr>
        <w:t>银行账号：</w:t>
      </w:r>
      <w:r>
        <w:rPr>
          <w:rFonts w:hint="eastAsia" w:ascii="宋体" w:hAnsi="宋体" w:cs="宋体"/>
          <w:color w:val="auto"/>
          <w:kern w:val="0"/>
          <w:sz w:val="24"/>
          <w:highlight w:val="none"/>
          <w:u w:val="single"/>
        </w:rPr>
        <w:t xml:space="preserve">                                                    </w:t>
      </w:r>
    </w:p>
    <w:p w14:paraId="7F01280D">
      <w:pPr>
        <w:pStyle w:val="17"/>
        <w:tabs>
          <w:tab w:val="left" w:pos="939"/>
        </w:tabs>
        <w:spacing w:line="460" w:lineRule="exact"/>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14:paraId="0DE083F5">
      <w:pPr>
        <w:spacing w:line="360" w:lineRule="auto"/>
        <w:contextualSpacing/>
        <w:jc w:val="left"/>
        <w:rPr>
          <w:rFonts w:hint="eastAsia" w:ascii="宋体" w:hAnsi="宋体" w:cs="宋体"/>
          <w:color w:val="auto"/>
          <w:szCs w:val="21"/>
          <w:highlight w:val="none"/>
        </w:rPr>
      </w:pPr>
    </w:p>
    <w:p w14:paraId="7CC29FB7">
      <w:pPr>
        <w:autoSpaceDE w:val="0"/>
        <w:autoSpaceDN w:val="0"/>
        <w:spacing w:line="360" w:lineRule="auto"/>
        <w:ind w:left="4335" w:leftChars="1950" w:hanging="240" w:hangingChars="100"/>
        <w:rPr>
          <w:rFonts w:hint="eastAsia"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3E800BBB">
      <w:pPr>
        <w:autoSpaceDE w:val="0"/>
        <w:autoSpaceDN w:val="0"/>
        <w:spacing w:line="360" w:lineRule="auto"/>
        <w:ind w:firstLine="6480" w:firstLineChars="27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7F11B73">
      <w:pPr>
        <w:spacing w:line="500" w:lineRule="exact"/>
        <w:rPr>
          <w:rFonts w:hint="eastAsia" w:ascii="宋体" w:hAnsi="宋体" w:cs="宋体"/>
          <w:b/>
          <w:color w:val="auto"/>
          <w:sz w:val="28"/>
          <w:szCs w:val="28"/>
          <w:highlight w:val="none"/>
        </w:rPr>
      </w:pPr>
    </w:p>
    <w:p w14:paraId="28210CE0">
      <w:pPr>
        <w:spacing w:line="500" w:lineRule="exact"/>
        <w:rPr>
          <w:rFonts w:hint="eastAsia" w:ascii="仿宋" w:hAnsi="仿宋" w:eastAsia="仿宋" w:cs="仿宋_GB2312"/>
          <w:b/>
          <w:color w:val="auto"/>
          <w:sz w:val="30"/>
          <w:szCs w:val="30"/>
          <w:highlight w:val="none"/>
          <w:lang w:val="zh-CN"/>
        </w:rPr>
      </w:pPr>
      <w:r>
        <w:rPr>
          <w:rFonts w:hint="eastAsia" w:ascii="宋体" w:hAnsi="宋体" w:cs="宋体"/>
          <w:b/>
          <w:color w:val="auto"/>
          <w:sz w:val="28"/>
          <w:szCs w:val="28"/>
          <w:highlight w:val="none"/>
        </w:rPr>
        <w:br w:type="page"/>
      </w:r>
      <w:r>
        <w:rPr>
          <w:rFonts w:hint="eastAsia" w:ascii="宋体" w:hAnsi="宋体" w:cs="宋体"/>
          <w:b/>
          <w:color w:val="auto"/>
          <w:sz w:val="28"/>
          <w:szCs w:val="28"/>
          <w:highlight w:val="none"/>
        </w:rPr>
        <w:t>4.</w:t>
      </w:r>
      <w:r>
        <w:rPr>
          <w:rFonts w:hint="eastAsia" w:ascii="宋体" w:hAnsi="宋体" w:cs="宋体"/>
          <w:b/>
          <w:color w:val="auto"/>
          <w:sz w:val="28"/>
          <w:szCs w:val="28"/>
          <w:highlight w:val="none"/>
          <w:lang w:val="zh-CN"/>
        </w:rPr>
        <w:t>响应报价表的格式：</w:t>
      </w:r>
      <w:r>
        <w:rPr>
          <w:rFonts w:hint="eastAsia" w:ascii="仿宋" w:hAnsi="仿宋" w:eastAsia="仿宋" w:cs="仿宋_GB2312"/>
          <w:b/>
          <w:color w:val="auto"/>
          <w:sz w:val="30"/>
          <w:szCs w:val="30"/>
          <w:highlight w:val="none"/>
          <w:lang w:val="zh-CN"/>
        </w:rPr>
        <w:t xml:space="preserve"> </w:t>
      </w:r>
    </w:p>
    <w:p w14:paraId="16CDFA6D">
      <w:pPr>
        <w:spacing w:line="520" w:lineRule="exact"/>
        <w:jc w:val="center"/>
        <w:rPr>
          <w:b/>
          <w:bCs/>
          <w:color w:val="auto"/>
          <w:sz w:val="32"/>
          <w:szCs w:val="32"/>
          <w:highlight w:val="none"/>
        </w:rPr>
      </w:pPr>
      <w:r>
        <w:rPr>
          <w:rFonts w:hint="eastAsia"/>
          <w:b/>
          <w:bCs/>
          <w:color w:val="auto"/>
          <w:sz w:val="32"/>
          <w:szCs w:val="32"/>
          <w:highlight w:val="none"/>
        </w:rPr>
        <w:t>响应报价表</w:t>
      </w:r>
    </w:p>
    <w:p w14:paraId="664E7FEA">
      <w:pPr>
        <w:snapToGrid w:val="0"/>
        <w:spacing w:before="50" w:after="5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rPr>
        <w:t xml:space="preserve">            </w:t>
      </w:r>
    </w:p>
    <w:p w14:paraId="51649943">
      <w:pPr>
        <w:snapToGrid w:val="0"/>
        <w:spacing w:before="50" w:after="5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rPr>
        <w:t xml:space="preserve">            </w:t>
      </w:r>
    </w:p>
    <w:p w14:paraId="3B622740">
      <w:pPr>
        <w:spacing w:line="360"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所竞分标（如有则填写，无分标时填写“无”或者留空）：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31"/>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51"/>
        <w:gridCol w:w="2546"/>
        <w:gridCol w:w="604"/>
        <w:gridCol w:w="586"/>
        <w:gridCol w:w="840"/>
        <w:gridCol w:w="1516"/>
        <w:gridCol w:w="1914"/>
      </w:tblGrid>
      <w:tr w14:paraId="4D8B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74CE3AE5">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7E409809">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标的名称</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2B79D35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具体服务内容（含具体服务范围、服务时间、服务标准等内容）</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3BEC49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数量①</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596A80F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DE7686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单价(元)②</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F7F7A3F">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单项合价（元）</w:t>
            </w:r>
          </w:p>
          <w:p w14:paraId="610B389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③＝①×②</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050236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20E3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5D194DB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66BAC2F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广西社会治安综合治理信息平台</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716E41CA">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服务需求偏离表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商务条款偏离表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1CAE98F">
            <w:pPr>
              <w:keepNext w:val="0"/>
              <w:keepLines w:val="0"/>
              <w:suppressLineNumbers w:val="0"/>
              <w:shd w:val="clear" w:color="auto" w:fill="auto"/>
              <w:spacing w:before="0" w:beforeAutospacing="0" w:after="0" w:afterAutospacing="0" w:line="32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636C2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项</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7F36B3C6">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122B0968">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7BDE4ABC">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54D9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4C6CE5F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0B59A79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数据中台系统</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07B6919E">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按《服务需求偏离表》《商务条款偏离表》的承诺</w:t>
            </w:r>
            <w:r>
              <w:rPr>
                <w:rFonts w:hint="eastAsia" w:ascii="宋体" w:hAnsi="宋体" w:eastAsia="宋体" w:cs="宋体"/>
                <w:color w:val="auto"/>
                <w:sz w:val="21"/>
                <w:szCs w:val="21"/>
                <w:highlight w:val="none"/>
                <w:lang w:eastAsia="zh-CN"/>
              </w:rPr>
              <w:t>。</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18DAB4B1">
            <w:pPr>
              <w:keepNext w:val="0"/>
              <w:keepLines w:val="0"/>
              <w:suppressLineNumbers w:val="0"/>
              <w:shd w:val="clear" w:color="auto" w:fill="auto"/>
              <w:spacing w:before="0" w:beforeAutospacing="0" w:after="0" w:afterAutospacing="0" w:line="32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31023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项</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453480F5">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F71ACAA">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3EE9FBD8">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46E3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18D0760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2D4A25B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AI智能应用系统</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6AFFC0CC">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按《服务需求偏离表》《商务条款偏离表》的承诺</w:t>
            </w:r>
            <w:r>
              <w:rPr>
                <w:rFonts w:hint="eastAsia" w:ascii="宋体" w:hAnsi="宋体" w:eastAsia="宋体" w:cs="宋体"/>
                <w:color w:val="auto"/>
                <w:sz w:val="21"/>
                <w:szCs w:val="21"/>
                <w:highlight w:val="none"/>
                <w:lang w:eastAsia="zh-CN"/>
              </w:rPr>
              <w:t>。</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79C575A6">
            <w:pPr>
              <w:keepNext w:val="0"/>
              <w:keepLines w:val="0"/>
              <w:suppressLineNumbers w:val="0"/>
              <w:shd w:val="clear" w:color="auto" w:fill="auto"/>
              <w:spacing w:before="0" w:beforeAutospacing="0" w:after="0" w:afterAutospacing="0" w:line="32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609C1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项</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3032378">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48D3B4B">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6B6D6AF2">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1D43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3F8453A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72DEA48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智能密码钥匙</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4AC3A350">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6939E29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10</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647A807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个</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8A4B6E6">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7D62225">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5681265F">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317B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1C03B8B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0DDA1C7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CA证书</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0D597517">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4306983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10</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3BE2FAF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套</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59E3931">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EC7CA92">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224F3394">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34B1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3A38FDB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3EBF5A4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SSL站点证书</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698E935A">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98DA22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4954403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套</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7B086380">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48DBC4E3">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71D67916">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37CA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16CFBDA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4206920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国密浏览器</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3449409B">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29E955C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10</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1937B6B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套</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2F13F46">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4077C47">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365072D8">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4B45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2DD84B7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1E20918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国产化数据库</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1EC7C305">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497B992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5DF9D4EA">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套</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ECA0E26">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3E12ED0">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3FA4AC53">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170B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000FC93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392D688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国产化中间件</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1C587793">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25DF295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5D736BC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套</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796DFB6">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DF341A5">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1FBB624C">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4F31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06259EE1">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报价合计（包含税费等所有费用）：（大写）人民币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元）</w:t>
            </w:r>
          </w:p>
        </w:tc>
      </w:tr>
    </w:tbl>
    <w:p w14:paraId="02D06672">
      <w:pPr>
        <w:snapToGrid w:val="0"/>
        <w:spacing w:before="50" w:after="50"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注： </w:t>
      </w:r>
    </w:p>
    <w:p w14:paraId="4198D981">
      <w:pPr>
        <w:snapToGrid w:val="0"/>
        <w:spacing w:before="50" w:after="50"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1、供应商需按本表格式填写，不得自行更改，也不得留空（</w:t>
      </w:r>
      <w:r>
        <w:rPr>
          <w:rFonts w:hint="eastAsia" w:ascii="宋体" w:hAnsi="宋体" w:eastAsia="宋体" w:cs="宋体"/>
          <w:color w:val="auto"/>
          <w:sz w:val="21"/>
          <w:szCs w:val="21"/>
          <w:highlight w:val="none"/>
        </w:rPr>
        <w:t>备注除外</w:t>
      </w:r>
      <w:r>
        <w:rPr>
          <w:rFonts w:hint="eastAsia" w:ascii="宋体" w:hAnsi="宋体" w:eastAsia="宋体" w:cs="宋体"/>
          <w:color w:val="auto"/>
          <w:kern w:val="0"/>
          <w:sz w:val="21"/>
          <w:szCs w:val="21"/>
          <w:highlight w:val="none"/>
          <w:lang w:val="zh-CN"/>
        </w:rPr>
        <w:t>）, 如有多分标，按分标分别提供响应报价表，</w:t>
      </w:r>
      <w:r>
        <w:rPr>
          <w:rFonts w:hint="eastAsia" w:ascii="宋体" w:hAnsi="宋体" w:eastAsia="宋体" w:cs="宋体"/>
          <w:b/>
          <w:color w:val="auto"/>
          <w:kern w:val="0"/>
          <w:sz w:val="21"/>
          <w:szCs w:val="21"/>
          <w:highlight w:val="none"/>
          <w:lang w:val="zh-CN"/>
        </w:rPr>
        <w:t>否则其响应按无效响应处理。</w:t>
      </w:r>
    </w:p>
    <w:p w14:paraId="1C2E573F">
      <w:pPr>
        <w:snapToGrid w:val="0"/>
        <w:spacing w:before="50" w:after="50" w:line="240" w:lineRule="auto"/>
        <w:ind w:firstLine="420" w:firstLineChars="200"/>
        <w:jc w:val="left"/>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2、如为联合体响应的，“供应商名称”处必须列明联合体各方名称，并标注联合体牵头人名称，且盖章处须加盖联合体各方公章，</w:t>
      </w:r>
      <w:r>
        <w:rPr>
          <w:rFonts w:hint="eastAsia" w:ascii="宋体" w:hAnsi="宋体" w:eastAsia="宋体" w:cs="宋体"/>
          <w:b/>
          <w:color w:val="auto"/>
          <w:kern w:val="0"/>
          <w:sz w:val="21"/>
          <w:szCs w:val="21"/>
          <w:highlight w:val="none"/>
          <w:lang w:val="zh-CN"/>
        </w:rPr>
        <w:t>否则其响应按无效响应处理。</w:t>
      </w:r>
    </w:p>
    <w:p w14:paraId="3923E7D1">
      <w:pPr>
        <w:snapToGrid w:val="0"/>
        <w:spacing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zh-CN"/>
        </w:rPr>
        <w:t>、特别提示：采购代理机构将对项目名称和项目编号，成交供应商名称、地址和成交金额，主要成交标的的名称、服务范围、服务要求、服务时间、服务标准等予以公示。</w:t>
      </w:r>
    </w:p>
    <w:p w14:paraId="013827D7">
      <w:pPr>
        <w:snapToGrid w:val="0"/>
        <w:spacing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val="zh-CN"/>
        </w:rPr>
        <w:t>、符合采购文件中列明的可享受中小企业扶持政策的供应商，请填写中小企业声明函。</w:t>
      </w:r>
    </w:p>
    <w:p w14:paraId="3592BFDB">
      <w:pPr>
        <w:snapToGrid w:val="0"/>
        <w:spacing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zh-CN"/>
        </w:rPr>
        <w:t>供应商提供的中小企业声明函内容不实的，属于提供虚假材料谋取中标、成交，依照《中华人民共和国政府采购法》等国家有关规定追究相应责任。</w:t>
      </w:r>
    </w:p>
    <w:p w14:paraId="65532103">
      <w:pPr>
        <w:snapToGrid w:val="0"/>
        <w:spacing w:line="240" w:lineRule="auto"/>
        <w:ind w:firstLine="420" w:firstLineChars="200"/>
        <w:jc w:val="left"/>
        <w:rPr>
          <w:rFonts w:hint="eastAsia" w:ascii="宋体" w:hAnsi="宋体" w:eastAsia="宋体" w:cs="宋体"/>
          <w:color w:val="auto"/>
          <w:kern w:val="0"/>
          <w:sz w:val="21"/>
          <w:szCs w:val="21"/>
          <w:highlight w:val="none"/>
          <w:lang w:val="zh-CN"/>
        </w:rPr>
      </w:pPr>
    </w:p>
    <w:p w14:paraId="21874F8B">
      <w:pPr>
        <w:autoSpaceDE w:val="0"/>
        <w:autoSpaceDN w:val="0"/>
        <w:spacing w:line="240" w:lineRule="auto"/>
        <w:ind w:firstLine="3990" w:firstLineChars="1900"/>
        <w:rPr>
          <w:rFonts w:hint="eastAsia" w:ascii="宋体" w:hAnsi="宋体" w:eastAsia="宋体" w:cs="宋体"/>
          <w:color w:val="auto"/>
          <w:kern w:val="0"/>
          <w:sz w:val="21"/>
          <w:szCs w:val="21"/>
          <w:highlight w:val="none"/>
        </w:rPr>
      </w:pPr>
    </w:p>
    <w:p w14:paraId="3A55D4A2">
      <w:pPr>
        <w:autoSpaceDE w:val="0"/>
        <w:autoSpaceDN w:val="0"/>
        <w:spacing w:line="240" w:lineRule="auto"/>
        <w:ind w:firstLine="3990" w:firstLineChars="19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供应商名称（盖公章）：</w:t>
      </w:r>
    </w:p>
    <w:p w14:paraId="26E89686">
      <w:pPr>
        <w:spacing w:line="240" w:lineRule="auto"/>
        <w:ind w:firstLine="5565" w:firstLineChars="26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750BE281">
      <w:pPr>
        <w:spacing w:line="500" w:lineRule="exact"/>
        <w:rPr>
          <w:rFonts w:hint="eastAsia" w:ascii="仿宋" w:hAnsi="仿宋" w:eastAsia="仿宋" w:cs="仿宋_GB2312"/>
          <w:b/>
          <w:color w:val="auto"/>
          <w:sz w:val="30"/>
          <w:szCs w:val="30"/>
          <w:highlight w:val="none"/>
          <w:lang w:val="zh-CN"/>
        </w:rPr>
      </w:pPr>
      <w:r>
        <w:rPr>
          <w:rFonts w:hint="eastAsia" w:ascii="宋体" w:hAnsi="宋体" w:cs="宋体"/>
          <w:color w:val="auto"/>
          <w:kern w:val="0"/>
          <w:sz w:val="24"/>
          <w:szCs w:val="21"/>
          <w:highlight w:val="none"/>
          <w:lang w:val="zh-CN"/>
        </w:rPr>
        <w:br w:type="page"/>
      </w:r>
      <w:r>
        <w:rPr>
          <w:rFonts w:hint="eastAsia" w:ascii="宋体" w:hAnsi="宋体" w:cs="宋体"/>
          <w:b/>
          <w:color w:val="auto"/>
          <w:sz w:val="28"/>
          <w:szCs w:val="28"/>
          <w:highlight w:val="none"/>
        </w:rPr>
        <w:t>5.</w:t>
      </w:r>
      <w:r>
        <w:rPr>
          <w:rFonts w:hint="eastAsia" w:ascii="宋体" w:hAnsi="宋体" w:cs="宋体"/>
          <w:b/>
          <w:color w:val="auto"/>
          <w:sz w:val="28"/>
          <w:szCs w:val="28"/>
          <w:highlight w:val="none"/>
          <w:lang w:val="zh-CN"/>
        </w:rPr>
        <w:t>最后报价表的格式：</w:t>
      </w:r>
      <w:r>
        <w:rPr>
          <w:rFonts w:hint="eastAsia" w:ascii="仿宋" w:hAnsi="仿宋" w:eastAsia="仿宋" w:cs="仿宋_GB2312"/>
          <w:b/>
          <w:color w:val="auto"/>
          <w:sz w:val="30"/>
          <w:szCs w:val="30"/>
          <w:highlight w:val="none"/>
          <w:lang w:val="zh-CN"/>
        </w:rPr>
        <w:t xml:space="preserve"> </w:t>
      </w:r>
    </w:p>
    <w:p w14:paraId="2A3A2FBE">
      <w:pPr>
        <w:spacing w:line="520" w:lineRule="exact"/>
        <w:ind w:firstLine="420" w:firstLineChars="200"/>
        <w:rPr>
          <w:rFonts w:ascii="Calibri" w:hAnsi="Calibri"/>
          <w:color w:val="auto"/>
          <w:highlight w:val="none"/>
        </w:rPr>
      </w:pPr>
    </w:p>
    <w:p w14:paraId="66B75434">
      <w:pPr>
        <w:spacing w:line="520" w:lineRule="exact"/>
        <w:jc w:val="center"/>
        <w:rPr>
          <w:b/>
          <w:bCs/>
          <w:color w:val="auto"/>
          <w:sz w:val="32"/>
          <w:szCs w:val="32"/>
          <w:highlight w:val="none"/>
        </w:rPr>
      </w:pPr>
      <w:r>
        <w:rPr>
          <w:rFonts w:hint="eastAsia"/>
          <w:b/>
          <w:bCs/>
          <w:color w:val="auto"/>
          <w:sz w:val="32"/>
          <w:szCs w:val="32"/>
          <w:highlight w:val="none"/>
        </w:rPr>
        <w:t>最后报价表</w:t>
      </w:r>
    </w:p>
    <w:p w14:paraId="46455897">
      <w:pPr>
        <w:snapToGrid w:val="0"/>
        <w:spacing w:before="50" w:after="5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rPr>
        <w:t xml:space="preserve">            </w:t>
      </w:r>
    </w:p>
    <w:p w14:paraId="57CF4D71">
      <w:pPr>
        <w:snapToGrid w:val="0"/>
        <w:spacing w:before="50" w:after="5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rPr>
        <w:t xml:space="preserve">            </w:t>
      </w:r>
    </w:p>
    <w:p w14:paraId="6D6889B6">
      <w:pPr>
        <w:spacing w:line="360"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所竞分标（如有则填写，无分标时填写“无”或者留空）：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31"/>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51"/>
        <w:gridCol w:w="2546"/>
        <w:gridCol w:w="604"/>
        <w:gridCol w:w="586"/>
        <w:gridCol w:w="840"/>
        <w:gridCol w:w="1516"/>
        <w:gridCol w:w="1914"/>
      </w:tblGrid>
      <w:tr w14:paraId="1C1E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0CDB2A29">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05284570">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标的名称</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66E12BA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具体服务内容（含具体服务范围、服务时间、服务标准等内容）</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1EFB057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数量①</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63DC329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410C29E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单价(元)②</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1FB9B26">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单项合价（元）</w:t>
            </w:r>
          </w:p>
          <w:p w14:paraId="08BE17F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③＝①×②</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8AB103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9C4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50622D20">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42A826B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广西社会治安综合治理信息平台</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3AAB0F07">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服务需求偏离表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商务条款偏离表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7D99146B">
            <w:pPr>
              <w:keepNext w:val="0"/>
              <w:keepLines w:val="0"/>
              <w:suppressLineNumbers w:val="0"/>
              <w:shd w:val="clear" w:color="auto" w:fill="auto"/>
              <w:spacing w:before="0" w:beforeAutospacing="0" w:after="0" w:afterAutospacing="0" w:line="32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075F5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项</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B181A01">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8EED1BF">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4921E1E4">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0AD4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07922DA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7070B02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数据中台系统</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6A3D318A">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按《服务需求偏离表》《商务条款偏离表》的承诺</w:t>
            </w:r>
            <w:r>
              <w:rPr>
                <w:rFonts w:hint="eastAsia" w:ascii="宋体" w:hAnsi="宋体" w:eastAsia="宋体" w:cs="宋体"/>
                <w:color w:val="auto"/>
                <w:sz w:val="21"/>
                <w:szCs w:val="21"/>
                <w:highlight w:val="none"/>
                <w:lang w:eastAsia="zh-CN"/>
              </w:rPr>
              <w:t>。</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427F6682">
            <w:pPr>
              <w:keepNext w:val="0"/>
              <w:keepLines w:val="0"/>
              <w:suppressLineNumbers w:val="0"/>
              <w:shd w:val="clear" w:color="auto" w:fill="auto"/>
              <w:spacing w:before="0" w:beforeAutospacing="0" w:after="0" w:afterAutospacing="0" w:line="32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50E72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项</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1BDABFFC">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267234E">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56B578A8">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4CBE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6DBD517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64549F2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AI智能应用系统</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4FAA2A9F">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按《服务需求偏离表》《商务条款偏离表》的承诺</w:t>
            </w:r>
            <w:r>
              <w:rPr>
                <w:rFonts w:hint="eastAsia" w:ascii="宋体" w:hAnsi="宋体" w:eastAsia="宋体" w:cs="宋体"/>
                <w:color w:val="auto"/>
                <w:sz w:val="21"/>
                <w:szCs w:val="21"/>
                <w:highlight w:val="none"/>
                <w:lang w:eastAsia="zh-CN"/>
              </w:rPr>
              <w:t>。</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132FA19E">
            <w:pPr>
              <w:keepNext w:val="0"/>
              <w:keepLines w:val="0"/>
              <w:suppressLineNumbers w:val="0"/>
              <w:shd w:val="clear" w:color="auto" w:fill="auto"/>
              <w:spacing w:before="0" w:beforeAutospacing="0" w:after="0" w:afterAutospacing="0" w:line="32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6ED0E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项</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509C583">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1698E87">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79E1ABAB">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717B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1DCB173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704E678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智能密码钥匙</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0EB8562B">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7ED362C2">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10</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15E31A53">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个</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B7B0BD4">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520915A">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6FA716C7">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6410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213745A3">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108E47E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CA证书</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3C25B21A">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450BBC9D">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10</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47008E9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套</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5BF73D75">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89BE3B8">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7260807B">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7838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05B189B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6B7DC83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SSL站点证书</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1C7AFE3B">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4723379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12911853">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套</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5EC60A69">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B9A3675">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72E7A573">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1BD2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65414BE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3A26FC5D">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国密浏览器</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18698668">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44F926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10</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613F8F6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套</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7EE3D8B">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403B1D10">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2F711B40">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140C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4D111F6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1C34A143">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国产化数据库</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6296275C">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63008C35">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1475CDF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套</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1BE447DA">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46844DEE">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34F9BAF6">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6C17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2F8F220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5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0E2DB50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国产化中间件</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031D828C">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按《服务需求偏离表》《商务条款偏离表》的承诺。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6786B0DA">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5F80BAA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套</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461DAFC">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E2BB692">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14:paraId="75E38422">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7241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63E25916">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报价合计（包含税费等所有费用）：（大写）人民币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元）</w:t>
            </w:r>
          </w:p>
        </w:tc>
      </w:tr>
    </w:tbl>
    <w:p w14:paraId="2866938E">
      <w:pPr>
        <w:snapToGrid w:val="0"/>
        <w:spacing w:before="50" w:after="50"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注： </w:t>
      </w:r>
    </w:p>
    <w:p w14:paraId="5CDFD509">
      <w:pPr>
        <w:snapToGrid w:val="0"/>
        <w:spacing w:before="50" w:after="50"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1、供应商需按本表格式填写，不得自行更改，也不得留空（</w:t>
      </w:r>
      <w:r>
        <w:rPr>
          <w:rFonts w:hint="eastAsia" w:ascii="宋体" w:hAnsi="宋体" w:eastAsia="宋体" w:cs="宋体"/>
          <w:color w:val="auto"/>
          <w:sz w:val="21"/>
          <w:szCs w:val="21"/>
          <w:highlight w:val="none"/>
        </w:rPr>
        <w:t>备注除外</w:t>
      </w:r>
      <w:r>
        <w:rPr>
          <w:rFonts w:hint="eastAsia" w:ascii="宋体" w:hAnsi="宋体" w:eastAsia="宋体" w:cs="宋体"/>
          <w:color w:val="auto"/>
          <w:kern w:val="0"/>
          <w:sz w:val="21"/>
          <w:szCs w:val="21"/>
          <w:highlight w:val="none"/>
          <w:lang w:val="zh-CN"/>
        </w:rPr>
        <w:t>）, 如有多分标，按分标分别提供响应报价表，</w:t>
      </w:r>
      <w:r>
        <w:rPr>
          <w:rFonts w:hint="eastAsia" w:ascii="宋体" w:hAnsi="宋体" w:eastAsia="宋体" w:cs="宋体"/>
          <w:b/>
          <w:color w:val="auto"/>
          <w:kern w:val="0"/>
          <w:sz w:val="21"/>
          <w:szCs w:val="21"/>
          <w:highlight w:val="none"/>
          <w:lang w:val="zh-CN"/>
        </w:rPr>
        <w:t>否则其响应按无效响应处理。</w:t>
      </w:r>
    </w:p>
    <w:p w14:paraId="493243D9">
      <w:pPr>
        <w:snapToGrid w:val="0"/>
        <w:spacing w:before="50" w:after="50" w:line="240" w:lineRule="auto"/>
        <w:ind w:firstLine="420" w:firstLineChars="200"/>
        <w:jc w:val="left"/>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2、如为联合体响应的，“供应商名称”处必须列明联合体各方名称，并标注联合体牵头人名称，且盖章处须加盖联合体各方公章，</w:t>
      </w:r>
      <w:r>
        <w:rPr>
          <w:rFonts w:hint="eastAsia" w:ascii="宋体" w:hAnsi="宋体" w:eastAsia="宋体" w:cs="宋体"/>
          <w:b/>
          <w:color w:val="auto"/>
          <w:kern w:val="0"/>
          <w:sz w:val="21"/>
          <w:szCs w:val="21"/>
          <w:highlight w:val="none"/>
          <w:lang w:val="zh-CN"/>
        </w:rPr>
        <w:t>否则其响应按无效响应处理。</w:t>
      </w:r>
    </w:p>
    <w:p w14:paraId="4A55E0CE">
      <w:pPr>
        <w:snapToGrid w:val="0"/>
        <w:spacing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zh-CN"/>
        </w:rPr>
        <w:t>、特别提示：采购代理机构将对项目名称和项目编号，成交供应商名称、地址和成交金额，主要成交标的的名称、服务范围、服务要求、服务时间、服务标准等予以公示。</w:t>
      </w:r>
    </w:p>
    <w:p w14:paraId="49708B0A">
      <w:pPr>
        <w:snapToGrid w:val="0"/>
        <w:spacing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val="zh-CN"/>
        </w:rPr>
        <w:t>、符合采购文件中列明的可享受中小企业扶持政策的供应商，请填写中小企业声明函。</w:t>
      </w:r>
    </w:p>
    <w:p w14:paraId="64C5F11B">
      <w:pPr>
        <w:snapToGrid w:val="0"/>
        <w:spacing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zh-CN"/>
        </w:rPr>
        <w:t>供应商提供的中小企业声明函内容不实的，属于提供虚假材料谋取中标、成交，依照《中华人民共和国政府采购法》等国家有关规定追究相应责任。</w:t>
      </w:r>
    </w:p>
    <w:p w14:paraId="2F4C0C2E">
      <w:pPr>
        <w:snapToGrid w:val="0"/>
        <w:spacing w:line="240" w:lineRule="auto"/>
        <w:ind w:firstLine="420" w:firstLineChars="200"/>
        <w:jc w:val="left"/>
        <w:rPr>
          <w:rFonts w:hint="eastAsia" w:ascii="宋体" w:hAnsi="宋体" w:eastAsia="宋体" w:cs="宋体"/>
          <w:color w:val="auto"/>
          <w:kern w:val="0"/>
          <w:sz w:val="21"/>
          <w:szCs w:val="21"/>
          <w:highlight w:val="none"/>
          <w:lang w:val="zh-CN"/>
        </w:rPr>
      </w:pPr>
    </w:p>
    <w:p w14:paraId="74A992C3">
      <w:pPr>
        <w:autoSpaceDE w:val="0"/>
        <w:autoSpaceDN w:val="0"/>
        <w:spacing w:line="240" w:lineRule="auto"/>
        <w:ind w:firstLine="3990" w:firstLineChars="1900"/>
        <w:rPr>
          <w:rFonts w:hint="eastAsia" w:ascii="宋体" w:hAnsi="宋体" w:eastAsia="宋体" w:cs="宋体"/>
          <w:color w:val="auto"/>
          <w:kern w:val="0"/>
          <w:sz w:val="21"/>
          <w:szCs w:val="21"/>
          <w:highlight w:val="none"/>
        </w:rPr>
      </w:pPr>
    </w:p>
    <w:p w14:paraId="7476A932">
      <w:pPr>
        <w:autoSpaceDE w:val="0"/>
        <w:autoSpaceDN w:val="0"/>
        <w:spacing w:line="240" w:lineRule="auto"/>
        <w:ind w:firstLine="3990" w:firstLineChars="19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供应商名称（盖公章）：</w:t>
      </w:r>
    </w:p>
    <w:p w14:paraId="6BEB8AE6">
      <w:pPr>
        <w:spacing w:line="240" w:lineRule="auto"/>
        <w:ind w:firstLine="5565" w:firstLineChars="26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2CFB3C57">
      <w:pPr>
        <w:spacing w:line="240" w:lineRule="auto"/>
        <w:ind w:firstLine="6360" w:firstLineChars="2650"/>
        <w:rPr>
          <w:rFonts w:hint="eastAsia" w:ascii="宋体" w:hAnsi="宋体" w:eastAsia="宋体" w:cs="宋体"/>
          <w:color w:val="auto"/>
          <w:kern w:val="0"/>
          <w:sz w:val="24"/>
          <w:szCs w:val="21"/>
          <w:highlight w:val="none"/>
          <w:lang w:val="zh-CN"/>
        </w:rPr>
      </w:pPr>
    </w:p>
    <w:p w14:paraId="09B7B350">
      <w:pPr>
        <w:spacing w:line="500" w:lineRule="exact"/>
        <w:ind w:firstLine="6360" w:firstLineChars="2650"/>
        <w:rPr>
          <w:rFonts w:hint="eastAsia" w:ascii="宋体" w:hAnsi="宋体" w:cs="宋体"/>
          <w:color w:val="auto"/>
          <w:sz w:val="24"/>
          <w:highlight w:val="none"/>
          <w:lang w:val="zh-CN"/>
        </w:rPr>
        <w:sectPr>
          <w:pgSz w:w="11911" w:h="16838"/>
          <w:pgMar w:top="1134" w:right="1134" w:bottom="1134" w:left="1134" w:header="720" w:footer="720" w:gutter="0"/>
          <w:cols w:space="720" w:num="1"/>
        </w:sectPr>
      </w:pPr>
    </w:p>
    <w:p w14:paraId="4E5EAF84">
      <w:pPr>
        <w:pStyle w:val="3"/>
        <w:jc w:val="center"/>
        <w:rPr>
          <w:rFonts w:hint="eastAsia" w:ascii="宋体" w:hAnsi="宋体"/>
          <w:b w:val="0"/>
          <w:color w:val="auto"/>
          <w:highlight w:val="none"/>
        </w:rPr>
      </w:pPr>
      <w:bookmarkStart w:id="147" w:name="_Toc13936"/>
      <w:bookmarkStart w:id="148" w:name="_Toc18482"/>
      <w:bookmarkStart w:id="149" w:name="_Toc80886946"/>
      <w:bookmarkStart w:id="150" w:name="_Toc80205942"/>
      <w:r>
        <w:rPr>
          <w:rFonts w:hint="eastAsia" w:ascii="宋体" w:hAnsi="宋体"/>
          <w:color w:val="auto"/>
          <w:highlight w:val="none"/>
        </w:rPr>
        <w:t>第四节 其他文书、文件格式</w:t>
      </w:r>
      <w:bookmarkEnd w:id="147"/>
      <w:bookmarkEnd w:id="148"/>
      <w:bookmarkEnd w:id="149"/>
      <w:bookmarkEnd w:id="150"/>
    </w:p>
    <w:p w14:paraId="1980FA5D">
      <w:pPr>
        <w:spacing w:line="500" w:lineRule="exact"/>
        <w:rPr>
          <w:rFonts w:hint="eastAsia" w:ascii="宋体" w:hAnsi="宋体" w:cs="宋体"/>
          <w:b/>
          <w:color w:val="auto"/>
          <w:sz w:val="30"/>
          <w:szCs w:val="30"/>
          <w:highlight w:val="none"/>
          <w:lang w:val="zh-CN"/>
        </w:rPr>
      </w:pPr>
      <w:r>
        <w:rPr>
          <w:rFonts w:hint="eastAsia" w:ascii="宋体" w:hAnsi="宋体" w:cs="宋体"/>
          <w:b/>
          <w:color w:val="auto"/>
          <w:sz w:val="30"/>
          <w:szCs w:val="30"/>
          <w:highlight w:val="none"/>
        </w:rPr>
        <w:t>1.</w:t>
      </w:r>
      <w:r>
        <w:rPr>
          <w:rFonts w:hint="eastAsia" w:ascii="宋体" w:hAnsi="宋体" w:cs="宋体"/>
          <w:b/>
          <w:color w:val="auto"/>
          <w:sz w:val="30"/>
          <w:szCs w:val="30"/>
          <w:highlight w:val="none"/>
          <w:lang w:val="zh-CN"/>
        </w:rPr>
        <w:t>中小企业声明函的格式：</w:t>
      </w:r>
    </w:p>
    <w:p w14:paraId="4A7E9646">
      <w:pPr>
        <w:pStyle w:val="22"/>
        <w:rPr>
          <w:rFonts w:hint="eastAsia" w:ascii="宋体" w:hAnsi="宋体" w:cs="宋体"/>
          <w:color w:val="auto"/>
          <w:highlight w:val="none"/>
        </w:rPr>
      </w:pPr>
    </w:p>
    <w:p w14:paraId="05B92EA9">
      <w:pPr>
        <w:spacing w:line="300" w:lineRule="auto"/>
        <w:ind w:firstLine="3520" w:firstLineChars="800"/>
        <w:rPr>
          <w:rFonts w:hint="eastAsia" w:ascii="宋体" w:hAnsi="宋体" w:cs="宋体"/>
          <w:color w:val="auto"/>
          <w:sz w:val="44"/>
          <w:szCs w:val="44"/>
          <w:highlight w:val="none"/>
        </w:rPr>
      </w:pPr>
      <w:r>
        <w:rPr>
          <w:rFonts w:hint="eastAsia" w:ascii="宋体" w:hAnsi="宋体" w:cs="宋体"/>
          <w:color w:val="auto"/>
          <w:sz w:val="44"/>
          <w:szCs w:val="44"/>
          <w:highlight w:val="none"/>
        </w:rPr>
        <w:t>中小企业声明函</w:t>
      </w:r>
    </w:p>
    <w:p w14:paraId="6E73B835">
      <w:pPr>
        <w:pStyle w:val="15"/>
        <w:spacing w:after="0" w:line="360" w:lineRule="auto"/>
        <w:ind w:left="-426" w:right="142" w:firstLine="640"/>
        <w:contextualSpacing/>
        <w:rPr>
          <w:rFonts w:hint="eastAsia" w:ascii="宋体" w:hAnsi="宋体" w:cs="宋体"/>
          <w:color w:val="auto"/>
          <w:sz w:val="24"/>
          <w:highlight w:val="none"/>
        </w:rPr>
      </w:pPr>
    </w:p>
    <w:p w14:paraId="2F34E110">
      <w:pPr>
        <w:pStyle w:val="15"/>
        <w:spacing w:after="0" w:line="360" w:lineRule="auto"/>
        <w:ind w:left="-426" w:right="142" w:firstLine="640"/>
        <w:contextualSpacing/>
        <w:rPr>
          <w:rFonts w:hint="eastAsia"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本公司（联合体）郑重声明，根据《政府采购促进中小企业发展管理办法》（财库﹝2020﹞46号）的规定，本公司（联合体）参加</w:t>
      </w:r>
      <w:r>
        <w:rPr>
          <w:rFonts w:hint="eastAsia" w:ascii="宋体" w:hAnsi="宋体" w:cs="宋体"/>
          <w:i/>
          <w:iCs/>
          <w:color w:val="auto"/>
          <w:sz w:val="24"/>
          <w:highlight w:val="none"/>
          <w:u w:val="single"/>
        </w:rPr>
        <w:t>（单位名称）</w:t>
      </w:r>
      <w:r>
        <w:rPr>
          <w:rFonts w:hint="eastAsia" w:ascii="宋体" w:hAnsi="宋体" w:cs="宋体"/>
          <w:color w:val="auto"/>
          <w:sz w:val="24"/>
          <w:highlight w:val="none"/>
        </w:rPr>
        <w:t>的</w:t>
      </w:r>
      <w:r>
        <w:rPr>
          <w:rFonts w:hint="eastAsia" w:ascii="宋体" w:hAnsi="宋体" w:cs="宋体"/>
          <w:i/>
          <w:iCs/>
          <w:color w:val="auto"/>
          <w:sz w:val="24"/>
          <w:highlight w:val="none"/>
          <w:u w:val="single"/>
        </w:rPr>
        <w:t>（项目名称）</w:t>
      </w:r>
      <w:r>
        <w:rPr>
          <w:rFonts w:hint="eastAsia" w:ascii="宋体" w:hAnsi="宋体" w:cs="宋体"/>
          <w:color w:val="auto"/>
          <w:sz w:val="24"/>
          <w:highlight w:val="none"/>
        </w:rPr>
        <w:t>采购活动，</w:t>
      </w:r>
      <w:r>
        <w:rPr>
          <w:rFonts w:hint="eastAsia" w:ascii="宋体" w:hAnsi="宋体" w:cs="宋体"/>
          <w:color w:val="auto"/>
          <w:kern w:val="0"/>
          <w:sz w:val="24"/>
          <w:highlight w:val="none"/>
        </w:rPr>
        <w:t>服务全部由符合政策要求的中小企业承接</w:t>
      </w:r>
      <w:r>
        <w:rPr>
          <w:rFonts w:hint="eastAsia" w:ascii="宋体" w:hAnsi="宋体" w:cs="宋体"/>
          <w:color w:val="auto"/>
          <w:sz w:val="24"/>
          <w:highlight w:val="none"/>
        </w:rPr>
        <w:t>。相关企业（含联合体中的</w:t>
      </w:r>
      <w:r>
        <w:rPr>
          <w:rFonts w:hint="eastAsia" w:ascii="宋体" w:hAnsi="宋体" w:cs="宋体"/>
          <w:color w:val="auto"/>
          <w:kern w:val="0"/>
          <w:sz w:val="24"/>
          <w:highlight w:val="none"/>
        </w:rPr>
        <w:t>中小</w:t>
      </w:r>
      <w:r>
        <w:rPr>
          <w:rFonts w:hint="eastAsia" w:ascii="宋体" w:hAnsi="宋体" w:cs="宋体"/>
          <w:color w:val="auto"/>
          <w:sz w:val="24"/>
          <w:highlight w:val="none"/>
        </w:rPr>
        <w:t>企业、签订分包意向协议的中小企业）的具体情况如下：</w:t>
      </w:r>
    </w:p>
    <w:p w14:paraId="7C3041BD">
      <w:pPr>
        <w:tabs>
          <w:tab w:val="left" w:pos="1384"/>
          <w:tab w:val="left" w:pos="4562"/>
          <w:tab w:val="left" w:pos="6803"/>
        </w:tabs>
        <w:spacing w:line="360" w:lineRule="auto"/>
        <w:ind w:left="-426" w:right="-58" w:firstLine="655"/>
        <w:contextualSpacing/>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标的名称</w:t>
      </w:r>
      <w:r>
        <w:rPr>
          <w:rFonts w:hint="eastAsia" w:ascii="宋体" w:hAnsi="宋体" w:cs="宋体"/>
          <w:color w:val="auto"/>
          <w:sz w:val="24"/>
          <w:highlight w:val="none"/>
          <w:u w:val="single"/>
        </w:rPr>
        <w:t>）</w:t>
      </w:r>
      <w:r>
        <w:rPr>
          <w:rFonts w:hint="eastAsia" w:ascii="宋体" w:hAnsi="宋体" w:cs="宋体"/>
          <w:color w:val="auto"/>
          <w:sz w:val="24"/>
          <w:highlight w:val="none"/>
        </w:rPr>
        <w:t>，属于</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采购文件中明确的所属行业</w:t>
      </w:r>
      <w:r>
        <w:rPr>
          <w:rFonts w:hint="eastAsia" w:ascii="宋体" w:hAnsi="宋体" w:cs="宋体"/>
          <w:color w:val="auto"/>
          <w:sz w:val="24"/>
          <w:highlight w:val="none"/>
          <w:u w:val="single"/>
        </w:rPr>
        <w:t>）</w:t>
      </w:r>
      <w:r>
        <w:rPr>
          <w:rFonts w:hint="eastAsia" w:ascii="宋体" w:hAnsi="宋体" w:cs="宋体"/>
          <w:color w:val="auto"/>
          <w:sz w:val="24"/>
          <w:highlight w:val="none"/>
        </w:rPr>
        <w:t>；</w:t>
      </w:r>
      <w:r>
        <w:rPr>
          <w:rFonts w:hint="eastAsia" w:ascii="宋体" w:hAnsi="宋体" w:cs="宋体"/>
          <w:color w:val="auto"/>
          <w:kern w:val="0"/>
          <w:sz w:val="24"/>
          <w:highlight w:val="none"/>
        </w:rPr>
        <w:t>承建（承接）企业</w:t>
      </w:r>
      <w:r>
        <w:rPr>
          <w:rFonts w:hint="eastAsia" w:ascii="宋体" w:hAnsi="宋体" w:cs="宋体"/>
          <w:color w:val="auto"/>
          <w:sz w:val="24"/>
          <w:highlight w:val="none"/>
        </w:rPr>
        <w:t>为</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企业名称</w:t>
      </w:r>
      <w:r>
        <w:rPr>
          <w:rFonts w:hint="eastAsia" w:ascii="宋体" w:hAnsi="宋体" w:cs="宋体"/>
          <w:color w:val="auto"/>
          <w:sz w:val="24"/>
          <w:highlight w:val="none"/>
          <w:u w:val="single"/>
        </w:rPr>
        <w:t>）</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中型企业、小型企业、微型企业</w:t>
      </w:r>
      <w:r>
        <w:rPr>
          <w:rFonts w:hint="eastAsia" w:ascii="宋体" w:hAnsi="宋体" w:cs="宋体"/>
          <w:color w:val="auto"/>
          <w:sz w:val="24"/>
          <w:highlight w:val="none"/>
          <w:u w:val="single"/>
        </w:rPr>
        <w:t>）</w:t>
      </w:r>
      <w:r>
        <w:rPr>
          <w:rFonts w:hint="eastAsia" w:ascii="宋体" w:hAnsi="宋体" w:cs="宋体"/>
          <w:color w:val="auto"/>
          <w:sz w:val="24"/>
          <w:highlight w:val="none"/>
        </w:rPr>
        <w:t>；</w:t>
      </w:r>
    </w:p>
    <w:p w14:paraId="0BDE45B2">
      <w:pPr>
        <w:tabs>
          <w:tab w:val="left" w:pos="1065"/>
          <w:tab w:val="left" w:pos="6477"/>
        </w:tabs>
        <w:spacing w:line="360" w:lineRule="auto"/>
        <w:ind w:left="-426" w:right="-58" w:firstLine="655"/>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标的名称</w:t>
      </w:r>
      <w:r>
        <w:rPr>
          <w:rFonts w:hint="eastAsia" w:ascii="宋体" w:hAnsi="宋体" w:cs="宋体"/>
          <w:color w:val="auto"/>
          <w:sz w:val="24"/>
          <w:highlight w:val="none"/>
          <w:u w:val="single"/>
        </w:rPr>
        <w:t>）</w:t>
      </w:r>
      <w:r>
        <w:rPr>
          <w:rFonts w:hint="eastAsia" w:ascii="宋体" w:hAnsi="宋体" w:cs="宋体"/>
          <w:color w:val="auto"/>
          <w:sz w:val="24"/>
          <w:highlight w:val="none"/>
        </w:rPr>
        <w:t>，属于</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采购文件中明确的所属行业</w:t>
      </w:r>
      <w:r>
        <w:rPr>
          <w:rFonts w:hint="eastAsia" w:ascii="宋体" w:hAnsi="宋体" w:cs="宋体"/>
          <w:color w:val="auto"/>
          <w:sz w:val="24"/>
          <w:highlight w:val="none"/>
          <w:u w:val="single"/>
        </w:rPr>
        <w:t>）</w:t>
      </w:r>
      <w:r>
        <w:rPr>
          <w:rFonts w:hint="eastAsia" w:ascii="宋体" w:hAnsi="宋体" w:cs="宋体"/>
          <w:color w:val="auto"/>
          <w:sz w:val="24"/>
          <w:highlight w:val="none"/>
        </w:rPr>
        <w:t>；</w:t>
      </w:r>
      <w:r>
        <w:rPr>
          <w:rFonts w:hint="eastAsia" w:ascii="宋体" w:hAnsi="宋体" w:cs="宋体"/>
          <w:color w:val="auto"/>
          <w:kern w:val="0"/>
          <w:sz w:val="24"/>
          <w:highlight w:val="none"/>
        </w:rPr>
        <w:t>承建（承接）企业</w:t>
      </w:r>
      <w:r>
        <w:rPr>
          <w:rFonts w:hint="eastAsia" w:ascii="宋体" w:hAnsi="宋体" w:cs="宋体"/>
          <w:color w:val="auto"/>
          <w:sz w:val="24"/>
          <w:highlight w:val="none"/>
        </w:rPr>
        <w:t>为</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企业名称</w:t>
      </w:r>
      <w:r>
        <w:rPr>
          <w:rFonts w:hint="eastAsia" w:ascii="宋体" w:hAnsi="宋体" w:cs="宋体"/>
          <w:color w:val="auto"/>
          <w:sz w:val="24"/>
          <w:highlight w:val="none"/>
          <w:u w:val="single"/>
        </w:rPr>
        <w:t>）</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中型企业、小型企业、微型企业</w:t>
      </w:r>
      <w:r>
        <w:rPr>
          <w:rFonts w:hint="eastAsia" w:ascii="宋体" w:hAnsi="宋体" w:cs="宋体"/>
          <w:color w:val="auto"/>
          <w:sz w:val="24"/>
          <w:highlight w:val="none"/>
          <w:u w:val="single"/>
        </w:rPr>
        <w:t>）</w:t>
      </w:r>
      <w:r>
        <w:rPr>
          <w:rFonts w:hint="eastAsia" w:ascii="宋体" w:hAnsi="宋体" w:cs="宋体"/>
          <w:color w:val="auto"/>
          <w:sz w:val="24"/>
          <w:highlight w:val="none"/>
        </w:rPr>
        <w:t>；</w:t>
      </w:r>
    </w:p>
    <w:p w14:paraId="6CC80454">
      <w:pPr>
        <w:pStyle w:val="15"/>
        <w:spacing w:after="0" w:line="360" w:lineRule="auto"/>
        <w:ind w:left="142" w:right="142"/>
        <w:contextualSpacing/>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627F0794">
      <w:pPr>
        <w:pStyle w:val="15"/>
        <w:spacing w:after="0" w:line="360" w:lineRule="auto"/>
        <w:ind w:left="-405" w:leftChars="-193" w:right="142" w:firstLine="453" w:firstLineChars="189"/>
        <w:contextualSpacing/>
        <w:rPr>
          <w:rFonts w:hint="eastAsia"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1CF9505">
      <w:pPr>
        <w:pStyle w:val="15"/>
        <w:spacing w:after="0" w:line="360" w:lineRule="auto"/>
        <w:ind w:left="-426" w:right="142" w:firstLine="567"/>
        <w:contextualSpacing/>
        <w:rPr>
          <w:rFonts w:hint="eastAsia"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57AB3F3C">
      <w:pPr>
        <w:pStyle w:val="15"/>
        <w:spacing w:after="0" w:line="360" w:lineRule="auto"/>
        <w:ind w:left="3960" w:right="1808"/>
        <w:contextualSpacing/>
        <w:rPr>
          <w:rFonts w:hint="eastAsia" w:ascii="宋体" w:hAnsi="宋体" w:cs="宋体"/>
          <w:color w:val="auto"/>
          <w:sz w:val="24"/>
          <w:highlight w:val="none"/>
        </w:rPr>
      </w:pPr>
    </w:p>
    <w:p w14:paraId="3C3E3D4A">
      <w:pPr>
        <w:autoSpaceDE w:val="0"/>
        <w:autoSpaceDN w:val="0"/>
        <w:spacing w:line="360" w:lineRule="auto"/>
        <w:ind w:left="4335" w:leftChars="1950" w:hanging="240" w:hangingChars="100"/>
        <w:rPr>
          <w:rFonts w:hint="eastAsia"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76E33D03">
      <w:pPr>
        <w:autoSpaceDE w:val="0"/>
        <w:autoSpaceDN w:val="0"/>
        <w:spacing w:line="360" w:lineRule="auto"/>
        <w:ind w:firstLine="6480" w:firstLineChars="27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CF158CE">
      <w:pPr>
        <w:pStyle w:val="15"/>
        <w:spacing w:after="0" w:line="360" w:lineRule="auto"/>
        <w:ind w:left="3960" w:right="1808"/>
        <w:contextualSpacing/>
        <w:rPr>
          <w:rFonts w:hint="eastAsia" w:ascii="宋体" w:hAnsi="宋体" w:cs="宋体"/>
          <w:color w:val="auto"/>
          <w:highlight w:val="none"/>
        </w:rPr>
      </w:pPr>
    </w:p>
    <w:p w14:paraId="71EE5603">
      <w:pPr>
        <w:spacing w:line="360" w:lineRule="auto"/>
        <w:ind w:firstLine="480" w:firstLineChars="200"/>
        <w:contextualSpacing/>
        <w:jc w:val="left"/>
        <w:rPr>
          <w:rFonts w:hint="eastAsia" w:ascii="宋体" w:hAnsi="宋体" w:cs="宋体"/>
          <w:color w:val="auto"/>
          <w:kern w:val="0"/>
          <w:sz w:val="24"/>
          <w:highlight w:val="none"/>
        </w:rPr>
      </w:pPr>
      <w:r>
        <w:rPr>
          <w:rFonts w:hint="eastAsia" w:ascii="宋体" w:hAnsi="宋体" w:cs="宋体"/>
          <w:color w:val="auto"/>
          <w:sz w:val="24"/>
          <w:highlight w:val="none"/>
        </w:rPr>
        <w:t>注：享受《政府采购促进中小企业发展管理办法》（财库〔2020〕46号）规定的中小企业扶持政策的，采购人或者采购代理机构应当随成交结果公开成交供应商的《中小企业声明函》，接受社会监督。从业人员、营业收入、资产总额填报上一年度数据，无上一年度数据的新成立企业可不填报。</w:t>
      </w:r>
    </w:p>
    <w:p w14:paraId="307142B2">
      <w:pPr>
        <w:snapToGrid w:val="0"/>
        <w:spacing w:before="120" w:beforeLines="50" w:after="50" w:line="360" w:lineRule="auto"/>
        <w:outlineLvl w:val="1"/>
        <w:rPr>
          <w:rFonts w:hint="eastAsia" w:ascii="宋体" w:hAnsi="宋体" w:cs="宋体"/>
          <w:b/>
          <w:bCs/>
          <w:color w:val="auto"/>
          <w:sz w:val="32"/>
          <w:szCs w:val="32"/>
          <w:highlight w:val="none"/>
        </w:rPr>
        <w:sectPr>
          <w:pgSz w:w="11911" w:h="16838"/>
          <w:pgMar w:top="1134" w:right="1134" w:bottom="1134" w:left="1134" w:header="720" w:footer="720" w:gutter="0"/>
          <w:cols w:space="720" w:num="1"/>
        </w:sectPr>
      </w:pPr>
    </w:p>
    <w:p w14:paraId="3B52B4C2">
      <w:pPr>
        <w:spacing w:line="520" w:lineRule="exact"/>
        <w:rPr>
          <w:rFonts w:hint="eastAsia" w:hAnsi="宋体" w:cs="宋体"/>
          <w:b/>
          <w:color w:val="auto"/>
          <w:sz w:val="28"/>
          <w:szCs w:val="28"/>
          <w:highlight w:val="none"/>
        </w:rPr>
      </w:pPr>
      <w:r>
        <w:rPr>
          <w:rFonts w:hint="eastAsia" w:ascii="宋体" w:hAnsi="宋体" w:cs="宋体"/>
          <w:b/>
          <w:color w:val="auto"/>
          <w:sz w:val="28"/>
          <w:szCs w:val="28"/>
          <w:highlight w:val="none"/>
        </w:rPr>
        <w:t>2.</w:t>
      </w:r>
      <w:r>
        <w:rPr>
          <w:rFonts w:hint="eastAsia" w:hAnsi="宋体" w:cs="宋体"/>
          <w:b/>
          <w:color w:val="auto"/>
          <w:sz w:val="28"/>
          <w:szCs w:val="28"/>
          <w:highlight w:val="none"/>
        </w:rPr>
        <w:t>残疾人福利性单位声明函的格式：</w:t>
      </w:r>
    </w:p>
    <w:p w14:paraId="6969000D">
      <w:pPr>
        <w:pStyle w:val="22"/>
        <w:rPr>
          <w:color w:val="auto"/>
          <w:highlight w:val="none"/>
        </w:rPr>
      </w:pPr>
    </w:p>
    <w:p w14:paraId="15DAB583">
      <w:pPr>
        <w:spacing w:line="520" w:lineRule="exact"/>
        <w:jc w:val="center"/>
        <w:rPr>
          <w:rFonts w:hint="eastAsia" w:ascii="仿宋" w:hAnsi="仿宋" w:eastAsia="仿宋" w:cs="仿宋"/>
          <w:color w:val="auto"/>
          <w:sz w:val="44"/>
          <w:szCs w:val="44"/>
          <w:highlight w:val="none"/>
        </w:rPr>
      </w:pPr>
    </w:p>
    <w:p w14:paraId="10E9065C">
      <w:pPr>
        <w:spacing w:line="520" w:lineRule="exact"/>
        <w:jc w:val="center"/>
        <w:rPr>
          <w:rFonts w:hint="eastAsia" w:ascii="仿宋" w:hAnsi="仿宋" w:eastAsia="仿宋" w:cs="仿宋"/>
          <w:color w:val="auto"/>
          <w:sz w:val="44"/>
          <w:szCs w:val="44"/>
          <w:highlight w:val="none"/>
        </w:rPr>
      </w:pPr>
    </w:p>
    <w:p w14:paraId="6242EEB7">
      <w:pPr>
        <w:spacing w:line="520" w:lineRule="exact"/>
        <w:jc w:val="cente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t>残疾人福利性单位声明函</w:t>
      </w:r>
    </w:p>
    <w:p w14:paraId="1AAA5753">
      <w:pPr>
        <w:spacing w:line="520" w:lineRule="exact"/>
        <w:rPr>
          <w:rFonts w:hint="eastAsia" w:ascii="宋体" w:hAnsi="宋体" w:cs="宋体"/>
          <w:color w:val="auto"/>
          <w:sz w:val="32"/>
          <w:szCs w:val="32"/>
          <w:highlight w:val="none"/>
        </w:rPr>
      </w:pPr>
    </w:p>
    <w:p w14:paraId="69BCE2D2">
      <w:pPr>
        <w:spacing w:line="360" w:lineRule="auto"/>
        <w:ind w:firstLine="480" w:firstLineChars="200"/>
        <w:contextualSpacing/>
        <w:rPr>
          <w:rFonts w:hint="eastAsia" w:ascii="宋体" w:hAnsi="宋体" w:cs="宋体"/>
          <w:color w:val="auto"/>
          <w:sz w:val="24"/>
          <w:highlight w:val="none"/>
        </w:rPr>
      </w:pPr>
    </w:p>
    <w:p w14:paraId="7EE77DD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31C2683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69C30A7A">
      <w:pPr>
        <w:spacing w:line="360" w:lineRule="auto"/>
        <w:contextualSpacing/>
        <w:rPr>
          <w:rFonts w:hint="eastAsia" w:ascii="宋体" w:hAnsi="宋体" w:cs="宋体"/>
          <w:color w:val="auto"/>
          <w:sz w:val="24"/>
          <w:highlight w:val="none"/>
        </w:rPr>
      </w:pPr>
    </w:p>
    <w:p w14:paraId="205263D9">
      <w:pPr>
        <w:spacing w:line="360" w:lineRule="auto"/>
        <w:contextualSpacing/>
        <w:rPr>
          <w:rFonts w:hint="eastAsia" w:ascii="宋体" w:hAnsi="宋体" w:cs="宋体"/>
          <w:color w:val="auto"/>
          <w:sz w:val="24"/>
          <w:highlight w:val="none"/>
        </w:rPr>
      </w:pPr>
    </w:p>
    <w:p w14:paraId="61A3A292">
      <w:pPr>
        <w:spacing w:line="360" w:lineRule="auto"/>
        <w:contextualSpacing/>
        <w:rPr>
          <w:rFonts w:hint="eastAsia" w:ascii="宋体" w:hAnsi="宋体" w:cs="宋体"/>
          <w:color w:val="auto"/>
          <w:sz w:val="24"/>
          <w:highlight w:val="none"/>
        </w:rPr>
      </w:pPr>
    </w:p>
    <w:p w14:paraId="042FF52D">
      <w:pPr>
        <w:spacing w:line="360" w:lineRule="auto"/>
        <w:ind w:firstLine="2400" w:firstLineChars="1000"/>
        <w:contextualSpacing/>
        <w:rPr>
          <w:rFonts w:hint="eastAsia" w:ascii="宋体" w:hAnsi="宋体" w:cs="宋体"/>
          <w:color w:val="auto"/>
          <w:sz w:val="24"/>
          <w:highlight w:val="none"/>
        </w:rPr>
      </w:pPr>
      <w:r>
        <w:rPr>
          <w:rFonts w:hint="eastAsia" w:ascii="宋体" w:hAnsi="宋体" w:cs="宋体"/>
          <w:color w:val="auto"/>
          <w:sz w:val="24"/>
          <w:highlight w:val="none"/>
        </w:rPr>
        <w:t>供应商名称（盖公章）：</w:t>
      </w:r>
    </w:p>
    <w:p w14:paraId="52E77847">
      <w:pPr>
        <w:spacing w:line="360" w:lineRule="auto"/>
        <w:ind w:firstLine="4320" w:firstLineChars="1800"/>
        <w:contextualSpacing/>
        <w:rPr>
          <w:rFonts w:hint="eastAsia" w:ascii="宋体" w:hAnsi="宋体" w:cs="宋体"/>
          <w:color w:val="auto"/>
          <w:sz w:val="24"/>
          <w:highlight w:val="none"/>
        </w:rPr>
      </w:pPr>
      <w:r>
        <w:rPr>
          <w:rFonts w:hint="eastAsia" w:ascii="宋体" w:hAnsi="宋体" w:cs="宋体"/>
          <w:color w:val="auto"/>
          <w:sz w:val="24"/>
          <w:highlight w:val="none"/>
        </w:rPr>
        <w:t>日  期：     年   月   日</w:t>
      </w:r>
    </w:p>
    <w:p w14:paraId="0652370B">
      <w:pPr>
        <w:spacing w:line="360" w:lineRule="auto"/>
        <w:contextualSpacing/>
        <w:rPr>
          <w:rFonts w:hint="eastAsia" w:ascii="宋体" w:hAnsi="宋体" w:cs="宋体"/>
          <w:color w:val="auto"/>
          <w:sz w:val="24"/>
          <w:highlight w:val="none"/>
        </w:rPr>
      </w:pPr>
    </w:p>
    <w:p w14:paraId="0DB505D5">
      <w:pPr>
        <w:spacing w:line="360" w:lineRule="auto"/>
        <w:contextualSpacing/>
        <w:rPr>
          <w:rFonts w:hint="eastAsia" w:ascii="宋体" w:hAnsi="宋体" w:cs="宋体"/>
          <w:color w:val="auto"/>
          <w:sz w:val="24"/>
          <w:highlight w:val="none"/>
        </w:rPr>
      </w:pPr>
    </w:p>
    <w:p w14:paraId="4B59EFED">
      <w:pPr>
        <w:spacing w:line="360" w:lineRule="auto"/>
        <w:contextualSpacing/>
        <w:rPr>
          <w:rFonts w:hint="eastAsia" w:ascii="宋体" w:hAnsi="宋体" w:cs="宋体"/>
          <w:color w:val="auto"/>
          <w:sz w:val="24"/>
          <w:highlight w:val="none"/>
        </w:rPr>
      </w:pPr>
    </w:p>
    <w:p w14:paraId="6F56DE7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注：请根据自己的真实情况出具《残疾人福利性单位声明函》。依法享受中小企业扶持政策的，采购人或者采购代理机构在公告成交结果时，同时公告其《残疾人福利性单位声明函》，接受社会监督。</w:t>
      </w:r>
    </w:p>
    <w:p w14:paraId="25E79EFA">
      <w:pPr>
        <w:widowControl/>
        <w:shd w:val="clear" w:color="auto" w:fill="FFFFFF"/>
        <w:spacing w:line="480" w:lineRule="atLeast"/>
        <w:rPr>
          <w:rFonts w:hint="eastAsia" w:ascii="宋体" w:hAnsi="宋体" w:cs="宋体"/>
          <w:color w:val="auto"/>
          <w:kern w:val="0"/>
          <w:sz w:val="28"/>
          <w:szCs w:val="28"/>
          <w:highlight w:val="none"/>
        </w:rPr>
      </w:pPr>
      <w:r>
        <w:rPr>
          <w:rFonts w:hint="eastAsia" w:ascii="宋体" w:hAnsi="宋体" w:cs="宋体"/>
          <w:color w:val="auto"/>
          <w:sz w:val="24"/>
          <w:highlight w:val="none"/>
        </w:rPr>
        <w:br w:type="page"/>
      </w:r>
      <w:r>
        <w:rPr>
          <w:rFonts w:hint="eastAsia" w:ascii="宋体" w:hAnsi="宋体" w:cs="宋体"/>
          <w:color w:val="auto"/>
          <w:sz w:val="28"/>
          <w:szCs w:val="28"/>
          <w:highlight w:val="none"/>
        </w:rPr>
        <w:t>3.</w:t>
      </w:r>
      <w:r>
        <w:rPr>
          <w:rFonts w:hint="eastAsia" w:ascii="宋体" w:hAnsi="宋体" w:cs="宋体"/>
          <w:color w:val="auto"/>
          <w:kern w:val="0"/>
          <w:sz w:val="28"/>
          <w:szCs w:val="28"/>
          <w:highlight w:val="none"/>
        </w:rPr>
        <w:t>广西壮族自治区政府采购项目合同验收书的格式：</w:t>
      </w:r>
    </w:p>
    <w:p w14:paraId="2C0ED3F1">
      <w:pPr>
        <w:spacing w:line="360" w:lineRule="auto"/>
        <w:ind w:firstLine="480" w:firstLineChars="200"/>
        <w:contextualSpacing/>
        <w:rPr>
          <w:rFonts w:cs="仿宋_GB2312"/>
          <w:color w:val="auto"/>
          <w:sz w:val="24"/>
          <w:highlight w:val="none"/>
        </w:rPr>
      </w:pPr>
    </w:p>
    <w:p w14:paraId="00582840">
      <w:pPr>
        <w:widowControl/>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w:t>
      </w:r>
    </w:p>
    <w:p w14:paraId="562FB5FD">
      <w:pPr>
        <w:widowControl/>
        <w:shd w:val="clear" w:color="auto" w:fill="FFFFFF"/>
        <w:spacing w:line="480" w:lineRule="atLeast"/>
        <w:jc w:val="center"/>
        <w:rPr>
          <w:rFonts w:hint="eastAsia" w:ascii="仿宋" w:hAnsi="仿宋" w:eastAsia="仿宋" w:cs="宋体"/>
          <w:color w:val="auto"/>
          <w:kern w:val="0"/>
          <w:sz w:val="32"/>
          <w:szCs w:val="32"/>
          <w:highlight w:val="none"/>
        </w:rPr>
      </w:pPr>
    </w:p>
    <w:p w14:paraId="4F1696AB">
      <w:pPr>
        <w:widowControl/>
        <w:shd w:val="clear" w:color="auto" w:fill="FFFFFF"/>
        <w:snapToGrid w:val="0"/>
        <w:spacing w:line="320" w:lineRule="atLeast"/>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根据政府采购项目（</w:t>
      </w:r>
      <w:r>
        <w:rPr>
          <w:rFonts w:hint="eastAsia" w:ascii="宋体" w:hAnsi="宋体" w:cs="宋体"/>
          <w:color w:val="auto"/>
          <w:kern w:val="0"/>
          <w:sz w:val="24"/>
          <w:highlight w:val="none"/>
          <w:u w:val="single"/>
        </w:rPr>
        <w:t>采购合同编号：</w:t>
      </w:r>
      <w:r>
        <w:rPr>
          <w:rFonts w:hint="eastAsia" w:ascii="宋体" w:hAnsi="宋体" w:cs="宋体"/>
          <w:color w:val="auto"/>
          <w:kern w:val="0"/>
          <w:sz w:val="24"/>
          <w:highlight w:val="none"/>
          <w:u w:val="single"/>
        </w:rPr>
        <w:softHyphen/>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）的约定，我单位对（</w:t>
      </w:r>
      <w:r>
        <w:rPr>
          <w:rFonts w:hint="eastAsia" w:ascii="宋体" w:hAnsi="宋体" w:cs="宋体"/>
          <w:color w:val="auto"/>
          <w:kern w:val="0"/>
          <w:sz w:val="24"/>
          <w:highlight w:val="none"/>
          <w:u w:val="single"/>
        </w:rPr>
        <w:t xml:space="preserve"> 项目名称 </w:t>
      </w:r>
      <w:r>
        <w:rPr>
          <w:rFonts w:hint="eastAsia" w:ascii="宋体" w:hAnsi="宋体" w:cs="宋体"/>
          <w:color w:val="auto"/>
          <w:kern w:val="0"/>
          <w:sz w:val="24"/>
          <w:highlight w:val="none"/>
        </w:rPr>
        <w:t>） 政府采购项目成交供应商（</w:t>
      </w:r>
      <w:r>
        <w:rPr>
          <w:rFonts w:hint="eastAsia" w:ascii="宋体" w:hAnsi="宋体" w:cs="宋体"/>
          <w:color w:val="auto"/>
          <w:kern w:val="0"/>
          <w:sz w:val="24"/>
          <w:highlight w:val="none"/>
          <w:u w:val="single"/>
        </w:rPr>
        <w:t xml:space="preserve"> 公司名称 </w:t>
      </w:r>
      <w:r>
        <w:rPr>
          <w:rFonts w:hint="eastAsia" w:ascii="宋体" w:hAnsi="宋体" w:cs="宋体"/>
          <w:color w:val="auto"/>
          <w:kern w:val="0"/>
          <w:sz w:val="24"/>
          <w:highlight w:val="none"/>
        </w:rPr>
        <w:t>） 提供的货物（或者工程、服务）进行了验收，验收情况如下：</w:t>
      </w:r>
    </w:p>
    <w:tbl>
      <w:tblPr>
        <w:tblStyle w:val="31"/>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0C86E196">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58E55693">
            <w:pPr>
              <w:keepNext w:val="0"/>
              <w:keepLines w:val="0"/>
              <w:widowControl/>
              <w:suppressLineNumbers w:val="0"/>
              <w:snapToGrid w:val="0"/>
              <w:spacing w:before="100" w:beforeAutospacing="1" w:after="100" w:afterAutospacing="1" w:line="320" w:lineRule="atLeast"/>
              <w:ind w:left="0" w:right="0" w:firstLine="5"/>
              <w:jc w:val="center"/>
              <w:rPr>
                <w:rFonts w:hint="default" w:ascii="Verdana" w:hAnsi="Verdana" w:cs="宋体"/>
                <w:color w:val="auto"/>
                <w:kern w:val="0"/>
                <w:szCs w:val="21"/>
                <w:highlight w:val="none"/>
              </w:rPr>
            </w:pPr>
            <w:r>
              <w:rPr>
                <w:rFonts w:hint="default"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03A74FFA">
            <w:pPr>
              <w:keepNext w:val="0"/>
              <w:keepLines w:val="0"/>
              <w:widowControl/>
              <w:suppressLineNumbers w:val="0"/>
              <w:snapToGrid w:val="0"/>
              <w:spacing w:before="100" w:beforeAutospacing="1" w:after="100" w:afterAutospacing="1" w:line="320" w:lineRule="atLeast"/>
              <w:ind w:left="0" w:right="0"/>
              <w:jc w:val="center"/>
              <w:rPr>
                <w:rFonts w:hint="default" w:ascii="Verdana" w:hAnsi="Verdana" w:cs="宋体"/>
                <w:color w:val="auto"/>
                <w:kern w:val="0"/>
                <w:szCs w:val="21"/>
                <w:highlight w:val="none"/>
              </w:rPr>
            </w:pPr>
            <w:r>
              <w:rPr>
                <w:rFonts w:hint="eastAsia" w:ascii="宋体" w:hAnsi="宋体" w:cs="宋体"/>
                <w:color w:val="auto"/>
                <w:kern w:val="0"/>
                <w:szCs w:val="21"/>
                <w:highlight w:val="none"/>
              </w:rPr>
              <w:t>□</w:t>
            </w:r>
            <w:r>
              <w:rPr>
                <w:rFonts w:hint="default" w:ascii="Verdana" w:hAnsi="Verdana" w:cs="宋体"/>
                <w:color w:val="auto"/>
                <w:kern w:val="0"/>
                <w:szCs w:val="21"/>
                <w:highlight w:val="none"/>
              </w:rPr>
              <w:t xml:space="preserve">自行验收 </w:t>
            </w:r>
            <w:r>
              <w:rPr>
                <w:rFonts w:hint="eastAsia" w:ascii="宋体" w:hAnsi="宋体" w:cs="宋体"/>
                <w:color w:val="auto"/>
                <w:kern w:val="0"/>
                <w:szCs w:val="21"/>
                <w:highlight w:val="none"/>
              </w:rPr>
              <w:t>□</w:t>
            </w:r>
            <w:r>
              <w:rPr>
                <w:rFonts w:hint="default" w:ascii="Verdana" w:hAnsi="Verdana" w:cs="宋体"/>
                <w:color w:val="auto"/>
                <w:kern w:val="0"/>
                <w:szCs w:val="21"/>
                <w:highlight w:val="none"/>
              </w:rPr>
              <w:t>委托验收</w:t>
            </w:r>
          </w:p>
        </w:tc>
      </w:tr>
      <w:tr w14:paraId="38F448DD">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51BD6135">
            <w:pPr>
              <w:keepNext w:val="0"/>
              <w:keepLines w:val="0"/>
              <w:widowControl/>
              <w:suppressLineNumbers w:val="0"/>
              <w:snapToGrid w:val="0"/>
              <w:spacing w:before="100" w:beforeAutospacing="1" w:after="100" w:afterAutospacing="1" w:line="320" w:lineRule="atLeast"/>
              <w:ind w:left="0" w:right="0" w:firstLine="2"/>
              <w:jc w:val="center"/>
              <w:rPr>
                <w:rFonts w:hint="default" w:ascii="Verdana" w:hAnsi="Verdana" w:cs="宋体"/>
                <w:color w:val="auto"/>
                <w:kern w:val="0"/>
                <w:szCs w:val="21"/>
                <w:highlight w:val="none"/>
              </w:rPr>
            </w:pPr>
            <w:r>
              <w:rPr>
                <w:rFonts w:hint="default"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0E20F72A">
            <w:pPr>
              <w:keepNext w:val="0"/>
              <w:keepLines w:val="0"/>
              <w:widowControl/>
              <w:suppressLineNumbers w:val="0"/>
              <w:snapToGrid w:val="0"/>
              <w:spacing w:before="100" w:beforeAutospacing="1" w:after="100" w:afterAutospacing="1" w:line="320" w:lineRule="atLeast"/>
              <w:ind w:left="0" w:right="0" w:firstLine="2"/>
              <w:jc w:val="center"/>
              <w:rPr>
                <w:rFonts w:hint="default" w:ascii="Verdana" w:hAnsi="Verdana" w:cs="宋体"/>
                <w:color w:val="auto"/>
                <w:kern w:val="0"/>
                <w:szCs w:val="21"/>
                <w:highlight w:val="none"/>
              </w:rPr>
            </w:pPr>
            <w:r>
              <w:rPr>
                <w:rFonts w:hint="default"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09AD5EA2">
            <w:pPr>
              <w:keepNext w:val="0"/>
              <w:keepLines w:val="0"/>
              <w:widowControl/>
              <w:suppressLineNumbers w:val="0"/>
              <w:snapToGrid w:val="0"/>
              <w:spacing w:before="100" w:beforeAutospacing="1" w:after="100" w:afterAutospacing="1" w:line="320" w:lineRule="atLeast"/>
              <w:ind w:left="0" w:right="0" w:firstLine="2"/>
              <w:jc w:val="center"/>
              <w:rPr>
                <w:rFonts w:hint="default" w:ascii="Verdana" w:hAnsi="Verdana" w:cs="宋体"/>
                <w:color w:val="auto"/>
                <w:kern w:val="0"/>
                <w:szCs w:val="21"/>
                <w:highlight w:val="none"/>
              </w:rPr>
            </w:pPr>
            <w:r>
              <w:rPr>
                <w:rFonts w:hint="default"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2DAC6E58">
            <w:pPr>
              <w:keepNext w:val="0"/>
              <w:keepLines w:val="0"/>
              <w:widowControl/>
              <w:suppressLineNumbers w:val="0"/>
              <w:snapToGrid w:val="0"/>
              <w:spacing w:before="100" w:beforeAutospacing="1" w:after="100" w:afterAutospacing="1" w:line="320" w:lineRule="atLeast"/>
              <w:ind w:left="0" w:right="0"/>
              <w:jc w:val="center"/>
              <w:rPr>
                <w:rFonts w:hint="default" w:ascii="Verdana" w:hAnsi="Verdana" w:cs="宋体"/>
                <w:color w:val="auto"/>
                <w:kern w:val="0"/>
                <w:szCs w:val="21"/>
                <w:highlight w:val="none"/>
              </w:rPr>
            </w:pPr>
            <w:r>
              <w:rPr>
                <w:rFonts w:hint="default"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0DB481F0">
            <w:pPr>
              <w:keepNext w:val="0"/>
              <w:keepLines w:val="0"/>
              <w:widowControl/>
              <w:suppressLineNumbers w:val="0"/>
              <w:snapToGrid w:val="0"/>
              <w:spacing w:before="100" w:beforeAutospacing="1" w:after="100" w:afterAutospacing="1" w:line="320" w:lineRule="atLeast"/>
              <w:ind w:left="0" w:right="0" w:firstLine="2"/>
              <w:jc w:val="center"/>
              <w:rPr>
                <w:rFonts w:hint="default" w:ascii="Verdana" w:hAnsi="Verdana" w:cs="宋体"/>
                <w:color w:val="auto"/>
                <w:kern w:val="0"/>
                <w:szCs w:val="21"/>
                <w:highlight w:val="none"/>
              </w:rPr>
            </w:pPr>
            <w:r>
              <w:rPr>
                <w:rFonts w:hint="default" w:ascii="Verdana" w:hAnsi="Verdana" w:cs="宋体"/>
                <w:color w:val="auto"/>
                <w:kern w:val="0"/>
                <w:szCs w:val="21"/>
                <w:highlight w:val="none"/>
              </w:rPr>
              <w:t>金额</w:t>
            </w:r>
          </w:p>
        </w:tc>
      </w:tr>
      <w:tr w14:paraId="358F183A">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BEBBE11">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4A529899">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69B8D948">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339D884B">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70E1A613">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r>
      <w:tr w14:paraId="101F731B">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11956763">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7DA121AB">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6406F186">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7C088AD1">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5C963830">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r>
      <w:tr w14:paraId="7DF54304">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CBC267E">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37693C9">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10E20C0A">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03F5087D">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10C82B9D">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r>
      <w:tr w14:paraId="076F5A35">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19FA28CA">
            <w:pPr>
              <w:keepNext w:val="0"/>
              <w:keepLines w:val="0"/>
              <w:widowControl/>
              <w:suppressLineNumbers w:val="0"/>
              <w:snapToGrid w:val="0"/>
              <w:spacing w:before="100" w:beforeAutospacing="1" w:after="100" w:afterAutospacing="1" w:line="320" w:lineRule="atLeast"/>
              <w:ind w:left="0" w:right="0" w:firstLine="5"/>
              <w:jc w:val="center"/>
              <w:rPr>
                <w:rFonts w:hint="default" w:ascii="Verdana" w:hAnsi="Verdana" w:cs="宋体"/>
                <w:color w:val="auto"/>
                <w:kern w:val="0"/>
                <w:szCs w:val="21"/>
                <w:highlight w:val="none"/>
              </w:rPr>
            </w:pPr>
            <w:r>
              <w:rPr>
                <w:rFonts w:hint="default"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3D718A42">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1791FF78">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r>
      <w:tr w14:paraId="25C8C446">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2F0C3AF7">
            <w:pPr>
              <w:keepNext w:val="0"/>
              <w:keepLines w:val="0"/>
              <w:widowControl/>
              <w:suppressLineNumbers w:val="0"/>
              <w:snapToGrid w:val="0"/>
              <w:spacing w:before="100" w:beforeAutospacing="1" w:after="100" w:afterAutospacing="1" w:line="320" w:lineRule="atLeast"/>
              <w:ind w:left="0" w:right="0" w:firstLine="210" w:firstLineChars="10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元</w:t>
            </w:r>
          </w:p>
        </w:tc>
      </w:tr>
      <w:tr w14:paraId="05C5EE80">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149233D9">
            <w:pPr>
              <w:keepNext w:val="0"/>
              <w:keepLines w:val="0"/>
              <w:widowControl/>
              <w:suppressLineNumbers w:val="0"/>
              <w:snapToGrid w:val="0"/>
              <w:spacing w:before="100" w:beforeAutospacing="1" w:after="100" w:afterAutospacing="1" w:line="320" w:lineRule="atLeast"/>
              <w:ind w:left="0" w:right="0" w:firstLine="2"/>
              <w:jc w:val="center"/>
              <w:rPr>
                <w:rFonts w:hint="default" w:ascii="Verdana" w:hAnsi="Verdana" w:cs="宋体"/>
                <w:color w:val="auto"/>
                <w:kern w:val="0"/>
                <w:szCs w:val="21"/>
                <w:highlight w:val="none"/>
              </w:rPr>
            </w:pPr>
            <w:r>
              <w:rPr>
                <w:rFonts w:hint="default"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6DE1E064">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2A92A4DD">
            <w:pPr>
              <w:keepNext w:val="0"/>
              <w:keepLines w:val="0"/>
              <w:widowControl/>
              <w:suppressLineNumbers w:val="0"/>
              <w:snapToGrid w:val="0"/>
              <w:spacing w:before="100" w:beforeAutospacing="1" w:after="100" w:afterAutospacing="1" w:line="320" w:lineRule="atLeast"/>
              <w:ind w:left="0" w:right="0" w:firstLine="46"/>
              <w:jc w:val="center"/>
              <w:rPr>
                <w:rFonts w:hint="default" w:ascii="Verdana" w:hAnsi="Verdana" w:cs="宋体"/>
                <w:color w:val="auto"/>
                <w:kern w:val="0"/>
                <w:szCs w:val="21"/>
                <w:highlight w:val="none"/>
              </w:rPr>
            </w:pPr>
            <w:r>
              <w:rPr>
                <w:rFonts w:hint="default"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540C0859">
            <w:pPr>
              <w:keepNext w:val="0"/>
              <w:keepLines w:val="0"/>
              <w:widowControl/>
              <w:suppressLineNumbers w:val="0"/>
              <w:spacing w:before="100" w:beforeAutospacing="1" w:after="100" w:afterAutospacing="1" w:line="240" w:lineRule="atLeast"/>
              <w:ind w:left="0" w:right="0"/>
              <w:jc w:val="center"/>
              <w:rPr>
                <w:rFonts w:hint="default" w:ascii="Verdana" w:hAnsi="Verdana" w:cs="宋体"/>
                <w:color w:val="auto"/>
                <w:kern w:val="0"/>
                <w:szCs w:val="21"/>
                <w:highlight w:val="none"/>
              </w:rPr>
            </w:pPr>
          </w:p>
        </w:tc>
      </w:tr>
      <w:tr w14:paraId="7D0FEF65">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7674B8">
            <w:pPr>
              <w:keepNext w:val="0"/>
              <w:keepLines w:val="0"/>
              <w:widowControl/>
              <w:suppressLineNumbers w:val="0"/>
              <w:snapToGrid w:val="0"/>
              <w:spacing w:before="100" w:beforeAutospacing="1" w:after="100" w:afterAutospacing="1" w:line="320" w:lineRule="atLeast"/>
              <w:ind w:left="0" w:right="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2CD2CE66">
            <w:pPr>
              <w:keepNext w:val="0"/>
              <w:keepLines w:val="0"/>
              <w:widowControl/>
              <w:suppressLineNumbers w:val="0"/>
              <w:snapToGrid w:val="0"/>
              <w:spacing w:before="100" w:beforeAutospacing="1" w:after="100" w:afterAutospacing="1" w:line="320" w:lineRule="atLeast"/>
              <w:ind w:left="0" w:right="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71AE44D2">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D37839">
            <w:pPr>
              <w:keepNext w:val="0"/>
              <w:keepLines w:val="0"/>
              <w:widowControl/>
              <w:suppressLineNumbers w:val="0"/>
              <w:spacing w:before="100" w:beforeAutospacing="1" w:after="100" w:afterAutospacing="1" w:line="320" w:lineRule="atLeast"/>
              <w:ind w:left="0" w:right="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6FCE8CDF">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验收结论性意见：</w:t>
            </w:r>
          </w:p>
        </w:tc>
      </w:tr>
      <w:tr w14:paraId="016E3052">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10FDDEA3">
            <w:pPr>
              <w:keepNext w:val="0"/>
              <w:keepLines w:val="0"/>
              <w:widowControl/>
              <w:suppressLineNumbers w:val="0"/>
              <w:spacing w:before="0" w:beforeAutospacing="0" w:after="0" w:afterAutospacing="0"/>
              <w:ind w:left="0" w:right="0"/>
              <w:jc w:val="left"/>
              <w:rPr>
                <w:rFonts w:hint="default"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6707BC72">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有异议的意见和说明理由：</w:t>
            </w:r>
          </w:p>
          <w:p w14:paraId="0DDE48F7">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签字：</w:t>
            </w:r>
          </w:p>
        </w:tc>
      </w:tr>
      <w:tr w14:paraId="4356C641">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616899">
            <w:pPr>
              <w:keepNext w:val="0"/>
              <w:keepLines w:val="0"/>
              <w:widowControl/>
              <w:suppressLineNumbers w:val="0"/>
              <w:spacing w:before="100" w:beforeAutospacing="1" w:after="100" w:afterAutospacing="1" w:line="320" w:lineRule="atLeast"/>
              <w:ind w:left="0" w:right="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验收小组成员签字：</w:t>
            </w:r>
          </w:p>
        </w:tc>
      </w:tr>
      <w:tr w14:paraId="57FE31F2">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5E62D2">
            <w:pPr>
              <w:keepNext w:val="0"/>
              <w:keepLines w:val="0"/>
              <w:widowControl/>
              <w:suppressLineNumbers w:val="0"/>
              <w:spacing w:before="100" w:beforeAutospacing="1" w:after="100" w:afterAutospacing="1" w:line="320" w:lineRule="atLeast"/>
              <w:ind w:left="0" w:right="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监督人员或者</w:t>
            </w:r>
            <w:r>
              <w:rPr>
                <w:rFonts w:hint="eastAsia" w:ascii="Verdana" w:hAnsi="Verdana" w:cs="宋体"/>
                <w:color w:val="auto"/>
                <w:kern w:val="0"/>
                <w:szCs w:val="21"/>
                <w:highlight w:val="none"/>
              </w:rPr>
              <w:t>其他</w:t>
            </w:r>
            <w:r>
              <w:rPr>
                <w:rFonts w:hint="default" w:ascii="Verdana" w:hAnsi="Verdana" w:cs="宋体"/>
                <w:color w:val="auto"/>
                <w:kern w:val="0"/>
                <w:szCs w:val="21"/>
                <w:highlight w:val="none"/>
              </w:rPr>
              <w:t>相关人员签字：</w:t>
            </w:r>
          </w:p>
          <w:p w14:paraId="4ECBBD0A">
            <w:pPr>
              <w:keepNext w:val="0"/>
              <w:keepLines w:val="0"/>
              <w:widowControl/>
              <w:suppressLineNumbers w:val="0"/>
              <w:spacing w:before="100" w:beforeAutospacing="1" w:after="100" w:afterAutospacing="1" w:line="320" w:lineRule="atLeast"/>
              <w:ind w:left="0" w:right="0" w:firstLine="74"/>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或者受邀机构的意见（盖章）：</w:t>
            </w:r>
          </w:p>
        </w:tc>
      </w:tr>
      <w:tr w14:paraId="3F05EE7C">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7F1E2D81">
            <w:pPr>
              <w:keepNext w:val="0"/>
              <w:keepLines w:val="0"/>
              <w:widowControl/>
              <w:suppressLineNumbers w:val="0"/>
              <w:spacing w:before="100" w:beforeAutospacing="1" w:after="100" w:afterAutospacing="1" w:line="320" w:lineRule="atLeast"/>
              <w:ind w:left="0" w:right="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成交供应商负责人签字或者盖章：</w:t>
            </w:r>
          </w:p>
          <w:p w14:paraId="5D1C77A6">
            <w:pPr>
              <w:keepNext w:val="0"/>
              <w:keepLines w:val="0"/>
              <w:widowControl/>
              <w:suppressLineNumbers w:val="0"/>
              <w:spacing w:before="100" w:beforeAutospacing="1" w:after="100" w:afterAutospacing="1" w:line="320" w:lineRule="atLeast"/>
              <w:ind w:left="0" w:right="0"/>
              <w:jc w:val="left"/>
              <w:rPr>
                <w:rFonts w:hint="default" w:ascii="Verdana" w:hAnsi="Verdana" w:cs="宋体"/>
                <w:color w:val="auto"/>
                <w:kern w:val="0"/>
                <w:szCs w:val="21"/>
                <w:highlight w:val="none"/>
              </w:rPr>
            </w:pPr>
          </w:p>
          <w:p w14:paraId="75A829D9">
            <w:pPr>
              <w:keepNext w:val="0"/>
              <w:keepLines w:val="0"/>
              <w:widowControl/>
              <w:suppressLineNumbers w:val="0"/>
              <w:spacing w:before="100" w:beforeAutospacing="1" w:after="100" w:afterAutospacing="1" w:line="320" w:lineRule="atLeast"/>
              <w:ind w:left="0" w:right="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 年</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日</w:t>
            </w:r>
          </w:p>
        </w:tc>
        <w:tc>
          <w:tcPr>
            <w:tcW w:w="4293" w:type="dxa"/>
            <w:gridSpan w:val="4"/>
            <w:tcBorders>
              <w:top w:val="nil"/>
              <w:left w:val="nil"/>
              <w:bottom w:val="single" w:color="auto" w:sz="8" w:space="0"/>
              <w:right w:val="single" w:color="auto" w:sz="8" w:space="0"/>
            </w:tcBorders>
            <w:vAlign w:val="center"/>
          </w:tcPr>
          <w:p w14:paraId="00F1BB7D">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采购人或者受托机构的意见（盖章）：</w:t>
            </w:r>
          </w:p>
          <w:p w14:paraId="173EB9C1">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cs="宋体"/>
                <w:color w:val="auto"/>
                <w:kern w:val="0"/>
                <w:szCs w:val="21"/>
                <w:highlight w:val="none"/>
              </w:rPr>
            </w:pPr>
          </w:p>
          <w:p w14:paraId="37D1025B">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cs="宋体"/>
                <w:color w:val="auto"/>
                <w:kern w:val="0"/>
                <w:szCs w:val="21"/>
                <w:highlight w:val="none"/>
              </w:rPr>
            </w:pPr>
            <w:r>
              <w:rPr>
                <w:rFonts w:hint="default"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hint="default" w:ascii="Verdana" w:hAnsi="Verdana" w:cs="宋体"/>
                <w:color w:val="auto"/>
                <w:kern w:val="0"/>
                <w:szCs w:val="21"/>
                <w:highlight w:val="none"/>
              </w:rPr>
              <w:t xml:space="preserve"> 日</w:t>
            </w:r>
          </w:p>
        </w:tc>
      </w:tr>
    </w:tbl>
    <w:p w14:paraId="3DA49825">
      <w:pPr>
        <w:shd w:val="clear" w:color="auto" w:fill="FFFFFF"/>
        <w:spacing w:line="360" w:lineRule="auto"/>
        <w:ind w:firstLine="2730" w:firstLineChars="1300"/>
        <w:jc w:val="left"/>
        <w:rPr>
          <w:color w:val="auto"/>
          <w:sz w:val="24"/>
          <w:highlight w:val="none"/>
        </w:rPr>
      </w:pPr>
      <w:r>
        <w:rPr>
          <w:rFonts w:hAnsi="宋体"/>
          <w:color w:val="auto"/>
          <w:highlight w:val="none"/>
        </w:rPr>
        <w:br w:type="page"/>
      </w:r>
    </w:p>
    <w:p w14:paraId="61E15BC2">
      <w:pPr>
        <w:pStyle w:val="2"/>
        <w:jc w:val="center"/>
        <w:rPr>
          <w:b w:val="0"/>
          <w:bCs w:val="0"/>
          <w:color w:val="auto"/>
          <w:highlight w:val="none"/>
        </w:rPr>
      </w:pPr>
      <w:bookmarkStart w:id="151" w:name="_Toc15161"/>
      <w:bookmarkStart w:id="152" w:name="_Toc4005"/>
      <w:bookmarkStart w:id="153" w:name="_Toc15154"/>
      <w:bookmarkStart w:id="154" w:name="_Toc80886947"/>
      <w:bookmarkStart w:id="155" w:name="_Toc9343"/>
      <w:bookmarkStart w:id="156" w:name="_Toc24786"/>
      <w:bookmarkStart w:id="157" w:name="_Toc18676"/>
      <w:bookmarkStart w:id="158" w:name="_Toc12748"/>
    </w:p>
    <w:p w14:paraId="67BF8E47">
      <w:pPr>
        <w:pStyle w:val="2"/>
        <w:jc w:val="center"/>
        <w:rPr>
          <w:b w:val="0"/>
          <w:bCs w:val="0"/>
          <w:color w:val="auto"/>
          <w:highlight w:val="none"/>
        </w:rPr>
      </w:pPr>
    </w:p>
    <w:p w14:paraId="46263593">
      <w:pPr>
        <w:pStyle w:val="2"/>
        <w:jc w:val="center"/>
        <w:rPr>
          <w:b w:val="0"/>
          <w:bCs w:val="0"/>
          <w:color w:val="auto"/>
          <w:highlight w:val="none"/>
        </w:rPr>
      </w:pPr>
    </w:p>
    <w:p w14:paraId="2DB683A1">
      <w:pPr>
        <w:pStyle w:val="2"/>
        <w:jc w:val="center"/>
        <w:rPr>
          <w:b w:val="0"/>
          <w:bCs w:val="0"/>
          <w:color w:val="auto"/>
          <w:highlight w:val="none"/>
        </w:rPr>
      </w:pPr>
      <w:r>
        <w:rPr>
          <w:rFonts w:hint="eastAsia"/>
          <w:b w:val="0"/>
          <w:bCs w:val="0"/>
          <w:color w:val="auto"/>
          <w:highlight w:val="none"/>
        </w:rPr>
        <w:t xml:space="preserve">第六章 </w:t>
      </w:r>
      <w:r>
        <w:rPr>
          <w:b w:val="0"/>
          <w:bCs w:val="0"/>
          <w:color w:val="auto"/>
          <w:highlight w:val="none"/>
        </w:rPr>
        <w:t xml:space="preserve"> </w:t>
      </w:r>
      <w:r>
        <w:rPr>
          <w:rFonts w:hint="eastAsia"/>
          <w:b w:val="0"/>
          <w:bCs w:val="0"/>
          <w:color w:val="auto"/>
          <w:highlight w:val="none"/>
        </w:rPr>
        <w:t>合同文本</w:t>
      </w:r>
      <w:bookmarkEnd w:id="151"/>
      <w:bookmarkEnd w:id="152"/>
      <w:bookmarkEnd w:id="153"/>
      <w:bookmarkEnd w:id="154"/>
      <w:bookmarkEnd w:id="155"/>
      <w:bookmarkEnd w:id="156"/>
      <w:bookmarkEnd w:id="157"/>
    </w:p>
    <w:p w14:paraId="1A2C68AB">
      <w:pPr>
        <w:snapToGrid w:val="0"/>
        <w:rPr>
          <w:rFonts w:hint="eastAsia" w:ascii="宋体" w:hAnsi="宋体" w:cs="宋体"/>
          <w:b/>
          <w:bCs/>
          <w:color w:val="auto"/>
          <w:sz w:val="32"/>
          <w:szCs w:val="32"/>
          <w:highlight w:val="none"/>
        </w:rPr>
      </w:pPr>
      <w:r>
        <w:rPr>
          <w:b/>
          <w:bCs/>
          <w:color w:val="auto"/>
          <w:highlight w:val="none"/>
        </w:rPr>
        <w:br w:type="page"/>
      </w:r>
      <w:bookmarkEnd w:id="158"/>
    </w:p>
    <w:p w14:paraId="109AEAF8">
      <w:pPr>
        <w:snapToGrid w:val="0"/>
        <w:spacing w:line="480" w:lineRule="exact"/>
        <w:jc w:val="center"/>
        <w:rPr>
          <w:rFonts w:hint="eastAsia" w:ascii="宋体" w:hAnsi="宋体"/>
          <w:b/>
          <w:bCs/>
          <w:color w:val="auto"/>
          <w:sz w:val="32"/>
          <w:szCs w:val="32"/>
          <w:highlight w:val="none"/>
        </w:rPr>
      </w:pPr>
    </w:p>
    <w:p w14:paraId="56F9A72B">
      <w:pPr>
        <w:shd w:val="clear" w:color="auto" w:fil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广西政府采购云平台</w:t>
      </w:r>
      <w:r>
        <w:rPr>
          <w:rFonts w:hint="eastAsia" w:ascii="宋体" w:hAnsi="宋体" w:eastAsia="宋体" w:cs="宋体"/>
          <w:color w:val="auto"/>
          <w:sz w:val="24"/>
          <w:highlight w:val="none"/>
        </w:rPr>
        <w:t>合同编号：</w:t>
      </w:r>
    </w:p>
    <w:p w14:paraId="283AA2D1">
      <w:pPr>
        <w:widowControl w:val="0"/>
        <w:shd w:val="clear" w:color="auto" w:fill="auto"/>
        <w:adjustRightInd w:val="0"/>
        <w:spacing w:line="400" w:lineRule="exact"/>
        <w:jc w:val="both"/>
        <w:textAlignment w:val="baseline"/>
        <w:rPr>
          <w:rFonts w:hint="eastAsia" w:ascii="宋体" w:hAnsi="宋体" w:eastAsia="宋体" w:cs="宋体"/>
          <w:b/>
          <w:color w:val="auto"/>
          <w:kern w:val="2"/>
          <w:sz w:val="21"/>
          <w:szCs w:val="20"/>
          <w:highlight w:val="none"/>
          <w:lang w:val="en-US" w:eastAsia="zh-CN" w:bidi="ar-SA"/>
        </w:rPr>
      </w:pPr>
    </w:p>
    <w:p w14:paraId="2DED57DE">
      <w:pPr>
        <w:shd w:val="clear" w:color="auto" w:fill="auto"/>
        <w:rPr>
          <w:rFonts w:hint="eastAsia" w:ascii="宋体" w:hAnsi="宋体" w:eastAsia="宋体" w:cs="宋体"/>
          <w:color w:val="auto"/>
          <w:highlight w:val="none"/>
        </w:rPr>
      </w:pPr>
    </w:p>
    <w:p w14:paraId="6DDB543F">
      <w:pPr>
        <w:widowControl w:val="0"/>
        <w:shd w:val="clear" w:color="auto" w:fill="auto"/>
        <w:adjustRightInd w:val="0"/>
        <w:spacing w:line="400" w:lineRule="exact"/>
        <w:jc w:val="both"/>
        <w:textAlignment w:val="baseline"/>
        <w:rPr>
          <w:rFonts w:hint="eastAsia" w:ascii="宋体" w:hAnsi="宋体" w:eastAsia="宋体" w:cs="宋体"/>
          <w:b/>
          <w:color w:val="auto"/>
          <w:kern w:val="2"/>
          <w:sz w:val="21"/>
          <w:szCs w:val="20"/>
          <w:highlight w:val="none"/>
          <w:lang w:val="en-US" w:eastAsia="zh-CN" w:bidi="ar-SA"/>
        </w:rPr>
      </w:pPr>
    </w:p>
    <w:p w14:paraId="73E42C1C">
      <w:pPr>
        <w:shd w:val="clear" w:color="auto" w:fill="auto"/>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lang w:val="en-US" w:eastAsia="zh-CN"/>
        </w:rPr>
        <w:t>广西壮族自治区</w:t>
      </w:r>
      <w:r>
        <w:rPr>
          <w:rFonts w:hint="eastAsia" w:ascii="宋体" w:hAnsi="宋体" w:eastAsia="宋体" w:cs="宋体"/>
          <w:b/>
          <w:bCs/>
          <w:color w:val="auto"/>
          <w:sz w:val="52"/>
          <w:highlight w:val="none"/>
        </w:rPr>
        <w:t>政府采购</w:t>
      </w:r>
    </w:p>
    <w:p w14:paraId="122C6B62">
      <w:pPr>
        <w:shd w:val="clear" w:color="auto" w:fill="auto"/>
        <w:spacing w:line="360" w:lineRule="auto"/>
        <w:rPr>
          <w:rFonts w:hint="eastAsia" w:ascii="宋体" w:hAnsi="宋体" w:eastAsia="宋体" w:cs="宋体"/>
          <w:color w:val="auto"/>
          <w:highlight w:val="none"/>
        </w:rPr>
      </w:pPr>
    </w:p>
    <w:p w14:paraId="4F2BC587">
      <w:pPr>
        <w:shd w:val="clear" w:color="auto" w:fill="auto"/>
        <w:spacing w:line="360" w:lineRule="auto"/>
        <w:rPr>
          <w:rFonts w:hint="eastAsia" w:ascii="宋体" w:hAnsi="宋体" w:eastAsia="宋体" w:cs="宋体"/>
          <w:color w:val="auto"/>
          <w:highlight w:val="none"/>
        </w:rPr>
      </w:pPr>
    </w:p>
    <w:p w14:paraId="06387EAA">
      <w:pPr>
        <w:shd w:val="clear" w:color="auto" w:fill="auto"/>
        <w:spacing w:line="360" w:lineRule="auto"/>
        <w:jc w:val="center"/>
        <w:rPr>
          <w:rFonts w:hint="eastAsia" w:ascii="宋体" w:hAnsi="宋体" w:eastAsia="宋体" w:cs="宋体"/>
          <w:b/>
          <w:bCs/>
          <w:color w:val="auto"/>
          <w:sz w:val="44"/>
          <w:highlight w:val="none"/>
        </w:rPr>
      </w:pPr>
      <w:r>
        <w:rPr>
          <w:rFonts w:hint="eastAsia" w:ascii="宋体" w:hAnsi="宋体" w:eastAsia="宋体" w:cs="宋体"/>
          <w:b/>
          <w:bCs/>
          <w:color w:val="auto"/>
          <w:sz w:val="44"/>
          <w:highlight w:val="none"/>
          <w:u w:val="single"/>
        </w:rPr>
        <w:t xml:space="preserve">         （项目名称）         </w:t>
      </w:r>
      <w:r>
        <w:rPr>
          <w:rFonts w:hint="eastAsia" w:ascii="宋体" w:hAnsi="宋体" w:eastAsia="宋体" w:cs="宋体"/>
          <w:b/>
          <w:bCs/>
          <w:color w:val="auto"/>
          <w:sz w:val="44"/>
          <w:highlight w:val="none"/>
        </w:rPr>
        <w:t>合同</w:t>
      </w:r>
    </w:p>
    <w:p w14:paraId="038B8FB7">
      <w:pPr>
        <w:shd w:val="clear" w:color="auto" w:fill="auto"/>
        <w:spacing w:line="360" w:lineRule="auto"/>
        <w:jc w:val="center"/>
        <w:rPr>
          <w:rFonts w:hint="eastAsia" w:ascii="宋体" w:hAnsi="宋体" w:eastAsia="宋体" w:cs="宋体"/>
          <w:b/>
          <w:bCs/>
          <w:color w:val="auto"/>
          <w:sz w:val="44"/>
          <w:highlight w:val="none"/>
        </w:rPr>
      </w:pPr>
    </w:p>
    <w:p w14:paraId="5CF0BE2F">
      <w:pPr>
        <w:shd w:val="clear" w:color="auto" w:fill="auto"/>
        <w:spacing w:line="360" w:lineRule="auto"/>
        <w:ind w:firstLine="3507" w:firstLineChars="794"/>
        <w:rPr>
          <w:rFonts w:hint="eastAsia" w:ascii="宋体" w:hAnsi="宋体" w:eastAsia="宋体" w:cs="宋体"/>
          <w:b/>
          <w:bCs/>
          <w:color w:val="auto"/>
          <w:sz w:val="44"/>
          <w:highlight w:val="none"/>
        </w:rPr>
      </w:pPr>
    </w:p>
    <w:p w14:paraId="20D1CC4A">
      <w:pPr>
        <w:shd w:val="clear" w:color="auto" w:fill="auto"/>
        <w:spacing w:line="360" w:lineRule="auto"/>
        <w:ind w:firstLine="3507" w:firstLineChars="794"/>
        <w:rPr>
          <w:rFonts w:hint="eastAsia" w:ascii="宋体" w:hAnsi="宋体" w:eastAsia="宋体" w:cs="宋体"/>
          <w:b/>
          <w:bCs/>
          <w:color w:val="auto"/>
          <w:sz w:val="44"/>
          <w:highlight w:val="none"/>
        </w:rPr>
      </w:pPr>
    </w:p>
    <w:p w14:paraId="4F5F9326">
      <w:pPr>
        <w:shd w:val="clear" w:color="auto" w:fill="auto"/>
        <w:ind w:firstLine="1995" w:firstLineChars="552"/>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采购项目编号：</w:t>
      </w:r>
      <w:r>
        <w:rPr>
          <w:rFonts w:hint="eastAsia" w:ascii="宋体" w:hAnsi="宋体" w:eastAsia="宋体" w:cs="宋体"/>
          <w:b/>
          <w:color w:val="auto"/>
          <w:sz w:val="36"/>
          <w:szCs w:val="36"/>
          <w:highlight w:val="none"/>
          <w:u w:val="single"/>
        </w:rPr>
        <w:t xml:space="preserve">                     </w:t>
      </w:r>
    </w:p>
    <w:p w14:paraId="38203C29">
      <w:pPr>
        <w:shd w:val="clear" w:color="auto" w:fill="auto"/>
        <w:ind w:firstLine="1995" w:firstLineChars="552"/>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采购计划编号：</w:t>
      </w:r>
      <w:r>
        <w:rPr>
          <w:rFonts w:hint="eastAsia" w:ascii="宋体" w:hAnsi="宋体" w:eastAsia="宋体" w:cs="宋体"/>
          <w:b/>
          <w:color w:val="auto"/>
          <w:sz w:val="36"/>
          <w:szCs w:val="36"/>
          <w:highlight w:val="none"/>
          <w:u w:val="single"/>
        </w:rPr>
        <w:t xml:space="preserve">                     </w:t>
      </w:r>
    </w:p>
    <w:p w14:paraId="6FC391D8">
      <w:pPr>
        <w:shd w:val="clear" w:color="auto" w:fill="auto"/>
        <w:ind w:firstLine="1308" w:firstLineChars="545"/>
        <w:rPr>
          <w:rFonts w:hint="eastAsia" w:ascii="宋体" w:hAnsi="宋体" w:eastAsia="宋体" w:cs="宋体"/>
          <w:color w:val="auto"/>
          <w:sz w:val="24"/>
          <w:highlight w:val="none"/>
        </w:rPr>
      </w:pPr>
    </w:p>
    <w:p w14:paraId="536DAC59">
      <w:pPr>
        <w:shd w:val="clear" w:color="auto" w:fill="auto"/>
        <w:ind w:firstLine="1995" w:firstLineChars="552"/>
        <w:rPr>
          <w:rFonts w:hint="eastAsia" w:ascii="宋体" w:hAnsi="宋体" w:eastAsia="宋体" w:cs="宋体"/>
          <w:b/>
          <w:color w:val="auto"/>
          <w:sz w:val="36"/>
          <w:szCs w:val="36"/>
          <w:highlight w:val="none"/>
          <w:u w:val="single"/>
        </w:rPr>
      </w:pPr>
    </w:p>
    <w:p w14:paraId="41478475">
      <w:pPr>
        <w:shd w:val="clear" w:color="auto" w:fill="auto"/>
        <w:ind w:firstLine="1995" w:firstLineChars="552"/>
        <w:rPr>
          <w:rFonts w:hint="eastAsia" w:ascii="宋体" w:hAnsi="宋体" w:eastAsia="宋体" w:cs="宋体"/>
          <w:b/>
          <w:color w:val="auto"/>
          <w:sz w:val="36"/>
          <w:szCs w:val="36"/>
          <w:highlight w:val="none"/>
          <w:u w:val="single"/>
        </w:rPr>
      </w:pPr>
    </w:p>
    <w:p w14:paraId="267894E3">
      <w:pPr>
        <w:shd w:val="clear" w:color="auto" w:fill="auto"/>
        <w:tabs>
          <w:tab w:val="left" w:pos="7200"/>
        </w:tabs>
        <w:spacing w:line="360" w:lineRule="auto"/>
        <w:ind w:firstLine="1995" w:firstLineChars="552"/>
        <w:rPr>
          <w:rFonts w:hint="eastAsia" w:ascii="宋体" w:hAnsi="宋体" w:eastAsia="宋体" w:cs="宋体"/>
          <w:b/>
          <w:color w:val="auto"/>
          <w:sz w:val="36"/>
          <w:szCs w:val="36"/>
          <w:highlight w:val="none"/>
          <w:u w:val="single"/>
        </w:rPr>
      </w:pPr>
      <w:r>
        <w:rPr>
          <w:rFonts w:hint="eastAsia" w:ascii="宋体" w:hAnsi="宋体" w:eastAsia="宋体" w:cs="宋体"/>
          <w:b/>
          <w:color w:val="auto"/>
          <w:sz w:val="36"/>
          <w:szCs w:val="36"/>
          <w:highlight w:val="none"/>
        </w:rPr>
        <w:t>采购人：</w:t>
      </w:r>
      <w:r>
        <w:rPr>
          <w:rFonts w:hint="eastAsia" w:ascii="宋体" w:hAnsi="宋体" w:eastAsia="宋体" w:cs="宋体"/>
          <w:b/>
          <w:color w:val="auto"/>
          <w:sz w:val="36"/>
          <w:szCs w:val="36"/>
          <w:highlight w:val="none"/>
          <w:u w:val="single"/>
        </w:rPr>
        <w:t xml:space="preserve">                       </w:t>
      </w:r>
    </w:p>
    <w:p w14:paraId="2035169D">
      <w:pPr>
        <w:shd w:val="clear" w:color="auto" w:fill="auto"/>
        <w:tabs>
          <w:tab w:val="left" w:pos="7380"/>
        </w:tabs>
        <w:spacing w:line="360" w:lineRule="auto"/>
        <w:ind w:firstLine="1995" w:firstLineChars="552"/>
        <w:rPr>
          <w:rFonts w:hint="eastAsia" w:ascii="宋体" w:hAnsi="宋体" w:eastAsia="宋体" w:cs="宋体"/>
          <w:b/>
          <w:bCs/>
          <w:color w:val="auto"/>
          <w:sz w:val="44"/>
          <w:highlight w:val="none"/>
        </w:rPr>
      </w:pPr>
      <w:r>
        <w:rPr>
          <w:rFonts w:hint="eastAsia" w:ascii="宋体" w:hAnsi="宋体" w:eastAsia="宋体" w:cs="宋体"/>
          <w:b/>
          <w:color w:val="auto"/>
          <w:sz w:val="36"/>
          <w:szCs w:val="36"/>
          <w:highlight w:val="none"/>
          <w:lang w:eastAsia="zh-CN"/>
        </w:rPr>
        <w:t>成交供应商</w:t>
      </w:r>
      <w:r>
        <w:rPr>
          <w:rFonts w:hint="eastAsia" w:ascii="宋体" w:hAnsi="宋体" w:eastAsia="宋体" w:cs="宋体"/>
          <w:b/>
          <w:color w:val="auto"/>
          <w:sz w:val="36"/>
          <w:szCs w:val="36"/>
          <w:highlight w:val="none"/>
        </w:rPr>
        <w:t>：</w:t>
      </w:r>
      <w:r>
        <w:rPr>
          <w:rFonts w:hint="eastAsia" w:ascii="宋体" w:hAnsi="宋体" w:eastAsia="宋体" w:cs="宋体"/>
          <w:b/>
          <w:color w:val="auto"/>
          <w:sz w:val="36"/>
          <w:szCs w:val="36"/>
          <w:highlight w:val="none"/>
          <w:u w:val="single"/>
        </w:rPr>
        <w:t xml:space="preserve">                   </w:t>
      </w:r>
    </w:p>
    <w:p w14:paraId="5A6784C7">
      <w:pPr>
        <w:shd w:val="clear" w:color="auto" w:fill="auto"/>
        <w:tabs>
          <w:tab w:val="left" w:pos="7380"/>
        </w:tabs>
        <w:spacing w:line="360" w:lineRule="auto"/>
        <w:rPr>
          <w:rFonts w:hint="eastAsia" w:ascii="宋体" w:hAnsi="宋体" w:eastAsia="宋体" w:cs="宋体"/>
          <w:b/>
          <w:bCs/>
          <w:color w:val="auto"/>
          <w:sz w:val="44"/>
          <w:highlight w:val="none"/>
        </w:rPr>
      </w:pPr>
    </w:p>
    <w:p w14:paraId="4F2CA33A">
      <w:pPr>
        <w:shd w:val="clear" w:color="auto" w:fill="auto"/>
        <w:snapToGrid w:val="0"/>
        <w:spacing w:line="360" w:lineRule="auto"/>
        <w:jc w:val="center"/>
        <w:rPr>
          <w:rFonts w:hint="eastAsia" w:ascii="宋体" w:hAnsi="宋体" w:eastAsia="宋体" w:cs="宋体"/>
          <w:b/>
          <w:bCs/>
          <w:color w:val="auto"/>
          <w:sz w:val="44"/>
          <w:highlight w:val="none"/>
        </w:rPr>
      </w:pPr>
      <w:r>
        <w:rPr>
          <w:rFonts w:hint="eastAsia" w:ascii="宋体" w:hAnsi="宋体" w:eastAsia="宋体" w:cs="宋体"/>
          <w:b/>
          <w:bCs/>
          <w:color w:val="auto"/>
          <w:sz w:val="44"/>
          <w:highlight w:val="none"/>
        </w:rPr>
        <w:br w:type="page"/>
      </w:r>
    </w:p>
    <w:p w14:paraId="7C4A9F40">
      <w:pPr>
        <w:shd w:val="clear" w:color="auto" w:fill="auto"/>
        <w:snapToGrid w:val="0"/>
        <w:spacing w:line="360" w:lineRule="auto"/>
        <w:jc w:val="center"/>
        <w:rPr>
          <w:rFonts w:hint="eastAsia" w:ascii="宋体" w:hAnsi="宋体" w:eastAsia="宋体" w:cs="宋体"/>
          <w:b/>
          <w:bCs/>
          <w:color w:val="auto"/>
          <w:sz w:val="44"/>
          <w:highlight w:val="none"/>
        </w:rPr>
      </w:pPr>
    </w:p>
    <w:p w14:paraId="3672CFFA">
      <w:pPr>
        <w:shd w:val="clear" w:color="auto" w:fill="auto"/>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合同目录</w:t>
      </w:r>
    </w:p>
    <w:p w14:paraId="1412DE8B">
      <w:pPr>
        <w:shd w:val="clear" w:color="auto" w:fill="auto"/>
        <w:snapToGrid w:val="0"/>
        <w:spacing w:line="360" w:lineRule="auto"/>
        <w:rPr>
          <w:rFonts w:hint="eastAsia" w:ascii="宋体" w:hAnsi="宋体" w:eastAsia="宋体" w:cs="宋体"/>
          <w:color w:val="auto"/>
          <w:kern w:val="0"/>
          <w:sz w:val="24"/>
          <w:highlight w:val="none"/>
        </w:rPr>
      </w:pPr>
    </w:p>
    <w:p w14:paraId="0EE68492">
      <w:pPr>
        <w:shd w:val="clear" w:color="auto" w:fill="auto"/>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第一部分 合同书</w:t>
      </w:r>
      <w:r>
        <w:rPr>
          <w:rFonts w:hint="eastAsia" w:ascii="宋体" w:hAnsi="宋体" w:eastAsia="宋体" w:cs="宋体"/>
          <w:color w:val="auto"/>
          <w:kern w:val="0"/>
          <w:sz w:val="24"/>
          <w:highlight w:val="none"/>
        </w:rPr>
        <w:t>……………………………………………………………（页码）</w:t>
      </w:r>
    </w:p>
    <w:p w14:paraId="61CD2C8B">
      <w:pPr>
        <w:shd w:val="clear" w:color="auto" w:fill="auto"/>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二、第二部分 合同一般条款……………………………………………………（页码）</w:t>
      </w:r>
    </w:p>
    <w:p w14:paraId="7C65D57F">
      <w:pPr>
        <w:shd w:val="clear" w:color="auto" w:fill="auto"/>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三、第三部分 合同专用条款……………………………………………………（页码）</w:t>
      </w:r>
    </w:p>
    <w:p w14:paraId="718EE303">
      <w:pPr>
        <w:shd w:val="clear" w:color="auto" w:fill="auto"/>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w:t>
      </w:r>
      <w:r>
        <w:rPr>
          <w:rFonts w:hint="eastAsia" w:ascii="宋体" w:hAnsi="宋体" w:eastAsia="宋体" w:cs="宋体"/>
          <w:color w:val="auto"/>
          <w:sz w:val="24"/>
          <w:highlight w:val="none"/>
        </w:rPr>
        <w:t>第四部分 合同附件</w:t>
      </w:r>
      <w:r>
        <w:rPr>
          <w:rFonts w:hint="eastAsia" w:ascii="宋体" w:hAnsi="宋体" w:eastAsia="宋体" w:cs="宋体"/>
          <w:color w:val="auto"/>
          <w:kern w:val="0"/>
          <w:sz w:val="24"/>
          <w:highlight w:val="none"/>
        </w:rPr>
        <w:t>…………………………………………………………（页码）</w:t>
      </w:r>
    </w:p>
    <w:p w14:paraId="633BB835">
      <w:pPr>
        <w:shd w:val="clear" w:color="auto" w:fill="auto"/>
        <w:snapToGrid w:val="0"/>
        <w:spacing w:line="360" w:lineRule="auto"/>
        <w:ind w:left="0" w:leftChars="0" w:firstLine="638" w:firstLineChars="30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4.1成交通知书 </w:t>
      </w:r>
    </w:p>
    <w:p w14:paraId="374017D6">
      <w:pPr>
        <w:shd w:val="clear" w:color="auto" w:fill="auto"/>
        <w:snapToGrid w:val="0"/>
        <w:spacing w:line="360" w:lineRule="auto"/>
        <w:ind w:left="0" w:leftChars="0" w:firstLine="638" w:firstLineChars="30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4.2采购文件服务需求一览表 </w:t>
      </w:r>
    </w:p>
    <w:p w14:paraId="1F6387B2">
      <w:pPr>
        <w:shd w:val="clear" w:color="auto" w:fill="auto"/>
        <w:snapToGrid w:val="0"/>
        <w:spacing w:line="360" w:lineRule="auto"/>
        <w:ind w:left="0" w:leftChars="0" w:firstLine="638" w:firstLineChars="30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4.3采购文件的更改通知（如有） </w:t>
      </w:r>
    </w:p>
    <w:p w14:paraId="75A4D425">
      <w:pPr>
        <w:shd w:val="clear" w:color="auto" w:fill="auto"/>
        <w:snapToGrid w:val="0"/>
        <w:spacing w:line="360" w:lineRule="auto"/>
        <w:ind w:left="0" w:leftChars="0" w:firstLine="638" w:firstLineChars="30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4.4响应函</w:t>
      </w:r>
    </w:p>
    <w:p w14:paraId="406D4875">
      <w:pPr>
        <w:shd w:val="clear" w:color="auto" w:fill="auto"/>
        <w:snapToGrid w:val="0"/>
        <w:spacing w:line="360" w:lineRule="auto"/>
        <w:ind w:left="0" w:leftChars="0" w:firstLine="638" w:firstLineChars="30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4.5响应报价表</w:t>
      </w:r>
    </w:p>
    <w:p w14:paraId="6E043A63">
      <w:pPr>
        <w:shd w:val="clear" w:color="auto" w:fill="auto"/>
        <w:snapToGrid w:val="0"/>
        <w:spacing w:line="360" w:lineRule="auto"/>
        <w:ind w:left="0" w:leftChars="0" w:firstLine="638" w:firstLineChars="30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4.6服务需求偏离表</w:t>
      </w:r>
    </w:p>
    <w:p w14:paraId="4C7F8758">
      <w:pPr>
        <w:shd w:val="clear" w:color="auto" w:fill="auto"/>
        <w:snapToGrid w:val="0"/>
        <w:spacing w:line="360" w:lineRule="auto"/>
        <w:ind w:left="0" w:leftChars="0" w:firstLine="638" w:firstLineChars="30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4.7服务配置清单</w:t>
      </w:r>
    </w:p>
    <w:p w14:paraId="34FCAA5D">
      <w:pPr>
        <w:shd w:val="clear" w:color="auto" w:fill="auto"/>
        <w:snapToGrid w:val="0"/>
        <w:spacing w:line="360" w:lineRule="auto"/>
        <w:ind w:left="0" w:leftChars="0" w:firstLine="638" w:firstLineChars="30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4.8商务条款偏离表</w:t>
      </w:r>
    </w:p>
    <w:p w14:paraId="3625050B">
      <w:pPr>
        <w:shd w:val="clear" w:color="auto" w:fill="auto"/>
        <w:snapToGrid w:val="0"/>
        <w:spacing w:line="360" w:lineRule="auto"/>
        <w:ind w:left="0" w:leftChars="0" w:firstLine="638" w:firstLineChars="30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4.9成交供应商澄清函（如有）</w:t>
      </w:r>
    </w:p>
    <w:p w14:paraId="259BB95B">
      <w:pPr>
        <w:shd w:val="clear" w:color="auto" w:fill="auto"/>
        <w:snapToGrid w:val="0"/>
        <w:spacing w:line="360" w:lineRule="auto"/>
        <w:ind w:left="0" w:leftChars="0" w:firstLine="638" w:firstLineChars="30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4.10其他与本合同相关的资料（如有）</w:t>
      </w:r>
    </w:p>
    <w:p w14:paraId="59D6EFAF">
      <w:pPr>
        <w:shd w:val="clear" w:color="auto" w:fill="auto"/>
        <w:snapToGrid w:val="0"/>
        <w:spacing w:line="360" w:lineRule="auto"/>
        <w:rPr>
          <w:rFonts w:hint="eastAsia" w:ascii="宋体" w:hAnsi="宋体" w:eastAsia="宋体" w:cs="宋体"/>
          <w:color w:val="auto"/>
          <w:kern w:val="0"/>
          <w:sz w:val="24"/>
          <w:highlight w:val="none"/>
        </w:rPr>
      </w:pPr>
    </w:p>
    <w:p w14:paraId="177AA76A">
      <w:pPr>
        <w:shd w:val="clear" w:color="auto" w:fill="auto"/>
        <w:ind w:firstLine="1126"/>
        <w:rPr>
          <w:rFonts w:hint="eastAsia" w:ascii="宋体" w:hAnsi="宋体" w:eastAsia="宋体" w:cs="宋体"/>
          <w:color w:val="auto"/>
          <w:highlight w:val="none"/>
        </w:rPr>
        <w:sectPr>
          <w:pgSz w:w="11911" w:h="16838"/>
          <w:pgMar w:top="1134" w:right="1134" w:bottom="1134" w:left="1134" w:header="720" w:footer="720" w:gutter="0"/>
          <w:cols w:space="720" w:num="1"/>
          <w:docGrid w:linePitch="331" w:charSpace="0"/>
        </w:sectPr>
      </w:pPr>
    </w:p>
    <w:p w14:paraId="2766E9E7">
      <w:pPr>
        <w:widowControl w:val="0"/>
        <w:shd w:val="clear" w:color="auto" w:fill="auto"/>
        <w:autoSpaceDE w:val="0"/>
        <w:autoSpaceDN w:val="0"/>
        <w:adjustRightInd w:val="0"/>
        <w:snapToGrid w:val="0"/>
        <w:spacing w:after="0" w:line="360" w:lineRule="auto"/>
        <w:ind w:left="420" w:leftChars="200" w:firstLine="562" w:firstLineChars="200"/>
        <w:jc w:val="center"/>
        <w:outlineLvl w:val="1"/>
        <w:rPr>
          <w:rFonts w:hint="eastAsia" w:ascii="宋体" w:hAnsi="宋体" w:eastAsia="宋体" w:cs="宋体"/>
          <w:b/>
          <w:color w:val="auto"/>
          <w:kern w:val="2"/>
          <w:sz w:val="28"/>
          <w:szCs w:val="28"/>
          <w:highlight w:val="none"/>
          <w:lang w:val="en-US" w:eastAsia="zh-CN" w:bidi="ar-SA"/>
        </w:rPr>
      </w:pPr>
      <w:bookmarkStart w:id="159" w:name="_Toc80886948"/>
      <w:bookmarkStart w:id="160" w:name="_Toc80205944"/>
      <w:r>
        <w:rPr>
          <w:rFonts w:hint="eastAsia" w:ascii="宋体" w:hAnsi="宋体" w:eastAsia="宋体" w:cs="宋体"/>
          <w:b/>
          <w:color w:val="auto"/>
          <w:kern w:val="2"/>
          <w:sz w:val="28"/>
          <w:szCs w:val="28"/>
          <w:highlight w:val="none"/>
          <w:lang w:val="en-US" w:eastAsia="zh-CN" w:bidi="ar-SA"/>
        </w:rPr>
        <w:t>第一部分 合同书</w:t>
      </w:r>
      <w:bookmarkEnd w:id="159"/>
      <w:bookmarkEnd w:id="160"/>
    </w:p>
    <w:p w14:paraId="07F383FB">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年</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月</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日</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（采购人名称）   </w:t>
      </w:r>
      <w:r>
        <w:rPr>
          <w:rFonts w:hint="eastAsia" w:ascii="宋体" w:hAnsi="宋体" w:eastAsia="宋体" w:cs="宋体"/>
          <w:color w:val="auto"/>
          <w:sz w:val="21"/>
          <w:szCs w:val="21"/>
          <w:highlight w:val="none"/>
        </w:rPr>
        <w:t>以</w:t>
      </w:r>
      <w:r>
        <w:rPr>
          <w:rFonts w:hint="eastAsia" w:ascii="宋体" w:hAnsi="宋体" w:eastAsia="宋体" w:cs="宋体"/>
          <w:color w:val="auto"/>
          <w:sz w:val="21"/>
          <w:szCs w:val="21"/>
          <w:highlight w:val="none"/>
          <w:u w:val="single"/>
        </w:rPr>
        <w:t xml:space="preserve">   竞争性磋商方式  </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项目进行了采购。经</w:t>
      </w:r>
      <w:r>
        <w:rPr>
          <w:rFonts w:hint="eastAsia" w:ascii="宋体" w:hAnsi="宋体" w:eastAsia="宋体" w:cs="宋体"/>
          <w:color w:val="auto"/>
          <w:sz w:val="21"/>
          <w:szCs w:val="21"/>
          <w:highlight w:val="none"/>
          <w:u w:val="single"/>
        </w:rPr>
        <w:t xml:space="preserve">   （相关评定主体名称）   </w:t>
      </w:r>
      <w:r>
        <w:rPr>
          <w:rFonts w:hint="eastAsia" w:ascii="宋体" w:hAnsi="宋体" w:eastAsia="宋体" w:cs="宋体"/>
          <w:color w:val="auto"/>
          <w:sz w:val="21"/>
          <w:szCs w:val="21"/>
          <w:highlight w:val="none"/>
        </w:rPr>
        <w:t>评定，</w:t>
      </w:r>
      <w:r>
        <w:rPr>
          <w:rFonts w:hint="eastAsia" w:ascii="宋体" w:hAnsi="宋体" w:eastAsia="宋体" w:cs="宋体"/>
          <w:color w:val="auto"/>
          <w:sz w:val="21"/>
          <w:szCs w:val="21"/>
          <w:highlight w:val="none"/>
          <w:u w:val="single"/>
        </w:rPr>
        <w:t xml:space="preserve">   （供应商名称）</w:t>
      </w:r>
      <w:r>
        <w:rPr>
          <w:rFonts w:hint="eastAsia" w:ascii="宋体" w:hAnsi="宋体" w:eastAsia="宋体" w:cs="宋体"/>
          <w:color w:val="auto"/>
          <w:sz w:val="21"/>
          <w:szCs w:val="21"/>
          <w:highlight w:val="none"/>
        </w:rPr>
        <w:t>为该项目成交供应商。现于成交通知书发出之日起</w:t>
      </w:r>
      <w:r>
        <w:rPr>
          <w:rFonts w:hint="eastAsia" w:ascii="宋体" w:hAnsi="宋体" w:eastAsia="宋体" w:cs="宋体"/>
          <w:color w:val="auto"/>
          <w:sz w:val="21"/>
          <w:szCs w:val="21"/>
          <w:highlight w:val="none"/>
          <w:u w:val="single"/>
          <w:lang w:val="en-US" w:eastAsia="zh-CN"/>
        </w:rPr>
        <w:t>25</w:t>
      </w:r>
      <w:r>
        <w:rPr>
          <w:rFonts w:hint="eastAsia" w:ascii="宋体" w:hAnsi="宋体" w:eastAsia="宋体" w:cs="宋体"/>
          <w:color w:val="auto"/>
          <w:sz w:val="21"/>
          <w:szCs w:val="21"/>
          <w:highlight w:val="none"/>
        </w:rPr>
        <w:t>日内，按照采购文件确定的事项签订本合同。</w:t>
      </w:r>
    </w:p>
    <w:p w14:paraId="128CA3E0">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1"/>
          <w:szCs w:val="21"/>
          <w:highlight w:val="none"/>
          <w:u w:val="single"/>
        </w:rPr>
        <w:t xml:space="preserve">   （采购人名称）   </w:t>
      </w:r>
      <w:r>
        <w:rPr>
          <w:rFonts w:hint="eastAsia" w:ascii="宋体" w:hAnsi="宋体" w:eastAsia="宋体" w:cs="宋体"/>
          <w:color w:val="auto"/>
          <w:sz w:val="21"/>
          <w:szCs w:val="21"/>
          <w:highlight w:val="none"/>
          <w:lang w:val="zh-CN"/>
        </w:rPr>
        <w:t>(以下简称：甲方)和</w:t>
      </w:r>
      <w:r>
        <w:rPr>
          <w:rFonts w:hint="eastAsia" w:ascii="宋体" w:hAnsi="宋体" w:eastAsia="宋体" w:cs="宋体"/>
          <w:color w:val="auto"/>
          <w:sz w:val="21"/>
          <w:szCs w:val="21"/>
          <w:highlight w:val="none"/>
          <w:u w:val="single"/>
        </w:rPr>
        <w:t xml:space="preserve">   （中标人名称）   </w:t>
      </w:r>
      <w:r>
        <w:rPr>
          <w:rFonts w:hint="eastAsia" w:ascii="宋体" w:hAnsi="宋体" w:eastAsia="宋体" w:cs="宋体"/>
          <w:color w:val="auto"/>
          <w:sz w:val="21"/>
          <w:szCs w:val="21"/>
          <w:highlight w:val="none"/>
          <w:lang w:val="zh-CN"/>
        </w:rPr>
        <w:t>(以下简称：乙方)协商一致，约定以下合同</w:t>
      </w:r>
      <w:r>
        <w:rPr>
          <w:rFonts w:hint="eastAsia" w:ascii="宋体" w:hAnsi="宋体" w:eastAsia="宋体" w:cs="宋体"/>
          <w:color w:val="auto"/>
          <w:sz w:val="21"/>
          <w:szCs w:val="21"/>
          <w:highlight w:val="none"/>
        </w:rPr>
        <w:t>条款，以兹共同遵守、全面履行。</w:t>
      </w:r>
    </w:p>
    <w:p w14:paraId="0295C618">
      <w:pPr>
        <w:keepNext w:val="0"/>
        <w:keepLines w:val="0"/>
        <w:pageBreakBefore w:val="0"/>
        <w:widowControl w:val="0"/>
        <w:shd w:val="clear" w:color="auto" w:fill="auto"/>
        <w:kinsoku/>
        <w:overflowPunct/>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161" w:name="_Toc2232"/>
      <w:bookmarkStart w:id="162" w:name="_Toc24059"/>
      <w:bookmarkStart w:id="163" w:name="_Toc3029"/>
      <w:r>
        <w:rPr>
          <w:rFonts w:hint="eastAsia" w:ascii="宋体" w:hAnsi="宋体" w:eastAsia="宋体" w:cs="宋体"/>
          <w:b/>
          <w:color w:val="auto"/>
          <w:sz w:val="21"/>
          <w:szCs w:val="21"/>
          <w:highlight w:val="none"/>
        </w:rPr>
        <w:t>1.1 合同组成部分</w:t>
      </w:r>
      <w:bookmarkEnd w:id="161"/>
      <w:bookmarkEnd w:id="162"/>
      <w:bookmarkEnd w:id="163"/>
    </w:p>
    <w:p w14:paraId="7E5A8FEF">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6C01CBFB">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本合同及其补充合同、变更协议；</w:t>
      </w:r>
    </w:p>
    <w:p w14:paraId="084E6808">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成交通知书；</w:t>
      </w:r>
    </w:p>
    <w:p w14:paraId="3BFBC6C9">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采购文件及“响应报价”（含澄清或者说明文件）；</w:t>
      </w:r>
    </w:p>
    <w:p w14:paraId="3C09B3F5">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 采购文件（含澄清或者修改文件）；</w:t>
      </w:r>
    </w:p>
    <w:p w14:paraId="7EB4DF10">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1.1.5 其他相关采购文件。</w:t>
      </w:r>
    </w:p>
    <w:p w14:paraId="3FF2DED2">
      <w:pPr>
        <w:keepNext w:val="0"/>
        <w:keepLines w:val="0"/>
        <w:pageBreakBefore w:val="0"/>
        <w:widowControl w:val="0"/>
        <w:shd w:val="clear" w:color="auto" w:fill="auto"/>
        <w:kinsoku/>
        <w:overflowPunct/>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164" w:name="_Toc27126"/>
      <w:bookmarkStart w:id="165" w:name="_Toc24300"/>
      <w:bookmarkStart w:id="166" w:name="_Toc21295"/>
      <w:r>
        <w:rPr>
          <w:rFonts w:hint="eastAsia" w:ascii="宋体" w:hAnsi="宋体" w:eastAsia="宋体" w:cs="宋体"/>
          <w:b/>
          <w:color w:val="auto"/>
          <w:sz w:val="21"/>
          <w:szCs w:val="21"/>
          <w:highlight w:val="none"/>
        </w:rPr>
        <w:t>1.2 标的物</w:t>
      </w:r>
      <w:bookmarkEnd w:id="164"/>
      <w:bookmarkEnd w:id="165"/>
      <w:bookmarkEnd w:id="166"/>
    </w:p>
    <w:p w14:paraId="5A88250F">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标的物名称、数量、质量：详见响应报价表。</w:t>
      </w:r>
    </w:p>
    <w:p w14:paraId="46EFB4AD">
      <w:pPr>
        <w:keepNext w:val="0"/>
        <w:keepLines w:val="0"/>
        <w:pageBreakBefore w:val="0"/>
        <w:widowControl w:val="0"/>
        <w:shd w:val="clear" w:color="auto" w:fill="auto"/>
        <w:kinsoku/>
        <w:overflowPunct/>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167" w:name="_Toc23292"/>
      <w:bookmarkStart w:id="168" w:name="_Toc21551"/>
      <w:bookmarkStart w:id="169" w:name="_Toc21631"/>
      <w:r>
        <w:rPr>
          <w:rFonts w:hint="eastAsia" w:ascii="宋体" w:hAnsi="宋体" w:eastAsia="宋体" w:cs="宋体"/>
          <w:b/>
          <w:color w:val="auto"/>
          <w:sz w:val="21"/>
          <w:szCs w:val="21"/>
          <w:highlight w:val="none"/>
        </w:rPr>
        <w:t>1.3 价款</w:t>
      </w:r>
      <w:bookmarkEnd w:id="167"/>
      <w:bookmarkEnd w:id="168"/>
      <w:bookmarkEnd w:id="169"/>
    </w:p>
    <w:p w14:paraId="150C0DED">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本合同总价为：人民币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元人民币，含税）。</w:t>
      </w:r>
    </w:p>
    <w:p w14:paraId="4FDEA375">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分项价格：</w:t>
      </w:r>
      <w:r>
        <w:rPr>
          <w:rFonts w:hint="eastAsia" w:ascii="宋体" w:hAnsi="宋体" w:eastAsia="宋体" w:cs="宋体"/>
          <w:color w:val="auto"/>
          <w:sz w:val="21"/>
          <w:szCs w:val="21"/>
          <w:highlight w:val="none"/>
          <w:lang w:val="en-US" w:eastAsia="zh-CN"/>
        </w:rPr>
        <w:t>详见</w:t>
      </w:r>
      <w:r>
        <w:rPr>
          <w:rFonts w:hint="eastAsia" w:ascii="宋体" w:hAnsi="宋体" w:eastAsia="宋体" w:cs="宋体"/>
          <w:color w:val="auto"/>
          <w:sz w:val="21"/>
          <w:szCs w:val="21"/>
          <w:highlight w:val="none"/>
        </w:rPr>
        <w:t>响应报价表</w:t>
      </w:r>
      <w:bookmarkStart w:id="170" w:name="_Toc10340"/>
      <w:bookmarkStart w:id="171" w:name="_Toc1814"/>
      <w:bookmarkStart w:id="172" w:name="_Toc22618"/>
    </w:p>
    <w:p w14:paraId="02F456DA">
      <w:pPr>
        <w:keepNext w:val="0"/>
        <w:keepLines w:val="0"/>
        <w:pageBreakBefore w:val="0"/>
        <w:widowControl w:val="0"/>
        <w:shd w:val="clear" w:color="auto" w:fill="auto"/>
        <w:kinsoku/>
        <w:overflowPunct/>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1.4 付款方式和发票开具方式</w:t>
      </w:r>
      <w:bookmarkEnd w:id="170"/>
      <w:bookmarkEnd w:id="171"/>
      <w:bookmarkEnd w:id="172"/>
    </w:p>
    <w:p w14:paraId="23E7B215">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1.4.1 付款方式</w:t>
      </w:r>
      <w:r>
        <w:rPr>
          <w:rFonts w:hint="eastAsia" w:ascii="宋体" w:hAnsi="宋体" w:cs="宋体"/>
          <w:color w:val="auto"/>
          <w:sz w:val="21"/>
          <w:szCs w:val="21"/>
          <w:highlight w:val="none"/>
          <w:lang w:eastAsia="zh-CN"/>
        </w:rPr>
        <w:t>：</w:t>
      </w:r>
    </w:p>
    <w:p w14:paraId="60776097">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合同签订后，待款项到位后15个工作日内，支付合同金额的30%的预付款；待项目开发进度完成50%（以成交供应商在中标后为本项目提交的深化设计方案中开发内容与开发进度为准），成交供应商向采购人提出书面申请，经采购人审核通过后15个工作日内支付合同总额的30%;系统平台通过信息系统等级保护测评、密码测评后，成交供应商向采购人提出书面申请，经采购人审核通过后15个工作日内支付合同总额30%；项目通过竣工验收后，成交供应商向采购人提出书面申请，经采购人审核通过后15个工作日内支付合同总额10%。</w:t>
      </w:r>
    </w:p>
    <w:p w14:paraId="6D2123F4">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发票开具方式：</w:t>
      </w:r>
      <w:r>
        <w:rPr>
          <w:rFonts w:hint="eastAsia" w:ascii="宋体" w:hAnsi="宋体" w:eastAsia="宋体" w:cs="宋体"/>
          <w:color w:val="auto"/>
          <w:sz w:val="21"/>
          <w:szCs w:val="21"/>
          <w:highlight w:val="none"/>
          <w:u w:val="single"/>
        </w:rPr>
        <w:t>每次支付前，供应商须向采购人提供与当期计量支付金额等额的发票。</w:t>
      </w:r>
    </w:p>
    <w:p w14:paraId="78E8E72D">
      <w:pPr>
        <w:keepNext w:val="0"/>
        <w:keepLines w:val="0"/>
        <w:pageBreakBefore w:val="0"/>
        <w:widowControl w:val="0"/>
        <w:shd w:val="clear" w:color="auto" w:fill="auto"/>
        <w:kinsoku/>
        <w:overflowPunct/>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173" w:name="_Toc32071"/>
      <w:bookmarkStart w:id="174" w:name="_Toc2846"/>
      <w:bookmarkStart w:id="175" w:name="_Toc19304"/>
      <w:r>
        <w:rPr>
          <w:rFonts w:hint="eastAsia" w:ascii="宋体" w:hAnsi="宋体" w:eastAsia="宋体" w:cs="宋体"/>
          <w:b/>
          <w:color w:val="auto"/>
          <w:sz w:val="21"/>
          <w:szCs w:val="21"/>
          <w:highlight w:val="none"/>
        </w:rPr>
        <w:t>1.5 标的物交付期限、地点、方式</w:t>
      </w:r>
      <w:bookmarkEnd w:id="173"/>
      <w:bookmarkEnd w:id="174"/>
      <w:bookmarkEnd w:id="175"/>
      <w:r>
        <w:rPr>
          <w:rFonts w:hint="eastAsia" w:ascii="宋体" w:hAnsi="宋体" w:eastAsia="宋体" w:cs="宋体"/>
          <w:b/>
          <w:color w:val="auto"/>
          <w:sz w:val="21"/>
          <w:szCs w:val="21"/>
          <w:highlight w:val="none"/>
        </w:rPr>
        <w:t>和服务期限</w:t>
      </w:r>
    </w:p>
    <w:p w14:paraId="0C6637A7">
      <w:pPr>
        <w:keepNext w:val="0"/>
        <w:keepLines w:val="0"/>
        <w:pageBreakBefore w:val="0"/>
        <w:widowControl w:val="0"/>
        <w:shd w:val="clear" w:color="auto" w:fill="auto"/>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1.5.1 交付期限：</w:t>
      </w:r>
      <w:r>
        <w:rPr>
          <w:rFonts w:hint="eastAsia" w:ascii="宋体" w:hAnsi="宋体" w:cs="宋体"/>
          <w:color w:val="auto"/>
          <w:sz w:val="21"/>
          <w:szCs w:val="21"/>
          <w:highlight w:val="none"/>
          <w:lang w:eastAsia="zh-CN"/>
        </w:rPr>
        <w:t>自合同签订之日起</w:t>
      </w:r>
      <w:r>
        <w:rPr>
          <w:rFonts w:hint="eastAsia" w:ascii="宋体" w:hAnsi="宋体" w:cs="宋体"/>
          <w:color w:val="auto"/>
          <w:sz w:val="21"/>
          <w:szCs w:val="21"/>
          <w:highlight w:val="none"/>
          <w:lang w:val="en-US" w:eastAsia="zh-CN"/>
        </w:rPr>
        <w:t>18个月，</w:t>
      </w:r>
      <w:r>
        <w:rPr>
          <w:rFonts w:hint="eastAsia" w:ascii="宋体" w:hAnsi="宋体" w:eastAsia="宋体" w:cs="宋体"/>
          <w:color w:val="auto"/>
          <w:sz w:val="21"/>
          <w:szCs w:val="21"/>
          <w:highlight w:val="none"/>
          <w:u w:val="single"/>
          <w:lang w:val="en-US" w:eastAsia="zh-CN"/>
        </w:rPr>
        <w:t>2025年12月15日前完成第一阶段项目建设</w:t>
      </w:r>
      <w:r>
        <w:rPr>
          <w:rFonts w:hint="eastAsia" w:ascii="宋体" w:hAnsi="宋体" w:eastAsia="宋体" w:cs="宋体"/>
          <w:color w:val="auto"/>
          <w:sz w:val="21"/>
          <w:szCs w:val="21"/>
          <w:highlight w:val="none"/>
          <w:u w:val="none"/>
        </w:rPr>
        <w:t>；</w:t>
      </w:r>
    </w:p>
    <w:p w14:paraId="3A56C82F">
      <w:pPr>
        <w:keepNext w:val="0"/>
        <w:keepLines w:val="0"/>
        <w:pageBreakBefore w:val="0"/>
        <w:widowControl w:val="0"/>
        <w:shd w:val="clear" w:color="auto" w:fill="auto"/>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1.5.2 交付地点：</w:t>
      </w:r>
      <w:r>
        <w:rPr>
          <w:rFonts w:hint="eastAsia" w:ascii="宋体" w:hAnsi="宋体" w:eastAsia="宋体" w:cs="宋体"/>
          <w:color w:val="auto"/>
          <w:sz w:val="21"/>
          <w:szCs w:val="21"/>
          <w:highlight w:val="none"/>
          <w:u w:val="single"/>
        </w:rPr>
        <w:t>广西南宁市</w:t>
      </w:r>
      <w:r>
        <w:rPr>
          <w:rFonts w:hint="eastAsia" w:ascii="宋体" w:hAnsi="宋体" w:eastAsia="宋体" w:cs="宋体"/>
          <w:color w:val="auto"/>
          <w:sz w:val="21"/>
          <w:szCs w:val="21"/>
          <w:highlight w:val="none"/>
          <w:u w:val="single"/>
          <w:lang w:eastAsia="zh-CN"/>
        </w:rPr>
        <w:t>采购人指定地点</w:t>
      </w:r>
      <w:r>
        <w:rPr>
          <w:rFonts w:hint="eastAsia" w:ascii="宋体" w:hAnsi="宋体" w:eastAsia="宋体" w:cs="宋体"/>
          <w:color w:val="auto"/>
          <w:sz w:val="21"/>
          <w:szCs w:val="21"/>
          <w:highlight w:val="none"/>
        </w:rPr>
        <w:t>；</w:t>
      </w:r>
    </w:p>
    <w:p w14:paraId="7D0A8D16">
      <w:pPr>
        <w:keepNext w:val="0"/>
        <w:keepLines w:val="0"/>
        <w:pageBreakBefore w:val="0"/>
        <w:widowControl w:val="0"/>
        <w:shd w:val="clear" w:color="auto" w:fill="auto"/>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 交付方式：</w:t>
      </w:r>
      <w:r>
        <w:rPr>
          <w:rFonts w:hint="eastAsia" w:ascii="宋体" w:hAnsi="宋体" w:eastAsia="宋体" w:cs="宋体"/>
          <w:color w:val="auto"/>
          <w:sz w:val="21"/>
          <w:szCs w:val="21"/>
          <w:highlight w:val="none"/>
          <w:u w:val="single"/>
          <w:lang w:val="en-US" w:eastAsia="zh-CN"/>
        </w:rPr>
        <w:t>现场交付</w:t>
      </w:r>
      <w:r>
        <w:rPr>
          <w:rFonts w:hint="eastAsia" w:ascii="宋体" w:hAnsi="宋体" w:eastAsia="宋体" w:cs="宋体"/>
          <w:color w:val="auto"/>
          <w:sz w:val="21"/>
          <w:szCs w:val="21"/>
          <w:highlight w:val="none"/>
        </w:rPr>
        <w:t>；</w:t>
      </w:r>
    </w:p>
    <w:p w14:paraId="1B1EFAFF">
      <w:pPr>
        <w:keepNext w:val="0"/>
        <w:keepLines w:val="0"/>
        <w:pageBreakBefore w:val="0"/>
        <w:widowControl w:val="0"/>
        <w:shd w:val="clear" w:color="auto" w:fill="auto"/>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 服务及质保期限：</w:t>
      </w:r>
      <w:r>
        <w:rPr>
          <w:rFonts w:hint="eastAsia" w:ascii="宋体" w:hAnsi="宋体" w:eastAsia="宋体" w:cs="宋体"/>
          <w:color w:val="auto"/>
          <w:sz w:val="21"/>
          <w:szCs w:val="21"/>
          <w:highlight w:val="none"/>
          <w:u w:val="single"/>
          <w:lang w:eastAsia="zh-CN"/>
        </w:rPr>
        <w:t>自项目竣工验收之日起提供</w:t>
      </w:r>
      <w:r>
        <w:rPr>
          <w:rFonts w:hint="eastAsia" w:ascii="宋体" w:hAnsi="宋体" w:eastAsia="宋体" w:cs="宋体"/>
          <w:color w:val="auto"/>
          <w:sz w:val="21"/>
          <w:szCs w:val="21"/>
          <w:highlight w:val="none"/>
          <w:u w:val="single"/>
          <w:lang w:val="en-US" w:eastAsia="zh-CN"/>
        </w:rPr>
        <w:t>1年质保服务</w:t>
      </w:r>
      <w:r>
        <w:rPr>
          <w:rFonts w:hint="eastAsia" w:ascii="宋体" w:hAnsi="宋体" w:eastAsia="宋体" w:cs="宋体"/>
          <w:color w:val="auto"/>
          <w:sz w:val="21"/>
          <w:szCs w:val="21"/>
          <w:highlight w:val="none"/>
        </w:rPr>
        <w:t>。</w:t>
      </w:r>
    </w:p>
    <w:p w14:paraId="30ACD16C">
      <w:pPr>
        <w:keepNext w:val="0"/>
        <w:keepLines w:val="0"/>
        <w:pageBreakBefore w:val="0"/>
        <w:widowControl w:val="0"/>
        <w:shd w:val="clear" w:color="auto" w:fill="auto"/>
        <w:kinsoku/>
        <w:overflowPunct/>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176" w:name="_Toc21423"/>
      <w:bookmarkStart w:id="177" w:name="_Toc27250"/>
      <w:bookmarkStart w:id="178" w:name="_Toc19554"/>
      <w:r>
        <w:rPr>
          <w:rFonts w:hint="eastAsia" w:ascii="宋体" w:hAnsi="宋体" w:eastAsia="宋体" w:cs="宋体"/>
          <w:b/>
          <w:color w:val="auto"/>
          <w:sz w:val="21"/>
          <w:szCs w:val="21"/>
          <w:highlight w:val="none"/>
        </w:rPr>
        <w:t>1.6 违约责任</w:t>
      </w:r>
      <w:bookmarkEnd w:id="176"/>
      <w:bookmarkEnd w:id="177"/>
      <w:bookmarkEnd w:id="178"/>
    </w:p>
    <w:p w14:paraId="2FB2BE57">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eastAsia="宋体" w:cs="宋体"/>
          <w:color w:val="auto"/>
          <w:sz w:val="21"/>
          <w:szCs w:val="21"/>
          <w:highlight w:val="none"/>
          <w:u w:val="single"/>
        </w:rPr>
        <w:t>万分之五</w:t>
      </w:r>
      <w:r>
        <w:rPr>
          <w:rFonts w:hint="eastAsia" w:ascii="宋体" w:hAnsi="宋体" w:eastAsia="宋体" w:cs="宋体"/>
          <w:color w:val="auto"/>
          <w:sz w:val="21"/>
          <w:szCs w:val="21"/>
          <w:highlight w:val="none"/>
        </w:rPr>
        <w:t>计算，最高限额为本合同总价的</w:t>
      </w:r>
      <w:r>
        <w:rPr>
          <w:rFonts w:hint="eastAsia" w:ascii="宋体" w:hAnsi="宋体" w:eastAsia="宋体" w:cs="宋体"/>
          <w:color w:val="auto"/>
          <w:sz w:val="21"/>
          <w:szCs w:val="21"/>
          <w:highlight w:val="none"/>
          <w:u w:val="single"/>
        </w:rPr>
        <w:t>20</w:t>
      </w:r>
      <w:r>
        <w:rPr>
          <w:rFonts w:hint="eastAsia" w:ascii="宋体" w:hAnsi="宋体" w:eastAsia="宋体" w:cs="宋体"/>
          <w:color w:val="auto"/>
          <w:sz w:val="21"/>
          <w:szCs w:val="21"/>
          <w:highlight w:val="none"/>
        </w:rPr>
        <w:t>%；迟延超过</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日的，甲方有权在要求乙方支付违约金的同时，书面通知乙方解除本合同，乙方应退回全部已收取的合同价款并按合同总金额的</w:t>
      </w:r>
      <w:r>
        <w:rPr>
          <w:rFonts w:hint="eastAsia" w:ascii="宋体" w:hAnsi="宋体" w:eastAsia="宋体" w:cs="宋体"/>
          <w:color w:val="auto"/>
          <w:sz w:val="21"/>
          <w:szCs w:val="21"/>
          <w:highlight w:val="none"/>
          <w:u w:val="single"/>
        </w:rPr>
        <w:t>20</w:t>
      </w:r>
      <w:r>
        <w:rPr>
          <w:rFonts w:hint="eastAsia" w:ascii="宋体" w:hAnsi="宋体" w:eastAsia="宋体" w:cs="宋体"/>
          <w:color w:val="auto"/>
          <w:sz w:val="21"/>
          <w:szCs w:val="21"/>
          <w:highlight w:val="none"/>
        </w:rPr>
        <w:t>%向甲方支付违约金；</w:t>
      </w:r>
    </w:p>
    <w:p w14:paraId="7264DFA9">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 除不可抗力外，如果甲方没有按照本合同约定的付款方式付款，乙方可要求甲方支付违约金，违约金按每迟延付款一日的应付而未付款的</w:t>
      </w:r>
      <w:r>
        <w:rPr>
          <w:rFonts w:hint="eastAsia" w:ascii="宋体" w:hAnsi="宋体" w:eastAsia="宋体" w:cs="宋体"/>
          <w:color w:val="auto"/>
          <w:sz w:val="21"/>
          <w:szCs w:val="21"/>
          <w:highlight w:val="none"/>
          <w:u w:val="single"/>
        </w:rPr>
        <w:t>万分之五</w:t>
      </w:r>
      <w:r>
        <w:rPr>
          <w:rFonts w:hint="eastAsia" w:ascii="宋体" w:hAnsi="宋体" w:eastAsia="宋体" w:cs="宋体"/>
          <w:color w:val="auto"/>
          <w:sz w:val="21"/>
          <w:szCs w:val="21"/>
          <w:highlight w:val="none"/>
        </w:rPr>
        <w:t>计算，最高限额为欠付金额的</w:t>
      </w:r>
      <w:r>
        <w:rPr>
          <w:rFonts w:hint="eastAsia" w:ascii="宋体" w:hAnsi="宋体" w:eastAsia="宋体" w:cs="宋体"/>
          <w:color w:val="auto"/>
          <w:sz w:val="21"/>
          <w:szCs w:val="21"/>
          <w:highlight w:val="none"/>
          <w:u w:val="single"/>
        </w:rPr>
        <w:t>20</w:t>
      </w:r>
      <w:r>
        <w:rPr>
          <w:rFonts w:hint="eastAsia" w:ascii="宋体" w:hAnsi="宋体" w:eastAsia="宋体" w:cs="宋体"/>
          <w:color w:val="auto"/>
          <w:sz w:val="21"/>
          <w:szCs w:val="21"/>
          <w:highlight w:val="none"/>
        </w:rPr>
        <w:t>%；迟延付款的违约金计算数额达到前述最高限额之日起，乙方有权在要求甲方支付违约金的同时，书面通知甲方解除本合同；</w:t>
      </w:r>
    </w:p>
    <w:p w14:paraId="7AE7D9AD">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11A1251">
      <w:pPr>
        <w:keepNext w:val="0"/>
        <w:keepLines w:val="0"/>
        <w:pageBreakBefore w:val="0"/>
        <w:widowControl w:val="0"/>
        <w:shd w:val="clear" w:color="auto" w:fill="auto"/>
        <w:kinsoku/>
        <w:overflowPunct/>
        <w:autoSpaceDE/>
        <w:autoSpaceDN/>
        <w:bidi w:val="0"/>
        <w:adjustRightInd/>
        <w:snapToGrid/>
        <w:spacing w:line="360" w:lineRule="auto"/>
        <w:ind w:left="239" w:leftChars="114"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1.6.4乙方在质保期内未按承诺提供售后等服务的，每发生一次向甲方支付</w:t>
      </w:r>
      <w:r>
        <w:rPr>
          <w:rFonts w:hint="eastAsia" w:ascii="宋体" w:hAnsi="宋体" w:eastAsia="宋体" w:cs="宋体"/>
          <w:color w:val="auto"/>
          <w:sz w:val="21"/>
          <w:szCs w:val="21"/>
          <w:highlight w:val="none"/>
          <w:u w:val="single"/>
        </w:rPr>
        <w:t>¥2000.00</w:t>
      </w:r>
      <w:r>
        <w:rPr>
          <w:rFonts w:hint="eastAsia" w:ascii="宋体" w:hAnsi="宋体" w:eastAsia="宋体" w:cs="宋体"/>
          <w:color w:val="auto"/>
          <w:sz w:val="21"/>
          <w:szCs w:val="21"/>
          <w:highlight w:val="none"/>
        </w:rPr>
        <w:t>元的违约金。</w:t>
      </w:r>
    </w:p>
    <w:p w14:paraId="5390C994">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1.6.5 若乙方违反本合同项下的保密义务，应就其违约行为向甲方承担全部法律责任。乙方除应立即停止违约行为、采取一切有效措施消除影响并防止损害进一步扩大外，还应在收到甲方通知后按规定归还或销毁全部涉密信息载体。与此同时，乙方应向甲方支付合同金额30%的违约金，该违约金视为对甲方所受损失的初步估算。若该违约金数额不足以弥补甲方因此遭受的全部实际损失（包括但不限于直接经济损失、可预见的间接利润损失、商誉损害以及甲方为调查违约事实、采取救济措施所支付的诉讼费、律师费、公证费、差旅费等全部维权成本），乙方应就不足部分予以补足。此外，乙方的该等违约行为构成根本违约，甲方有权单方解除本合同，并要求乙方承担本条所述的全部违约责任；</w:t>
      </w:r>
    </w:p>
    <w:p w14:paraId="608640DD">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9C35BF0">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F0974A3">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如果出现政府采购监督管理部门在处理投诉事项期间，书面通知甲方暂停采购活动的情形，或者询问或质疑事项可能影响中标结果的，导致甲方中止履行合同的情形，均不视为甲方违约。</w:t>
      </w:r>
    </w:p>
    <w:p w14:paraId="042C3467">
      <w:pPr>
        <w:keepNext w:val="0"/>
        <w:keepLines w:val="0"/>
        <w:pageBreakBefore w:val="0"/>
        <w:widowControl w:val="0"/>
        <w:shd w:val="clear" w:color="auto" w:fill="auto"/>
        <w:kinsoku/>
        <w:overflowPunct/>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179" w:name="_Toc28375"/>
      <w:bookmarkStart w:id="180" w:name="_Toc15583"/>
      <w:bookmarkStart w:id="181" w:name="_Toc16021"/>
      <w:r>
        <w:rPr>
          <w:rFonts w:hint="eastAsia" w:ascii="宋体" w:hAnsi="宋体" w:eastAsia="宋体" w:cs="宋体"/>
          <w:b/>
          <w:color w:val="auto"/>
          <w:sz w:val="21"/>
          <w:szCs w:val="21"/>
          <w:highlight w:val="none"/>
        </w:rPr>
        <w:t>1.7 合同争议的解决</w:t>
      </w:r>
      <w:bookmarkEnd w:id="179"/>
      <w:bookmarkEnd w:id="180"/>
      <w:bookmarkEnd w:id="181"/>
    </w:p>
    <w:p w14:paraId="662CFEFF">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本合同履行过程中发生的任何争议，双方当事人</w:t>
      </w:r>
      <w:r>
        <w:rPr>
          <w:rFonts w:hint="eastAsia" w:ascii="宋体" w:hAnsi="宋体" w:cs="宋体"/>
          <w:color w:val="auto"/>
          <w:sz w:val="21"/>
          <w:szCs w:val="21"/>
          <w:highlight w:val="none"/>
          <w:lang w:eastAsia="zh-CN"/>
        </w:rPr>
        <w:t>平等协商解决</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不能解决的</w:t>
      </w:r>
      <w:r>
        <w:rPr>
          <w:rFonts w:hint="eastAsia" w:ascii="宋体" w:hAnsi="宋体" w:eastAsia="宋体" w:cs="宋体"/>
          <w:color w:val="auto"/>
          <w:sz w:val="21"/>
          <w:szCs w:val="21"/>
          <w:highlight w:val="none"/>
        </w:rPr>
        <w:t>，可以选择下列第</w:t>
      </w:r>
      <w:r>
        <w:rPr>
          <w:rFonts w:hint="eastAsia" w:ascii="宋体" w:hAnsi="宋体" w:cs="宋体"/>
          <w:color w:val="auto"/>
          <w:sz w:val="21"/>
          <w:szCs w:val="21"/>
          <w:highlight w:val="none"/>
          <w:u w:val="single"/>
          <w:lang w:eastAsia="zh-CN"/>
        </w:rPr>
        <w:t>2</w:t>
      </w:r>
      <w:r>
        <w:rPr>
          <w:rFonts w:hint="eastAsia" w:ascii="宋体" w:hAnsi="宋体" w:eastAsia="宋体" w:cs="宋体"/>
          <w:color w:val="auto"/>
          <w:sz w:val="21"/>
          <w:szCs w:val="21"/>
          <w:highlight w:val="none"/>
        </w:rPr>
        <w:t>种方式解决：</w:t>
      </w:r>
    </w:p>
    <w:p w14:paraId="77586921">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 将争议提交</w:t>
      </w:r>
      <w:r>
        <w:rPr>
          <w:rFonts w:hint="eastAsia" w:ascii="宋体" w:hAnsi="宋体" w:eastAsia="宋体" w:cs="宋体"/>
          <w:color w:val="auto"/>
          <w:sz w:val="21"/>
          <w:szCs w:val="21"/>
          <w:highlight w:val="none"/>
          <w:u w:val="single"/>
        </w:rPr>
        <w:t>南宁</w:t>
      </w:r>
      <w:r>
        <w:rPr>
          <w:rFonts w:hint="eastAsia" w:ascii="宋体" w:hAnsi="宋体" w:eastAsia="宋体" w:cs="宋体"/>
          <w:color w:val="auto"/>
          <w:sz w:val="21"/>
          <w:szCs w:val="21"/>
          <w:highlight w:val="none"/>
        </w:rPr>
        <w:t>仲裁委员会依申请仲裁时其现行有效的仲裁规则裁决；</w:t>
      </w:r>
    </w:p>
    <w:p w14:paraId="60EA09C7">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向</w:t>
      </w:r>
      <w:r>
        <w:rPr>
          <w:rFonts w:hint="eastAsia" w:ascii="宋体" w:hAnsi="宋体" w:eastAsia="宋体" w:cs="宋体"/>
          <w:color w:val="auto"/>
          <w:sz w:val="21"/>
          <w:szCs w:val="21"/>
          <w:highlight w:val="none"/>
          <w:u w:val="single"/>
        </w:rPr>
        <w:t>甲方所在地</w:t>
      </w:r>
      <w:r>
        <w:rPr>
          <w:rFonts w:hint="eastAsia" w:ascii="宋体" w:hAnsi="宋体" w:eastAsia="宋体" w:cs="宋体"/>
          <w:color w:val="auto"/>
          <w:sz w:val="21"/>
          <w:szCs w:val="21"/>
          <w:highlight w:val="none"/>
        </w:rPr>
        <w:t>人民法院起诉。</w:t>
      </w:r>
    </w:p>
    <w:p w14:paraId="31AB0476">
      <w:pPr>
        <w:keepNext w:val="0"/>
        <w:keepLines w:val="0"/>
        <w:pageBreakBefore w:val="0"/>
        <w:widowControl w:val="0"/>
        <w:shd w:val="clear" w:color="auto" w:fill="auto"/>
        <w:kinsoku/>
        <w:overflowPunct/>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182" w:name="_Toc11173"/>
      <w:bookmarkStart w:id="183" w:name="_Toc7245"/>
      <w:bookmarkStart w:id="184" w:name="_Toc15322"/>
      <w:r>
        <w:rPr>
          <w:rFonts w:hint="eastAsia" w:ascii="宋体" w:hAnsi="宋体" w:eastAsia="宋体" w:cs="宋体"/>
          <w:b/>
          <w:color w:val="auto"/>
          <w:sz w:val="21"/>
          <w:szCs w:val="21"/>
          <w:highlight w:val="none"/>
        </w:rPr>
        <w:t>1.8 合同生效</w:t>
      </w:r>
      <w:bookmarkEnd w:id="182"/>
      <w:bookmarkEnd w:id="183"/>
      <w:bookmarkEnd w:id="184"/>
    </w:p>
    <w:p w14:paraId="7F3BD3A4">
      <w:pPr>
        <w:keepNext w:val="0"/>
        <w:keepLines w:val="0"/>
        <w:pageBreakBefore w:val="0"/>
        <w:widowControl w:val="0"/>
        <w:shd w:val="clear" w:color="auto" w:fill="auto"/>
        <w:kinsoku/>
        <w:overflowPunct/>
        <w:autoSpaceDE/>
        <w:autoSpaceDN/>
        <w:bidi w:val="0"/>
        <w:adjustRightInd/>
        <w:snapToGrid/>
        <w:spacing w:line="360" w:lineRule="auto"/>
        <w:ind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本合同自双方法定代表人或授权代表签字或盖章并加盖双方的公章或有效电子公章时生效。</w:t>
      </w:r>
    </w:p>
    <w:p w14:paraId="77A18BBC">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lang w:val="zh-CN"/>
        </w:rPr>
      </w:pPr>
      <w:bookmarkStart w:id="185" w:name="_Toc331685783"/>
      <w:r>
        <w:rPr>
          <w:rFonts w:hint="eastAsia" w:ascii="宋体" w:hAnsi="宋体" w:eastAsia="宋体" w:cs="宋体"/>
          <w:color w:val="auto"/>
          <w:sz w:val="21"/>
          <w:szCs w:val="21"/>
          <w:highlight w:val="none"/>
          <w:lang w:val="zh-CN"/>
        </w:rPr>
        <w:t>甲方：（盖公章）                         乙方：（盖公章）</w:t>
      </w:r>
    </w:p>
    <w:p w14:paraId="38D88F51">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统一社会信用代码：                       统一社会信用代码或身份证号码：</w:t>
      </w:r>
    </w:p>
    <w:p w14:paraId="4548A925">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住所：                                   住所：</w:t>
      </w:r>
    </w:p>
    <w:p w14:paraId="1E0C0283">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法定代表人或                             法定代表人</w:t>
      </w:r>
    </w:p>
    <w:p w14:paraId="57EC7219">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授权代表（签字或盖章）：                 或授权代表（签字或盖章）: </w:t>
      </w:r>
    </w:p>
    <w:p w14:paraId="3EA4D2B9">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联系人：                                 联系人：</w:t>
      </w:r>
    </w:p>
    <w:p w14:paraId="504F8C9D">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约定送达地址：                           约定送达地址：</w:t>
      </w:r>
    </w:p>
    <w:p w14:paraId="2E804D2B">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邮政编码：                               邮政编码：</w:t>
      </w:r>
    </w:p>
    <w:p w14:paraId="7C37702B">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电话:                                    电话: </w:t>
      </w:r>
    </w:p>
    <w:p w14:paraId="767DE786">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传真:                                    传真:</w:t>
      </w:r>
    </w:p>
    <w:p w14:paraId="4DD18C76">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电子邮箱：                               电子邮箱：</w:t>
      </w:r>
    </w:p>
    <w:p w14:paraId="4054EDDC">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开户银行：                               开户银行： </w:t>
      </w:r>
    </w:p>
    <w:p w14:paraId="7C8679B5">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开户名称：                               开户名称： </w:t>
      </w:r>
    </w:p>
    <w:p w14:paraId="60C2BEEE">
      <w:pPr>
        <w:keepNext w:val="0"/>
        <w:keepLines w:val="0"/>
        <w:pageBreakBefore w:val="0"/>
        <w:widowControl w:val="0"/>
        <w:shd w:val="clear" w:color="auto" w:fill="auto"/>
        <w:kinsoku/>
        <w:overflowPunct/>
        <w:autoSpaceDE/>
        <w:autoSpaceDN/>
        <w:bidi w:val="0"/>
        <w:adjustRightInd/>
        <w:snapToGrid/>
        <w:spacing w:line="360" w:lineRule="auto"/>
        <w:ind w:firstLine="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开户账号：</w:t>
      </w:r>
      <w:r>
        <w:rPr>
          <w:rFonts w:hint="eastAsia" w:ascii="宋体" w:hAnsi="宋体" w:eastAsia="宋体" w:cs="宋体"/>
          <w:color w:val="auto"/>
          <w:sz w:val="21"/>
          <w:szCs w:val="21"/>
          <w:highlight w:val="none"/>
          <w:lang w:val="zh-CN"/>
        </w:rPr>
        <w:t xml:space="preserve">                               </w:t>
      </w:r>
      <w:r>
        <w:rPr>
          <w:rFonts w:hint="eastAsia" w:ascii="宋体" w:hAnsi="宋体" w:eastAsia="宋体" w:cs="宋体"/>
          <w:color w:val="auto"/>
          <w:sz w:val="21"/>
          <w:szCs w:val="21"/>
          <w:highlight w:val="none"/>
        </w:rPr>
        <w:t>开户账号：</w:t>
      </w:r>
    </w:p>
    <w:p w14:paraId="4AD98F29">
      <w:pPr>
        <w:widowControl w:val="0"/>
        <w:shd w:val="clear" w:color="auto" w:fill="auto"/>
        <w:autoSpaceDE w:val="0"/>
        <w:autoSpaceDN w:val="0"/>
        <w:adjustRightInd w:val="0"/>
        <w:snapToGrid w:val="0"/>
        <w:spacing w:after="0" w:line="360" w:lineRule="auto"/>
        <w:ind w:left="420" w:leftChars="200" w:firstLine="482" w:firstLineChars="200"/>
        <w:jc w:val="center"/>
        <w:outlineLvl w:val="1"/>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4"/>
          <w:szCs w:val="21"/>
          <w:highlight w:val="none"/>
          <w:lang w:val="en-US" w:eastAsia="zh-CN" w:bidi="ar-SA"/>
        </w:rPr>
        <w:br w:type="page"/>
      </w:r>
      <w:bookmarkStart w:id="186" w:name="_Toc80886949"/>
      <w:bookmarkStart w:id="187" w:name="_Toc80205945"/>
      <w:r>
        <w:rPr>
          <w:rFonts w:hint="eastAsia" w:ascii="宋体" w:hAnsi="宋体" w:eastAsia="宋体" w:cs="宋体"/>
          <w:b/>
          <w:color w:val="auto"/>
          <w:kern w:val="2"/>
          <w:sz w:val="28"/>
          <w:szCs w:val="28"/>
          <w:highlight w:val="none"/>
          <w:lang w:val="en-US" w:eastAsia="zh-CN" w:bidi="ar-SA"/>
        </w:rPr>
        <w:t>第二部分 合同一般条款</w:t>
      </w:r>
      <w:bookmarkEnd w:id="185"/>
      <w:bookmarkEnd w:id="186"/>
      <w:bookmarkEnd w:id="187"/>
    </w:p>
    <w:p w14:paraId="4DE5710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188" w:name="_Ref467379205"/>
      <w:bookmarkStart w:id="189" w:name="_Ref467378499"/>
      <w:bookmarkStart w:id="190" w:name="_Ref467379094"/>
      <w:bookmarkStart w:id="191" w:name="_Ref467379101"/>
      <w:bookmarkStart w:id="192" w:name="_Toc16917"/>
      <w:bookmarkStart w:id="193" w:name="_Ref467379225"/>
      <w:bookmarkStart w:id="194" w:name="_Toc19614"/>
      <w:bookmarkStart w:id="195" w:name="_Ref467379195"/>
      <w:bookmarkStart w:id="196" w:name="_Ref467378463"/>
      <w:bookmarkStart w:id="197" w:name="_Toc259093669"/>
      <w:bookmarkStart w:id="198" w:name="_Ref467379214"/>
      <w:bookmarkStart w:id="199" w:name="_Ref467379109"/>
      <w:bookmarkStart w:id="200" w:name="_Toc28763"/>
      <w:bookmarkStart w:id="201" w:name="_Toc487900349"/>
      <w:bookmarkStart w:id="202" w:name="_Toc279701240"/>
      <w:bookmarkStart w:id="203" w:name="_Ref467378404"/>
      <w:r>
        <w:rPr>
          <w:rFonts w:hint="eastAsia" w:ascii="宋体" w:hAnsi="宋体" w:eastAsia="宋体" w:cs="宋体"/>
          <w:b/>
          <w:color w:val="auto"/>
          <w:sz w:val="21"/>
          <w:szCs w:val="21"/>
          <w:highlight w:val="none"/>
        </w:rPr>
        <w:t>2.1 定义</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103EEA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本合同中的下列词语应按以下内容进行解释：</w:t>
      </w:r>
    </w:p>
    <w:p w14:paraId="1CDF4B0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 “合同”系指采购人和中标人签订的载明双方当事人所达成的协议，并包括所有的附件、附录和构成合同的其他文件。</w:t>
      </w:r>
    </w:p>
    <w:p w14:paraId="130499E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 “合同价”系指根据合同约定，中标人在完全履行合同义务后，采购人应支付给中标人的价格。</w:t>
      </w:r>
    </w:p>
    <w:p w14:paraId="5778419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11F39C8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bookmarkStart w:id="204" w:name="_Ref467378840"/>
      <w:r>
        <w:rPr>
          <w:rFonts w:hint="eastAsia" w:ascii="宋体" w:hAnsi="宋体" w:eastAsia="宋体" w:cs="宋体"/>
          <w:color w:val="auto"/>
          <w:sz w:val="21"/>
          <w:szCs w:val="21"/>
          <w:highlight w:val="none"/>
        </w:rPr>
        <w:t>2.1.4 “甲方”系指与中标人签署合同的采购人</w:t>
      </w:r>
      <w:bookmarkEnd w:id="204"/>
      <w:r>
        <w:rPr>
          <w:rFonts w:hint="eastAsia" w:ascii="宋体" w:hAnsi="宋体" w:eastAsia="宋体" w:cs="宋体"/>
          <w:color w:val="auto"/>
          <w:sz w:val="21"/>
          <w:szCs w:val="21"/>
          <w:highlight w:val="none"/>
        </w:rPr>
        <w:t>；采购人委托采购机构代表其与乙方签订合同的，采购人的授权委托书作为合同附件。</w:t>
      </w:r>
    </w:p>
    <w:p w14:paraId="419968C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bookmarkStart w:id="205" w:name="_Ref467379400"/>
      <w:r>
        <w:rPr>
          <w:rFonts w:hint="eastAsia" w:ascii="宋体" w:hAnsi="宋体" w:eastAsia="宋体" w:cs="宋体"/>
          <w:color w:val="auto"/>
          <w:sz w:val="21"/>
          <w:szCs w:val="21"/>
          <w:highlight w:val="none"/>
        </w:rPr>
        <w:t>2.1.5 “乙方”系指根据合同约定交付标的物的</w:t>
      </w:r>
      <w:bookmarkEnd w:id="205"/>
      <w:r>
        <w:rPr>
          <w:rFonts w:hint="eastAsia" w:ascii="宋体" w:hAnsi="宋体" w:eastAsia="宋体" w:cs="宋体"/>
          <w:color w:val="auto"/>
          <w:sz w:val="21"/>
          <w:szCs w:val="21"/>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760DC06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bookmarkStart w:id="206" w:name="_Ref467379436"/>
      <w:r>
        <w:rPr>
          <w:rFonts w:hint="eastAsia" w:ascii="宋体" w:hAnsi="宋体" w:eastAsia="宋体" w:cs="宋体"/>
          <w:color w:val="auto"/>
          <w:sz w:val="21"/>
          <w:szCs w:val="21"/>
          <w:highlight w:val="none"/>
        </w:rPr>
        <w:t>2.1.6 “现场”系指合同约定标的物将要运至或者实施或者安装的地点。</w:t>
      </w:r>
      <w:bookmarkEnd w:id="206"/>
    </w:p>
    <w:p w14:paraId="3AD6EE3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07" w:name="_Toc279701241"/>
      <w:bookmarkStart w:id="208" w:name="_Toc27635"/>
      <w:bookmarkStart w:id="209" w:name="_Toc487900350"/>
      <w:bookmarkStart w:id="210" w:name="_Toc32504"/>
      <w:bookmarkStart w:id="211" w:name="_Toc259093670"/>
      <w:bookmarkStart w:id="212" w:name="_Toc13336"/>
      <w:r>
        <w:rPr>
          <w:rFonts w:hint="eastAsia" w:ascii="宋体" w:hAnsi="宋体" w:eastAsia="宋体" w:cs="宋体"/>
          <w:b/>
          <w:color w:val="auto"/>
          <w:sz w:val="21"/>
          <w:szCs w:val="21"/>
          <w:highlight w:val="none"/>
        </w:rPr>
        <w:t>2.2 技术规范</w:t>
      </w:r>
      <w:bookmarkEnd w:id="207"/>
      <w:bookmarkEnd w:id="208"/>
      <w:bookmarkEnd w:id="209"/>
      <w:bookmarkEnd w:id="210"/>
      <w:bookmarkEnd w:id="211"/>
      <w:bookmarkEnd w:id="212"/>
    </w:p>
    <w:p w14:paraId="56C5C4C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506BDAA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13" w:name="_Toc27853"/>
      <w:bookmarkStart w:id="214" w:name="_Toc487900351"/>
      <w:bookmarkStart w:id="215" w:name="_Toc259093671"/>
      <w:bookmarkStart w:id="216" w:name="_Toc31634"/>
      <w:bookmarkStart w:id="217" w:name="_Toc279701242"/>
      <w:bookmarkStart w:id="218" w:name="_Toc9829"/>
      <w:r>
        <w:rPr>
          <w:rFonts w:hint="eastAsia" w:ascii="宋体" w:hAnsi="宋体" w:eastAsia="宋体" w:cs="宋体"/>
          <w:b/>
          <w:color w:val="auto"/>
          <w:sz w:val="21"/>
          <w:szCs w:val="21"/>
          <w:highlight w:val="none"/>
        </w:rPr>
        <w:t>2.3 知识产权</w:t>
      </w:r>
      <w:bookmarkEnd w:id="213"/>
      <w:bookmarkEnd w:id="214"/>
      <w:bookmarkEnd w:id="215"/>
      <w:bookmarkEnd w:id="216"/>
      <w:bookmarkEnd w:id="217"/>
      <w:bookmarkEnd w:id="218"/>
    </w:p>
    <w:p w14:paraId="177A695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3220116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2.3.2具有知识产权的计算机软件等标的物的知识产权归属，详见</w:t>
      </w:r>
      <w:r>
        <w:rPr>
          <w:rFonts w:hint="eastAsia" w:ascii="宋体" w:hAnsi="宋体" w:eastAsia="宋体" w:cs="宋体"/>
          <w:b/>
          <w:i/>
          <w:color w:val="auto"/>
          <w:sz w:val="21"/>
          <w:szCs w:val="21"/>
          <w:highlight w:val="none"/>
          <w:u w:val="single"/>
        </w:rPr>
        <w:t>合同专用条款</w:t>
      </w:r>
      <w:r>
        <w:rPr>
          <w:rFonts w:hint="eastAsia" w:ascii="宋体" w:hAnsi="宋体" w:eastAsia="宋体" w:cs="宋体"/>
          <w:color w:val="auto"/>
          <w:sz w:val="21"/>
          <w:szCs w:val="21"/>
          <w:highlight w:val="none"/>
        </w:rPr>
        <w:t>。</w:t>
      </w:r>
    </w:p>
    <w:p w14:paraId="24DBE5E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19" w:name="_Toc4194"/>
      <w:bookmarkStart w:id="220" w:name="_Toc29149"/>
      <w:bookmarkStart w:id="221" w:name="_Toc11932"/>
      <w:r>
        <w:rPr>
          <w:rFonts w:hint="eastAsia" w:ascii="宋体" w:hAnsi="宋体" w:eastAsia="宋体" w:cs="宋体"/>
          <w:b/>
          <w:color w:val="auto"/>
          <w:sz w:val="21"/>
          <w:szCs w:val="21"/>
          <w:highlight w:val="none"/>
        </w:rPr>
        <w:t>2.4 包装和装运</w:t>
      </w:r>
      <w:bookmarkEnd w:id="219"/>
      <w:bookmarkEnd w:id="220"/>
      <w:bookmarkEnd w:id="221"/>
    </w:p>
    <w:p w14:paraId="56FDE04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2.4.1除</w:t>
      </w:r>
      <w:r>
        <w:rPr>
          <w:rFonts w:hint="eastAsia" w:ascii="宋体" w:hAnsi="宋体" w:eastAsia="宋体" w:cs="宋体"/>
          <w:b/>
          <w:i/>
          <w:color w:val="auto"/>
          <w:sz w:val="21"/>
          <w:szCs w:val="21"/>
          <w:highlight w:val="none"/>
          <w:u w:val="single"/>
        </w:rPr>
        <w:t>合同专用条款</w:t>
      </w:r>
      <w:r>
        <w:rPr>
          <w:rFonts w:hint="eastAsia" w:ascii="宋体" w:hAnsi="宋体" w:eastAsia="宋体" w:cs="宋体"/>
          <w:color w:val="auto"/>
          <w:sz w:val="21"/>
          <w:szCs w:val="21"/>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6F383CA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 装运标的物的要求和通知，详见</w:t>
      </w:r>
      <w:r>
        <w:rPr>
          <w:rFonts w:hint="eastAsia" w:ascii="宋体" w:hAnsi="宋体" w:eastAsia="宋体" w:cs="宋体"/>
          <w:b/>
          <w:i/>
          <w:color w:val="auto"/>
          <w:sz w:val="21"/>
          <w:szCs w:val="21"/>
          <w:highlight w:val="none"/>
          <w:u w:val="single"/>
        </w:rPr>
        <w:t>合同专用条款</w:t>
      </w:r>
      <w:r>
        <w:rPr>
          <w:rFonts w:hint="eastAsia" w:ascii="宋体" w:hAnsi="宋体" w:eastAsia="宋体" w:cs="宋体"/>
          <w:color w:val="auto"/>
          <w:sz w:val="21"/>
          <w:szCs w:val="21"/>
          <w:highlight w:val="none"/>
        </w:rPr>
        <w:t>。</w:t>
      </w:r>
    </w:p>
    <w:p w14:paraId="2F4CE53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22" w:name="_Toc279701245"/>
      <w:bookmarkStart w:id="223" w:name="_Ref467379536"/>
      <w:bookmarkStart w:id="224" w:name="_Ref467378541"/>
      <w:bookmarkStart w:id="225" w:name="_Toc259093674"/>
      <w:bookmarkStart w:id="226" w:name="_Ref467379527"/>
      <w:bookmarkStart w:id="227" w:name="_Toc487900354"/>
      <w:bookmarkStart w:id="228" w:name="_Ref467378591"/>
      <w:bookmarkStart w:id="229" w:name="_Ref467379542"/>
      <w:bookmarkStart w:id="230" w:name="_Toc30272"/>
      <w:bookmarkStart w:id="231" w:name="_Toc19074"/>
      <w:bookmarkStart w:id="232" w:name="_Toc26182"/>
      <w:r>
        <w:rPr>
          <w:rFonts w:hint="eastAsia" w:ascii="宋体" w:hAnsi="宋体" w:eastAsia="宋体" w:cs="宋体"/>
          <w:b/>
          <w:color w:val="auto"/>
          <w:sz w:val="21"/>
          <w:szCs w:val="21"/>
          <w:highlight w:val="none"/>
        </w:rPr>
        <w:t>2.</w:t>
      </w:r>
      <w:bookmarkEnd w:id="222"/>
      <w:bookmarkEnd w:id="223"/>
      <w:bookmarkEnd w:id="224"/>
      <w:bookmarkEnd w:id="225"/>
      <w:bookmarkEnd w:id="226"/>
      <w:bookmarkEnd w:id="227"/>
      <w:bookmarkEnd w:id="228"/>
      <w:bookmarkEnd w:id="229"/>
      <w:r>
        <w:rPr>
          <w:rFonts w:hint="eastAsia" w:ascii="宋体" w:hAnsi="宋体" w:eastAsia="宋体" w:cs="宋体"/>
          <w:b/>
          <w:color w:val="auto"/>
          <w:sz w:val="21"/>
          <w:szCs w:val="21"/>
          <w:highlight w:val="none"/>
        </w:rPr>
        <w:t>5 履约检查和问题反馈</w:t>
      </w:r>
      <w:bookmarkEnd w:id="230"/>
      <w:bookmarkEnd w:id="231"/>
      <w:bookmarkEnd w:id="232"/>
    </w:p>
    <w:p w14:paraId="1E0CDA7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bookmarkStart w:id="233" w:name="_Ref467379657"/>
      <w:r>
        <w:rPr>
          <w:rFonts w:hint="eastAsia" w:ascii="宋体" w:hAnsi="宋体" w:eastAsia="宋体" w:cs="宋体"/>
          <w:color w:val="auto"/>
          <w:sz w:val="21"/>
          <w:szCs w:val="21"/>
          <w:highlight w:val="none"/>
        </w:rPr>
        <w:t>2.5.1</w:t>
      </w:r>
      <w:bookmarkEnd w:id="233"/>
      <w:bookmarkStart w:id="234" w:name="_Toc186431854"/>
      <w:bookmarkStart w:id="235" w:name="_Toc259093676"/>
      <w:bookmarkStart w:id="236" w:name="_Toc487900357"/>
      <w:bookmarkStart w:id="237" w:name="_Ref467379807"/>
      <w:bookmarkStart w:id="238" w:name="_Toc279701247"/>
      <w:bookmarkStart w:id="239" w:name="_Ref467379793"/>
      <w:r>
        <w:rPr>
          <w:rFonts w:hint="eastAsia" w:ascii="宋体" w:hAnsi="宋体" w:eastAsia="宋体" w:cs="宋体"/>
          <w:color w:val="auto"/>
          <w:sz w:val="21"/>
          <w:szCs w:val="21"/>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24EFF76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2.5.2 合同履行期间，甲方有权将履行过程中出现的问题反馈给乙方，双方当事人应以书面形式约定需要完善和改进的内容</w:t>
      </w:r>
      <w:bookmarkEnd w:id="234"/>
      <w:bookmarkStart w:id="240" w:name="_Toc186431855"/>
      <w:r>
        <w:rPr>
          <w:rFonts w:hint="eastAsia" w:ascii="宋体" w:hAnsi="宋体" w:eastAsia="宋体" w:cs="宋体"/>
          <w:color w:val="auto"/>
          <w:sz w:val="21"/>
          <w:szCs w:val="21"/>
          <w:highlight w:val="none"/>
        </w:rPr>
        <w:t>。</w:t>
      </w:r>
    </w:p>
    <w:bookmarkEnd w:id="240"/>
    <w:p w14:paraId="3544CDE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41" w:name="_Toc28451"/>
      <w:bookmarkStart w:id="242" w:name="_Toc19219"/>
      <w:bookmarkStart w:id="243" w:name="_Toc7836"/>
      <w:r>
        <w:rPr>
          <w:rFonts w:hint="eastAsia" w:ascii="宋体" w:hAnsi="宋体" w:eastAsia="宋体" w:cs="宋体"/>
          <w:b/>
          <w:color w:val="auto"/>
          <w:sz w:val="21"/>
          <w:szCs w:val="21"/>
          <w:highlight w:val="none"/>
        </w:rPr>
        <w:t>2.6 结算方式和付款条件</w:t>
      </w:r>
      <w:bookmarkEnd w:id="235"/>
      <w:bookmarkEnd w:id="236"/>
      <w:bookmarkEnd w:id="237"/>
      <w:bookmarkEnd w:id="238"/>
      <w:bookmarkEnd w:id="239"/>
      <w:bookmarkEnd w:id="241"/>
      <w:bookmarkEnd w:id="242"/>
      <w:bookmarkEnd w:id="243"/>
    </w:p>
    <w:p w14:paraId="0D16D1D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w:t>
      </w:r>
      <w:r>
        <w:rPr>
          <w:rFonts w:hint="eastAsia" w:ascii="宋体" w:hAnsi="宋体" w:eastAsia="宋体" w:cs="宋体"/>
          <w:b/>
          <w:i/>
          <w:color w:val="auto"/>
          <w:sz w:val="21"/>
          <w:szCs w:val="21"/>
          <w:highlight w:val="none"/>
          <w:u w:val="single"/>
        </w:rPr>
        <w:t>合同专用条款</w:t>
      </w:r>
      <w:r>
        <w:rPr>
          <w:rFonts w:hint="eastAsia" w:ascii="宋体" w:hAnsi="宋体" w:eastAsia="宋体" w:cs="宋体"/>
          <w:color w:val="auto"/>
          <w:sz w:val="21"/>
          <w:szCs w:val="21"/>
          <w:highlight w:val="none"/>
        </w:rPr>
        <w:t>。</w:t>
      </w:r>
    </w:p>
    <w:p w14:paraId="5D3D697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44" w:name="_Ref467379852"/>
      <w:bookmarkStart w:id="245" w:name="_Toc279701248"/>
      <w:bookmarkStart w:id="246" w:name="_Ref467379923"/>
      <w:bookmarkStart w:id="247" w:name="_Toc487900358"/>
      <w:bookmarkStart w:id="248" w:name="_Toc259093677"/>
      <w:bookmarkStart w:id="249" w:name="_Ref467379863"/>
      <w:bookmarkStart w:id="250" w:name="_Toc3225"/>
      <w:bookmarkStart w:id="251" w:name="_Toc774"/>
      <w:bookmarkStart w:id="252" w:name="_Toc16110"/>
      <w:r>
        <w:rPr>
          <w:rFonts w:hint="eastAsia" w:ascii="宋体" w:hAnsi="宋体" w:eastAsia="宋体" w:cs="宋体"/>
          <w:b/>
          <w:color w:val="auto"/>
          <w:sz w:val="21"/>
          <w:szCs w:val="21"/>
          <w:highlight w:val="none"/>
        </w:rPr>
        <w:t>2.7 技术资料</w:t>
      </w:r>
      <w:bookmarkEnd w:id="244"/>
      <w:bookmarkEnd w:id="245"/>
      <w:bookmarkEnd w:id="246"/>
      <w:bookmarkEnd w:id="247"/>
      <w:bookmarkEnd w:id="248"/>
      <w:bookmarkEnd w:id="249"/>
      <w:r>
        <w:rPr>
          <w:rFonts w:hint="eastAsia" w:ascii="宋体" w:hAnsi="宋体" w:eastAsia="宋体" w:cs="宋体"/>
          <w:b/>
          <w:color w:val="auto"/>
          <w:sz w:val="21"/>
          <w:szCs w:val="21"/>
          <w:highlight w:val="none"/>
        </w:rPr>
        <w:t>和保密义务</w:t>
      </w:r>
      <w:bookmarkEnd w:id="250"/>
      <w:bookmarkEnd w:id="251"/>
      <w:bookmarkEnd w:id="252"/>
    </w:p>
    <w:p w14:paraId="4438B9C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乙方有权依据合同约定和项目需要，向甲方了解有关情况，调阅有关资料等，甲方应予积极配合；</w:t>
      </w:r>
    </w:p>
    <w:p w14:paraId="3DF72A7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乙方有义务妥善保管和保护由甲方提供的前款信息和资料等；</w:t>
      </w:r>
    </w:p>
    <w:p w14:paraId="3248D8B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除非依照法律规定或者对方当事人的书面同意，任何一方均应保证不向任何第三方提供或披露有关合同的或者履行合同过程中知悉的对方当事人任何未公开的信息和资料，包括但不限于</w:t>
      </w:r>
      <w:r>
        <w:rPr>
          <w:rFonts w:hint="eastAsia" w:ascii="宋体" w:hAnsi="宋体" w:cs="宋体"/>
          <w:color w:val="auto"/>
          <w:sz w:val="21"/>
          <w:szCs w:val="21"/>
          <w:highlight w:val="none"/>
          <w:lang w:eastAsia="zh-CN"/>
        </w:rPr>
        <w:t>本信息平台建设和运行中的文件资料、敏感信息、工作秘密、国家秘密及</w:t>
      </w:r>
      <w:r>
        <w:rPr>
          <w:rFonts w:hint="eastAsia" w:ascii="宋体" w:hAnsi="宋体" w:eastAsia="宋体" w:cs="宋体"/>
          <w:color w:val="auto"/>
          <w:sz w:val="21"/>
          <w:szCs w:val="21"/>
          <w:highlight w:val="none"/>
        </w:rPr>
        <w:t>技术情报、技术资料、商业秘密和商业信息等，并采取一切合理和必要措施及方式防止任何第三方接触到对方当事人的上述保密信息和资料。</w:t>
      </w:r>
    </w:p>
    <w:p w14:paraId="45F3EA1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53" w:name="_Toc7860"/>
      <w:r>
        <w:rPr>
          <w:rFonts w:hint="eastAsia" w:ascii="宋体" w:hAnsi="宋体" w:eastAsia="宋体" w:cs="宋体"/>
          <w:b/>
          <w:color w:val="auto"/>
          <w:sz w:val="21"/>
          <w:szCs w:val="21"/>
          <w:highlight w:val="none"/>
        </w:rPr>
        <w:t>2.8 质量保证</w:t>
      </w:r>
      <w:bookmarkEnd w:id="253"/>
    </w:p>
    <w:p w14:paraId="00AD58D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2.8.1 乙方应建立和完善履行合同的内部质量保证体系，并提供相关内部规章制度给甲方，以便甲方进行监督检查；</w:t>
      </w:r>
    </w:p>
    <w:p w14:paraId="3359DCB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2.8.2 乙方应保证履行合同的人员数量和素质、软件和硬件设备的配置、场地、环境和设施等满足全面履行合同的要求，并应接受甲方的监督检查。</w:t>
      </w:r>
    </w:p>
    <w:p w14:paraId="13B2CC8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2.8.3乙方应确保项目技术人员的数量和水平与</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一致。未经甲方书面同意，乙方不得擅自更换</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中注明的项目经理和技术负责人。否则</w:t>
      </w:r>
      <w:r>
        <w:rPr>
          <w:rFonts w:hint="eastAsia" w:ascii="宋体" w:hAnsi="宋体" w:eastAsia="宋体" w:cs="宋体"/>
          <w:color w:val="auto"/>
          <w:kern w:val="0"/>
          <w:sz w:val="21"/>
          <w:szCs w:val="21"/>
          <w:highlight w:val="none"/>
        </w:rPr>
        <w:t>甲方有权放弃或终止合同。</w:t>
      </w:r>
    </w:p>
    <w:p w14:paraId="05382C0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2.8.4因乙方原因造成甲方其他系统不能正常运行，酿成重大事故（工作日系统中断一天以上）的，乙方应承担全部法律责任，并赔偿经济损失，赔偿金额为项目总价的</w:t>
      </w:r>
      <w:r>
        <w:rPr>
          <w:rFonts w:hint="eastAsia" w:ascii="宋体" w:hAnsi="宋体" w:eastAsia="宋体" w:cs="宋体"/>
          <w:color w:val="auto"/>
          <w:sz w:val="21"/>
          <w:szCs w:val="21"/>
          <w:highlight w:val="none"/>
          <w:u w:val="single"/>
        </w:rPr>
        <w:t>30%</w:t>
      </w:r>
      <w:r>
        <w:rPr>
          <w:rFonts w:hint="eastAsia" w:ascii="宋体" w:hAnsi="宋体" w:eastAsia="宋体" w:cs="宋体"/>
          <w:color w:val="auto"/>
          <w:sz w:val="21"/>
          <w:szCs w:val="21"/>
          <w:highlight w:val="none"/>
        </w:rPr>
        <w:t>。</w:t>
      </w:r>
    </w:p>
    <w:p w14:paraId="5F821A8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54" w:name="_Toc17244"/>
      <w:bookmarkStart w:id="255" w:name="_Toc487900362"/>
      <w:bookmarkStart w:id="256" w:name="_Toc279701252"/>
      <w:bookmarkStart w:id="257" w:name="_Toc259093681"/>
      <w:r>
        <w:rPr>
          <w:rFonts w:hint="eastAsia" w:ascii="宋体" w:hAnsi="宋体" w:eastAsia="宋体" w:cs="宋体"/>
          <w:b/>
          <w:color w:val="auto"/>
          <w:sz w:val="21"/>
          <w:szCs w:val="21"/>
          <w:highlight w:val="none"/>
        </w:rPr>
        <w:t>2.9 标的物的风险负担</w:t>
      </w:r>
      <w:bookmarkEnd w:id="254"/>
    </w:p>
    <w:p w14:paraId="33A2DC2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标的物或者在途标的物或者交付给第一承运人后的标的物毁损、灭失的风险负担详见</w:t>
      </w:r>
      <w:r>
        <w:rPr>
          <w:rFonts w:hint="eastAsia" w:ascii="宋体" w:hAnsi="宋体" w:eastAsia="宋体" w:cs="宋体"/>
          <w:b/>
          <w:i/>
          <w:color w:val="auto"/>
          <w:sz w:val="21"/>
          <w:szCs w:val="21"/>
          <w:highlight w:val="none"/>
          <w:u w:val="single"/>
        </w:rPr>
        <w:t>合同专用条款</w:t>
      </w:r>
      <w:r>
        <w:rPr>
          <w:rFonts w:hint="eastAsia" w:ascii="宋体" w:hAnsi="宋体" w:eastAsia="宋体" w:cs="宋体"/>
          <w:color w:val="auto"/>
          <w:sz w:val="21"/>
          <w:szCs w:val="21"/>
          <w:highlight w:val="none"/>
        </w:rPr>
        <w:t>。</w:t>
      </w:r>
    </w:p>
    <w:p w14:paraId="2028F23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58" w:name="_Toc14055"/>
      <w:r>
        <w:rPr>
          <w:rFonts w:hint="eastAsia" w:ascii="宋体" w:hAnsi="宋体" w:eastAsia="宋体" w:cs="宋体"/>
          <w:b/>
          <w:color w:val="auto"/>
          <w:sz w:val="21"/>
          <w:szCs w:val="21"/>
          <w:highlight w:val="none"/>
        </w:rPr>
        <w:t>2.10 延迟交货</w:t>
      </w:r>
      <w:bookmarkEnd w:id="255"/>
      <w:bookmarkEnd w:id="256"/>
      <w:bookmarkEnd w:id="257"/>
      <w:bookmarkEnd w:id="258"/>
      <w:r>
        <w:rPr>
          <w:rFonts w:hint="eastAsia" w:ascii="宋体" w:hAnsi="宋体" w:eastAsia="宋体" w:cs="宋体"/>
          <w:b/>
          <w:color w:val="auto"/>
          <w:sz w:val="21"/>
          <w:szCs w:val="21"/>
          <w:highlight w:val="none"/>
        </w:rPr>
        <w:t>/交付</w:t>
      </w:r>
    </w:p>
    <w:p w14:paraId="2DAB4E9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2FDCA3C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59" w:name="_Toc7502"/>
      <w:bookmarkStart w:id="260" w:name="_Toc279701254"/>
      <w:bookmarkStart w:id="261" w:name="_Ref467378121"/>
      <w:bookmarkStart w:id="262" w:name="_Toc259093683"/>
      <w:bookmarkStart w:id="263" w:name="_Toc487900364"/>
      <w:r>
        <w:rPr>
          <w:rFonts w:hint="eastAsia" w:ascii="宋体" w:hAnsi="宋体" w:eastAsia="宋体" w:cs="宋体"/>
          <w:b/>
          <w:color w:val="auto"/>
          <w:sz w:val="21"/>
          <w:szCs w:val="21"/>
          <w:highlight w:val="none"/>
        </w:rPr>
        <w:t>2.11 合同变更</w:t>
      </w:r>
      <w:bookmarkEnd w:id="259"/>
    </w:p>
    <w:p w14:paraId="5948A33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50D687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2.11.2 合同继续履行将损害国家利益和社会公共利益的，双方当事人应当以书面形式变更合同。有过错的一方应当承担赔偿责任，双方当事人都有过错的，各自承担相应的责任。</w:t>
      </w:r>
      <w:bookmarkStart w:id="264" w:name="_Toc259093688"/>
      <w:bookmarkStart w:id="265" w:name="_Toc279701259"/>
      <w:bookmarkStart w:id="266" w:name="_Toc487900369"/>
    </w:p>
    <w:p w14:paraId="1378E8B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67" w:name="_Toc22955"/>
      <w:bookmarkStart w:id="268" w:name="_Toc15237"/>
      <w:bookmarkStart w:id="269" w:name="_Toc10366"/>
      <w:r>
        <w:rPr>
          <w:rFonts w:hint="eastAsia" w:ascii="宋体" w:hAnsi="宋体" w:eastAsia="宋体" w:cs="宋体"/>
          <w:b/>
          <w:color w:val="auto"/>
          <w:sz w:val="21"/>
          <w:szCs w:val="21"/>
          <w:highlight w:val="none"/>
        </w:rPr>
        <w:t>2.12 合同转让</w:t>
      </w:r>
      <w:bookmarkEnd w:id="264"/>
      <w:bookmarkEnd w:id="265"/>
      <w:bookmarkEnd w:id="266"/>
      <w:r>
        <w:rPr>
          <w:rFonts w:hint="eastAsia" w:ascii="宋体" w:hAnsi="宋体" w:eastAsia="宋体" w:cs="宋体"/>
          <w:b/>
          <w:color w:val="auto"/>
          <w:sz w:val="21"/>
          <w:szCs w:val="21"/>
          <w:highlight w:val="none"/>
        </w:rPr>
        <w:t>和分包</w:t>
      </w:r>
      <w:bookmarkEnd w:id="267"/>
      <w:bookmarkEnd w:id="268"/>
      <w:bookmarkEnd w:id="269"/>
    </w:p>
    <w:p w14:paraId="3E86B97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44F44AA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70" w:name="_Toc16508"/>
      <w:bookmarkStart w:id="271" w:name="_Toc14066"/>
      <w:bookmarkStart w:id="272" w:name="_Toc13566"/>
      <w:r>
        <w:rPr>
          <w:rFonts w:hint="eastAsia" w:ascii="宋体" w:hAnsi="宋体" w:eastAsia="宋体" w:cs="宋体"/>
          <w:b/>
          <w:color w:val="auto"/>
          <w:sz w:val="21"/>
          <w:szCs w:val="21"/>
          <w:highlight w:val="none"/>
        </w:rPr>
        <w:t>2.13 不可抗力</w:t>
      </w:r>
      <w:bookmarkEnd w:id="270"/>
      <w:bookmarkEnd w:id="271"/>
      <w:bookmarkEnd w:id="272"/>
    </w:p>
    <w:p w14:paraId="09F17A4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2.13.1如果任何一方遭遇法律规定的不可抗力，致使合同履行受阻时，履行合同的期限应予延长，延长的期限应相当于不可抗力所影响的时间；</w:t>
      </w:r>
    </w:p>
    <w:p w14:paraId="6370416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2.13.2受不可抗力影响的一方在不可抗力发生后，应在</w:t>
      </w:r>
      <w:r>
        <w:rPr>
          <w:rFonts w:hint="eastAsia" w:ascii="宋体" w:hAnsi="宋体" w:eastAsia="宋体" w:cs="宋体"/>
          <w:b/>
          <w:i/>
          <w:color w:val="auto"/>
          <w:sz w:val="21"/>
          <w:szCs w:val="21"/>
          <w:highlight w:val="none"/>
          <w:u w:val="single"/>
        </w:rPr>
        <w:t>合同专用条款</w:t>
      </w:r>
      <w:r>
        <w:rPr>
          <w:rFonts w:hint="eastAsia" w:ascii="宋体" w:hAnsi="宋体" w:eastAsia="宋体" w:cs="宋体"/>
          <w:color w:val="auto"/>
          <w:sz w:val="21"/>
          <w:szCs w:val="21"/>
          <w:highlight w:val="none"/>
        </w:rPr>
        <w:t>约定时间内以书面形式通知对方当事人，并在</w:t>
      </w:r>
      <w:r>
        <w:rPr>
          <w:rFonts w:hint="eastAsia" w:ascii="宋体" w:hAnsi="宋体" w:eastAsia="宋体" w:cs="宋体"/>
          <w:b/>
          <w:i/>
          <w:color w:val="auto"/>
          <w:sz w:val="21"/>
          <w:szCs w:val="21"/>
          <w:highlight w:val="none"/>
          <w:u w:val="single"/>
        </w:rPr>
        <w:t>合同专用条款</w:t>
      </w:r>
      <w:r>
        <w:rPr>
          <w:rFonts w:hint="eastAsia" w:ascii="宋体" w:hAnsi="宋体" w:eastAsia="宋体" w:cs="宋体"/>
          <w:color w:val="auto"/>
          <w:sz w:val="21"/>
          <w:szCs w:val="21"/>
          <w:highlight w:val="none"/>
        </w:rPr>
        <w:t>约定时间内，将有关部门出具的证明文件送达对方当事人。</w:t>
      </w:r>
    </w:p>
    <w:p w14:paraId="3CCBC4E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2.13.3 因不可抗力致使不能实现合同目的的，当事人可以解除合同；</w:t>
      </w:r>
    </w:p>
    <w:p w14:paraId="600660D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2.13.4 因不可抗力致使合同有变更必要的，双方当事人应在</w:t>
      </w:r>
      <w:r>
        <w:rPr>
          <w:rFonts w:hint="eastAsia" w:ascii="宋体" w:hAnsi="宋体" w:eastAsia="宋体" w:cs="宋体"/>
          <w:b/>
          <w:i/>
          <w:color w:val="auto"/>
          <w:sz w:val="21"/>
          <w:szCs w:val="21"/>
          <w:highlight w:val="none"/>
          <w:u w:val="single"/>
        </w:rPr>
        <w:t>合同专用条款</w:t>
      </w:r>
      <w:r>
        <w:rPr>
          <w:rFonts w:hint="eastAsia" w:ascii="宋体" w:hAnsi="宋体" w:eastAsia="宋体" w:cs="宋体"/>
          <w:color w:val="auto"/>
          <w:sz w:val="21"/>
          <w:szCs w:val="21"/>
          <w:highlight w:val="none"/>
        </w:rPr>
        <w:t>约定时间内以书面形式变更合同；</w:t>
      </w:r>
    </w:p>
    <w:p w14:paraId="0F9F327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73" w:name="_Toc689"/>
      <w:bookmarkStart w:id="274" w:name="_Toc279701255"/>
      <w:bookmarkStart w:id="275" w:name="_Toc259093684"/>
      <w:bookmarkStart w:id="276" w:name="_Toc487900365"/>
      <w:bookmarkStart w:id="277" w:name="_Toc30676"/>
      <w:bookmarkStart w:id="278" w:name="_Toc6969"/>
      <w:r>
        <w:rPr>
          <w:rFonts w:hint="eastAsia" w:ascii="宋体" w:hAnsi="宋体" w:eastAsia="宋体" w:cs="宋体"/>
          <w:b/>
          <w:color w:val="auto"/>
          <w:sz w:val="21"/>
          <w:szCs w:val="21"/>
          <w:highlight w:val="none"/>
        </w:rPr>
        <w:t>2.14 税费</w:t>
      </w:r>
      <w:bookmarkEnd w:id="273"/>
      <w:bookmarkEnd w:id="274"/>
      <w:bookmarkEnd w:id="275"/>
      <w:bookmarkEnd w:id="276"/>
      <w:bookmarkEnd w:id="277"/>
      <w:bookmarkEnd w:id="278"/>
    </w:p>
    <w:p w14:paraId="79A90F7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与合同有关的一切税费，均按照中华人民共和国法律的相关规定执行。</w:t>
      </w:r>
    </w:p>
    <w:p w14:paraId="6131E75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79" w:name="_Toc7102"/>
      <w:bookmarkStart w:id="280" w:name="_Toc8298"/>
      <w:bookmarkStart w:id="281" w:name="_Toc279701258"/>
      <w:bookmarkStart w:id="282" w:name="_Toc16959"/>
      <w:bookmarkStart w:id="283" w:name="_Toc259093687"/>
      <w:bookmarkStart w:id="284" w:name="_Toc487900368"/>
      <w:r>
        <w:rPr>
          <w:rFonts w:hint="eastAsia" w:ascii="宋体" w:hAnsi="宋体" w:eastAsia="宋体" w:cs="宋体"/>
          <w:b/>
          <w:color w:val="auto"/>
          <w:sz w:val="21"/>
          <w:szCs w:val="21"/>
          <w:highlight w:val="none"/>
        </w:rPr>
        <w:t>2.15 乙方破产</w:t>
      </w:r>
      <w:bookmarkEnd w:id="279"/>
      <w:bookmarkEnd w:id="280"/>
      <w:bookmarkEnd w:id="281"/>
      <w:bookmarkEnd w:id="282"/>
      <w:bookmarkEnd w:id="283"/>
      <w:bookmarkEnd w:id="284"/>
    </w:p>
    <w:p w14:paraId="675839E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CCC32F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85" w:name="_Toc15387"/>
      <w:bookmarkStart w:id="286" w:name="_Toc6134"/>
      <w:bookmarkStart w:id="287" w:name="_Toc29333"/>
      <w:r>
        <w:rPr>
          <w:rFonts w:hint="eastAsia" w:ascii="宋体" w:hAnsi="宋体" w:eastAsia="宋体" w:cs="宋体"/>
          <w:b/>
          <w:color w:val="auto"/>
          <w:sz w:val="21"/>
          <w:szCs w:val="21"/>
          <w:highlight w:val="none"/>
        </w:rPr>
        <w:t>2.16 合同中止、终止</w:t>
      </w:r>
      <w:bookmarkEnd w:id="285"/>
      <w:bookmarkEnd w:id="286"/>
      <w:bookmarkEnd w:id="287"/>
    </w:p>
    <w:p w14:paraId="0BA873A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2.16.1 双方当事人不得擅自中止或者终止合同；</w:t>
      </w:r>
    </w:p>
    <w:p w14:paraId="7BD04E2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2.16.2合同继续履行将损害国家利益和社会公共利益的，双方当事人应当中止或者终止合同。有过错的一方应当承担赔偿责任，双方当事人都有过错的，各自承担相应的责任。</w:t>
      </w:r>
    </w:p>
    <w:p w14:paraId="5888E59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88" w:name="_Toc14563"/>
      <w:bookmarkStart w:id="289" w:name="_Toc6596"/>
      <w:bookmarkStart w:id="290" w:name="_Toc1125"/>
      <w:r>
        <w:rPr>
          <w:rFonts w:hint="eastAsia" w:ascii="宋体" w:hAnsi="宋体" w:eastAsia="宋体" w:cs="宋体"/>
          <w:b/>
          <w:color w:val="auto"/>
          <w:sz w:val="21"/>
          <w:szCs w:val="21"/>
          <w:highlight w:val="none"/>
        </w:rPr>
        <w:t>2.17 检验和验收</w:t>
      </w:r>
      <w:bookmarkEnd w:id="288"/>
      <w:bookmarkEnd w:id="289"/>
      <w:bookmarkEnd w:id="290"/>
    </w:p>
    <w:p w14:paraId="722DEA0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2.17.1标的物交付前，乙方应对标的物的质量、数量等方面进行详细、全面的检验，并向甲方出具证明标的物符合合同约定的文件；标的物交付时，乙方在</w:t>
      </w:r>
      <w:r>
        <w:rPr>
          <w:rFonts w:hint="eastAsia" w:ascii="宋体" w:hAnsi="宋体" w:eastAsia="宋体" w:cs="宋体"/>
          <w:b/>
          <w:i/>
          <w:color w:val="auto"/>
          <w:sz w:val="21"/>
          <w:szCs w:val="21"/>
          <w:highlight w:val="none"/>
          <w:u w:val="single"/>
        </w:rPr>
        <w:t>合同专用条款</w:t>
      </w:r>
      <w:r>
        <w:rPr>
          <w:rFonts w:hint="eastAsia" w:ascii="宋体" w:hAnsi="宋体" w:eastAsia="宋体" w:cs="宋体"/>
          <w:color w:val="auto"/>
          <w:sz w:val="21"/>
          <w:szCs w:val="21"/>
          <w:highlight w:val="none"/>
        </w:rPr>
        <w:t>约定时间内组织验收，并可依法邀请相关方参加，验收应出具验收书。</w:t>
      </w:r>
    </w:p>
    <w:p w14:paraId="2417983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377353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2.17.3 检验和验收标准、程序等具体内容以及前述验收书的效力详见</w:t>
      </w:r>
      <w:r>
        <w:rPr>
          <w:rFonts w:hint="eastAsia" w:ascii="宋体" w:hAnsi="宋体" w:eastAsia="宋体" w:cs="宋体"/>
          <w:b/>
          <w:i/>
          <w:color w:val="auto"/>
          <w:sz w:val="21"/>
          <w:szCs w:val="21"/>
          <w:highlight w:val="none"/>
          <w:u w:val="single"/>
        </w:rPr>
        <w:t>合同专用条款</w:t>
      </w:r>
      <w:r>
        <w:rPr>
          <w:rFonts w:hint="eastAsia" w:ascii="宋体" w:hAnsi="宋体" w:eastAsia="宋体" w:cs="宋体"/>
          <w:i/>
          <w:color w:val="auto"/>
          <w:sz w:val="21"/>
          <w:szCs w:val="21"/>
          <w:highlight w:val="none"/>
        </w:rPr>
        <w:t>。</w:t>
      </w:r>
    </w:p>
    <w:bookmarkEnd w:id="260"/>
    <w:bookmarkEnd w:id="261"/>
    <w:bookmarkEnd w:id="262"/>
    <w:bookmarkEnd w:id="263"/>
    <w:p w14:paraId="2E0A9AC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291" w:name="_Toc487900371"/>
      <w:bookmarkStart w:id="292" w:name="_Toc259093690"/>
      <w:bookmarkStart w:id="293" w:name="_Toc279701261"/>
      <w:bookmarkStart w:id="294" w:name="_Toc19604"/>
      <w:bookmarkStart w:id="295" w:name="_Toc25182"/>
      <w:bookmarkStart w:id="296" w:name="_Toc11284"/>
      <w:r>
        <w:rPr>
          <w:rFonts w:hint="eastAsia" w:ascii="宋体" w:hAnsi="宋体" w:eastAsia="宋体" w:cs="宋体"/>
          <w:b/>
          <w:color w:val="auto"/>
          <w:sz w:val="21"/>
          <w:szCs w:val="21"/>
          <w:highlight w:val="none"/>
        </w:rPr>
        <w:t>2.18 通知</w:t>
      </w:r>
      <w:bookmarkEnd w:id="291"/>
      <w:bookmarkEnd w:id="292"/>
      <w:bookmarkEnd w:id="293"/>
      <w:r>
        <w:rPr>
          <w:rFonts w:hint="eastAsia" w:ascii="宋体" w:hAnsi="宋体" w:eastAsia="宋体" w:cs="宋体"/>
          <w:b/>
          <w:color w:val="auto"/>
          <w:sz w:val="21"/>
          <w:szCs w:val="21"/>
          <w:highlight w:val="none"/>
        </w:rPr>
        <w:t>和送达</w:t>
      </w:r>
      <w:bookmarkEnd w:id="294"/>
      <w:bookmarkEnd w:id="295"/>
      <w:bookmarkEnd w:id="296"/>
    </w:p>
    <w:p w14:paraId="60561A4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bookmarkStart w:id="297" w:name="_Toc3135"/>
      <w:bookmarkStart w:id="298" w:name="_Toc6698"/>
      <w:bookmarkStart w:id="299" w:name="_Toc279701262"/>
      <w:bookmarkStart w:id="300" w:name="_Toc259093691"/>
      <w:bookmarkStart w:id="301" w:name="_Toc487900372"/>
      <w:r>
        <w:rPr>
          <w:rFonts w:hint="eastAsia" w:ascii="宋体" w:hAnsi="宋体" w:eastAsia="宋体" w:cs="宋体"/>
          <w:color w:val="auto"/>
          <w:sz w:val="21"/>
          <w:szCs w:val="21"/>
          <w:highlight w:val="none"/>
        </w:rPr>
        <w:t>2.18.1 任何一方因履行合同而以合同第一部分尾部所列明的</w:t>
      </w:r>
      <w:r>
        <w:rPr>
          <w:rFonts w:hint="eastAsia" w:ascii="宋体" w:hAnsi="宋体" w:eastAsia="宋体" w:cs="宋体"/>
          <w:color w:val="auto"/>
          <w:sz w:val="21"/>
          <w:szCs w:val="21"/>
          <w:highlight w:val="none"/>
          <w:u w:val="single"/>
        </w:rPr>
        <w:t>“约定送达地址”</w:t>
      </w:r>
      <w:r>
        <w:rPr>
          <w:rFonts w:hint="eastAsia" w:ascii="宋体" w:hAnsi="宋体" w:eastAsia="宋体" w:cs="宋体"/>
          <w:color w:val="auto"/>
          <w:sz w:val="21"/>
          <w:szCs w:val="21"/>
          <w:highlight w:val="none"/>
        </w:rPr>
        <w:t>为收件地址的所有通知、文件、材料，均视为已向对方当事人送达；任何一方变更上述送达方式或者地址的，应于</w:t>
      </w:r>
      <w:r>
        <w:rPr>
          <w:rFonts w:hint="eastAsia" w:ascii="宋体" w:hAnsi="宋体" w:eastAsia="宋体" w:cs="宋体"/>
          <w:color w:val="auto"/>
          <w:sz w:val="21"/>
          <w:szCs w:val="21"/>
          <w:highlight w:val="none"/>
          <w:u w:val="single"/>
        </w:rPr>
        <w:t>2</w:t>
      </w:r>
      <w:r>
        <w:rPr>
          <w:rFonts w:hint="eastAsia" w:ascii="宋体" w:hAnsi="宋体" w:eastAsia="宋体" w:cs="宋体"/>
          <w:color w:val="auto"/>
          <w:sz w:val="21"/>
          <w:szCs w:val="21"/>
          <w:highlight w:val="none"/>
        </w:rPr>
        <w:t>个工作日内书面通知对方当事人，在对方当事人收到有关变更通知之前，变更前的约定送达方式或者地址仍视为有效。</w:t>
      </w:r>
      <w:bookmarkEnd w:id="297"/>
      <w:bookmarkEnd w:id="298"/>
    </w:p>
    <w:p w14:paraId="263E8AD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bookmarkStart w:id="302" w:name="_Toc23294"/>
      <w:bookmarkStart w:id="303" w:name="_Toc23128"/>
      <w:r>
        <w:rPr>
          <w:rFonts w:hint="eastAsia" w:ascii="宋体" w:hAnsi="宋体" w:eastAsia="宋体" w:cs="宋体"/>
          <w:color w:val="auto"/>
          <w:sz w:val="21"/>
          <w:szCs w:val="21"/>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302"/>
      <w:bookmarkEnd w:id="303"/>
    </w:p>
    <w:p w14:paraId="7384BDF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304" w:name="_Toc18540"/>
      <w:bookmarkStart w:id="305" w:name="_Toc30599"/>
      <w:bookmarkStart w:id="306" w:name="_Toc4355"/>
      <w:r>
        <w:rPr>
          <w:rFonts w:hint="eastAsia" w:ascii="宋体" w:hAnsi="宋体" w:eastAsia="宋体" w:cs="宋体"/>
          <w:b/>
          <w:color w:val="auto"/>
          <w:sz w:val="21"/>
          <w:szCs w:val="21"/>
          <w:highlight w:val="none"/>
        </w:rPr>
        <w:t>2.19 计量单位</w:t>
      </w:r>
      <w:bookmarkEnd w:id="299"/>
      <w:bookmarkEnd w:id="300"/>
      <w:bookmarkEnd w:id="301"/>
      <w:bookmarkEnd w:id="304"/>
      <w:bookmarkEnd w:id="305"/>
      <w:bookmarkEnd w:id="306"/>
    </w:p>
    <w:p w14:paraId="2395950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除技术规范中另有规定外,合同的计量单位均使用国家法定计量单位。</w:t>
      </w:r>
    </w:p>
    <w:p w14:paraId="20CC6E0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307" w:name="_Toc487900373"/>
      <w:bookmarkStart w:id="308" w:name="_Toc12773"/>
      <w:bookmarkStart w:id="309" w:name="_Toc279701263"/>
      <w:bookmarkStart w:id="310" w:name="_Toc18567"/>
      <w:bookmarkStart w:id="311" w:name="_Toc259093692"/>
      <w:bookmarkStart w:id="312" w:name="_Toc10330"/>
      <w:r>
        <w:rPr>
          <w:rFonts w:hint="eastAsia" w:ascii="宋体" w:hAnsi="宋体" w:eastAsia="宋体" w:cs="宋体"/>
          <w:b/>
          <w:color w:val="auto"/>
          <w:sz w:val="21"/>
          <w:szCs w:val="21"/>
          <w:highlight w:val="none"/>
        </w:rPr>
        <w:t>2.20 合同使用的文字和适用的法律</w:t>
      </w:r>
      <w:bookmarkEnd w:id="307"/>
      <w:bookmarkEnd w:id="308"/>
      <w:bookmarkEnd w:id="309"/>
      <w:bookmarkEnd w:id="310"/>
      <w:bookmarkEnd w:id="311"/>
      <w:bookmarkEnd w:id="312"/>
    </w:p>
    <w:p w14:paraId="3B6182A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2.20.1 合同使用汉语书就、变更和解释；</w:t>
      </w:r>
    </w:p>
    <w:p w14:paraId="25469DC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2.20.2 合同适用中华人民共和国法律。</w:t>
      </w:r>
    </w:p>
    <w:p w14:paraId="0342073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313" w:name="_Toc16673"/>
      <w:bookmarkStart w:id="314" w:name="_Toc3148"/>
      <w:bookmarkStart w:id="315" w:name="_Toc279701264"/>
      <w:bookmarkStart w:id="316" w:name="_Toc259093693"/>
      <w:bookmarkStart w:id="317" w:name="_Toc12004"/>
      <w:bookmarkStart w:id="318" w:name="_Toc487900374"/>
      <w:r>
        <w:rPr>
          <w:rFonts w:hint="eastAsia" w:ascii="宋体" w:hAnsi="宋体" w:eastAsia="宋体" w:cs="宋体"/>
          <w:b/>
          <w:color w:val="auto"/>
          <w:sz w:val="21"/>
          <w:szCs w:val="21"/>
          <w:highlight w:val="none"/>
        </w:rPr>
        <w:t>2.21 履约保证金</w:t>
      </w:r>
      <w:bookmarkEnd w:id="313"/>
      <w:bookmarkEnd w:id="314"/>
      <w:bookmarkEnd w:id="315"/>
      <w:bookmarkEnd w:id="316"/>
      <w:bookmarkEnd w:id="317"/>
    </w:p>
    <w:p w14:paraId="3A5FD4CD">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i/>
          <w:i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1.履约保证金金额：按项目成交总金额的</w:t>
      </w:r>
      <w:r>
        <w:rPr>
          <w:rFonts w:hint="eastAsia" w:ascii="宋体" w:hAnsi="宋体" w:eastAsia="宋体" w:cs="宋体"/>
          <w:b/>
          <w:bCs/>
          <w:color w:val="auto"/>
          <w:kern w:val="2"/>
          <w:sz w:val="21"/>
          <w:szCs w:val="21"/>
          <w:highlight w:val="none"/>
          <w:u w:val="single"/>
          <w:lang w:val="en-US" w:eastAsia="zh-CN" w:bidi="ar"/>
        </w:rPr>
        <w:t>2%</w:t>
      </w:r>
      <w:r>
        <w:rPr>
          <w:rFonts w:hint="eastAsia" w:ascii="宋体" w:hAnsi="宋体" w:eastAsia="宋体" w:cs="宋体"/>
          <w:color w:val="auto"/>
          <w:kern w:val="2"/>
          <w:sz w:val="21"/>
          <w:szCs w:val="21"/>
          <w:highlight w:val="none"/>
          <w:lang w:val="en-US" w:eastAsia="zh-CN" w:bidi="ar"/>
        </w:rPr>
        <w:t>，</w:t>
      </w:r>
    </w:p>
    <w:p w14:paraId="2D5DA3B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2.履约保证金提交方式：</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在签订合同前以银行转账、支票、汇票、本票或者金融机构、担保机构出具的保函等非现金方式向</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提交。</w:t>
      </w:r>
    </w:p>
    <w:p w14:paraId="07C5009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3.履约保证金退付方式、时间及条件：</w:t>
      </w:r>
      <w:r>
        <w:rPr>
          <w:rFonts w:hint="eastAsia" w:ascii="宋体" w:hAnsi="宋体" w:cs="宋体"/>
          <w:color w:val="auto"/>
          <w:sz w:val="21"/>
          <w:szCs w:val="21"/>
          <w:highlight w:val="none"/>
          <w:lang w:val="en-US" w:eastAsia="zh-CN"/>
        </w:rPr>
        <w:t>乙方履行完合同约定权利义务事项（包括提供要求的服务、安装、调试、培训、技术支持、验收、运维、售后等）后，向甲方提出退还申请，经双方按照合同约定确认后甲方在5个工作日内无息退还。</w:t>
      </w:r>
    </w:p>
    <w:p w14:paraId="6FAD357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4.缴纳履约保证金指定账户的信息：</w:t>
      </w:r>
    </w:p>
    <w:p w14:paraId="1A119EA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开户名称：</w:t>
      </w:r>
      <w:r>
        <w:rPr>
          <w:rFonts w:hint="eastAsia" w:ascii="宋体" w:hAnsi="宋体" w:eastAsia="宋体" w:cs="宋体"/>
          <w:color w:val="auto"/>
          <w:sz w:val="21"/>
          <w:szCs w:val="21"/>
          <w:highlight w:val="none"/>
          <w:u w:val="single"/>
          <w:lang w:val="en-US" w:eastAsia="zh-CN"/>
        </w:rPr>
        <w:t xml:space="preserve">                </w:t>
      </w:r>
    </w:p>
    <w:p w14:paraId="33AAF1D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开户银行：</w:t>
      </w:r>
      <w:r>
        <w:rPr>
          <w:rFonts w:hint="eastAsia" w:ascii="宋体" w:hAnsi="宋体" w:eastAsia="宋体" w:cs="宋体"/>
          <w:color w:val="auto"/>
          <w:sz w:val="21"/>
          <w:szCs w:val="21"/>
          <w:highlight w:val="none"/>
          <w:u w:val="single"/>
          <w:lang w:val="en-US" w:eastAsia="zh-CN"/>
        </w:rPr>
        <w:t xml:space="preserve">                </w:t>
      </w:r>
    </w:p>
    <w:p w14:paraId="1683ED2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银行账号：</w:t>
      </w:r>
      <w:r>
        <w:rPr>
          <w:rFonts w:hint="eastAsia" w:ascii="宋体" w:hAnsi="宋体" w:eastAsia="宋体" w:cs="宋体"/>
          <w:color w:val="auto"/>
          <w:sz w:val="21"/>
          <w:szCs w:val="21"/>
          <w:highlight w:val="none"/>
          <w:u w:val="single"/>
          <w:lang w:val="en-US" w:eastAsia="zh-CN"/>
        </w:rPr>
        <w:t xml:space="preserve">                </w:t>
      </w:r>
    </w:p>
    <w:p w14:paraId="2A6FB2A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开户行行号：</w:t>
      </w:r>
      <w:r>
        <w:rPr>
          <w:rFonts w:hint="eastAsia" w:ascii="宋体" w:hAnsi="宋体" w:eastAsia="宋体" w:cs="宋体"/>
          <w:color w:val="auto"/>
          <w:sz w:val="21"/>
          <w:szCs w:val="21"/>
          <w:highlight w:val="none"/>
          <w:u w:val="single"/>
          <w:lang w:val="en-US" w:eastAsia="zh-CN"/>
        </w:rPr>
        <w:t xml:space="preserve">              </w:t>
      </w:r>
    </w:p>
    <w:p w14:paraId="0BDE31F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b/>
          <w:color w:val="auto"/>
          <w:sz w:val="21"/>
          <w:szCs w:val="21"/>
          <w:highlight w:val="none"/>
        </w:rPr>
        <w:t>2.22 中小企业政策</w:t>
      </w:r>
    </w:p>
    <w:p w14:paraId="628157F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2.22.1本合同（☑是  □否）为可融资合同，关于中小企业信用融资事项见采购文件“供应商须知正文”。</w:t>
      </w:r>
    </w:p>
    <w:p w14:paraId="5D55CCF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2.22.2本合同（□是  ☑否）为中小企业预留合同。</w:t>
      </w:r>
    </w:p>
    <w:bookmarkEnd w:id="318"/>
    <w:p w14:paraId="718C4B7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bookmarkStart w:id="319" w:name="_Toc14001"/>
      <w:bookmarkStart w:id="320" w:name="_Toc6885"/>
      <w:bookmarkStart w:id="321" w:name="_Toc19890"/>
      <w:r>
        <w:rPr>
          <w:rFonts w:hint="eastAsia" w:ascii="宋体" w:hAnsi="宋体" w:eastAsia="宋体" w:cs="宋体"/>
          <w:b/>
          <w:color w:val="auto"/>
          <w:sz w:val="21"/>
          <w:szCs w:val="21"/>
          <w:highlight w:val="none"/>
        </w:rPr>
        <w:t>2.23 合同份数</w:t>
      </w:r>
      <w:bookmarkEnd w:id="319"/>
      <w:bookmarkEnd w:id="320"/>
      <w:bookmarkEnd w:id="321"/>
    </w:p>
    <w:p w14:paraId="4113632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份，甲方执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份，乙方执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份。每份均具有同等法律效力。</w:t>
      </w:r>
    </w:p>
    <w:p w14:paraId="6F96A251">
      <w:pPr>
        <w:widowControl w:val="0"/>
        <w:shd w:val="clear" w:color="auto" w:fill="auto"/>
        <w:autoSpaceDE w:val="0"/>
        <w:autoSpaceDN w:val="0"/>
        <w:adjustRightInd w:val="0"/>
        <w:snapToGrid w:val="0"/>
        <w:spacing w:after="0" w:line="360" w:lineRule="auto"/>
        <w:ind w:left="420" w:leftChars="200" w:firstLine="480" w:firstLineChars="200"/>
        <w:jc w:val="center"/>
        <w:outlineLvl w:val="1"/>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color w:val="auto"/>
          <w:kern w:val="2"/>
          <w:sz w:val="24"/>
          <w:szCs w:val="21"/>
          <w:highlight w:val="none"/>
          <w:lang w:val="en-US" w:eastAsia="zh-CN" w:bidi="ar-SA"/>
        </w:rPr>
        <w:br w:type="page"/>
      </w:r>
      <w:bookmarkStart w:id="322" w:name="_Toc80886950"/>
      <w:bookmarkStart w:id="323" w:name="_Toc331685784"/>
      <w:bookmarkStart w:id="324" w:name="_Toc80205946"/>
      <w:r>
        <w:rPr>
          <w:rFonts w:hint="eastAsia" w:ascii="宋体" w:hAnsi="宋体" w:eastAsia="宋体" w:cs="宋体"/>
          <w:b/>
          <w:color w:val="auto"/>
          <w:kern w:val="2"/>
          <w:sz w:val="28"/>
          <w:szCs w:val="28"/>
          <w:highlight w:val="none"/>
          <w:lang w:val="en-US" w:eastAsia="zh-CN" w:bidi="ar-SA"/>
        </w:rPr>
        <w:t>第三部分  合同专用条款</w:t>
      </w:r>
      <w:bookmarkEnd w:id="322"/>
      <w:bookmarkEnd w:id="323"/>
      <w:bookmarkEnd w:id="324"/>
    </w:p>
    <w:p w14:paraId="37752DD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p>
    <w:p w14:paraId="16E2037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1EA6E0E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2.3.2具有知识产权的标的物知识产权归属：</w:t>
      </w:r>
      <w:r>
        <w:rPr>
          <w:rFonts w:hint="eastAsia" w:ascii="宋体" w:hAnsi="宋体" w:eastAsia="宋体" w:cs="宋体"/>
          <w:color w:val="auto"/>
          <w:sz w:val="21"/>
          <w:szCs w:val="21"/>
          <w:highlight w:val="none"/>
          <w:u w:val="single"/>
          <w:lang w:val="en-US" w:eastAsia="zh-CN"/>
        </w:rPr>
        <w:t>甲方。</w:t>
      </w:r>
    </w:p>
    <w:p w14:paraId="575CB0F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2.4.1包装和装运专用条款（如果有）：</w:t>
      </w:r>
      <w:r>
        <w:rPr>
          <w:rFonts w:hint="eastAsia" w:ascii="宋体" w:hAnsi="宋体" w:eastAsia="宋体" w:cs="宋体"/>
          <w:color w:val="auto"/>
          <w:sz w:val="21"/>
          <w:szCs w:val="21"/>
          <w:highlight w:val="none"/>
          <w:u w:val="single"/>
          <w:lang w:val="en-US" w:eastAsia="zh-CN"/>
        </w:rPr>
        <w:t>无另行约定，按合同一般条款。</w:t>
      </w:r>
    </w:p>
    <w:p w14:paraId="4E218D0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2.4.2装运标的物的要求和通知：</w:t>
      </w:r>
      <w:r>
        <w:rPr>
          <w:rFonts w:hint="eastAsia" w:ascii="宋体" w:hAnsi="宋体" w:eastAsia="宋体" w:cs="宋体"/>
          <w:color w:val="auto"/>
          <w:sz w:val="21"/>
          <w:szCs w:val="21"/>
          <w:highlight w:val="none"/>
          <w:u w:val="single"/>
          <w:lang w:val="en-US" w:eastAsia="zh-CN"/>
        </w:rPr>
        <w:t>无。</w:t>
      </w:r>
    </w:p>
    <w:p w14:paraId="6079D5C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val="en-US" w:eastAsia="zh-CN"/>
        </w:rPr>
        <w:t>2.6</w:t>
      </w:r>
      <w:r>
        <w:rPr>
          <w:rFonts w:hint="eastAsia" w:ascii="宋体" w:hAnsi="宋体" w:eastAsia="宋体" w:cs="宋体"/>
          <w:b/>
          <w:color w:val="auto"/>
          <w:sz w:val="21"/>
          <w:szCs w:val="21"/>
          <w:highlight w:val="none"/>
        </w:rPr>
        <w:t>结算方式和付款条件</w:t>
      </w:r>
    </w:p>
    <w:p w14:paraId="4D236DD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本次项目合同总价为大写人民币</w:t>
      </w:r>
      <w:r>
        <w:rPr>
          <w:rFonts w:hint="eastAsia" w:ascii="宋体" w:hAnsi="宋体" w:eastAsia="宋体" w:cs="宋体"/>
          <w:color w:val="auto"/>
          <w:kern w:val="0"/>
          <w:sz w:val="21"/>
          <w:szCs w:val="21"/>
          <w:highlight w:val="none"/>
          <w:u w:val="single"/>
          <w:lang w:val="zh-CN"/>
        </w:rPr>
        <w:t xml:space="preserve">            （</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u w:val="single"/>
          <w:lang w:val="zh-CN"/>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zh-CN"/>
        </w:rPr>
        <w:t xml:space="preserve">   </w:t>
      </w:r>
      <w:r>
        <w:rPr>
          <w:rFonts w:hint="eastAsia" w:ascii="宋体" w:hAnsi="宋体" w:eastAsia="宋体" w:cs="宋体"/>
          <w:color w:val="auto"/>
          <w:kern w:val="0"/>
          <w:sz w:val="21"/>
          <w:szCs w:val="21"/>
          <w:highlight w:val="none"/>
          <w:lang w:val="zh-CN"/>
        </w:rPr>
        <w:t>）。本项目采用以下勾选结算方式进行支付：</w:t>
      </w:r>
    </w:p>
    <w:p w14:paraId="6C38C70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□采用一次性支付方式，付款条件为：</w:t>
      </w:r>
      <w:r>
        <w:rPr>
          <w:rFonts w:hint="eastAsia" w:ascii="宋体" w:hAnsi="宋体" w:eastAsia="宋体" w:cs="宋体"/>
          <w:color w:val="auto"/>
          <w:kern w:val="0"/>
          <w:sz w:val="21"/>
          <w:szCs w:val="21"/>
          <w:highlight w:val="none"/>
          <w:u w:val="single"/>
        </w:rPr>
        <w:t xml:space="preserve">           </w:t>
      </w:r>
    </w:p>
    <w:p w14:paraId="0B6D29A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CN"/>
        </w:rPr>
        <w:t>☑采用分期付款方式，付款条件为</w:t>
      </w:r>
      <w:r>
        <w:rPr>
          <w:rFonts w:hint="eastAsia" w:ascii="宋体" w:hAnsi="宋体" w:eastAsia="宋体" w:cs="宋体"/>
          <w:color w:val="auto"/>
          <w:kern w:val="0"/>
          <w:sz w:val="21"/>
          <w:szCs w:val="21"/>
          <w:highlight w:val="none"/>
        </w:rPr>
        <w:t>：</w:t>
      </w:r>
    </w:p>
    <w:p w14:paraId="2795B83B">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zh-CN"/>
        </w:rPr>
        <w:t>第一期付款</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合同签订后，</w:t>
      </w:r>
      <w:r>
        <w:rPr>
          <w:rFonts w:hint="eastAsia" w:ascii="宋体" w:hAnsi="宋体" w:eastAsia="宋体" w:cs="宋体"/>
          <w:color w:val="auto"/>
          <w:sz w:val="21"/>
          <w:szCs w:val="21"/>
          <w:highlight w:val="none"/>
          <w:lang w:eastAsia="zh-CN"/>
        </w:rPr>
        <w:t>待款项到位后</w:t>
      </w:r>
      <w:r>
        <w:rPr>
          <w:rFonts w:hint="eastAsia" w:ascii="宋体" w:hAnsi="宋体" w:eastAsia="宋体" w:cs="宋体"/>
          <w:color w:val="auto"/>
          <w:sz w:val="21"/>
          <w:szCs w:val="21"/>
          <w:highlight w:val="none"/>
          <w:lang w:val="en-US" w:eastAsia="zh-CN"/>
        </w:rPr>
        <w:t>15个工作日内，支付合同金额的30%的预付</w:t>
      </w:r>
      <w:r>
        <w:rPr>
          <w:rFonts w:hint="eastAsia" w:ascii="宋体" w:hAnsi="宋体" w:cs="宋体"/>
          <w:color w:val="auto"/>
          <w:sz w:val="21"/>
          <w:szCs w:val="21"/>
          <w:highlight w:val="none"/>
          <w:lang w:val="en-US" w:eastAsia="zh-CN"/>
        </w:rPr>
        <w:t>款</w:t>
      </w:r>
      <w:r>
        <w:rPr>
          <w:rFonts w:hint="eastAsia" w:ascii="宋体" w:hAnsi="宋体" w:eastAsia="宋体" w:cs="宋体"/>
          <w:color w:val="auto"/>
          <w:sz w:val="21"/>
          <w:szCs w:val="21"/>
          <w:highlight w:val="none"/>
          <w:lang w:val="en-US" w:eastAsia="zh-CN"/>
        </w:rPr>
        <w:t>；</w:t>
      </w:r>
    </w:p>
    <w:p w14:paraId="6510AAB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zh-CN"/>
        </w:rPr>
        <w:t>第</w:t>
      </w:r>
      <w:r>
        <w:rPr>
          <w:rFonts w:hint="eastAsia" w:ascii="宋体" w:hAnsi="宋体" w:eastAsia="宋体" w:cs="宋体"/>
          <w:color w:val="auto"/>
          <w:kern w:val="0"/>
          <w:sz w:val="21"/>
          <w:szCs w:val="21"/>
          <w:highlight w:val="none"/>
        </w:rPr>
        <w:t>二</w:t>
      </w:r>
      <w:r>
        <w:rPr>
          <w:rFonts w:hint="eastAsia" w:ascii="宋体" w:hAnsi="宋体" w:eastAsia="宋体" w:cs="宋体"/>
          <w:color w:val="auto"/>
          <w:kern w:val="0"/>
          <w:sz w:val="21"/>
          <w:szCs w:val="21"/>
          <w:highlight w:val="none"/>
          <w:lang w:val="zh-CN"/>
        </w:rPr>
        <w:t>期付款</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待项目开发进度完成50%（以成交供应商在中标后为本项目提交的深化设计方案中开发内容与开发进度为准），成交供应商向采购人提出书面申请，经采购人审核通过后15个工作日内支付合同总额的30%;</w:t>
      </w:r>
    </w:p>
    <w:p w14:paraId="2334DF6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第三期付款：</w:t>
      </w:r>
      <w:r>
        <w:rPr>
          <w:rFonts w:hint="eastAsia" w:ascii="宋体" w:hAnsi="宋体" w:eastAsia="宋体" w:cs="宋体"/>
          <w:color w:val="auto"/>
          <w:sz w:val="21"/>
          <w:szCs w:val="21"/>
          <w:highlight w:val="none"/>
          <w:lang w:val="en-US" w:eastAsia="zh-CN"/>
        </w:rPr>
        <w:t>系统平台通过信息系统等级保护测评、密码测评后，成交供应商向采购人提出书面申请，经采购人审核通过后15个工作日内支付合同总额30%；</w:t>
      </w:r>
    </w:p>
    <w:p w14:paraId="7BDA54F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第</w:t>
      </w:r>
      <w:r>
        <w:rPr>
          <w:rFonts w:hint="eastAsia" w:ascii="宋体" w:hAnsi="宋体" w:cs="宋体"/>
          <w:color w:val="auto"/>
          <w:kern w:val="0"/>
          <w:sz w:val="21"/>
          <w:szCs w:val="21"/>
          <w:highlight w:val="none"/>
          <w:lang w:eastAsia="zh-CN"/>
        </w:rPr>
        <w:t>四</w:t>
      </w:r>
      <w:r>
        <w:rPr>
          <w:rFonts w:hint="eastAsia" w:ascii="宋体" w:hAnsi="宋体" w:eastAsia="宋体" w:cs="宋体"/>
          <w:color w:val="auto"/>
          <w:kern w:val="0"/>
          <w:sz w:val="21"/>
          <w:szCs w:val="21"/>
          <w:highlight w:val="none"/>
          <w:lang w:eastAsia="zh-CN"/>
        </w:rPr>
        <w:t>期付款：</w:t>
      </w:r>
      <w:r>
        <w:rPr>
          <w:rFonts w:hint="eastAsia" w:ascii="宋体" w:hAnsi="宋体" w:eastAsia="宋体" w:cs="宋体"/>
          <w:color w:val="auto"/>
          <w:sz w:val="21"/>
          <w:szCs w:val="21"/>
          <w:highlight w:val="none"/>
          <w:lang w:val="en-US" w:eastAsia="zh-CN"/>
        </w:rPr>
        <w:t>项目通过竣工验收后，成交供应商向采购人提出书面申请，经采购人审核通过后15个工作日内支付合同总额10%。</w:t>
      </w:r>
    </w:p>
    <w:p w14:paraId="5168F98F">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甲方无故逾期支付服务费用的，按照每逾期一日支付欠付服务费额度的</w:t>
      </w:r>
      <w:r>
        <w:rPr>
          <w:rFonts w:hint="eastAsia" w:ascii="宋体" w:hAnsi="宋体" w:eastAsia="宋体" w:cs="宋体"/>
          <w:color w:val="auto"/>
          <w:sz w:val="21"/>
          <w:szCs w:val="21"/>
          <w:highlight w:val="none"/>
          <w:u w:val="single"/>
        </w:rPr>
        <w:t>万分之五</w:t>
      </w:r>
      <w:r>
        <w:rPr>
          <w:rFonts w:hint="eastAsia" w:ascii="宋体" w:hAnsi="宋体" w:eastAsia="宋体" w:cs="宋体"/>
          <w:color w:val="auto"/>
          <w:sz w:val="21"/>
          <w:szCs w:val="21"/>
          <w:highlight w:val="none"/>
        </w:rPr>
        <w:t>承担违约责任，违约金上限按照《合同书》约定执行。</w:t>
      </w:r>
    </w:p>
    <w:p w14:paraId="27755ED7">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val="en-US" w:eastAsia="zh-CN"/>
        </w:rPr>
        <w:t>2.9</w:t>
      </w:r>
      <w:r>
        <w:rPr>
          <w:rFonts w:hint="eastAsia" w:ascii="宋体" w:hAnsi="宋体" w:eastAsia="宋体" w:cs="宋体"/>
          <w:b/>
          <w:color w:val="auto"/>
          <w:sz w:val="21"/>
          <w:szCs w:val="21"/>
          <w:highlight w:val="none"/>
        </w:rPr>
        <w:t>标的物的风险负担</w:t>
      </w:r>
    </w:p>
    <w:p w14:paraId="22E33E43">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标的物或者在途标的物或者交付给第一承运人后的标的物毁损、灭失的风险负担：</w:t>
      </w:r>
      <w:r>
        <w:rPr>
          <w:rFonts w:hint="eastAsia" w:ascii="宋体" w:hAnsi="宋体" w:eastAsia="宋体" w:cs="宋体"/>
          <w:color w:val="auto"/>
          <w:sz w:val="21"/>
          <w:szCs w:val="21"/>
          <w:highlight w:val="none"/>
          <w:u w:val="single"/>
        </w:rPr>
        <w:t>乙方</w:t>
      </w:r>
    </w:p>
    <w:p w14:paraId="40F29150">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2.13.2受不可抗力影响的一方在不可抗力发生后，应在</w:t>
      </w:r>
      <w:r>
        <w:rPr>
          <w:rFonts w:hint="eastAsia" w:ascii="宋体" w:hAnsi="宋体" w:eastAsia="宋体" w:cs="宋体"/>
          <w:color w:val="auto"/>
          <w:sz w:val="21"/>
          <w:szCs w:val="21"/>
          <w:highlight w:val="none"/>
          <w:u w:val="single"/>
        </w:rPr>
        <w:t>2</w:t>
      </w:r>
      <w:r>
        <w:rPr>
          <w:rFonts w:hint="eastAsia" w:ascii="宋体" w:hAnsi="宋体" w:eastAsia="宋体" w:cs="宋体"/>
          <w:color w:val="auto"/>
          <w:sz w:val="21"/>
          <w:szCs w:val="21"/>
          <w:highlight w:val="none"/>
        </w:rPr>
        <w:t>日内以书面形式通知对方当事人，并在</w:t>
      </w:r>
      <w:r>
        <w:rPr>
          <w:rFonts w:hint="eastAsia" w:ascii="宋体" w:hAnsi="宋体" w:eastAsia="宋体" w:cs="宋体"/>
          <w:color w:val="auto"/>
          <w:sz w:val="21"/>
          <w:szCs w:val="21"/>
          <w:highlight w:val="none"/>
          <w:u w:val="single"/>
        </w:rPr>
        <w:t>2</w:t>
      </w:r>
      <w:r>
        <w:rPr>
          <w:rFonts w:hint="eastAsia" w:ascii="宋体" w:hAnsi="宋体" w:eastAsia="宋体" w:cs="宋体"/>
          <w:color w:val="auto"/>
          <w:sz w:val="21"/>
          <w:szCs w:val="21"/>
          <w:highlight w:val="none"/>
        </w:rPr>
        <w:t>日内，将有关部门出具的证明文件送达对方当事人。</w:t>
      </w:r>
    </w:p>
    <w:p w14:paraId="75CD7007">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2.13.4因不可抗力致使合同有变更必要的，双方当事人应在</w:t>
      </w:r>
      <w:r>
        <w:rPr>
          <w:rFonts w:hint="eastAsia" w:ascii="宋体" w:hAnsi="宋体" w:eastAsia="宋体" w:cs="宋体"/>
          <w:color w:val="auto"/>
          <w:sz w:val="21"/>
          <w:szCs w:val="21"/>
          <w:highlight w:val="none"/>
          <w:u w:val="single"/>
        </w:rPr>
        <w:t>2</w:t>
      </w:r>
      <w:r>
        <w:rPr>
          <w:rFonts w:hint="eastAsia" w:ascii="宋体" w:hAnsi="宋体" w:eastAsia="宋体" w:cs="宋体"/>
          <w:color w:val="auto"/>
          <w:sz w:val="21"/>
          <w:szCs w:val="21"/>
          <w:highlight w:val="none"/>
        </w:rPr>
        <w:t>日内以书面形式变更合同；</w:t>
      </w:r>
    </w:p>
    <w:p w14:paraId="0F5D8043">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2.17.1标的物交付前，乙方应对标的物的质量、数量等方面进行详细、全面的检验，并向甲方出具证明标的物符合合同约定的文件；标的物交付时，乙方在</w:t>
      </w:r>
      <w:r>
        <w:rPr>
          <w:rFonts w:hint="eastAsia" w:ascii="宋体" w:hAnsi="宋体" w:eastAsia="宋体" w:cs="宋体"/>
          <w:color w:val="auto"/>
          <w:sz w:val="21"/>
          <w:szCs w:val="21"/>
          <w:highlight w:val="none"/>
          <w:u w:val="single"/>
        </w:rPr>
        <w:t>5</w:t>
      </w:r>
      <w:r>
        <w:rPr>
          <w:rFonts w:hint="eastAsia" w:ascii="宋体" w:hAnsi="宋体" w:eastAsia="宋体" w:cs="宋体"/>
          <w:color w:val="auto"/>
          <w:sz w:val="21"/>
          <w:szCs w:val="21"/>
          <w:highlight w:val="none"/>
        </w:rPr>
        <w:t>日内发起验收，并可依法邀请相关方参加，验收应出具验收书。</w:t>
      </w:r>
    </w:p>
    <w:p w14:paraId="0B2F228B">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2.17.3 检验和验收标准、程序等具体内容以及前述验收书的效力：</w:t>
      </w:r>
    </w:p>
    <w:p w14:paraId="6CD35DF9">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按按</w:t>
      </w:r>
      <w:r>
        <w:rPr>
          <w:rFonts w:hint="eastAsia" w:ascii="宋体" w:hAnsi="宋体" w:cs="宋体"/>
          <w:color w:val="auto"/>
          <w:sz w:val="21"/>
          <w:szCs w:val="21"/>
          <w:highlight w:val="none"/>
          <w:u w:val="single"/>
          <w:lang w:eastAsia="zh-CN"/>
        </w:rPr>
        <w:t>采购文件及</w:t>
      </w:r>
      <w:r>
        <w:rPr>
          <w:rFonts w:hint="eastAsia" w:ascii="宋体" w:hAnsi="宋体" w:eastAsia="宋体" w:cs="宋体"/>
          <w:color w:val="auto"/>
          <w:sz w:val="21"/>
          <w:szCs w:val="21"/>
          <w:highlight w:val="none"/>
          <w:u w:val="single"/>
        </w:rPr>
        <w:t>国家有关标准检验和验收，验收结果以验收书为准。</w:t>
      </w:r>
    </w:p>
    <w:p w14:paraId="35E37610">
      <w:pPr>
        <w:keepNext w:val="0"/>
        <w:keepLines w:val="0"/>
        <w:pageBreakBefore w:val="0"/>
        <w:widowControl w:val="0"/>
        <w:shd w:val="clear" w:color="auto" w:fill="auto"/>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其他：</w:t>
      </w:r>
    </w:p>
    <w:p w14:paraId="1A151151">
      <w:pPr>
        <w:keepNext w:val="0"/>
        <w:keepLines w:val="0"/>
        <w:pageBreakBefore w:val="0"/>
        <w:widowControl w:val="0"/>
        <w:shd w:val="clear" w:color="auto" w:fill="auto"/>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项目验收：</w:t>
      </w:r>
    </w:p>
    <w:p w14:paraId="3A256ED8">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甲方参照</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规定组织对乙方履约的验收。验收方成员应当在验收书上签字，并承担相应的法律责任。如果发现与合同中要求不符，乙方须承担由此发生的一切损失和费用，并接受相应的处理。</w:t>
      </w:r>
    </w:p>
    <w:p w14:paraId="5A3A149C">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5DE16786">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2E14EC83">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验收产生的费用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承担所有验收产生的费用。</w:t>
      </w:r>
    </w:p>
    <w:p w14:paraId="6E83342D">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验收内容及资料要求：</w:t>
      </w:r>
    </w:p>
    <w:p w14:paraId="003D8956">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根据采购文件确定的技术指标或者服务要求确定验收指标和标准。未进行相应约定的，应当符合国家强制性规定、政策要求、安全标准、行业或企业有关标准等。</w:t>
      </w:r>
    </w:p>
    <w:p w14:paraId="43232A7F">
      <w:pPr>
        <w:keepNext w:val="0"/>
        <w:keepLines w:val="0"/>
        <w:pageBreakBefore w:val="0"/>
        <w:widowControl w:val="0"/>
        <w:shd w:val="clear" w:color="auto" w:fill="auto"/>
        <w:tabs>
          <w:tab w:val="left" w:pos="904"/>
        </w:tabs>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验收内容</w:t>
      </w:r>
    </w:p>
    <w:tbl>
      <w:tblPr>
        <w:tblStyle w:val="3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759"/>
        <w:gridCol w:w="4870"/>
      </w:tblGrid>
      <w:tr w14:paraId="407C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bottom"/>
          </w:tcPr>
          <w:p w14:paraId="55047E78">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759" w:type="dxa"/>
            <w:noWrap w:val="0"/>
            <w:vAlign w:val="bottom"/>
          </w:tcPr>
          <w:p w14:paraId="45896A78">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验收内容</w:t>
            </w:r>
          </w:p>
        </w:tc>
        <w:tc>
          <w:tcPr>
            <w:tcW w:w="4870" w:type="dxa"/>
            <w:noWrap w:val="0"/>
            <w:vAlign w:val="bottom"/>
          </w:tcPr>
          <w:p w14:paraId="5AF42043">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r>
      <w:tr w14:paraId="7D48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bottom"/>
          </w:tcPr>
          <w:p w14:paraId="0E53C96B">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1</w:t>
            </w:r>
          </w:p>
        </w:tc>
        <w:tc>
          <w:tcPr>
            <w:tcW w:w="2759" w:type="dxa"/>
            <w:noWrap w:val="0"/>
            <w:vAlign w:val="bottom"/>
          </w:tcPr>
          <w:p w14:paraId="37094B2A">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交付服务</w:t>
            </w:r>
            <w:r>
              <w:rPr>
                <w:rFonts w:hint="eastAsia" w:ascii="宋体" w:hAnsi="宋体" w:eastAsia="宋体" w:cs="宋体"/>
                <w:color w:val="auto"/>
                <w:sz w:val="21"/>
                <w:szCs w:val="21"/>
                <w:highlight w:val="none"/>
              </w:rPr>
              <w:t>数量</w:t>
            </w:r>
          </w:p>
        </w:tc>
        <w:tc>
          <w:tcPr>
            <w:tcW w:w="4870" w:type="dxa"/>
            <w:noWrap w:val="0"/>
            <w:vAlign w:val="bottom"/>
          </w:tcPr>
          <w:p w14:paraId="0DE67A82">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按采购文件要求和响应文件承诺</w:t>
            </w:r>
          </w:p>
        </w:tc>
      </w:tr>
      <w:tr w14:paraId="387F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bottom"/>
          </w:tcPr>
          <w:p w14:paraId="023F9BA2">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p>
        </w:tc>
        <w:tc>
          <w:tcPr>
            <w:tcW w:w="2759" w:type="dxa"/>
            <w:noWrap w:val="0"/>
            <w:vAlign w:val="bottom"/>
          </w:tcPr>
          <w:p w14:paraId="17EB3F62">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交付服务的质量文件</w:t>
            </w:r>
          </w:p>
        </w:tc>
        <w:tc>
          <w:tcPr>
            <w:tcW w:w="4870" w:type="dxa"/>
            <w:noWrap w:val="0"/>
            <w:vAlign w:val="bottom"/>
          </w:tcPr>
          <w:p w14:paraId="020A1352">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按采购文件要求和响应文件承诺</w:t>
            </w:r>
          </w:p>
        </w:tc>
      </w:tr>
      <w:tr w14:paraId="14C9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bottom"/>
          </w:tcPr>
          <w:p w14:paraId="1B003FF6">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cs="宋体"/>
                <w:color w:val="auto"/>
                <w:sz w:val="21"/>
                <w:szCs w:val="21"/>
                <w:highlight w:val="none"/>
                <w:lang w:val="en-US" w:eastAsia="zh-CN"/>
              </w:rPr>
              <w:t>3</w:t>
            </w:r>
          </w:p>
        </w:tc>
        <w:tc>
          <w:tcPr>
            <w:tcW w:w="2759" w:type="dxa"/>
            <w:noWrap w:val="0"/>
            <w:vAlign w:val="bottom"/>
          </w:tcPr>
          <w:p w14:paraId="739A6381">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交付服务技术、性能指标</w:t>
            </w:r>
          </w:p>
        </w:tc>
        <w:tc>
          <w:tcPr>
            <w:tcW w:w="4870" w:type="dxa"/>
            <w:noWrap w:val="0"/>
            <w:vAlign w:val="bottom"/>
          </w:tcPr>
          <w:p w14:paraId="2DB0BBCC">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按采购文件要求和响应文件承诺</w:t>
            </w:r>
          </w:p>
        </w:tc>
      </w:tr>
      <w:tr w14:paraId="5EFF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bottom"/>
          </w:tcPr>
          <w:p w14:paraId="2ACE54EB">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cs="宋体"/>
                <w:color w:val="auto"/>
                <w:sz w:val="21"/>
                <w:szCs w:val="21"/>
                <w:highlight w:val="none"/>
                <w:lang w:val="en-US" w:eastAsia="zh-CN"/>
              </w:rPr>
              <w:t>4</w:t>
            </w:r>
          </w:p>
        </w:tc>
        <w:tc>
          <w:tcPr>
            <w:tcW w:w="2759" w:type="dxa"/>
            <w:noWrap w:val="0"/>
            <w:vAlign w:val="bottom"/>
          </w:tcPr>
          <w:p w14:paraId="7727C739">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售后服务承诺</w:t>
            </w:r>
          </w:p>
        </w:tc>
        <w:tc>
          <w:tcPr>
            <w:tcW w:w="4870" w:type="dxa"/>
            <w:noWrap w:val="0"/>
            <w:vAlign w:val="bottom"/>
          </w:tcPr>
          <w:p w14:paraId="09D6CB36">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按采购文件要求和响应文件承诺</w:t>
            </w:r>
          </w:p>
        </w:tc>
      </w:tr>
      <w:tr w14:paraId="65B4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bottom"/>
          </w:tcPr>
          <w:p w14:paraId="50C6839C">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cs="宋体"/>
                <w:color w:val="auto"/>
                <w:sz w:val="21"/>
                <w:szCs w:val="21"/>
                <w:highlight w:val="none"/>
                <w:lang w:val="en-US" w:eastAsia="zh-CN"/>
              </w:rPr>
              <w:t>5</w:t>
            </w:r>
          </w:p>
        </w:tc>
        <w:tc>
          <w:tcPr>
            <w:tcW w:w="2759" w:type="dxa"/>
            <w:noWrap w:val="0"/>
            <w:vAlign w:val="bottom"/>
          </w:tcPr>
          <w:p w14:paraId="660CADB6">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其他工作</w:t>
            </w:r>
          </w:p>
        </w:tc>
        <w:tc>
          <w:tcPr>
            <w:tcW w:w="4870" w:type="dxa"/>
            <w:noWrap w:val="0"/>
            <w:vAlign w:val="bottom"/>
          </w:tcPr>
          <w:p w14:paraId="4763AAE6">
            <w:pPr>
              <w:keepNext w:val="0"/>
              <w:keepLines w:val="0"/>
              <w:suppressLineNumbers w:val="0"/>
              <w:shd w:val="clear" w:color="auto" w:fill="auto"/>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按采购文件要求和响应文件承诺</w:t>
            </w:r>
          </w:p>
        </w:tc>
      </w:tr>
    </w:tbl>
    <w:p w14:paraId="00D2D3DD">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验收资料要求</w:t>
      </w:r>
    </w:p>
    <w:p w14:paraId="48FF9221">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验收资料要求包括（不限于）以下内容：</w:t>
      </w:r>
    </w:p>
    <w:p w14:paraId="6D7D5147">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（1）采购文件；</w:t>
      </w:r>
    </w:p>
    <w:p w14:paraId="191CA1BC">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w:t>
      </w:r>
    </w:p>
    <w:p w14:paraId="143CC9EF">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（3）采购合同；</w:t>
      </w:r>
    </w:p>
    <w:p w14:paraId="6896FD83">
      <w:pPr>
        <w:keepNext w:val="0"/>
        <w:keepLines w:val="0"/>
        <w:pageBreakBefore w:val="0"/>
        <w:widowControl w:val="0"/>
        <w:shd w:val="clear" w:color="auto" w:fill="auto"/>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（4）其他需提供的相关材料。</w:t>
      </w:r>
    </w:p>
    <w:p w14:paraId="1D9C804C">
      <w:pPr>
        <w:rPr>
          <w:color w:val="auto"/>
          <w:highlight w:val="none"/>
        </w:rPr>
      </w:pPr>
      <w:r>
        <w:rPr>
          <w:color w:val="auto"/>
          <w:highlight w:val="none"/>
        </w:rPr>
        <w:br w:type="page"/>
      </w:r>
    </w:p>
    <w:p w14:paraId="08AB3789">
      <w:pPr>
        <w:rPr>
          <w:color w:val="auto"/>
          <w:highlight w:val="none"/>
        </w:rPr>
      </w:pPr>
    </w:p>
    <w:p w14:paraId="44EAD733">
      <w:pPr>
        <w:tabs>
          <w:tab w:val="left" w:pos="3261"/>
        </w:tabs>
        <w:spacing w:line="360" w:lineRule="auto"/>
        <w:contextualSpacing/>
        <w:jc w:val="center"/>
        <w:rPr>
          <w:rFonts w:cs="仿宋_GB2312"/>
          <w:b/>
          <w:color w:val="auto"/>
          <w:sz w:val="44"/>
          <w:szCs w:val="44"/>
          <w:highlight w:val="none"/>
        </w:rPr>
      </w:pPr>
    </w:p>
    <w:p w14:paraId="1824E7DE">
      <w:pPr>
        <w:tabs>
          <w:tab w:val="left" w:pos="3261"/>
        </w:tabs>
        <w:spacing w:line="360" w:lineRule="auto"/>
        <w:contextualSpacing/>
        <w:jc w:val="center"/>
        <w:rPr>
          <w:rFonts w:cs="仿宋_GB2312"/>
          <w:b/>
          <w:color w:val="auto"/>
          <w:sz w:val="44"/>
          <w:szCs w:val="44"/>
          <w:highlight w:val="none"/>
        </w:rPr>
      </w:pPr>
    </w:p>
    <w:p w14:paraId="26522FC9">
      <w:pPr>
        <w:tabs>
          <w:tab w:val="left" w:pos="3261"/>
        </w:tabs>
        <w:spacing w:line="360" w:lineRule="auto"/>
        <w:contextualSpacing/>
        <w:jc w:val="center"/>
        <w:rPr>
          <w:rFonts w:cs="仿宋_GB2312"/>
          <w:b/>
          <w:color w:val="auto"/>
          <w:sz w:val="44"/>
          <w:szCs w:val="44"/>
          <w:highlight w:val="none"/>
        </w:rPr>
      </w:pPr>
    </w:p>
    <w:p w14:paraId="6CD8963F">
      <w:pPr>
        <w:pStyle w:val="2"/>
        <w:jc w:val="center"/>
        <w:rPr>
          <w:rFonts w:cs="仿宋_GB2312"/>
          <w:b w:val="0"/>
          <w:color w:val="auto"/>
          <w:highlight w:val="none"/>
        </w:rPr>
      </w:pPr>
      <w:bookmarkStart w:id="325" w:name="_Toc8963"/>
      <w:bookmarkStart w:id="326" w:name="_Toc28283"/>
      <w:bookmarkStart w:id="327" w:name="_Toc80886951"/>
      <w:bookmarkStart w:id="328" w:name="_Toc29624"/>
      <w:bookmarkStart w:id="329" w:name="_Toc610"/>
      <w:bookmarkStart w:id="330" w:name="_Toc20915"/>
      <w:bookmarkStart w:id="331" w:name="_Toc178"/>
      <w:bookmarkStart w:id="332" w:name="_Toc13011"/>
    </w:p>
    <w:p w14:paraId="35654015">
      <w:pPr>
        <w:pStyle w:val="2"/>
        <w:jc w:val="center"/>
        <w:rPr>
          <w:rFonts w:cs="仿宋_GB2312"/>
          <w:b w:val="0"/>
          <w:color w:val="auto"/>
          <w:highlight w:val="none"/>
        </w:rPr>
      </w:pPr>
    </w:p>
    <w:p w14:paraId="5D33AA2A">
      <w:pPr>
        <w:pStyle w:val="2"/>
        <w:jc w:val="center"/>
        <w:rPr>
          <w:rFonts w:cs="仿宋_GB2312"/>
          <w:color w:val="auto"/>
          <w:highlight w:val="none"/>
        </w:rPr>
        <w:sectPr>
          <w:pgSz w:w="11911" w:h="16838"/>
          <w:pgMar w:top="1134" w:right="1134" w:bottom="1134" w:left="1134" w:header="720" w:footer="720" w:gutter="0"/>
          <w:cols w:space="720" w:num="1"/>
        </w:sectPr>
      </w:pPr>
      <w:r>
        <w:rPr>
          <w:rFonts w:hint="eastAsia" w:cs="仿宋_GB2312"/>
          <w:b w:val="0"/>
          <w:color w:val="auto"/>
          <w:highlight w:val="none"/>
        </w:rPr>
        <w:t>第七章 质疑、投诉材料格式</w:t>
      </w:r>
      <w:bookmarkEnd w:id="325"/>
      <w:bookmarkEnd w:id="326"/>
      <w:bookmarkEnd w:id="327"/>
      <w:bookmarkEnd w:id="328"/>
      <w:bookmarkEnd w:id="329"/>
      <w:bookmarkEnd w:id="330"/>
      <w:bookmarkEnd w:id="331"/>
      <w:bookmarkEnd w:id="332"/>
    </w:p>
    <w:p w14:paraId="40423B3B">
      <w:pPr>
        <w:spacing w:line="360" w:lineRule="auto"/>
        <w:jc w:val="center"/>
        <w:rPr>
          <w:b/>
          <w:bCs/>
          <w:color w:val="auto"/>
          <w:sz w:val="32"/>
          <w:szCs w:val="32"/>
          <w:highlight w:val="none"/>
        </w:rPr>
      </w:pPr>
      <w:r>
        <w:rPr>
          <w:rFonts w:hint="eastAsia"/>
          <w:b/>
          <w:bCs/>
          <w:color w:val="auto"/>
          <w:sz w:val="32"/>
          <w:szCs w:val="32"/>
          <w:highlight w:val="none"/>
        </w:rPr>
        <w:t>质疑函（格式）</w:t>
      </w:r>
    </w:p>
    <w:p w14:paraId="2B664520">
      <w:pPr>
        <w:spacing w:line="360" w:lineRule="auto"/>
        <w:ind w:firstLine="482" w:firstLineChars="200"/>
        <w:contextualSpacing/>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一、质疑供应商基本信息：</w:t>
      </w:r>
    </w:p>
    <w:p w14:paraId="28D012D4">
      <w:pPr>
        <w:spacing w:line="360" w:lineRule="auto"/>
        <w:ind w:firstLine="480" w:firstLineChars="200"/>
        <w:contextualSpacing/>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质疑供应商：</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1A1A6BA4">
      <w:pPr>
        <w:spacing w:line="360" w:lineRule="auto"/>
        <w:ind w:firstLine="480" w:firstLineChars="200"/>
        <w:contextualSpacing/>
        <w:rPr>
          <w:rFonts w:hint="eastAsia" w:ascii="宋体" w:hAnsi="宋体" w:cs="宋体"/>
          <w:bCs/>
          <w:color w:val="auto"/>
          <w:kern w:val="0"/>
          <w:sz w:val="24"/>
          <w:highlight w:val="non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p>
    <w:p w14:paraId="293A8EA4">
      <w:pPr>
        <w:spacing w:line="360" w:lineRule="auto"/>
        <w:ind w:firstLine="480" w:firstLineChars="200"/>
        <w:contextualSpacing/>
        <w:rPr>
          <w:rFonts w:hint="eastAsia" w:ascii="宋体" w:hAnsi="宋体" w:cs="宋体"/>
          <w:bCs/>
          <w:color w:val="auto"/>
          <w:kern w:val="0"/>
          <w:sz w:val="24"/>
          <w:highlight w:val="none"/>
        </w:rPr>
      </w:pPr>
      <w:r>
        <w:rPr>
          <w:rFonts w:hint="eastAsia" w:ascii="宋体" w:hAnsi="宋体" w:cs="宋体"/>
          <w:bCs/>
          <w:color w:val="auto"/>
          <w:kern w:val="0"/>
          <w:sz w:val="24"/>
          <w:highlight w:val="none"/>
        </w:rPr>
        <w:t>联系人：</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16EB8068">
      <w:pPr>
        <w:spacing w:line="360" w:lineRule="auto"/>
        <w:ind w:firstLine="480" w:firstLineChars="200"/>
        <w:contextualSpacing/>
        <w:rPr>
          <w:rFonts w:hint="eastAsia" w:ascii="宋体" w:hAnsi="宋体" w:cs="宋体"/>
          <w:bCs/>
          <w:color w:val="auto"/>
          <w:kern w:val="0"/>
          <w:sz w:val="24"/>
          <w:highlight w:val="none"/>
        </w:rPr>
      </w:pPr>
      <w:r>
        <w:rPr>
          <w:rFonts w:hint="eastAsia" w:ascii="宋体" w:hAnsi="宋体" w:cs="宋体"/>
          <w:bCs/>
          <w:color w:val="auto"/>
          <w:kern w:val="0"/>
          <w:sz w:val="24"/>
          <w:highlight w:val="none"/>
        </w:rPr>
        <w:t>授权代表：</w:t>
      </w:r>
      <w:r>
        <w:rPr>
          <w:rFonts w:hint="eastAsia" w:ascii="宋体" w:hAnsi="宋体" w:cs="宋体"/>
          <w:bCs/>
          <w:color w:val="auto"/>
          <w:kern w:val="0"/>
          <w:sz w:val="24"/>
          <w:highlight w:val="none"/>
          <w:u w:val="single"/>
        </w:rPr>
        <w:t xml:space="preserve">                      </w:t>
      </w:r>
    </w:p>
    <w:p w14:paraId="260E229D">
      <w:pPr>
        <w:spacing w:line="360" w:lineRule="auto"/>
        <w:ind w:firstLine="480" w:firstLineChars="200"/>
        <w:contextualSpacing/>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5337A96C">
      <w:pPr>
        <w:spacing w:line="360" w:lineRule="auto"/>
        <w:ind w:firstLine="480" w:firstLineChars="200"/>
        <w:contextualSpacing/>
        <w:rPr>
          <w:rFonts w:hint="eastAsia" w:ascii="宋体" w:hAnsi="宋体" w:cs="宋体"/>
          <w:bCs/>
          <w:color w:val="auto"/>
          <w:kern w:val="0"/>
          <w:sz w:val="24"/>
          <w:highlight w:val="non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0BD7297E">
      <w:pPr>
        <w:spacing w:line="360" w:lineRule="auto"/>
        <w:ind w:firstLine="482" w:firstLineChars="200"/>
        <w:contextualSpacing/>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二、质疑项目基本情况：</w:t>
      </w:r>
    </w:p>
    <w:p w14:paraId="09A8CB7B">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bCs/>
          <w:color w:val="auto"/>
          <w:kern w:val="0"/>
          <w:sz w:val="24"/>
          <w:highlight w:val="none"/>
        </w:rPr>
        <w:t>质疑</w:t>
      </w:r>
      <w:r>
        <w:rPr>
          <w:rFonts w:hint="eastAsia" w:ascii="宋体" w:hAnsi="宋体" w:cs="宋体"/>
          <w:color w:val="auto"/>
          <w:kern w:val="0"/>
          <w:sz w:val="24"/>
          <w:highlight w:val="none"/>
        </w:rPr>
        <w:t>项目的名称：</w:t>
      </w:r>
      <w:r>
        <w:rPr>
          <w:rFonts w:hint="eastAsia" w:ascii="宋体" w:hAnsi="宋体" w:cs="宋体"/>
          <w:bCs/>
          <w:color w:val="auto"/>
          <w:kern w:val="0"/>
          <w:sz w:val="24"/>
          <w:highlight w:val="none"/>
          <w:u w:val="single"/>
        </w:rPr>
        <w:t xml:space="preserve">                                     </w:t>
      </w:r>
    </w:p>
    <w:p w14:paraId="2346939F">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bCs/>
          <w:color w:val="auto"/>
          <w:kern w:val="0"/>
          <w:sz w:val="24"/>
          <w:highlight w:val="none"/>
        </w:rPr>
        <w:t>质疑</w:t>
      </w:r>
      <w:r>
        <w:rPr>
          <w:rFonts w:hint="eastAsia" w:ascii="宋体" w:hAnsi="宋体" w:cs="宋体"/>
          <w:color w:val="auto"/>
          <w:kern w:val="0"/>
          <w:sz w:val="24"/>
          <w:highlight w:val="none"/>
        </w:rPr>
        <w:t>项目的编号：</w:t>
      </w:r>
      <w:r>
        <w:rPr>
          <w:rFonts w:hint="eastAsia" w:ascii="宋体" w:hAnsi="宋体" w:cs="宋体"/>
          <w:bCs/>
          <w:color w:val="auto"/>
          <w:kern w:val="0"/>
          <w:sz w:val="24"/>
          <w:highlight w:val="none"/>
          <w:u w:val="single"/>
        </w:rPr>
        <w:t xml:space="preserve">                                     </w:t>
      </w:r>
    </w:p>
    <w:p w14:paraId="68D33369">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采购人名称：</w:t>
      </w:r>
      <w:r>
        <w:rPr>
          <w:rFonts w:hint="eastAsia" w:ascii="宋体" w:hAnsi="宋体" w:cs="宋体"/>
          <w:bCs/>
          <w:color w:val="auto"/>
          <w:kern w:val="0"/>
          <w:sz w:val="24"/>
          <w:highlight w:val="none"/>
          <w:u w:val="single"/>
        </w:rPr>
        <w:t xml:space="preserve">                                         </w:t>
      </w:r>
    </w:p>
    <w:p w14:paraId="5A2DABDC">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质疑事项：</w:t>
      </w:r>
    </w:p>
    <w:p w14:paraId="0494616A">
      <w:pPr>
        <w:spacing w:line="360" w:lineRule="auto"/>
        <w:ind w:left="25" w:leftChars="12" w:firstLine="352" w:firstLineChars="14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□采购文件   采购文件获取日期：</w:t>
      </w:r>
      <w:r>
        <w:rPr>
          <w:rFonts w:hint="eastAsia" w:ascii="宋体" w:hAnsi="宋体" w:cs="宋体"/>
          <w:bCs/>
          <w:color w:val="auto"/>
          <w:kern w:val="0"/>
          <w:sz w:val="24"/>
          <w:highlight w:val="none"/>
          <w:u w:val="single"/>
        </w:rPr>
        <w:t xml:space="preserve">                                   </w:t>
      </w:r>
    </w:p>
    <w:p w14:paraId="244F34C5">
      <w:pPr>
        <w:spacing w:line="360" w:lineRule="auto"/>
        <w:ind w:left="25" w:leftChars="12" w:firstLine="352" w:firstLineChars="14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□采购过程   </w:t>
      </w:r>
    </w:p>
    <w:p w14:paraId="1B40E876">
      <w:pPr>
        <w:spacing w:line="360" w:lineRule="auto"/>
        <w:ind w:left="25" w:leftChars="12" w:firstLine="352" w:firstLineChars="147"/>
        <w:contextualSpacing/>
        <w:rPr>
          <w:rFonts w:hint="eastAsia" w:ascii="宋体" w:hAnsi="宋体" w:cs="宋体"/>
          <w:bCs/>
          <w:color w:val="auto"/>
          <w:kern w:val="0"/>
          <w:sz w:val="24"/>
          <w:highlight w:val="none"/>
          <w:u w:val="single"/>
        </w:rPr>
      </w:pPr>
      <w:r>
        <w:rPr>
          <w:rFonts w:hint="eastAsia" w:ascii="宋体" w:hAnsi="宋体" w:cs="宋体"/>
          <w:color w:val="auto"/>
          <w:kern w:val="0"/>
          <w:sz w:val="24"/>
          <w:highlight w:val="none"/>
        </w:rPr>
        <w:t xml:space="preserve">□成交结果   </w:t>
      </w:r>
    </w:p>
    <w:p w14:paraId="4ECA478E">
      <w:pPr>
        <w:spacing w:line="360" w:lineRule="auto"/>
        <w:ind w:left="25" w:leftChars="12" w:firstLine="472" w:firstLineChars="196"/>
        <w:contextualSpacing/>
        <w:rPr>
          <w:rFonts w:hint="eastAsia" w:ascii="宋体" w:hAnsi="宋体" w:cs="宋体"/>
          <w:b/>
          <w:color w:val="auto"/>
          <w:kern w:val="0"/>
          <w:sz w:val="24"/>
          <w:highlight w:val="none"/>
        </w:rPr>
      </w:pPr>
      <w:r>
        <w:rPr>
          <w:rFonts w:hint="eastAsia" w:ascii="宋体" w:hAnsi="宋体" w:cs="宋体"/>
          <w:b/>
          <w:color w:val="auto"/>
          <w:kern w:val="0"/>
          <w:sz w:val="24"/>
          <w:highlight w:val="none"/>
        </w:rPr>
        <w:t>三、质疑事项具体内容</w:t>
      </w:r>
    </w:p>
    <w:p w14:paraId="58824D36">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质疑事项1：</w:t>
      </w:r>
      <w:r>
        <w:rPr>
          <w:rFonts w:hint="eastAsia" w:ascii="宋体" w:hAnsi="宋体" w:cs="宋体"/>
          <w:bCs/>
          <w:color w:val="auto"/>
          <w:kern w:val="0"/>
          <w:sz w:val="24"/>
          <w:highlight w:val="none"/>
          <w:u w:val="single"/>
        </w:rPr>
        <w:t xml:space="preserve">                                                                 </w:t>
      </w:r>
    </w:p>
    <w:p w14:paraId="70E7AF42">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事实依据：</w:t>
      </w:r>
      <w:r>
        <w:rPr>
          <w:rFonts w:hint="eastAsia" w:ascii="宋体" w:hAnsi="宋体" w:cs="宋体"/>
          <w:bCs/>
          <w:color w:val="auto"/>
          <w:kern w:val="0"/>
          <w:sz w:val="24"/>
          <w:highlight w:val="none"/>
          <w:u w:val="single"/>
        </w:rPr>
        <w:t xml:space="preserve">                                                                  </w:t>
      </w:r>
    </w:p>
    <w:p w14:paraId="27446D29">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法律依据：</w:t>
      </w:r>
      <w:r>
        <w:rPr>
          <w:rFonts w:hint="eastAsia" w:ascii="宋体" w:hAnsi="宋体" w:cs="宋体"/>
          <w:color w:val="auto"/>
          <w:kern w:val="0"/>
          <w:sz w:val="24"/>
          <w:highlight w:val="none"/>
          <w:u w:val="single"/>
        </w:rPr>
        <w:t xml:space="preserve">                                                        </w:t>
      </w:r>
      <w:r>
        <w:rPr>
          <w:rFonts w:hint="eastAsia" w:ascii="宋体" w:hAnsi="宋体" w:cs="宋体"/>
          <w:bCs/>
          <w:color w:val="auto"/>
          <w:kern w:val="0"/>
          <w:sz w:val="24"/>
          <w:highlight w:val="none"/>
          <w:u w:val="single"/>
        </w:rPr>
        <w:t xml:space="preserve">          </w:t>
      </w:r>
    </w:p>
    <w:p w14:paraId="66BE5B57">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质疑事项2</w:t>
      </w:r>
    </w:p>
    <w:p w14:paraId="62762EC5">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w:t>
      </w:r>
    </w:p>
    <w:p w14:paraId="5C31244D">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四、与质疑事项相关的质疑请求：</w:t>
      </w:r>
    </w:p>
    <w:p w14:paraId="5D8246FF">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请求：</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u w:val="single"/>
          <w:lang w:val="en-US" w:eastAsia="zh-CN"/>
        </w:rPr>
        <w:t xml:space="preserve">     </w:t>
      </w:r>
      <w:r>
        <w:rPr>
          <w:rFonts w:hint="eastAsia" w:ascii="宋体" w:hAnsi="宋体" w:cs="宋体"/>
          <w:bCs/>
          <w:color w:val="auto"/>
          <w:kern w:val="0"/>
          <w:sz w:val="24"/>
          <w:highlight w:val="none"/>
          <w:u w:val="single"/>
        </w:rPr>
        <w:t xml:space="preserve">    </w:t>
      </w:r>
    </w:p>
    <w:p w14:paraId="121326A2">
      <w:pPr>
        <w:spacing w:line="360" w:lineRule="auto"/>
        <w:ind w:left="25" w:leftChars="12" w:firstLine="352" w:firstLineChars="147"/>
        <w:contextualSpacing/>
        <w:rPr>
          <w:rFonts w:hint="eastAsia" w:ascii="宋体" w:hAnsi="宋体" w:cs="宋体"/>
          <w:color w:val="auto"/>
          <w:kern w:val="0"/>
          <w:sz w:val="24"/>
          <w:highlight w:val="none"/>
        </w:rPr>
      </w:pPr>
    </w:p>
    <w:p w14:paraId="5365BF10">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签字（签章）：                                       公章：</w:t>
      </w:r>
    </w:p>
    <w:p w14:paraId="2746D531">
      <w:pPr>
        <w:spacing w:line="360" w:lineRule="auto"/>
        <w:ind w:left="25" w:leftChars="12" w:firstLine="352" w:firstLineChars="147"/>
        <w:contextualSpacing/>
        <w:rPr>
          <w:rFonts w:hint="eastAsia" w:ascii="宋体" w:hAnsi="宋体" w:cs="宋体"/>
          <w:color w:val="auto"/>
          <w:kern w:val="0"/>
          <w:sz w:val="24"/>
          <w:highlight w:val="none"/>
        </w:rPr>
      </w:pPr>
    </w:p>
    <w:p w14:paraId="714F0615">
      <w:pPr>
        <w:spacing w:line="360" w:lineRule="auto"/>
        <w:ind w:left="25" w:leftChars="12" w:firstLine="472" w:firstLineChars="197"/>
        <w:contextualSpacing/>
        <w:rPr>
          <w:rFonts w:hint="eastAsia" w:ascii="宋体" w:hAnsi="宋体" w:cs="宋体"/>
          <w:color w:val="auto"/>
          <w:kern w:val="0"/>
          <w:sz w:val="24"/>
          <w:highlight w:val="none"/>
        </w:rPr>
      </w:pPr>
      <w:r>
        <w:rPr>
          <w:rFonts w:hint="eastAsia" w:ascii="宋体" w:hAnsi="宋体" w:cs="宋体"/>
          <w:color w:val="auto"/>
          <w:kern w:val="0"/>
          <w:sz w:val="24"/>
          <w:highlight w:val="none"/>
        </w:rPr>
        <w:t>日期：</w:t>
      </w:r>
    </w:p>
    <w:p w14:paraId="74E69FF2">
      <w:pPr>
        <w:spacing w:line="360" w:lineRule="auto"/>
        <w:contextualSpacing/>
        <w:rPr>
          <w:b/>
          <w:color w:val="auto"/>
          <w:kern w:val="0"/>
          <w:sz w:val="24"/>
          <w:highlight w:val="none"/>
        </w:rPr>
      </w:pPr>
    </w:p>
    <w:p w14:paraId="46008F2C">
      <w:pPr>
        <w:spacing w:line="360" w:lineRule="auto"/>
        <w:contextualSpacing/>
        <w:rPr>
          <w:b/>
          <w:color w:val="auto"/>
          <w:kern w:val="0"/>
          <w:sz w:val="24"/>
          <w:highlight w:val="none"/>
        </w:rPr>
      </w:pPr>
      <w:r>
        <w:rPr>
          <w:rFonts w:hint="eastAsia"/>
          <w:b/>
          <w:color w:val="auto"/>
          <w:kern w:val="0"/>
          <w:sz w:val="24"/>
          <w:highlight w:val="none"/>
        </w:rPr>
        <w:t>说明：</w:t>
      </w:r>
    </w:p>
    <w:p w14:paraId="1997D512">
      <w:pPr>
        <w:spacing w:line="360" w:lineRule="auto"/>
        <w:ind w:left="25" w:leftChars="12" w:firstLine="354" w:firstLineChars="147"/>
        <w:contextualSpacing/>
        <w:rPr>
          <w:rFonts w:hint="eastAsia" w:ascii="宋体" w:hAnsi="宋体" w:cs="宋体"/>
          <w:b/>
          <w:bCs/>
          <w:color w:val="auto"/>
          <w:kern w:val="0"/>
          <w:sz w:val="24"/>
          <w:highlight w:val="none"/>
        </w:rPr>
      </w:pPr>
      <w:r>
        <w:rPr>
          <w:rFonts w:hint="eastAsia" w:ascii="宋体" w:hAnsi="宋体" w:cs="宋体"/>
          <w:b/>
          <w:color w:val="auto"/>
          <w:kern w:val="0"/>
          <w:sz w:val="24"/>
          <w:highlight w:val="none"/>
        </w:rPr>
        <w:t>1.供应商提出质疑时，应提交质疑函和必要的证明材料</w:t>
      </w:r>
      <w:r>
        <w:rPr>
          <w:rFonts w:hint="eastAsia" w:ascii="宋体" w:hAnsi="宋体" w:cs="宋体"/>
          <w:b/>
          <w:bCs/>
          <w:color w:val="auto"/>
          <w:kern w:val="0"/>
          <w:sz w:val="24"/>
          <w:highlight w:val="none"/>
        </w:rPr>
        <w:t>。</w:t>
      </w:r>
    </w:p>
    <w:p w14:paraId="4990CD67">
      <w:pPr>
        <w:spacing w:line="360" w:lineRule="auto"/>
        <w:ind w:left="25" w:leftChars="12" w:firstLine="354" w:firstLineChars="147"/>
        <w:contextualSpacing/>
        <w:rPr>
          <w:rFonts w:hint="eastAsia" w:ascii="宋体" w:hAnsi="宋体" w:cs="宋体"/>
          <w:b/>
          <w:color w:val="auto"/>
          <w:kern w:val="0"/>
          <w:sz w:val="24"/>
          <w:highlight w:val="none"/>
        </w:rPr>
      </w:pPr>
      <w:r>
        <w:rPr>
          <w:rFonts w:hint="eastAsia" w:ascii="宋体" w:hAnsi="宋体" w:cs="宋体"/>
          <w:b/>
          <w:color w:val="auto"/>
          <w:kern w:val="0"/>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FCC8211">
      <w:pPr>
        <w:spacing w:line="360" w:lineRule="auto"/>
        <w:ind w:left="25" w:leftChars="12" w:firstLine="354" w:firstLineChars="147"/>
        <w:contextualSpacing/>
        <w:rPr>
          <w:rFonts w:hint="eastAsia" w:ascii="宋体" w:hAnsi="宋体" w:cs="宋体"/>
          <w:b/>
          <w:color w:val="auto"/>
          <w:kern w:val="0"/>
          <w:sz w:val="24"/>
          <w:highlight w:val="none"/>
        </w:rPr>
      </w:pPr>
      <w:r>
        <w:rPr>
          <w:rFonts w:hint="eastAsia" w:ascii="宋体" w:hAnsi="宋体" w:cs="宋体"/>
          <w:b/>
          <w:color w:val="auto"/>
          <w:kern w:val="0"/>
          <w:sz w:val="24"/>
          <w:highlight w:val="none"/>
        </w:rPr>
        <w:t>3.质疑函的质疑事项应具体、明确，并有必要的事实依据和法律依据。</w:t>
      </w:r>
    </w:p>
    <w:p w14:paraId="0C35B5DB">
      <w:pPr>
        <w:spacing w:line="360" w:lineRule="auto"/>
        <w:ind w:left="25" w:leftChars="12" w:firstLine="354" w:firstLineChars="147"/>
        <w:contextualSpacing/>
        <w:rPr>
          <w:rFonts w:hint="eastAsia" w:ascii="宋体" w:hAnsi="宋体" w:cs="宋体"/>
          <w:b/>
          <w:color w:val="auto"/>
          <w:kern w:val="0"/>
          <w:sz w:val="24"/>
          <w:highlight w:val="none"/>
        </w:rPr>
      </w:pPr>
      <w:r>
        <w:rPr>
          <w:rFonts w:hint="eastAsia" w:ascii="宋体" w:hAnsi="宋体" w:cs="宋体"/>
          <w:b/>
          <w:color w:val="auto"/>
          <w:kern w:val="0"/>
          <w:sz w:val="24"/>
          <w:highlight w:val="none"/>
        </w:rPr>
        <w:t>4.质疑函的质疑请求应与质疑事项相关。</w:t>
      </w:r>
    </w:p>
    <w:p w14:paraId="5730983A">
      <w:pPr>
        <w:spacing w:line="360" w:lineRule="auto"/>
        <w:ind w:left="25" w:leftChars="12" w:firstLine="354" w:firstLineChars="147"/>
        <w:contextualSpacing/>
        <w:rPr>
          <w:rFonts w:hint="eastAsia" w:ascii="宋体" w:hAnsi="宋体" w:cs="宋体"/>
          <w:b/>
          <w:color w:val="auto"/>
          <w:kern w:val="0"/>
          <w:sz w:val="20"/>
          <w:szCs w:val="21"/>
          <w:highlight w:val="none"/>
        </w:rPr>
      </w:pPr>
      <w:r>
        <w:rPr>
          <w:rFonts w:hint="eastAsia" w:ascii="宋体" w:hAnsi="宋体" w:cs="宋体"/>
          <w:b/>
          <w:color w:val="auto"/>
          <w:kern w:val="0"/>
          <w:sz w:val="24"/>
          <w:highlight w:val="none"/>
        </w:rPr>
        <w:t>5.质疑供应商为法人或者其他组织的，质疑函应由法定代表人、主要负责人，或者其授权代表签字或者盖章，并加盖公章。</w:t>
      </w:r>
    </w:p>
    <w:p w14:paraId="22D1D0CF">
      <w:pPr>
        <w:snapToGrid w:val="0"/>
        <w:rPr>
          <w:rFonts w:hAnsi="Courier New"/>
          <w:b/>
          <w:color w:val="auto"/>
          <w:kern w:val="0"/>
          <w:sz w:val="24"/>
          <w:highlight w:val="none"/>
        </w:rPr>
      </w:pPr>
    </w:p>
    <w:p w14:paraId="060605A8">
      <w:pPr>
        <w:spacing w:line="460" w:lineRule="exact"/>
        <w:jc w:val="center"/>
        <w:rPr>
          <w:rFonts w:ascii="Calibri" w:hAnsi="Calibri" w:eastAsia="隶书"/>
          <w:color w:val="auto"/>
          <w:sz w:val="44"/>
          <w:highlight w:val="none"/>
        </w:rPr>
      </w:pPr>
      <w:r>
        <w:rPr>
          <w:rFonts w:ascii="Calibri" w:hAnsi="Calibri" w:eastAsia="隶书"/>
          <w:color w:val="auto"/>
          <w:sz w:val="44"/>
          <w:highlight w:val="none"/>
        </w:rPr>
        <w:br w:type="page"/>
      </w:r>
    </w:p>
    <w:p w14:paraId="3328729F">
      <w:pPr>
        <w:spacing w:line="360" w:lineRule="auto"/>
        <w:jc w:val="center"/>
        <w:rPr>
          <w:b/>
          <w:bCs/>
          <w:color w:val="auto"/>
          <w:sz w:val="32"/>
          <w:szCs w:val="32"/>
          <w:highlight w:val="none"/>
        </w:rPr>
      </w:pPr>
      <w:r>
        <w:rPr>
          <w:rFonts w:hint="eastAsia"/>
          <w:b/>
          <w:bCs/>
          <w:color w:val="auto"/>
          <w:sz w:val="32"/>
          <w:szCs w:val="32"/>
          <w:highlight w:val="none"/>
        </w:rPr>
        <w:t>投诉书（格式）</w:t>
      </w:r>
    </w:p>
    <w:p w14:paraId="3E906845">
      <w:pPr>
        <w:snapToGrid w:val="0"/>
        <w:spacing w:line="360" w:lineRule="auto"/>
        <w:ind w:firstLine="482" w:firstLineChars="200"/>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一、投诉相关主体基本情况：</w:t>
      </w:r>
    </w:p>
    <w:p w14:paraId="519CB675">
      <w:pPr>
        <w:snapToGrid w:val="0"/>
        <w:spacing w:line="360" w:lineRule="auto"/>
        <w:ind w:firstLine="480" w:firstLineChars="200"/>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供应商：</w:t>
      </w:r>
      <w:r>
        <w:rPr>
          <w:rFonts w:hint="eastAsia" w:ascii="宋体" w:hAnsi="宋体" w:cs="宋体"/>
          <w:bCs/>
          <w:color w:val="auto"/>
          <w:kern w:val="0"/>
          <w:sz w:val="24"/>
          <w:highlight w:val="none"/>
          <w:u w:val="single"/>
        </w:rPr>
        <w:t xml:space="preserve">                                                                    </w:t>
      </w:r>
    </w:p>
    <w:p w14:paraId="723FE37B">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p>
    <w:p w14:paraId="54CCEF60">
      <w:pPr>
        <w:snapToGrid w:val="0"/>
        <w:spacing w:line="360" w:lineRule="auto"/>
        <w:ind w:firstLine="480" w:firstLineChars="200"/>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法定代表人/主要负责人：</w:t>
      </w:r>
      <w:r>
        <w:rPr>
          <w:rFonts w:hint="eastAsia" w:ascii="宋体" w:hAnsi="宋体" w:cs="宋体"/>
          <w:bCs/>
          <w:color w:val="auto"/>
          <w:kern w:val="0"/>
          <w:sz w:val="24"/>
          <w:highlight w:val="none"/>
          <w:u w:val="single"/>
        </w:rPr>
        <w:t xml:space="preserve">                                                     </w:t>
      </w:r>
    </w:p>
    <w:p w14:paraId="3339B3DC">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133B3439">
      <w:pPr>
        <w:snapToGrid w:val="0"/>
        <w:spacing w:line="360" w:lineRule="auto"/>
        <w:ind w:firstLine="480" w:firstLineChars="200"/>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授权代表：</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21EDD32B">
      <w:pPr>
        <w:snapToGrid w:val="0"/>
        <w:spacing w:line="360" w:lineRule="auto"/>
        <w:ind w:firstLine="480" w:firstLineChars="200"/>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p>
    <w:p w14:paraId="48DDF8ED">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7FECDDEE">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被投诉人1：</w:t>
      </w:r>
    </w:p>
    <w:p w14:paraId="79D504FF">
      <w:pPr>
        <w:snapToGrid w:val="0"/>
        <w:spacing w:line="360" w:lineRule="auto"/>
        <w:ind w:firstLine="480" w:firstLineChars="200"/>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p>
    <w:p w14:paraId="07905D80">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63B15231">
      <w:pPr>
        <w:snapToGrid w:val="0"/>
        <w:spacing w:line="360" w:lineRule="auto"/>
        <w:ind w:firstLine="480" w:firstLineChars="200"/>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联系人：</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190964D3">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被投诉人2：</w:t>
      </w:r>
    </w:p>
    <w:p w14:paraId="7F4B6EFE">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w:t>
      </w:r>
    </w:p>
    <w:p w14:paraId="33ACA7D3">
      <w:pPr>
        <w:snapToGrid w:val="0"/>
        <w:spacing w:line="360" w:lineRule="auto"/>
        <w:ind w:firstLine="480" w:firstLineChars="200"/>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相关供应商：</w:t>
      </w:r>
      <w:r>
        <w:rPr>
          <w:rFonts w:hint="eastAsia" w:ascii="宋体" w:hAnsi="宋体" w:cs="宋体"/>
          <w:bCs/>
          <w:color w:val="auto"/>
          <w:kern w:val="0"/>
          <w:sz w:val="24"/>
          <w:highlight w:val="none"/>
          <w:u w:val="single"/>
        </w:rPr>
        <w:t xml:space="preserve">                                                                </w:t>
      </w:r>
    </w:p>
    <w:p w14:paraId="08BA3512">
      <w:pPr>
        <w:snapToGrid w:val="0"/>
        <w:spacing w:line="360" w:lineRule="auto"/>
        <w:ind w:firstLine="480" w:firstLineChars="200"/>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p>
    <w:p w14:paraId="023F36FD">
      <w:pPr>
        <w:snapToGrid w:val="0"/>
        <w:spacing w:line="360" w:lineRule="auto"/>
        <w:ind w:firstLine="480" w:firstLineChars="200"/>
        <w:rPr>
          <w:rFonts w:hint="eastAsia" w:ascii="宋体" w:hAnsi="宋体" w:cs="宋体"/>
          <w:bCs/>
          <w:color w:val="auto"/>
          <w:kern w:val="0"/>
          <w:sz w:val="24"/>
          <w:highlight w:val="none"/>
        </w:rPr>
      </w:pPr>
      <w:r>
        <w:rPr>
          <w:rFonts w:hint="eastAsia" w:ascii="宋体" w:hAnsi="宋体" w:cs="宋体"/>
          <w:bCs/>
          <w:color w:val="auto"/>
          <w:kern w:val="0"/>
          <w:sz w:val="24"/>
          <w:highlight w:val="none"/>
        </w:rPr>
        <w:t>联系人：</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255E70D0">
      <w:pPr>
        <w:snapToGrid w:val="0"/>
        <w:spacing w:line="360" w:lineRule="auto"/>
        <w:ind w:firstLine="482" w:firstLineChars="200"/>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二、投诉项目基本情况：</w:t>
      </w:r>
    </w:p>
    <w:p w14:paraId="07752339">
      <w:pPr>
        <w:spacing w:line="360" w:lineRule="auto"/>
        <w:ind w:left="25" w:leftChars="12" w:firstLine="472" w:firstLineChars="197"/>
        <w:rPr>
          <w:rFonts w:hint="eastAsia" w:ascii="宋体" w:hAnsi="宋体" w:cs="宋体"/>
          <w:color w:val="auto"/>
          <w:kern w:val="0"/>
          <w:sz w:val="24"/>
          <w:highlight w:val="none"/>
        </w:rPr>
      </w:pPr>
      <w:r>
        <w:rPr>
          <w:rFonts w:hint="eastAsia" w:ascii="宋体" w:hAnsi="宋体" w:cs="宋体"/>
          <w:bCs/>
          <w:color w:val="auto"/>
          <w:kern w:val="0"/>
          <w:sz w:val="24"/>
          <w:highlight w:val="none"/>
        </w:rPr>
        <w:t>采购</w:t>
      </w:r>
      <w:r>
        <w:rPr>
          <w:rFonts w:hint="eastAsia" w:ascii="宋体" w:hAnsi="宋体" w:cs="宋体"/>
          <w:color w:val="auto"/>
          <w:kern w:val="0"/>
          <w:sz w:val="24"/>
          <w:highlight w:val="none"/>
        </w:rPr>
        <w:t>项目的名称：</w:t>
      </w:r>
      <w:r>
        <w:rPr>
          <w:rFonts w:hint="eastAsia" w:ascii="宋体" w:hAnsi="宋体" w:cs="宋体"/>
          <w:bCs/>
          <w:color w:val="auto"/>
          <w:kern w:val="0"/>
          <w:sz w:val="24"/>
          <w:highlight w:val="none"/>
          <w:u w:val="single"/>
        </w:rPr>
        <w:t xml:space="preserve">                                                            </w:t>
      </w:r>
    </w:p>
    <w:p w14:paraId="6698B7EC">
      <w:pPr>
        <w:spacing w:line="360" w:lineRule="auto"/>
        <w:ind w:left="25" w:leftChars="12" w:firstLine="472" w:firstLineChars="197"/>
        <w:rPr>
          <w:rFonts w:hint="eastAsia" w:ascii="宋体" w:hAnsi="宋体" w:cs="宋体"/>
          <w:color w:val="auto"/>
          <w:kern w:val="0"/>
          <w:sz w:val="24"/>
          <w:highlight w:val="none"/>
        </w:rPr>
      </w:pPr>
      <w:r>
        <w:rPr>
          <w:rFonts w:hint="eastAsia" w:ascii="宋体" w:hAnsi="宋体" w:cs="宋体"/>
          <w:bCs/>
          <w:color w:val="auto"/>
          <w:kern w:val="0"/>
          <w:sz w:val="24"/>
          <w:highlight w:val="none"/>
        </w:rPr>
        <w:t>采购</w:t>
      </w:r>
      <w:r>
        <w:rPr>
          <w:rFonts w:hint="eastAsia" w:ascii="宋体" w:hAnsi="宋体" w:cs="宋体"/>
          <w:color w:val="auto"/>
          <w:kern w:val="0"/>
          <w:sz w:val="24"/>
          <w:highlight w:val="none"/>
        </w:rPr>
        <w:t>项目的编号：</w:t>
      </w:r>
      <w:r>
        <w:rPr>
          <w:rFonts w:hint="eastAsia" w:ascii="宋体" w:hAnsi="宋体" w:cs="宋体"/>
          <w:bCs/>
          <w:color w:val="auto"/>
          <w:kern w:val="0"/>
          <w:sz w:val="24"/>
          <w:highlight w:val="none"/>
          <w:u w:val="single"/>
        </w:rPr>
        <w:t xml:space="preserve">                                          </w:t>
      </w:r>
    </w:p>
    <w:p w14:paraId="311BDC8F">
      <w:pPr>
        <w:spacing w:line="360" w:lineRule="auto"/>
        <w:ind w:left="25" w:leftChars="12" w:firstLine="472" w:firstLineChars="197"/>
        <w:rPr>
          <w:rFonts w:hint="eastAsia" w:ascii="宋体" w:hAnsi="宋体" w:cs="宋体"/>
          <w:bCs/>
          <w:color w:val="auto"/>
          <w:kern w:val="0"/>
          <w:sz w:val="24"/>
          <w:highlight w:val="none"/>
          <w:u w:val="single"/>
        </w:rPr>
      </w:pPr>
      <w:r>
        <w:rPr>
          <w:rFonts w:hint="eastAsia" w:ascii="宋体" w:hAnsi="宋体" w:cs="宋体"/>
          <w:color w:val="auto"/>
          <w:kern w:val="0"/>
          <w:sz w:val="24"/>
          <w:highlight w:val="none"/>
        </w:rPr>
        <w:t>采购人名称：</w:t>
      </w:r>
      <w:r>
        <w:rPr>
          <w:rFonts w:hint="eastAsia" w:ascii="宋体" w:hAnsi="宋体" w:cs="宋体"/>
          <w:bCs/>
          <w:color w:val="auto"/>
          <w:kern w:val="0"/>
          <w:sz w:val="24"/>
          <w:highlight w:val="none"/>
          <w:u w:val="single"/>
        </w:rPr>
        <w:t xml:space="preserve">                                                                </w:t>
      </w:r>
    </w:p>
    <w:p w14:paraId="49262959">
      <w:pPr>
        <w:spacing w:line="360" w:lineRule="auto"/>
        <w:ind w:left="25" w:leftChars="12" w:firstLine="472" w:firstLineChars="197"/>
        <w:rPr>
          <w:rFonts w:hint="eastAsia" w:ascii="宋体" w:hAnsi="宋体" w:cs="宋体"/>
          <w:bCs/>
          <w:color w:val="auto"/>
          <w:kern w:val="0"/>
          <w:sz w:val="24"/>
          <w:highlight w:val="none"/>
          <w:u w:val="single"/>
        </w:rPr>
      </w:pPr>
      <w:r>
        <w:rPr>
          <w:rFonts w:hint="eastAsia" w:ascii="宋体" w:hAnsi="宋体" w:cs="宋体"/>
          <w:color w:val="auto"/>
          <w:kern w:val="0"/>
          <w:sz w:val="24"/>
          <w:highlight w:val="none"/>
        </w:rPr>
        <w:t>代理机构名称：</w:t>
      </w:r>
      <w:r>
        <w:rPr>
          <w:rFonts w:hint="eastAsia" w:ascii="宋体" w:hAnsi="宋体" w:cs="宋体"/>
          <w:bCs/>
          <w:color w:val="auto"/>
          <w:kern w:val="0"/>
          <w:sz w:val="24"/>
          <w:highlight w:val="none"/>
          <w:u w:val="single"/>
        </w:rPr>
        <w:t xml:space="preserve">                                                              </w:t>
      </w:r>
    </w:p>
    <w:p w14:paraId="1D7F286A">
      <w:pPr>
        <w:spacing w:line="360" w:lineRule="auto"/>
        <w:ind w:left="25" w:leftChars="12" w:firstLine="472" w:firstLineChars="197"/>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采购文件公告：</w:t>
      </w:r>
      <w:r>
        <w:rPr>
          <w:rFonts w:hint="eastAsia" w:ascii="宋体" w:hAnsi="宋体" w:cs="宋体"/>
          <w:bCs/>
          <w:color w:val="auto"/>
          <w:kern w:val="0"/>
          <w:sz w:val="24"/>
          <w:highlight w:val="none"/>
          <w:u w:val="single"/>
        </w:rPr>
        <w:t>是/否</w:t>
      </w:r>
      <w:r>
        <w:rPr>
          <w:rFonts w:hint="eastAsia" w:ascii="宋体" w:hAnsi="宋体" w:cs="宋体"/>
          <w:bCs/>
          <w:color w:val="auto"/>
          <w:kern w:val="0"/>
          <w:sz w:val="24"/>
          <w:highlight w:val="none"/>
        </w:rPr>
        <w:t>公告期限：</w:t>
      </w:r>
      <w:r>
        <w:rPr>
          <w:rFonts w:hint="eastAsia" w:ascii="宋体" w:hAnsi="宋体" w:cs="宋体"/>
          <w:bCs/>
          <w:color w:val="auto"/>
          <w:kern w:val="0"/>
          <w:sz w:val="24"/>
          <w:highlight w:val="none"/>
          <w:u w:val="single"/>
        </w:rPr>
        <w:t xml:space="preserve">                                               </w:t>
      </w:r>
    </w:p>
    <w:p w14:paraId="62AD7776">
      <w:pPr>
        <w:spacing w:line="360" w:lineRule="auto"/>
        <w:ind w:left="25" w:leftChars="12" w:firstLine="472" w:firstLineChars="197"/>
        <w:rPr>
          <w:rFonts w:hint="eastAsia" w:ascii="宋体" w:hAnsi="宋体" w:cs="宋体"/>
          <w:b/>
          <w:color w:val="auto"/>
          <w:kern w:val="0"/>
          <w:sz w:val="24"/>
          <w:highlight w:val="none"/>
        </w:rPr>
      </w:pPr>
      <w:r>
        <w:rPr>
          <w:rFonts w:hint="eastAsia" w:ascii="宋体" w:hAnsi="宋体" w:cs="宋体"/>
          <w:bCs/>
          <w:color w:val="auto"/>
          <w:kern w:val="0"/>
          <w:sz w:val="24"/>
          <w:highlight w:val="none"/>
        </w:rPr>
        <w:t>采购结果公告：</w:t>
      </w:r>
      <w:r>
        <w:rPr>
          <w:rFonts w:hint="eastAsia" w:ascii="宋体" w:hAnsi="宋体" w:cs="宋体"/>
          <w:bCs/>
          <w:color w:val="auto"/>
          <w:kern w:val="0"/>
          <w:sz w:val="24"/>
          <w:highlight w:val="none"/>
          <w:u w:val="single"/>
        </w:rPr>
        <w:t>是/否</w:t>
      </w:r>
      <w:r>
        <w:rPr>
          <w:rFonts w:hint="eastAsia" w:ascii="宋体" w:hAnsi="宋体" w:cs="宋体"/>
          <w:bCs/>
          <w:color w:val="auto"/>
          <w:kern w:val="0"/>
          <w:sz w:val="24"/>
          <w:highlight w:val="none"/>
        </w:rPr>
        <w:t>公告期限：</w:t>
      </w:r>
      <w:r>
        <w:rPr>
          <w:rFonts w:hint="eastAsia" w:ascii="宋体" w:hAnsi="宋体" w:cs="宋体"/>
          <w:bCs/>
          <w:color w:val="auto"/>
          <w:kern w:val="0"/>
          <w:sz w:val="24"/>
          <w:highlight w:val="none"/>
          <w:u w:val="single"/>
        </w:rPr>
        <w:t xml:space="preserve">                                               </w:t>
      </w:r>
    </w:p>
    <w:p w14:paraId="325FF6F2">
      <w:pPr>
        <w:spacing w:line="360" w:lineRule="auto"/>
        <w:ind w:left="25" w:leftChars="12" w:firstLine="472" w:firstLineChars="196"/>
        <w:rPr>
          <w:rFonts w:hint="eastAsia" w:ascii="宋体" w:hAnsi="宋体" w:cs="宋体"/>
          <w:b/>
          <w:color w:val="auto"/>
          <w:kern w:val="0"/>
          <w:sz w:val="24"/>
          <w:highlight w:val="none"/>
        </w:rPr>
      </w:pPr>
      <w:r>
        <w:rPr>
          <w:rFonts w:hint="eastAsia" w:ascii="宋体" w:hAnsi="宋体" w:cs="宋体"/>
          <w:b/>
          <w:color w:val="auto"/>
          <w:kern w:val="0"/>
          <w:sz w:val="24"/>
          <w:highlight w:val="none"/>
        </w:rPr>
        <w:t>三、质疑基本情况</w:t>
      </w:r>
    </w:p>
    <w:p w14:paraId="6D03586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投诉人于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日，向</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提出质疑，质疑事项为：</w:t>
      </w:r>
    </w:p>
    <w:p w14:paraId="488A80C9">
      <w:pPr>
        <w:spacing w:line="360" w:lineRule="auto"/>
        <w:ind w:firstLine="241"/>
        <w:rPr>
          <w:rFonts w:hint="eastAsia" w:ascii="宋体" w:hAnsi="宋体" w:cs="宋体"/>
          <w:bCs/>
          <w:color w:val="auto"/>
          <w:kern w:val="0"/>
          <w:sz w:val="24"/>
          <w:highlight w:val="none"/>
          <w:u w:val="single"/>
        </w:rPr>
      </w:pPr>
      <w:r>
        <w:rPr>
          <w:rFonts w:hint="eastAsia" w:ascii="宋体" w:hAnsi="宋体" w:cs="宋体"/>
          <w:color w:val="auto"/>
          <w:kern w:val="0"/>
          <w:sz w:val="24"/>
          <w:highlight w:val="none"/>
        </w:rPr>
        <w:t xml:space="preserve">    </w:t>
      </w:r>
      <w:r>
        <w:rPr>
          <w:rFonts w:hint="eastAsia" w:ascii="宋体" w:hAnsi="宋体" w:cs="宋体"/>
          <w:bCs/>
          <w:color w:val="auto"/>
          <w:kern w:val="0"/>
          <w:sz w:val="24"/>
          <w:highlight w:val="none"/>
          <w:u w:val="single"/>
        </w:rPr>
        <w:t xml:space="preserve">                                                                          </w:t>
      </w:r>
    </w:p>
    <w:p w14:paraId="0F1D2535">
      <w:pPr>
        <w:spacing w:line="360" w:lineRule="auto"/>
        <w:ind w:firstLine="241"/>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 xml:space="preserve">    </w:t>
      </w:r>
      <w:r>
        <w:rPr>
          <w:rFonts w:hint="eastAsia" w:ascii="宋体" w:hAnsi="宋体" w:cs="宋体"/>
          <w:bCs/>
          <w:color w:val="auto"/>
          <w:kern w:val="0"/>
          <w:sz w:val="24"/>
          <w:highlight w:val="none"/>
          <w:u w:val="single"/>
        </w:rPr>
        <w:t xml:space="preserve">                                                                          </w:t>
      </w:r>
    </w:p>
    <w:p w14:paraId="67D5BEC7">
      <w:pPr>
        <w:spacing w:line="360" w:lineRule="auto"/>
        <w:ind w:firstLine="480" w:firstLineChars="200"/>
        <w:rPr>
          <w:rFonts w:hint="eastAsia" w:ascii="宋体" w:hAnsi="宋体" w:cs="宋体"/>
          <w:color w:val="auto"/>
          <w:kern w:val="0"/>
          <w:sz w:val="24"/>
          <w:highlight w:val="none"/>
        </w:rPr>
      </w:pPr>
      <w:r>
        <w:rPr>
          <w:rFonts w:hint="eastAsia" w:ascii="宋体" w:hAnsi="宋体" w:cs="宋体"/>
          <w:bCs/>
          <w:color w:val="auto"/>
          <w:kern w:val="0"/>
          <w:sz w:val="24"/>
          <w:highlight w:val="none"/>
          <w:u w:val="single"/>
        </w:rPr>
        <w:t>采购人/采购代理机构</w:t>
      </w:r>
      <w:r>
        <w:rPr>
          <w:rFonts w:hint="eastAsia" w:ascii="宋体" w:hAnsi="宋体" w:cs="宋体"/>
          <w:bCs/>
          <w:color w:val="auto"/>
          <w:kern w:val="0"/>
          <w:sz w:val="24"/>
          <w:highlight w:val="none"/>
        </w:rPr>
        <w:t>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r>
        <w:rPr>
          <w:rFonts w:hint="eastAsia" w:ascii="宋体" w:hAnsi="宋体" w:cs="宋体"/>
          <w:bCs/>
          <w:color w:val="auto"/>
          <w:kern w:val="0"/>
          <w:sz w:val="24"/>
          <w:highlight w:val="none"/>
        </w:rPr>
        <w:t>就质疑事项作出了答复/没有在法定期限内作出答复。</w:t>
      </w:r>
    </w:p>
    <w:p w14:paraId="40B55F99">
      <w:pPr>
        <w:spacing w:line="360" w:lineRule="auto"/>
        <w:ind w:left="25" w:leftChars="12" w:firstLine="472" w:firstLineChars="196"/>
        <w:rPr>
          <w:rFonts w:hint="eastAsia" w:ascii="宋体" w:hAnsi="宋体" w:cs="宋体"/>
          <w:b/>
          <w:color w:val="auto"/>
          <w:kern w:val="0"/>
          <w:sz w:val="24"/>
          <w:highlight w:val="none"/>
        </w:rPr>
      </w:pPr>
      <w:r>
        <w:rPr>
          <w:rFonts w:hint="eastAsia" w:ascii="宋体" w:hAnsi="宋体" w:cs="宋体"/>
          <w:b/>
          <w:color w:val="auto"/>
          <w:kern w:val="0"/>
          <w:sz w:val="24"/>
          <w:highlight w:val="none"/>
        </w:rPr>
        <w:t>四、投诉事项具体内容</w:t>
      </w:r>
    </w:p>
    <w:p w14:paraId="316FD284">
      <w:pPr>
        <w:spacing w:line="360" w:lineRule="auto"/>
        <w:ind w:left="25" w:leftChars="12" w:firstLine="472" w:firstLineChars="197"/>
        <w:rPr>
          <w:rFonts w:hint="eastAsia" w:ascii="宋体" w:hAnsi="宋体" w:cs="宋体"/>
          <w:bCs/>
          <w:color w:val="auto"/>
          <w:kern w:val="0"/>
          <w:sz w:val="24"/>
          <w:highlight w:val="none"/>
          <w:u w:val="single"/>
        </w:rPr>
      </w:pPr>
      <w:r>
        <w:rPr>
          <w:rFonts w:hint="eastAsia" w:ascii="宋体" w:hAnsi="宋体" w:cs="宋体"/>
          <w:color w:val="auto"/>
          <w:kern w:val="0"/>
          <w:sz w:val="24"/>
          <w:highlight w:val="none"/>
        </w:rPr>
        <w:t>投诉事项1：</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u w:val="single"/>
          <w:lang w:val="en-US" w:eastAsia="zh-CN"/>
        </w:rPr>
        <w:t xml:space="preserve"> </w:t>
      </w:r>
      <w:r>
        <w:rPr>
          <w:rFonts w:hint="eastAsia" w:ascii="宋体" w:hAnsi="宋体" w:cs="宋体"/>
          <w:bCs/>
          <w:color w:val="auto"/>
          <w:kern w:val="0"/>
          <w:sz w:val="24"/>
          <w:highlight w:val="none"/>
          <w:u w:val="single"/>
        </w:rPr>
        <w:t xml:space="preserve">       </w:t>
      </w:r>
    </w:p>
    <w:p w14:paraId="4F2D0F7E">
      <w:pPr>
        <w:spacing w:line="360" w:lineRule="auto"/>
        <w:ind w:firstLine="480" w:firstLineChars="200"/>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事实依据：</w:t>
      </w:r>
      <w:r>
        <w:rPr>
          <w:rFonts w:hint="eastAsia" w:ascii="宋体" w:hAnsi="宋体" w:cs="宋体"/>
          <w:color w:val="auto"/>
          <w:kern w:val="0"/>
          <w:sz w:val="24"/>
          <w:highlight w:val="none"/>
        </w:rPr>
        <w:t xml:space="preserve"> </w:t>
      </w:r>
      <w:r>
        <w:rPr>
          <w:rFonts w:hint="eastAsia" w:ascii="宋体" w:hAnsi="宋体" w:cs="宋体"/>
          <w:bCs/>
          <w:color w:val="auto"/>
          <w:kern w:val="0"/>
          <w:sz w:val="24"/>
          <w:highlight w:val="none"/>
          <w:u w:val="single"/>
        </w:rPr>
        <w:t xml:space="preserve">                                                                 </w:t>
      </w:r>
    </w:p>
    <w:p w14:paraId="79802933">
      <w:pPr>
        <w:spacing w:line="360" w:lineRule="auto"/>
        <w:ind w:left="25" w:leftChars="12" w:firstLine="472" w:firstLineChars="197"/>
        <w:rPr>
          <w:rFonts w:hint="eastAsia" w:ascii="宋体" w:hAnsi="宋体" w:cs="宋体"/>
          <w:color w:val="auto"/>
          <w:kern w:val="0"/>
          <w:sz w:val="24"/>
          <w:highlight w:val="none"/>
        </w:rPr>
      </w:pPr>
      <w:r>
        <w:rPr>
          <w:rFonts w:hint="eastAsia" w:ascii="宋体" w:hAnsi="宋体" w:cs="宋体"/>
          <w:bCs/>
          <w:color w:val="auto"/>
          <w:kern w:val="0"/>
          <w:sz w:val="24"/>
          <w:highlight w:val="none"/>
          <w:u w:val="single"/>
        </w:rPr>
        <w:t xml:space="preserve">                                                                            </w:t>
      </w:r>
    </w:p>
    <w:p w14:paraId="3041EA3E">
      <w:pPr>
        <w:spacing w:line="360" w:lineRule="auto"/>
        <w:ind w:firstLine="480" w:firstLineChars="200"/>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法律依据：</w:t>
      </w:r>
      <w:r>
        <w:rPr>
          <w:rFonts w:hint="eastAsia" w:ascii="宋体" w:hAnsi="宋体" w:cs="宋体"/>
          <w:color w:val="auto"/>
          <w:kern w:val="0"/>
          <w:sz w:val="24"/>
          <w:highlight w:val="none"/>
        </w:rPr>
        <w:t xml:space="preserve"> </w:t>
      </w:r>
      <w:r>
        <w:rPr>
          <w:rFonts w:hint="eastAsia" w:ascii="宋体" w:hAnsi="宋体" w:cs="宋体"/>
          <w:bCs/>
          <w:color w:val="auto"/>
          <w:kern w:val="0"/>
          <w:sz w:val="24"/>
          <w:highlight w:val="none"/>
          <w:u w:val="single"/>
        </w:rPr>
        <w:t xml:space="preserve">                                                                 </w:t>
      </w:r>
    </w:p>
    <w:p w14:paraId="5C922150">
      <w:pPr>
        <w:spacing w:line="360" w:lineRule="auto"/>
        <w:ind w:left="25" w:leftChars="12" w:firstLine="352" w:firstLineChars="147"/>
        <w:rPr>
          <w:rFonts w:hint="eastAsia" w:ascii="宋体" w:hAnsi="宋体" w:cs="宋体"/>
          <w:bCs/>
          <w:color w:val="auto"/>
          <w:kern w:val="0"/>
          <w:sz w:val="24"/>
          <w:highlight w:val="none"/>
          <w:u w:val="single"/>
        </w:rPr>
      </w:pPr>
      <w:r>
        <w:rPr>
          <w:rFonts w:hint="eastAsia" w:ascii="宋体" w:hAnsi="宋体" w:cs="宋体"/>
          <w:bCs/>
          <w:color w:val="auto"/>
          <w:kern w:val="0"/>
          <w:sz w:val="24"/>
          <w:highlight w:val="none"/>
        </w:rPr>
        <w:t xml:space="preserve"> </w:t>
      </w:r>
      <w:r>
        <w:rPr>
          <w:rFonts w:hint="eastAsia" w:ascii="宋体" w:hAnsi="宋体" w:cs="宋体"/>
          <w:bCs/>
          <w:color w:val="auto"/>
          <w:kern w:val="0"/>
          <w:sz w:val="24"/>
          <w:highlight w:val="none"/>
          <w:u w:val="single"/>
        </w:rPr>
        <w:t xml:space="preserve">                                                                            </w:t>
      </w:r>
    </w:p>
    <w:p w14:paraId="62E2CDFE">
      <w:pPr>
        <w:spacing w:line="360" w:lineRule="auto"/>
        <w:ind w:left="25" w:leftChars="12" w:firstLine="472" w:firstLineChars="197"/>
        <w:rPr>
          <w:rFonts w:hint="eastAsia" w:ascii="宋体" w:hAnsi="宋体" w:cs="宋体"/>
          <w:bCs/>
          <w:color w:val="auto"/>
          <w:kern w:val="0"/>
          <w:sz w:val="24"/>
          <w:highlight w:val="none"/>
        </w:rPr>
      </w:pPr>
      <w:r>
        <w:rPr>
          <w:rFonts w:hint="eastAsia" w:ascii="宋体" w:hAnsi="宋体" w:cs="宋体"/>
          <w:color w:val="auto"/>
          <w:kern w:val="0"/>
          <w:sz w:val="24"/>
          <w:highlight w:val="none"/>
        </w:rPr>
        <w:t xml:space="preserve">投诉事项2  </w:t>
      </w:r>
      <w:r>
        <w:rPr>
          <w:rFonts w:hint="eastAsia" w:ascii="宋体" w:hAnsi="宋体" w:cs="宋体"/>
          <w:bCs/>
          <w:color w:val="auto"/>
          <w:kern w:val="0"/>
          <w:sz w:val="24"/>
          <w:highlight w:val="none"/>
        </w:rPr>
        <w:t xml:space="preserve">   </w:t>
      </w:r>
    </w:p>
    <w:p w14:paraId="2D90DF62">
      <w:pPr>
        <w:spacing w:line="360" w:lineRule="auto"/>
        <w:ind w:left="25" w:leftChars="12" w:firstLine="472" w:firstLineChars="197"/>
        <w:rPr>
          <w:rFonts w:hint="eastAsia" w:ascii="宋体" w:hAnsi="宋体" w:cs="宋体"/>
          <w:bCs/>
          <w:color w:val="auto"/>
          <w:kern w:val="0"/>
          <w:sz w:val="24"/>
          <w:highlight w:val="none"/>
        </w:rPr>
      </w:pPr>
      <w:r>
        <w:rPr>
          <w:rFonts w:hint="eastAsia" w:ascii="宋体" w:hAnsi="宋体" w:cs="宋体"/>
          <w:bCs/>
          <w:color w:val="auto"/>
          <w:kern w:val="0"/>
          <w:sz w:val="24"/>
          <w:highlight w:val="none"/>
        </w:rPr>
        <w:t>……</w:t>
      </w:r>
    </w:p>
    <w:p w14:paraId="7D88F57E">
      <w:pPr>
        <w:spacing w:line="360" w:lineRule="auto"/>
        <w:ind w:left="25" w:leftChars="12" w:firstLine="472" w:firstLineChars="196"/>
        <w:rPr>
          <w:rFonts w:hint="eastAsia" w:ascii="宋体" w:hAnsi="宋体" w:cs="宋体"/>
          <w:b/>
          <w:color w:val="auto"/>
          <w:kern w:val="0"/>
          <w:sz w:val="24"/>
          <w:highlight w:val="none"/>
        </w:rPr>
      </w:pPr>
      <w:r>
        <w:rPr>
          <w:rFonts w:hint="eastAsia" w:ascii="宋体" w:hAnsi="宋体" w:cs="宋体"/>
          <w:b/>
          <w:color w:val="auto"/>
          <w:kern w:val="0"/>
          <w:sz w:val="24"/>
          <w:highlight w:val="none"/>
        </w:rPr>
        <w:t>五、与投诉事项相关的投诉请求：</w:t>
      </w:r>
    </w:p>
    <w:p w14:paraId="27B0CD88">
      <w:pPr>
        <w:spacing w:line="360" w:lineRule="auto"/>
        <w:ind w:left="25" w:leftChars="12" w:firstLine="472" w:firstLineChars="197"/>
        <w:rPr>
          <w:rFonts w:hint="eastAsia" w:ascii="宋体" w:hAnsi="宋体" w:cs="宋体"/>
          <w:color w:val="auto"/>
          <w:kern w:val="0"/>
          <w:sz w:val="24"/>
          <w:highlight w:val="none"/>
        </w:rPr>
      </w:pPr>
      <w:r>
        <w:rPr>
          <w:rFonts w:hint="eastAsia" w:ascii="宋体" w:hAnsi="宋体" w:cs="宋体"/>
          <w:color w:val="auto"/>
          <w:kern w:val="0"/>
          <w:sz w:val="24"/>
          <w:highlight w:val="none"/>
        </w:rPr>
        <w:t>请求：</w:t>
      </w:r>
      <w:r>
        <w:rPr>
          <w:rFonts w:hint="eastAsia" w:ascii="宋体" w:hAnsi="宋体" w:cs="宋体"/>
          <w:bCs/>
          <w:color w:val="auto"/>
          <w:kern w:val="0"/>
          <w:sz w:val="24"/>
          <w:highlight w:val="none"/>
          <w:u w:val="single"/>
        </w:rPr>
        <w:t xml:space="preserve">                                                                      </w:t>
      </w:r>
    </w:p>
    <w:p w14:paraId="2CE83C4A">
      <w:pPr>
        <w:spacing w:line="360" w:lineRule="auto"/>
        <w:ind w:left="25" w:leftChars="12" w:firstLine="352" w:firstLineChars="147"/>
        <w:rPr>
          <w:rFonts w:hint="eastAsia" w:ascii="宋体" w:hAnsi="宋体" w:cs="宋体"/>
          <w:color w:val="auto"/>
          <w:kern w:val="0"/>
          <w:sz w:val="24"/>
          <w:highlight w:val="none"/>
        </w:rPr>
      </w:pPr>
    </w:p>
    <w:p w14:paraId="6C2265A3">
      <w:pPr>
        <w:spacing w:line="360" w:lineRule="auto"/>
        <w:ind w:left="25" w:leftChars="12" w:firstLine="472" w:firstLineChars="197"/>
        <w:rPr>
          <w:rFonts w:hint="eastAsia" w:ascii="宋体" w:hAnsi="宋体" w:cs="宋体"/>
          <w:color w:val="auto"/>
          <w:kern w:val="0"/>
          <w:sz w:val="24"/>
          <w:highlight w:val="none"/>
        </w:rPr>
      </w:pPr>
      <w:r>
        <w:rPr>
          <w:rFonts w:hint="eastAsia" w:ascii="宋体" w:hAnsi="宋体" w:cs="宋体"/>
          <w:color w:val="auto"/>
          <w:kern w:val="0"/>
          <w:sz w:val="24"/>
          <w:highlight w:val="none"/>
        </w:rPr>
        <w:t>签字（签章）：                                       公章：</w:t>
      </w:r>
    </w:p>
    <w:p w14:paraId="33E55E31">
      <w:pPr>
        <w:spacing w:line="360" w:lineRule="auto"/>
        <w:ind w:left="25" w:leftChars="12" w:firstLine="352" w:firstLineChars="147"/>
        <w:rPr>
          <w:rFonts w:hint="eastAsia" w:ascii="宋体" w:hAnsi="宋体" w:cs="宋体"/>
          <w:color w:val="auto"/>
          <w:kern w:val="0"/>
          <w:sz w:val="24"/>
          <w:highlight w:val="none"/>
        </w:rPr>
      </w:pPr>
    </w:p>
    <w:p w14:paraId="32E26EC8">
      <w:pPr>
        <w:spacing w:line="360" w:lineRule="auto"/>
        <w:ind w:left="25" w:leftChars="12" w:firstLine="472" w:firstLineChars="197"/>
        <w:rPr>
          <w:rFonts w:hint="eastAsia" w:ascii="宋体" w:hAnsi="宋体" w:cs="宋体"/>
          <w:color w:val="auto"/>
          <w:kern w:val="0"/>
          <w:sz w:val="24"/>
          <w:highlight w:val="none"/>
        </w:rPr>
      </w:pPr>
      <w:r>
        <w:rPr>
          <w:rFonts w:hint="eastAsia" w:ascii="宋体" w:hAnsi="宋体" w:cs="宋体"/>
          <w:color w:val="auto"/>
          <w:kern w:val="0"/>
          <w:sz w:val="24"/>
          <w:highlight w:val="none"/>
        </w:rPr>
        <w:t>日期：</w:t>
      </w:r>
    </w:p>
    <w:p w14:paraId="13FBE353">
      <w:pPr>
        <w:spacing w:line="360" w:lineRule="auto"/>
        <w:ind w:left="25" w:leftChars="12" w:firstLine="472" w:firstLineChars="197"/>
        <w:rPr>
          <w:rFonts w:hint="eastAsia" w:ascii="宋体" w:hAnsi="宋体" w:cs="宋体"/>
          <w:color w:val="auto"/>
          <w:kern w:val="0"/>
          <w:sz w:val="24"/>
          <w:highlight w:val="none"/>
        </w:rPr>
      </w:pPr>
    </w:p>
    <w:p w14:paraId="3D05CA46">
      <w:pPr>
        <w:snapToGrid w:val="0"/>
        <w:spacing w:line="360" w:lineRule="auto"/>
        <w:rPr>
          <w:rFonts w:hint="eastAsia" w:ascii="宋体" w:hAnsi="宋体" w:cs="宋体"/>
          <w:b/>
          <w:color w:val="auto"/>
          <w:kern w:val="0"/>
          <w:sz w:val="24"/>
          <w:highlight w:val="none"/>
        </w:rPr>
      </w:pPr>
    </w:p>
    <w:p w14:paraId="64E00625">
      <w:pPr>
        <w:snapToGrid w:val="0"/>
        <w:spacing w:line="360" w:lineRule="auto"/>
        <w:rPr>
          <w:rFonts w:hint="eastAsia" w:ascii="宋体" w:hAnsi="宋体" w:cs="宋体"/>
          <w:b/>
          <w:color w:val="auto"/>
          <w:kern w:val="0"/>
          <w:sz w:val="24"/>
          <w:highlight w:val="none"/>
        </w:rPr>
      </w:pPr>
      <w:r>
        <w:rPr>
          <w:rFonts w:hint="eastAsia" w:ascii="宋体" w:hAnsi="宋体" w:cs="宋体"/>
          <w:b/>
          <w:color w:val="auto"/>
          <w:kern w:val="0"/>
          <w:sz w:val="24"/>
          <w:highlight w:val="none"/>
        </w:rPr>
        <w:t>说明：</w:t>
      </w:r>
    </w:p>
    <w:p w14:paraId="0A3CA7FA">
      <w:pPr>
        <w:spacing w:line="360" w:lineRule="auto"/>
        <w:ind w:left="25" w:leftChars="12" w:firstLine="354" w:firstLineChars="147"/>
        <w:rPr>
          <w:rFonts w:hint="eastAsia" w:ascii="宋体" w:hAnsi="宋体" w:cs="宋体"/>
          <w:b/>
          <w:bCs/>
          <w:color w:val="auto"/>
          <w:kern w:val="0"/>
          <w:sz w:val="24"/>
          <w:highlight w:val="none"/>
        </w:rPr>
      </w:pPr>
      <w:r>
        <w:rPr>
          <w:rFonts w:hint="eastAsia" w:ascii="宋体" w:hAnsi="宋体" w:cs="宋体"/>
          <w:b/>
          <w:color w:val="auto"/>
          <w:kern w:val="0"/>
          <w:sz w:val="24"/>
          <w:highlight w:val="none"/>
        </w:rPr>
        <w:t>1.投诉人提起投诉时，应当提交投诉书和必要的证明材料，并按照被投诉人和与投诉事项有关的供应商数量提供投诉书副本</w:t>
      </w:r>
      <w:r>
        <w:rPr>
          <w:rFonts w:hint="eastAsia" w:ascii="宋体" w:hAnsi="宋体" w:cs="宋体"/>
          <w:b/>
          <w:bCs/>
          <w:color w:val="auto"/>
          <w:kern w:val="0"/>
          <w:sz w:val="24"/>
          <w:highlight w:val="none"/>
        </w:rPr>
        <w:t>。</w:t>
      </w:r>
    </w:p>
    <w:p w14:paraId="763F5697">
      <w:pPr>
        <w:spacing w:line="360" w:lineRule="auto"/>
        <w:ind w:left="25" w:leftChars="12" w:firstLine="354" w:firstLineChars="147"/>
        <w:rPr>
          <w:rFonts w:hint="eastAsia" w:ascii="宋体" w:hAnsi="宋体" w:cs="宋体"/>
          <w:b/>
          <w:color w:val="auto"/>
          <w:kern w:val="0"/>
          <w:sz w:val="24"/>
          <w:highlight w:val="none"/>
        </w:rPr>
      </w:pPr>
      <w:r>
        <w:rPr>
          <w:rFonts w:hint="eastAsia" w:ascii="宋体" w:hAnsi="宋体" w:cs="宋体"/>
          <w:b/>
          <w:color w:val="auto"/>
          <w:kern w:val="0"/>
          <w:sz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1FF0117">
      <w:pPr>
        <w:spacing w:line="360" w:lineRule="auto"/>
        <w:ind w:left="25" w:leftChars="12" w:firstLine="354" w:firstLineChars="147"/>
        <w:rPr>
          <w:rFonts w:hint="eastAsia" w:ascii="宋体" w:hAnsi="宋体" w:cs="宋体"/>
          <w:b/>
          <w:color w:val="auto"/>
          <w:kern w:val="0"/>
          <w:sz w:val="24"/>
          <w:highlight w:val="none"/>
        </w:rPr>
      </w:pPr>
      <w:r>
        <w:rPr>
          <w:rFonts w:hint="eastAsia" w:ascii="宋体" w:hAnsi="宋体" w:cs="宋体"/>
          <w:b/>
          <w:color w:val="auto"/>
          <w:kern w:val="0"/>
          <w:sz w:val="24"/>
          <w:highlight w:val="none"/>
        </w:rPr>
        <w:t>3.投诉书应简要列明质疑事项，质疑函、质疑答复等作为附件材料提供。</w:t>
      </w:r>
    </w:p>
    <w:p w14:paraId="116DD691">
      <w:pPr>
        <w:spacing w:line="360" w:lineRule="auto"/>
        <w:ind w:left="25" w:leftChars="12" w:firstLine="354" w:firstLineChars="147"/>
        <w:rPr>
          <w:rFonts w:hint="eastAsia" w:ascii="宋体" w:hAnsi="宋体" w:cs="宋体"/>
          <w:b/>
          <w:color w:val="auto"/>
          <w:kern w:val="0"/>
          <w:sz w:val="24"/>
          <w:highlight w:val="none"/>
        </w:rPr>
      </w:pPr>
      <w:r>
        <w:rPr>
          <w:rFonts w:hint="eastAsia" w:ascii="宋体" w:hAnsi="宋体" w:cs="宋体"/>
          <w:b/>
          <w:color w:val="auto"/>
          <w:kern w:val="0"/>
          <w:sz w:val="24"/>
          <w:highlight w:val="none"/>
        </w:rPr>
        <w:t>4.投诉书的投诉事项应具体、明确，并有必要的事实依据和法律依据。</w:t>
      </w:r>
    </w:p>
    <w:p w14:paraId="0EF37F06">
      <w:pPr>
        <w:spacing w:line="360" w:lineRule="auto"/>
        <w:ind w:left="25" w:leftChars="12" w:firstLine="354" w:firstLineChars="147"/>
        <w:rPr>
          <w:rFonts w:hint="eastAsia" w:ascii="宋体" w:hAnsi="宋体" w:cs="宋体"/>
          <w:b/>
          <w:color w:val="auto"/>
          <w:kern w:val="0"/>
          <w:sz w:val="24"/>
          <w:highlight w:val="none"/>
        </w:rPr>
      </w:pPr>
      <w:r>
        <w:rPr>
          <w:rFonts w:hint="eastAsia" w:ascii="宋体" w:hAnsi="宋体" w:cs="宋体"/>
          <w:b/>
          <w:color w:val="auto"/>
          <w:kern w:val="0"/>
          <w:sz w:val="24"/>
          <w:highlight w:val="none"/>
        </w:rPr>
        <w:t>5.投诉书的投诉请求应与投诉事项相关。</w:t>
      </w:r>
    </w:p>
    <w:p w14:paraId="5899EA38">
      <w:pPr>
        <w:spacing w:line="360" w:lineRule="auto"/>
        <w:ind w:left="25" w:leftChars="12" w:firstLine="354" w:firstLineChars="147"/>
        <w:rPr>
          <w:rFonts w:hint="eastAsia" w:ascii="宋体" w:hAnsi="宋体" w:cs="宋体"/>
          <w:color w:val="auto"/>
          <w:highlight w:val="none"/>
        </w:rPr>
      </w:pPr>
      <w:r>
        <w:rPr>
          <w:rFonts w:hint="eastAsia" w:ascii="宋体" w:hAnsi="宋体" w:cs="宋体"/>
          <w:b/>
          <w:color w:val="auto"/>
          <w:kern w:val="0"/>
          <w:sz w:val="24"/>
          <w:highlight w:val="none"/>
        </w:rPr>
        <w:t>6.投诉人为法人或者其他组织的，投诉书应由法定代表人、主要负责人，或者其授权代表签字或者盖章，并加盖公章。</w:t>
      </w:r>
    </w:p>
    <w:p w14:paraId="4881D480">
      <w:pPr>
        <w:rPr>
          <w:color w:val="auto"/>
          <w:highlight w:val="none"/>
        </w:rPr>
      </w:pPr>
    </w:p>
    <w:sectPr>
      <w:headerReference r:id="rId12" w:type="default"/>
      <w:footerReference r:id="rId13" w:type="default"/>
      <w:pgSz w:w="11911" w:h="16838"/>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0D58720-A8EA-4DA6-BC51-A4B8890D7B26}"/>
  </w:font>
  <w:font w:name="黑体">
    <w:panose1 w:val="02010609060101010101"/>
    <w:charset w:val="86"/>
    <w:family w:val="auto"/>
    <w:pitch w:val="default"/>
    <w:sig w:usb0="800002BF" w:usb1="38CF7CFA" w:usb2="00000016" w:usb3="00000000" w:csb0="00040001" w:csb1="00000000"/>
    <w:embedRegular r:id="rId2" w:fontKey="{DD3DB43F-CE81-4E7F-81A8-53F24175A273}"/>
  </w:font>
  <w:font w:name="Courier New">
    <w:panose1 w:val="02070309020205020404"/>
    <w:charset w:val="01"/>
    <w:family w:val="modern"/>
    <w:pitch w:val="default"/>
    <w:sig w:usb0="E0002EFF" w:usb1="C0007843" w:usb2="00000009" w:usb3="00000000" w:csb0="400001FF" w:csb1="FFFF0000"/>
    <w:embedRegular r:id="rId3" w:fontKey="{5D003784-C833-4C0E-9CD3-C559F73577C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C3961A2-58CE-4629-9D97-B9429FE49483}"/>
  </w:font>
  <w:font w:name="等线">
    <w:panose1 w:val="02010600030101010101"/>
    <w:charset w:val="86"/>
    <w:family w:val="auto"/>
    <w:pitch w:val="default"/>
    <w:sig w:usb0="A00002BF" w:usb1="38CF7CFA" w:usb2="00000016" w:usb3="00000000" w:csb0="0004000F" w:csb1="00000000"/>
    <w:embedRegular r:id="rId5" w:fontKey="{677C6895-ABB8-4949-9B68-A18BFFDF2119}"/>
  </w:font>
  <w:font w:name="Cambria">
    <w:panose1 w:val="02040503050406030204"/>
    <w:charset w:val="00"/>
    <w:family w:val="roman"/>
    <w:pitch w:val="default"/>
    <w:sig w:usb0="E00006FF" w:usb1="420024FF" w:usb2="02000000" w:usb3="00000000" w:csb0="2000019F" w:csb1="00000000"/>
    <w:embedRegular r:id="rId6" w:fontKey="{1CB9A7E7-FDA9-4BF2-A8FF-D0D57623746E}"/>
  </w:font>
  <w:font w:name="等线 Light">
    <w:panose1 w:val="02010600030101010101"/>
    <w:charset w:val="86"/>
    <w:family w:val="auto"/>
    <w:pitch w:val="default"/>
    <w:sig w:usb0="A00002BF" w:usb1="38CF7CFA" w:usb2="00000016" w:usb3="00000000" w:csb0="0004000F" w:csb1="00000000"/>
  </w:font>
  <w:font w:name="DejaVu Sans">
    <w:altName w:val="Times New Roman"/>
    <w:panose1 w:val="00000000000000000000"/>
    <w:charset w:val="00"/>
    <w:family w:val="roman"/>
    <w:pitch w:val="default"/>
    <w:sig w:usb0="00000000" w:usb1="00000000" w:usb2="00000008" w:usb3="00000000" w:csb0="000001FF" w:csb1="00000000"/>
  </w:font>
  <w:font w:name="方正黑体_GBK">
    <w:panose1 w:val="0201060001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9235C684-6F9F-4C53-8410-B4CA54E89F73}"/>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embedRegular r:id="rId8" w:fontKey="{E0F42CEB-65B4-425B-B960-5B2534F16738}"/>
  </w:font>
  <w:font w:name="Tahoma">
    <w:panose1 w:val="020B0604030504040204"/>
    <w:charset w:val="00"/>
    <w:family w:val="auto"/>
    <w:pitch w:val="default"/>
    <w:sig w:usb0="E1002EFF" w:usb1="C000605B" w:usb2="00000029" w:usb3="00000000" w:csb0="200101FF" w:csb1="20280000"/>
  </w:font>
  <w:font w:name="Helvetica">
    <w:altName w:val="Arial"/>
    <w:panose1 w:val="020B0604020202020204"/>
    <w:charset w:val="00"/>
    <w:family w:val="auto"/>
    <w:pitch w:val="default"/>
    <w:sig w:usb0="00000000" w:usb1="00000000" w:usb2="00000000" w:usb3="00000000" w:csb0="00000000" w:csb1="00000000"/>
    <w:embedRegular r:id="rId9" w:fontKey="{043AC698-10EC-41AE-B52A-28A011CCD621}"/>
  </w:font>
  <w:font w:name="Verdana">
    <w:panose1 w:val="020B0604030504040204"/>
    <w:charset w:val="00"/>
    <w:family w:val="swiss"/>
    <w:pitch w:val="default"/>
    <w:sig w:usb0="A00006FF" w:usb1="4000205B" w:usb2="00000010" w:usb3="00000000" w:csb0="2000019F" w:csb1="00000000"/>
    <w:embedRegular r:id="rId10" w:fontKey="{4858FE6E-7CD0-408E-BE09-666FE349247B}"/>
  </w:font>
  <w:font w:name="隶书">
    <w:panose1 w:val="02010509060101010101"/>
    <w:charset w:val="86"/>
    <w:family w:val="modern"/>
    <w:pitch w:val="default"/>
    <w:sig w:usb0="00000001" w:usb1="080E0000" w:usb2="00000000" w:usb3="00000000" w:csb0="00040000" w:csb1="00000000"/>
    <w:embedRegular r:id="rId11" w:fontKey="{696AC0F1-158D-4AF0-AF1F-D83DEEEDB2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5FA69">
    <w:pPr>
      <w:pStyle w:val="22"/>
      <w:jc w:val="center"/>
      <w:rPr>
        <w:rFonts w:ascii="Calibri" w:hAnsi="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29292">
    <w:pPr>
      <w:pStyle w:val="22"/>
      <w:framePr w:wrap="around" w:vAnchor="text" w:hAnchor="margin" w:xAlign="center" w:y="1"/>
      <w:rPr>
        <w:rStyle w:val="35"/>
        <w:rFonts w:ascii="Calibri" w:hAnsi="Calibri"/>
        <w:sz w:val="21"/>
      </w:rPr>
    </w:pPr>
    <w:r>
      <w:rPr>
        <w:rFonts w:ascii="Calibri" w:hAnsi="Calibri"/>
        <w:sz w:val="21"/>
      </w:rPr>
      <w:fldChar w:fldCharType="begin"/>
    </w:r>
    <w:r>
      <w:rPr>
        <w:rStyle w:val="35"/>
        <w:rFonts w:ascii="Calibri" w:hAnsi="Calibri"/>
        <w:sz w:val="21"/>
      </w:rPr>
      <w:instrText xml:space="preserve">PAGE  </w:instrText>
    </w:r>
    <w:r>
      <w:rPr>
        <w:rFonts w:ascii="Calibri" w:hAnsi="Calibri"/>
        <w:sz w:val="21"/>
      </w:rPr>
      <w:fldChar w:fldCharType="separate"/>
    </w:r>
    <w:r>
      <w:rPr>
        <w:rStyle w:val="35"/>
        <w:rFonts w:ascii="Calibri" w:hAnsi="Calibri"/>
        <w:sz w:val="21"/>
      </w:rPr>
      <w:t>0</w:t>
    </w:r>
    <w:r>
      <w:rPr>
        <w:rFonts w:ascii="Calibri" w:hAnsi="Calibri"/>
        <w:sz w:val="21"/>
      </w:rPr>
      <w:fldChar w:fldCharType="end"/>
    </w:r>
  </w:p>
  <w:p w14:paraId="589EAB5E">
    <w:pPr>
      <w:pStyle w:val="22"/>
      <w:rPr>
        <w:rFonts w:ascii="Calibri" w:hAnsi="Calibri"/>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B2C20">
    <w:pPr>
      <w:pStyle w:val="22"/>
      <w:tabs>
        <w:tab w:val="center" w:pos="4439"/>
        <w:tab w:val="clear" w:pos="4153"/>
      </w:tabs>
      <w:jc w:val="both"/>
      <w:rPr>
        <w:rFonts w:ascii="Calibri" w:hAnsi="Calibri"/>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86118D">
                          <w:pPr>
                            <w:pStyle w:val="22"/>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1">
                      <a:spAutoFit/>
                    </wps:bodyPr>
                  </wps:wsp>
                </a:graphicData>
              </a:graphic>
            </wp:anchor>
          </w:drawing>
        </mc:Choice>
        <mc:Fallback>
          <w:pict>
            <v:shape id="文本框 51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Ay05HLAQAAnAMAAA4AAAAAAAAAAQAgAAAAHgEAAGRycy9lMm9E&#10;b2MueG1sUEsFBgAAAAAGAAYAWQEAAFsFAAAAAA==&#10;">
              <v:fill on="f" focussize="0,0"/>
              <v:stroke on="f"/>
              <v:imagedata o:title=""/>
              <o:lock v:ext="edit" aspectratio="f"/>
              <v:textbox inset="0mm,0mm,0mm,0mm" style="mso-fit-shape-to-text:t;">
                <w:txbxContent>
                  <w:p w14:paraId="3786118D">
                    <w:pPr>
                      <w:pStyle w:val="22"/>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98A08">
    <w:pPr>
      <w:pStyle w:val="22"/>
      <w:tabs>
        <w:tab w:val="center" w:pos="4439"/>
        <w:tab w:val="clear" w:pos="4153"/>
      </w:tabs>
      <w:rPr>
        <w:rFonts w:ascii="Calibri" w:hAnsi="Calibri"/>
      </w:rPr>
    </w:pPr>
    <w:r>
      <w:rPr>
        <w:rFonts w:ascii="Calibri" w:hAnsi="Calibri"/>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3FD1DF">
                          <w:pPr>
                            <w:rPr>
                              <w:rFonts w:ascii="Calibri" w:hAnsi="Calibri"/>
                            </w:rPr>
                          </w:pPr>
                        </w:p>
                      </w:txbxContent>
                    </wps:txbx>
                    <wps:bodyPr wrap="none" lIns="0" tIns="0" rIns="0" bIns="0" upright="1">
                      <a:spAutoFit/>
                    </wps:bodyPr>
                  </wps:wsp>
                </a:graphicData>
              </a:graphic>
            </wp:anchor>
          </w:drawing>
        </mc:Choice>
        <mc:Fallback>
          <w:pict>
            <v:shape id="文本框 51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vjubLzAEAAJwDAAAOAAAAAAAAAAEAIAAAAB4BAABkcnMvZTJv&#10;RG9jLnhtbFBLBQYAAAAABgAGAFkBAABcBQAAAAA=&#10;">
              <v:fill on="f" focussize="0,0"/>
              <v:stroke on="f"/>
              <v:imagedata o:title=""/>
              <o:lock v:ext="edit" aspectratio="f"/>
              <v:textbox inset="0mm,0mm,0mm,0mm" style="mso-fit-shape-to-text:t;">
                <w:txbxContent>
                  <w:p w14:paraId="493FD1DF">
                    <w:pPr>
                      <w:rPr>
                        <w:rFonts w:ascii="Calibri" w:hAnsi="Calibri"/>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60ABE">
    <w:pPr>
      <w:pStyle w:val="22"/>
      <w:jc w:val="center"/>
      <w:rPr>
        <w:rFonts w:ascii="Calibri" w:hAnsi="Calibri"/>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EC3666">
                          <w:pPr>
                            <w:pStyle w:val="22"/>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wrap="none" lIns="0" tIns="0" rIns="0" bIns="0" upright="1">
                      <a:spAutoFit/>
                    </wps:bodyPr>
                  </wps:wsp>
                </a:graphicData>
              </a:graphic>
            </wp:anchor>
          </w:drawing>
        </mc:Choice>
        <mc:Fallback>
          <w:pict>
            <v:shape id="文本框 513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24GEKzAEAAJwDAAAOAAAAAAAAAAEAIAAAAB4BAABkcnMvZTJv&#10;RG9jLnhtbFBLBQYAAAAABgAGAFkBAABcBQAAAAA=&#10;">
              <v:fill on="f" focussize="0,0"/>
              <v:stroke on="f"/>
              <v:imagedata o:title=""/>
              <o:lock v:ext="edit" aspectratio="f"/>
              <v:textbox inset="0mm,0mm,0mm,0mm" style="mso-fit-shape-to-text:t;">
                <w:txbxContent>
                  <w:p w14:paraId="03EC3666">
                    <w:pPr>
                      <w:pStyle w:val="22"/>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p w14:paraId="2BB9C971">
    <w:pPr>
      <w:pStyle w:val="22"/>
      <w:rPr>
        <w:rFonts w:ascii="Calibri" w:hAnsi="Calibr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4613F">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D9C844">
                          <w:pPr>
                            <w:pStyle w:val="22"/>
                            <w:jc w:val="center"/>
                          </w:pPr>
                          <w:r>
                            <w:rPr>
                              <w:rFonts w:hint="eastAsia"/>
                            </w:rPr>
                            <w:fldChar w:fldCharType="begin"/>
                          </w:r>
                          <w:r>
                            <w:rPr>
                              <w:rFonts w:hint="eastAsia"/>
                            </w:rPr>
                            <w:instrText xml:space="preserve"> PAGE  \* MERGEFORMAT </w:instrText>
                          </w:r>
                          <w:r>
                            <w:rPr>
                              <w:rFonts w:hint="eastAsia"/>
                            </w:rPr>
                            <w:fldChar w:fldCharType="separate"/>
                          </w:r>
                          <w:r>
                            <w:t>87</w:t>
                          </w:r>
                          <w:r>
                            <w:rPr>
                              <w:rFonts w:hint="eastAsia"/>
                            </w:rPr>
                            <w:fldChar w:fldCharType="end"/>
                          </w:r>
                        </w:p>
                      </w:txbxContent>
                    </wps:txbx>
                    <wps:bodyPr wrap="none" lIns="0" tIns="0" rIns="0" bIns="0" upright="1">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Q6w3RzAEAAJwDAAAOAAAAAAAAAAEAIAAAAB4BAABkcnMvZTJv&#10;RG9jLnhtbFBLBQYAAAAABgAGAFkBAABcBQAAAAA=&#10;">
              <v:fill on="f" focussize="0,0"/>
              <v:stroke on="f"/>
              <v:imagedata o:title=""/>
              <o:lock v:ext="edit" aspectratio="f"/>
              <v:textbox inset="0mm,0mm,0mm,0mm" style="mso-fit-shape-to-text:t;">
                <w:txbxContent>
                  <w:p w14:paraId="49D9C844">
                    <w:pPr>
                      <w:pStyle w:val="22"/>
                      <w:jc w:val="center"/>
                    </w:pPr>
                    <w:r>
                      <w:rPr>
                        <w:rFonts w:hint="eastAsia"/>
                      </w:rPr>
                      <w:fldChar w:fldCharType="begin"/>
                    </w:r>
                    <w:r>
                      <w:rPr>
                        <w:rFonts w:hint="eastAsia"/>
                      </w:rPr>
                      <w:instrText xml:space="preserve"> PAGE  \* MERGEFORMAT </w:instrText>
                    </w:r>
                    <w:r>
                      <w:rPr>
                        <w:rFonts w:hint="eastAsia"/>
                      </w:rPr>
                      <w:fldChar w:fldCharType="separate"/>
                    </w:r>
                    <w:r>
                      <w:t>87</w:t>
                    </w:r>
                    <w:r>
                      <w:rPr>
                        <w:rFonts w:hint="eastAsia"/>
                      </w:rPr>
                      <w:fldChar w:fldCharType="end"/>
                    </w:r>
                  </w:p>
                </w:txbxContent>
              </v:textbox>
            </v:shape>
          </w:pict>
        </mc:Fallback>
      </mc:AlternateContent>
    </w:r>
  </w:p>
  <w:p w14:paraId="65BA8D78">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894DA">
    <w:pPr>
      <w:pStyle w:val="23"/>
      <w:tabs>
        <w:tab w:val="center" w:pos="0"/>
        <w:tab w:val="clear" w:pos="4153"/>
      </w:tabs>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526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F3AA0">
    <w:pPr>
      <w:pStyle w:val="23"/>
      <w:tabs>
        <w:tab w:val="center" w:pos="0"/>
        <w:tab w:val="clear" w:pos="4153"/>
      </w:tabs>
      <w:rPr>
        <w:rFonts w:ascii="Calibri" w:hAnsi="Calibri"/>
      </w:rPr>
    </w:pPr>
    <w:r>
      <w:rPr>
        <w:rFonts w:hint="eastAsia" w:ascii="Calibri" w:hAnsi="Calibri"/>
      </w:rPr>
      <w:t>南宁市政府采购竞争性磋商采购文件（项目编号：NNZC2021-C3--KLZB）</w:t>
    </w:r>
  </w:p>
  <w:p w14:paraId="6CA6CE29">
    <w:pPr>
      <w:pStyle w:val="23"/>
      <w:pBdr>
        <w:bottom w:val="none" w:color="auto" w:sz="0" w:space="1"/>
      </w:pBdr>
      <w:rPr>
        <w:rFonts w:ascii="Calibri" w:hAnsi="Calibr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1B50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8A9E8">
    <w:pPr>
      <w:pStyle w:val="23"/>
      <w:tabs>
        <w:tab w:val="center" w:pos="0"/>
        <w:tab w:val="clear" w:pos="4153"/>
      </w:tabs>
    </w:pPr>
    <w:r>
      <w:rPr>
        <w:vanish/>
        <w:highlight w:val="yellow"/>
      </w:rPr>
      <w:t>&gt;</w:t>
    </w:r>
  </w:p>
  <w:p w14:paraId="7CC7C455">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EC241D"/>
    <w:multiLevelType w:val="singleLevel"/>
    <w:tmpl w:val="D7EC241D"/>
    <w:lvl w:ilvl="0" w:tentative="0">
      <w:start w:val="1"/>
      <w:numFmt w:val="decimal"/>
      <w:suff w:val="nothing"/>
      <w:lvlText w:val="（%1）"/>
      <w:lvlJc w:val="left"/>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595501A"/>
    <w:multiLevelType w:val="multilevel"/>
    <w:tmpl w:val="0595501A"/>
    <w:lvl w:ilvl="0" w:tentative="0">
      <w:start w:val="1"/>
      <w:numFmt w:val="decimal"/>
      <w:suff w:val="space"/>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pStyle w:val="91"/>
      <w:isLgl/>
      <w:suff w:val="space"/>
      <w:lvlText w:val="%1.%2.%3"/>
      <w:lvlJc w:val="left"/>
      <w:pPr>
        <w:ind w:left="0" w:firstLine="0"/>
      </w:pPr>
      <w:rPr>
        <w:rFonts w:hint="eastAsia"/>
        <w:b w:val="0"/>
        <w:i w:val="0"/>
        <w:color w:val="auto"/>
      </w:rPr>
    </w:lvl>
    <w:lvl w:ilvl="3" w:tentative="0">
      <w:start w:val="1"/>
      <w:numFmt w:val="decimal"/>
      <w:isLgl/>
      <w:suff w:val="space"/>
      <w:lvlText w:val="%1.%2.%3.%4"/>
      <w:lvlJc w:val="left"/>
      <w:pPr>
        <w:ind w:left="0" w:firstLine="0"/>
      </w:pPr>
      <w:rPr>
        <w:rFonts w:hint="eastAsia"/>
      </w:rPr>
    </w:lvl>
    <w:lvl w:ilvl="4" w:tentative="0">
      <w:start w:val="1"/>
      <w:numFmt w:val="decimal"/>
      <w:isLgl/>
      <w:lvlText w:val="%1.%2.%3.%4.%5"/>
      <w:lvlJc w:val="left"/>
      <w:pPr>
        <w:tabs>
          <w:tab w:val="left" w:pos="0"/>
        </w:tabs>
        <w:ind w:left="0" w:firstLine="0"/>
      </w:pPr>
      <w:rPr>
        <w:rFonts w:hint="eastAsia"/>
      </w:rPr>
    </w:lvl>
    <w:lvl w:ilvl="5" w:tentative="0">
      <w:start w:val="1"/>
      <w:numFmt w:val="decimal"/>
      <w:lvlText w:val="%1.%2.%3.%4.%5.%6"/>
      <w:lvlJc w:val="left"/>
      <w:pPr>
        <w:tabs>
          <w:tab w:val="left" w:pos="6086"/>
        </w:tabs>
        <w:ind w:left="3260" w:hanging="1134"/>
      </w:pPr>
      <w:rPr>
        <w:rFonts w:hint="eastAsia"/>
      </w:rPr>
    </w:lvl>
    <w:lvl w:ilvl="6" w:tentative="0">
      <w:start w:val="1"/>
      <w:numFmt w:val="decimal"/>
      <w:lvlText w:val="%1.%2.%3.%4.%5.%6.%7"/>
      <w:lvlJc w:val="left"/>
      <w:pPr>
        <w:tabs>
          <w:tab w:val="left" w:pos="7231"/>
        </w:tabs>
        <w:ind w:left="3827" w:hanging="1276"/>
      </w:pPr>
      <w:rPr>
        <w:rFonts w:hint="eastAsia"/>
      </w:rPr>
    </w:lvl>
    <w:lvl w:ilvl="7" w:tentative="0">
      <w:start w:val="1"/>
      <w:numFmt w:val="decimal"/>
      <w:lvlText w:val="%1.%2.%3.%4.%5.%6.%7.%8"/>
      <w:lvlJc w:val="left"/>
      <w:pPr>
        <w:tabs>
          <w:tab w:val="left" w:pos="8376"/>
        </w:tabs>
        <w:ind w:left="4394" w:hanging="1418"/>
      </w:pPr>
      <w:rPr>
        <w:rFonts w:hint="eastAsia"/>
      </w:rPr>
    </w:lvl>
    <w:lvl w:ilvl="8" w:tentative="0">
      <w:start w:val="1"/>
      <w:numFmt w:val="decimal"/>
      <w:lvlText w:val="%1.%2.%3.%4.%5.%6.%7.%8.%9"/>
      <w:lvlJc w:val="left"/>
      <w:pPr>
        <w:tabs>
          <w:tab w:val="left" w:pos="9522"/>
        </w:tabs>
        <w:ind w:left="5102" w:hanging="1700"/>
      </w:pPr>
      <w:rPr>
        <w:rFonts w:hint="eastAsia"/>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xYTk0ZGU5ZDE4N2M5ZmYyYjY0ZTI0Yzg5OTVhNjMifQ=="/>
  </w:docVars>
  <w:rsids>
    <w:rsidRoot w:val="00F34B14"/>
    <w:rsid w:val="00000672"/>
    <w:rsid w:val="00001013"/>
    <w:rsid w:val="00001799"/>
    <w:rsid w:val="00001AF2"/>
    <w:rsid w:val="00001ECA"/>
    <w:rsid w:val="00002D29"/>
    <w:rsid w:val="00003B93"/>
    <w:rsid w:val="0000474D"/>
    <w:rsid w:val="00005FDF"/>
    <w:rsid w:val="000070B3"/>
    <w:rsid w:val="000076B8"/>
    <w:rsid w:val="00010204"/>
    <w:rsid w:val="0001047A"/>
    <w:rsid w:val="000109DC"/>
    <w:rsid w:val="00010D39"/>
    <w:rsid w:val="0001172C"/>
    <w:rsid w:val="00011A4D"/>
    <w:rsid w:val="00011BC9"/>
    <w:rsid w:val="00012854"/>
    <w:rsid w:val="00012EA6"/>
    <w:rsid w:val="00013359"/>
    <w:rsid w:val="000139CF"/>
    <w:rsid w:val="00013AA4"/>
    <w:rsid w:val="00013DFE"/>
    <w:rsid w:val="000141EA"/>
    <w:rsid w:val="00015094"/>
    <w:rsid w:val="00016ABC"/>
    <w:rsid w:val="000176C5"/>
    <w:rsid w:val="000177DB"/>
    <w:rsid w:val="000179C9"/>
    <w:rsid w:val="00017CCC"/>
    <w:rsid w:val="00020227"/>
    <w:rsid w:val="00020263"/>
    <w:rsid w:val="00020455"/>
    <w:rsid w:val="00020527"/>
    <w:rsid w:val="00020813"/>
    <w:rsid w:val="000220B2"/>
    <w:rsid w:val="0002264C"/>
    <w:rsid w:val="00022731"/>
    <w:rsid w:val="00022792"/>
    <w:rsid w:val="00024463"/>
    <w:rsid w:val="00025461"/>
    <w:rsid w:val="00025636"/>
    <w:rsid w:val="00025E36"/>
    <w:rsid w:val="00026855"/>
    <w:rsid w:val="00026886"/>
    <w:rsid w:val="0002785D"/>
    <w:rsid w:val="000329E0"/>
    <w:rsid w:val="00032E5A"/>
    <w:rsid w:val="00034390"/>
    <w:rsid w:val="000352E9"/>
    <w:rsid w:val="00035494"/>
    <w:rsid w:val="00036125"/>
    <w:rsid w:val="00036A07"/>
    <w:rsid w:val="0003780B"/>
    <w:rsid w:val="00040571"/>
    <w:rsid w:val="00040973"/>
    <w:rsid w:val="0004156E"/>
    <w:rsid w:val="00041713"/>
    <w:rsid w:val="0004440C"/>
    <w:rsid w:val="000446E0"/>
    <w:rsid w:val="00046B5E"/>
    <w:rsid w:val="000470CB"/>
    <w:rsid w:val="000509D9"/>
    <w:rsid w:val="00051316"/>
    <w:rsid w:val="00051ACB"/>
    <w:rsid w:val="00052451"/>
    <w:rsid w:val="000533E7"/>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40"/>
    <w:rsid w:val="000707FD"/>
    <w:rsid w:val="00070949"/>
    <w:rsid w:val="000711E4"/>
    <w:rsid w:val="000724D9"/>
    <w:rsid w:val="00072AED"/>
    <w:rsid w:val="00073F47"/>
    <w:rsid w:val="0007492F"/>
    <w:rsid w:val="00074ED8"/>
    <w:rsid w:val="000752AF"/>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98F"/>
    <w:rsid w:val="000A3BB7"/>
    <w:rsid w:val="000A448C"/>
    <w:rsid w:val="000A509C"/>
    <w:rsid w:val="000A54A7"/>
    <w:rsid w:val="000A6007"/>
    <w:rsid w:val="000A65A6"/>
    <w:rsid w:val="000A70E3"/>
    <w:rsid w:val="000A7258"/>
    <w:rsid w:val="000A7275"/>
    <w:rsid w:val="000A7A12"/>
    <w:rsid w:val="000A7A72"/>
    <w:rsid w:val="000B1202"/>
    <w:rsid w:val="000B1801"/>
    <w:rsid w:val="000B1D0C"/>
    <w:rsid w:val="000B2273"/>
    <w:rsid w:val="000B2585"/>
    <w:rsid w:val="000B2BC6"/>
    <w:rsid w:val="000B2D03"/>
    <w:rsid w:val="000B3815"/>
    <w:rsid w:val="000B3C7B"/>
    <w:rsid w:val="000B4321"/>
    <w:rsid w:val="000B552E"/>
    <w:rsid w:val="000B6A6B"/>
    <w:rsid w:val="000B6C95"/>
    <w:rsid w:val="000B79FC"/>
    <w:rsid w:val="000B7BD1"/>
    <w:rsid w:val="000C02B1"/>
    <w:rsid w:val="000C1679"/>
    <w:rsid w:val="000C1EE3"/>
    <w:rsid w:val="000C3929"/>
    <w:rsid w:val="000C3AE7"/>
    <w:rsid w:val="000C3CC9"/>
    <w:rsid w:val="000C5ED6"/>
    <w:rsid w:val="000C6DE4"/>
    <w:rsid w:val="000C7202"/>
    <w:rsid w:val="000D0A89"/>
    <w:rsid w:val="000D0AFC"/>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7E5"/>
    <w:rsid w:val="000F1A1B"/>
    <w:rsid w:val="000F2A95"/>
    <w:rsid w:val="000F3281"/>
    <w:rsid w:val="000F32FD"/>
    <w:rsid w:val="000F3733"/>
    <w:rsid w:val="000F439E"/>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5B2"/>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1F43"/>
    <w:rsid w:val="00182862"/>
    <w:rsid w:val="00184F57"/>
    <w:rsid w:val="00185544"/>
    <w:rsid w:val="00185617"/>
    <w:rsid w:val="00186823"/>
    <w:rsid w:val="00186FE1"/>
    <w:rsid w:val="00187A14"/>
    <w:rsid w:val="0019171E"/>
    <w:rsid w:val="00192368"/>
    <w:rsid w:val="001923A0"/>
    <w:rsid w:val="001928B1"/>
    <w:rsid w:val="00193537"/>
    <w:rsid w:val="00193846"/>
    <w:rsid w:val="00194EC8"/>
    <w:rsid w:val="00194FE5"/>
    <w:rsid w:val="00195424"/>
    <w:rsid w:val="001955FF"/>
    <w:rsid w:val="00196D6E"/>
    <w:rsid w:val="00197EDD"/>
    <w:rsid w:val="001A02B3"/>
    <w:rsid w:val="001A04BB"/>
    <w:rsid w:val="001A08D0"/>
    <w:rsid w:val="001A1B39"/>
    <w:rsid w:val="001A1D7B"/>
    <w:rsid w:val="001A2120"/>
    <w:rsid w:val="001A28C6"/>
    <w:rsid w:val="001A2E69"/>
    <w:rsid w:val="001A3C34"/>
    <w:rsid w:val="001A3EDE"/>
    <w:rsid w:val="001A4222"/>
    <w:rsid w:val="001A50EA"/>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512"/>
    <w:rsid w:val="001B65D7"/>
    <w:rsid w:val="001B6752"/>
    <w:rsid w:val="001B6768"/>
    <w:rsid w:val="001B6F1F"/>
    <w:rsid w:val="001B7CD7"/>
    <w:rsid w:val="001B7ECC"/>
    <w:rsid w:val="001C025B"/>
    <w:rsid w:val="001C115F"/>
    <w:rsid w:val="001C1EAB"/>
    <w:rsid w:val="001C25A7"/>
    <w:rsid w:val="001C318C"/>
    <w:rsid w:val="001C35C4"/>
    <w:rsid w:val="001C4287"/>
    <w:rsid w:val="001C4479"/>
    <w:rsid w:val="001C5190"/>
    <w:rsid w:val="001C6081"/>
    <w:rsid w:val="001C6F1B"/>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B63"/>
    <w:rsid w:val="001E51BA"/>
    <w:rsid w:val="001E522E"/>
    <w:rsid w:val="001E5A94"/>
    <w:rsid w:val="001E5F6F"/>
    <w:rsid w:val="001F0373"/>
    <w:rsid w:val="001F2A2E"/>
    <w:rsid w:val="001F2BB8"/>
    <w:rsid w:val="001F3356"/>
    <w:rsid w:val="001F3C63"/>
    <w:rsid w:val="001F4460"/>
    <w:rsid w:val="001F4F4F"/>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060F"/>
    <w:rsid w:val="002114C7"/>
    <w:rsid w:val="0021302C"/>
    <w:rsid w:val="00213B1C"/>
    <w:rsid w:val="00214202"/>
    <w:rsid w:val="002148E3"/>
    <w:rsid w:val="00214FD7"/>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097B"/>
    <w:rsid w:val="00250A51"/>
    <w:rsid w:val="00251043"/>
    <w:rsid w:val="00251C4A"/>
    <w:rsid w:val="0025271C"/>
    <w:rsid w:val="002529E4"/>
    <w:rsid w:val="002533CD"/>
    <w:rsid w:val="002535EA"/>
    <w:rsid w:val="00253CBA"/>
    <w:rsid w:val="00254EAB"/>
    <w:rsid w:val="002557AF"/>
    <w:rsid w:val="0025589C"/>
    <w:rsid w:val="00255B62"/>
    <w:rsid w:val="002566B1"/>
    <w:rsid w:val="002575E3"/>
    <w:rsid w:val="00257A74"/>
    <w:rsid w:val="002603C1"/>
    <w:rsid w:val="002609A1"/>
    <w:rsid w:val="002612B1"/>
    <w:rsid w:val="00266165"/>
    <w:rsid w:val="002662FE"/>
    <w:rsid w:val="00266F2C"/>
    <w:rsid w:val="0027125E"/>
    <w:rsid w:val="00271767"/>
    <w:rsid w:val="00272293"/>
    <w:rsid w:val="002723C8"/>
    <w:rsid w:val="00273C2A"/>
    <w:rsid w:val="00273CBE"/>
    <w:rsid w:val="002746B1"/>
    <w:rsid w:val="00274BAD"/>
    <w:rsid w:val="002754D6"/>
    <w:rsid w:val="00282D56"/>
    <w:rsid w:val="002835B0"/>
    <w:rsid w:val="00283C74"/>
    <w:rsid w:val="0028407E"/>
    <w:rsid w:val="0028410F"/>
    <w:rsid w:val="00284572"/>
    <w:rsid w:val="00285221"/>
    <w:rsid w:val="00286FB5"/>
    <w:rsid w:val="00287763"/>
    <w:rsid w:val="00287FCB"/>
    <w:rsid w:val="00290606"/>
    <w:rsid w:val="002909B2"/>
    <w:rsid w:val="00290A98"/>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58D"/>
    <w:rsid w:val="002B0A16"/>
    <w:rsid w:val="002B0C16"/>
    <w:rsid w:val="002B2AC5"/>
    <w:rsid w:val="002B3528"/>
    <w:rsid w:val="002B3539"/>
    <w:rsid w:val="002B4532"/>
    <w:rsid w:val="002B4625"/>
    <w:rsid w:val="002B5042"/>
    <w:rsid w:val="002B69CC"/>
    <w:rsid w:val="002B6D71"/>
    <w:rsid w:val="002C0C1C"/>
    <w:rsid w:val="002C54C2"/>
    <w:rsid w:val="002C5D34"/>
    <w:rsid w:val="002C5D7F"/>
    <w:rsid w:val="002C60BB"/>
    <w:rsid w:val="002C661A"/>
    <w:rsid w:val="002D0D6F"/>
    <w:rsid w:val="002D25FC"/>
    <w:rsid w:val="002D4AC6"/>
    <w:rsid w:val="002D5BF5"/>
    <w:rsid w:val="002D5E31"/>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1A1E"/>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98D"/>
    <w:rsid w:val="00302EFC"/>
    <w:rsid w:val="00303243"/>
    <w:rsid w:val="00303BCC"/>
    <w:rsid w:val="00303F2B"/>
    <w:rsid w:val="00303F8D"/>
    <w:rsid w:val="0030572D"/>
    <w:rsid w:val="0030586A"/>
    <w:rsid w:val="003061E3"/>
    <w:rsid w:val="0030622D"/>
    <w:rsid w:val="00306811"/>
    <w:rsid w:val="00306F32"/>
    <w:rsid w:val="003074C5"/>
    <w:rsid w:val="00307A3C"/>
    <w:rsid w:val="00307FA4"/>
    <w:rsid w:val="00310290"/>
    <w:rsid w:val="0031083D"/>
    <w:rsid w:val="00310CC1"/>
    <w:rsid w:val="00311B60"/>
    <w:rsid w:val="00312504"/>
    <w:rsid w:val="00313026"/>
    <w:rsid w:val="00313913"/>
    <w:rsid w:val="0031421F"/>
    <w:rsid w:val="00314B31"/>
    <w:rsid w:val="00315A65"/>
    <w:rsid w:val="003165D7"/>
    <w:rsid w:val="0031683B"/>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BCB"/>
    <w:rsid w:val="00335EA1"/>
    <w:rsid w:val="0033691E"/>
    <w:rsid w:val="00336A6A"/>
    <w:rsid w:val="00336CCB"/>
    <w:rsid w:val="003411D1"/>
    <w:rsid w:val="003416BA"/>
    <w:rsid w:val="00342148"/>
    <w:rsid w:val="00342F99"/>
    <w:rsid w:val="0034575A"/>
    <w:rsid w:val="00345F57"/>
    <w:rsid w:val="0034638A"/>
    <w:rsid w:val="00350458"/>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1F7"/>
    <w:rsid w:val="00370316"/>
    <w:rsid w:val="00370DC7"/>
    <w:rsid w:val="00371CBD"/>
    <w:rsid w:val="00371F20"/>
    <w:rsid w:val="003721E3"/>
    <w:rsid w:val="00372B98"/>
    <w:rsid w:val="003737B7"/>
    <w:rsid w:val="003740CC"/>
    <w:rsid w:val="003745F4"/>
    <w:rsid w:val="00374AFA"/>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538A"/>
    <w:rsid w:val="003B5E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01E8"/>
    <w:rsid w:val="00402332"/>
    <w:rsid w:val="004025C2"/>
    <w:rsid w:val="00403195"/>
    <w:rsid w:val="004033A9"/>
    <w:rsid w:val="00403E55"/>
    <w:rsid w:val="0040407C"/>
    <w:rsid w:val="0040416C"/>
    <w:rsid w:val="00404681"/>
    <w:rsid w:val="00405AC1"/>
    <w:rsid w:val="00406923"/>
    <w:rsid w:val="0040763D"/>
    <w:rsid w:val="004107DD"/>
    <w:rsid w:val="00410D17"/>
    <w:rsid w:val="00413442"/>
    <w:rsid w:val="00413821"/>
    <w:rsid w:val="00413BA5"/>
    <w:rsid w:val="004141A3"/>
    <w:rsid w:val="00414909"/>
    <w:rsid w:val="0041582F"/>
    <w:rsid w:val="00416112"/>
    <w:rsid w:val="00416AC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5CEA"/>
    <w:rsid w:val="004360C8"/>
    <w:rsid w:val="004371D5"/>
    <w:rsid w:val="0044006B"/>
    <w:rsid w:val="0044033F"/>
    <w:rsid w:val="00440630"/>
    <w:rsid w:val="00441F0F"/>
    <w:rsid w:val="00442965"/>
    <w:rsid w:val="00443367"/>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1B9"/>
    <w:rsid w:val="0045444D"/>
    <w:rsid w:val="0045463A"/>
    <w:rsid w:val="00454AC9"/>
    <w:rsid w:val="00455050"/>
    <w:rsid w:val="004554A3"/>
    <w:rsid w:val="0045556F"/>
    <w:rsid w:val="00455A6E"/>
    <w:rsid w:val="00455EAD"/>
    <w:rsid w:val="00456783"/>
    <w:rsid w:val="004578EB"/>
    <w:rsid w:val="004604D5"/>
    <w:rsid w:val="00460697"/>
    <w:rsid w:val="0046117B"/>
    <w:rsid w:val="00464AB7"/>
    <w:rsid w:val="00465DE5"/>
    <w:rsid w:val="00467EF8"/>
    <w:rsid w:val="00472429"/>
    <w:rsid w:val="004725E5"/>
    <w:rsid w:val="00472751"/>
    <w:rsid w:val="00473128"/>
    <w:rsid w:val="00473263"/>
    <w:rsid w:val="00475078"/>
    <w:rsid w:val="00475767"/>
    <w:rsid w:val="004769E3"/>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D60"/>
    <w:rsid w:val="00491FA1"/>
    <w:rsid w:val="00492A25"/>
    <w:rsid w:val="004938A3"/>
    <w:rsid w:val="0049558B"/>
    <w:rsid w:val="00496350"/>
    <w:rsid w:val="00496D31"/>
    <w:rsid w:val="004974B1"/>
    <w:rsid w:val="0049797C"/>
    <w:rsid w:val="004A00E1"/>
    <w:rsid w:val="004A0943"/>
    <w:rsid w:val="004A1405"/>
    <w:rsid w:val="004A1FC6"/>
    <w:rsid w:val="004A2E5F"/>
    <w:rsid w:val="004A32EC"/>
    <w:rsid w:val="004A38C2"/>
    <w:rsid w:val="004A3C03"/>
    <w:rsid w:val="004A3DB7"/>
    <w:rsid w:val="004A5088"/>
    <w:rsid w:val="004A5255"/>
    <w:rsid w:val="004A6CB0"/>
    <w:rsid w:val="004A70FF"/>
    <w:rsid w:val="004A7EDE"/>
    <w:rsid w:val="004B0D93"/>
    <w:rsid w:val="004B1FA4"/>
    <w:rsid w:val="004B29AC"/>
    <w:rsid w:val="004B35DF"/>
    <w:rsid w:val="004B3627"/>
    <w:rsid w:val="004B4922"/>
    <w:rsid w:val="004B54AF"/>
    <w:rsid w:val="004B57DF"/>
    <w:rsid w:val="004B5976"/>
    <w:rsid w:val="004B7137"/>
    <w:rsid w:val="004B722E"/>
    <w:rsid w:val="004B72E8"/>
    <w:rsid w:val="004C01A5"/>
    <w:rsid w:val="004C0412"/>
    <w:rsid w:val="004C1142"/>
    <w:rsid w:val="004C2138"/>
    <w:rsid w:val="004C2333"/>
    <w:rsid w:val="004C3940"/>
    <w:rsid w:val="004C51FD"/>
    <w:rsid w:val="004C65A8"/>
    <w:rsid w:val="004C65C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48"/>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5450"/>
    <w:rsid w:val="00505CC4"/>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39D"/>
    <w:rsid w:val="005224EE"/>
    <w:rsid w:val="005225F6"/>
    <w:rsid w:val="005227DE"/>
    <w:rsid w:val="00522879"/>
    <w:rsid w:val="00523BB1"/>
    <w:rsid w:val="0052570E"/>
    <w:rsid w:val="005260CD"/>
    <w:rsid w:val="00526265"/>
    <w:rsid w:val="0052655D"/>
    <w:rsid w:val="005265E0"/>
    <w:rsid w:val="00526BC3"/>
    <w:rsid w:val="00531761"/>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3733"/>
    <w:rsid w:val="00573F8B"/>
    <w:rsid w:val="00574554"/>
    <w:rsid w:val="00574E06"/>
    <w:rsid w:val="005751BB"/>
    <w:rsid w:val="00576089"/>
    <w:rsid w:val="005764B1"/>
    <w:rsid w:val="00576852"/>
    <w:rsid w:val="00576D06"/>
    <w:rsid w:val="00577287"/>
    <w:rsid w:val="005779E4"/>
    <w:rsid w:val="00577F9F"/>
    <w:rsid w:val="00580093"/>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32F"/>
    <w:rsid w:val="005A252B"/>
    <w:rsid w:val="005A2A8F"/>
    <w:rsid w:val="005A3204"/>
    <w:rsid w:val="005A3341"/>
    <w:rsid w:val="005A3C3D"/>
    <w:rsid w:val="005A46EC"/>
    <w:rsid w:val="005A5EAE"/>
    <w:rsid w:val="005A6407"/>
    <w:rsid w:val="005A726C"/>
    <w:rsid w:val="005B07EC"/>
    <w:rsid w:val="005B222F"/>
    <w:rsid w:val="005B2B11"/>
    <w:rsid w:val="005B32A4"/>
    <w:rsid w:val="005B3371"/>
    <w:rsid w:val="005B338D"/>
    <w:rsid w:val="005B36D7"/>
    <w:rsid w:val="005B3BAF"/>
    <w:rsid w:val="005B4DA3"/>
    <w:rsid w:val="005B5362"/>
    <w:rsid w:val="005B5BEE"/>
    <w:rsid w:val="005B77D2"/>
    <w:rsid w:val="005C019B"/>
    <w:rsid w:val="005C08D0"/>
    <w:rsid w:val="005C1AED"/>
    <w:rsid w:val="005C30F5"/>
    <w:rsid w:val="005C51A5"/>
    <w:rsid w:val="005C557A"/>
    <w:rsid w:val="005C566F"/>
    <w:rsid w:val="005C5C47"/>
    <w:rsid w:val="005C61DD"/>
    <w:rsid w:val="005C6438"/>
    <w:rsid w:val="005C6B8B"/>
    <w:rsid w:val="005C727F"/>
    <w:rsid w:val="005C7FAD"/>
    <w:rsid w:val="005D02E3"/>
    <w:rsid w:val="005D1F34"/>
    <w:rsid w:val="005D2C1F"/>
    <w:rsid w:val="005D2DE8"/>
    <w:rsid w:val="005D34B2"/>
    <w:rsid w:val="005D3B54"/>
    <w:rsid w:val="005D40CD"/>
    <w:rsid w:val="005D6B59"/>
    <w:rsid w:val="005D7060"/>
    <w:rsid w:val="005D784B"/>
    <w:rsid w:val="005E03E4"/>
    <w:rsid w:val="005E0454"/>
    <w:rsid w:val="005E05F6"/>
    <w:rsid w:val="005E068E"/>
    <w:rsid w:val="005E2442"/>
    <w:rsid w:val="005E3111"/>
    <w:rsid w:val="005E3F85"/>
    <w:rsid w:val="005E4A5F"/>
    <w:rsid w:val="005E57B0"/>
    <w:rsid w:val="005E5B01"/>
    <w:rsid w:val="005E6D3B"/>
    <w:rsid w:val="005F009E"/>
    <w:rsid w:val="005F0DF1"/>
    <w:rsid w:val="005F1516"/>
    <w:rsid w:val="005F229E"/>
    <w:rsid w:val="005F2564"/>
    <w:rsid w:val="005F2D0F"/>
    <w:rsid w:val="005F368B"/>
    <w:rsid w:val="005F3822"/>
    <w:rsid w:val="005F4635"/>
    <w:rsid w:val="005F4900"/>
    <w:rsid w:val="005F4E52"/>
    <w:rsid w:val="005F6D58"/>
    <w:rsid w:val="005F7383"/>
    <w:rsid w:val="0060058E"/>
    <w:rsid w:val="00601F77"/>
    <w:rsid w:val="00602A3C"/>
    <w:rsid w:val="00603E47"/>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4DE"/>
    <w:rsid w:val="0062169D"/>
    <w:rsid w:val="0062181E"/>
    <w:rsid w:val="0062211B"/>
    <w:rsid w:val="00622BB7"/>
    <w:rsid w:val="00622C1E"/>
    <w:rsid w:val="00623389"/>
    <w:rsid w:val="00623DAA"/>
    <w:rsid w:val="00623FAF"/>
    <w:rsid w:val="006265C4"/>
    <w:rsid w:val="0062678A"/>
    <w:rsid w:val="006270AF"/>
    <w:rsid w:val="00627A44"/>
    <w:rsid w:val="00634367"/>
    <w:rsid w:val="00640082"/>
    <w:rsid w:val="00640291"/>
    <w:rsid w:val="00640EFE"/>
    <w:rsid w:val="00641D6D"/>
    <w:rsid w:val="00641FAC"/>
    <w:rsid w:val="00643664"/>
    <w:rsid w:val="00643CAA"/>
    <w:rsid w:val="00644F16"/>
    <w:rsid w:val="006455EB"/>
    <w:rsid w:val="006456C2"/>
    <w:rsid w:val="00645A65"/>
    <w:rsid w:val="006463B2"/>
    <w:rsid w:val="006477F0"/>
    <w:rsid w:val="006478E4"/>
    <w:rsid w:val="00650091"/>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0048"/>
    <w:rsid w:val="006711C4"/>
    <w:rsid w:val="006713AB"/>
    <w:rsid w:val="00672215"/>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76A"/>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40"/>
    <w:rsid w:val="006A1772"/>
    <w:rsid w:val="006A1780"/>
    <w:rsid w:val="006A17DA"/>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43B"/>
    <w:rsid w:val="006B6509"/>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781"/>
    <w:rsid w:val="006D6E12"/>
    <w:rsid w:val="006D70CB"/>
    <w:rsid w:val="006D715C"/>
    <w:rsid w:val="006D7363"/>
    <w:rsid w:val="006D774E"/>
    <w:rsid w:val="006D7EA2"/>
    <w:rsid w:val="006E0754"/>
    <w:rsid w:val="006E10BB"/>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6DD"/>
    <w:rsid w:val="0070796C"/>
    <w:rsid w:val="007109BB"/>
    <w:rsid w:val="00710EBF"/>
    <w:rsid w:val="007110B8"/>
    <w:rsid w:val="0071209F"/>
    <w:rsid w:val="007122AC"/>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378"/>
    <w:rsid w:val="00725573"/>
    <w:rsid w:val="00727A43"/>
    <w:rsid w:val="00727FF2"/>
    <w:rsid w:val="00730550"/>
    <w:rsid w:val="00730C2A"/>
    <w:rsid w:val="00731434"/>
    <w:rsid w:val="00731E59"/>
    <w:rsid w:val="007323E0"/>
    <w:rsid w:val="00732911"/>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154E"/>
    <w:rsid w:val="0075267F"/>
    <w:rsid w:val="007526EC"/>
    <w:rsid w:val="007527F7"/>
    <w:rsid w:val="00753C48"/>
    <w:rsid w:val="00753ED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5EEA"/>
    <w:rsid w:val="007777CC"/>
    <w:rsid w:val="00777B32"/>
    <w:rsid w:val="0078051E"/>
    <w:rsid w:val="00780B59"/>
    <w:rsid w:val="00781089"/>
    <w:rsid w:val="007838F3"/>
    <w:rsid w:val="007856FE"/>
    <w:rsid w:val="00785F46"/>
    <w:rsid w:val="007865F4"/>
    <w:rsid w:val="00786D5C"/>
    <w:rsid w:val="00786E96"/>
    <w:rsid w:val="00787DFF"/>
    <w:rsid w:val="00787F93"/>
    <w:rsid w:val="00791E6D"/>
    <w:rsid w:val="00791EB5"/>
    <w:rsid w:val="00791FF2"/>
    <w:rsid w:val="00793696"/>
    <w:rsid w:val="007955DA"/>
    <w:rsid w:val="00796986"/>
    <w:rsid w:val="00796F65"/>
    <w:rsid w:val="007A11C2"/>
    <w:rsid w:val="007A18BB"/>
    <w:rsid w:val="007A1BC2"/>
    <w:rsid w:val="007A27DD"/>
    <w:rsid w:val="007A3CC1"/>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386"/>
    <w:rsid w:val="007D1452"/>
    <w:rsid w:val="007D3DCB"/>
    <w:rsid w:val="007D460C"/>
    <w:rsid w:val="007D4996"/>
    <w:rsid w:val="007D4AD3"/>
    <w:rsid w:val="007D5D19"/>
    <w:rsid w:val="007D5FDC"/>
    <w:rsid w:val="007D6176"/>
    <w:rsid w:val="007D6D68"/>
    <w:rsid w:val="007E32DA"/>
    <w:rsid w:val="007E4998"/>
    <w:rsid w:val="007E4A9C"/>
    <w:rsid w:val="007E6914"/>
    <w:rsid w:val="007E7884"/>
    <w:rsid w:val="007E7F78"/>
    <w:rsid w:val="007F0179"/>
    <w:rsid w:val="007F149D"/>
    <w:rsid w:val="007F2C13"/>
    <w:rsid w:val="007F2CEC"/>
    <w:rsid w:val="007F3435"/>
    <w:rsid w:val="007F4BBE"/>
    <w:rsid w:val="007F55DE"/>
    <w:rsid w:val="007F762D"/>
    <w:rsid w:val="007F78F0"/>
    <w:rsid w:val="007F78FF"/>
    <w:rsid w:val="008001C5"/>
    <w:rsid w:val="00800F6C"/>
    <w:rsid w:val="00801065"/>
    <w:rsid w:val="00802C0B"/>
    <w:rsid w:val="008051FC"/>
    <w:rsid w:val="008055A9"/>
    <w:rsid w:val="008056C4"/>
    <w:rsid w:val="008057FD"/>
    <w:rsid w:val="00805D8B"/>
    <w:rsid w:val="00810A63"/>
    <w:rsid w:val="00810BB6"/>
    <w:rsid w:val="00810E8E"/>
    <w:rsid w:val="008124BC"/>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352"/>
    <w:rsid w:val="00831758"/>
    <w:rsid w:val="008317D9"/>
    <w:rsid w:val="0083279F"/>
    <w:rsid w:val="008334DB"/>
    <w:rsid w:val="00833B7F"/>
    <w:rsid w:val="00833E8E"/>
    <w:rsid w:val="00834906"/>
    <w:rsid w:val="00836075"/>
    <w:rsid w:val="00836417"/>
    <w:rsid w:val="00836A3E"/>
    <w:rsid w:val="00837526"/>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1DE4"/>
    <w:rsid w:val="008532BF"/>
    <w:rsid w:val="008539B2"/>
    <w:rsid w:val="00853BF4"/>
    <w:rsid w:val="00854294"/>
    <w:rsid w:val="0085572E"/>
    <w:rsid w:val="00856D46"/>
    <w:rsid w:val="0085788B"/>
    <w:rsid w:val="00857A9E"/>
    <w:rsid w:val="00857DE2"/>
    <w:rsid w:val="00863A8E"/>
    <w:rsid w:val="0086407F"/>
    <w:rsid w:val="008645E3"/>
    <w:rsid w:val="00864E79"/>
    <w:rsid w:val="008655D2"/>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77B8F"/>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D8C"/>
    <w:rsid w:val="008A05A7"/>
    <w:rsid w:val="008A088C"/>
    <w:rsid w:val="008A0FC9"/>
    <w:rsid w:val="008A1956"/>
    <w:rsid w:val="008A1A7C"/>
    <w:rsid w:val="008A2CE2"/>
    <w:rsid w:val="008A40D3"/>
    <w:rsid w:val="008A469C"/>
    <w:rsid w:val="008A51D1"/>
    <w:rsid w:val="008A5DCE"/>
    <w:rsid w:val="008A75D3"/>
    <w:rsid w:val="008B00D4"/>
    <w:rsid w:val="008B05DD"/>
    <w:rsid w:val="008B07B8"/>
    <w:rsid w:val="008B17E8"/>
    <w:rsid w:val="008B2E7C"/>
    <w:rsid w:val="008B321A"/>
    <w:rsid w:val="008B399A"/>
    <w:rsid w:val="008B45F0"/>
    <w:rsid w:val="008B4A70"/>
    <w:rsid w:val="008B502F"/>
    <w:rsid w:val="008B6DFC"/>
    <w:rsid w:val="008B7227"/>
    <w:rsid w:val="008C02FB"/>
    <w:rsid w:val="008C04E0"/>
    <w:rsid w:val="008C0AAB"/>
    <w:rsid w:val="008C0EDB"/>
    <w:rsid w:val="008C191C"/>
    <w:rsid w:val="008C1DA4"/>
    <w:rsid w:val="008C29B0"/>
    <w:rsid w:val="008C2CD5"/>
    <w:rsid w:val="008C3618"/>
    <w:rsid w:val="008C39E7"/>
    <w:rsid w:val="008C43AD"/>
    <w:rsid w:val="008C6118"/>
    <w:rsid w:val="008C6341"/>
    <w:rsid w:val="008C731F"/>
    <w:rsid w:val="008C74D9"/>
    <w:rsid w:val="008D03C2"/>
    <w:rsid w:val="008D12FB"/>
    <w:rsid w:val="008D32E9"/>
    <w:rsid w:val="008D3B2D"/>
    <w:rsid w:val="008D58D9"/>
    <w:rsid w:val="008D5AD4"/>
    <w:rsid w:val="008D695E"/>
    <w:rsid w:val="008D6DD5"/>
    <w:rsid w:val="008D6E59"/>
    <w:rsid w:val="008D7155"/>
    <w:rsid w:val="008D76E0"/>
    <w:rsid w:val="008E09F2"/>
    <w:rsid w:val="008E0B29"/>
    <w:rsid w:val="008E141A"/>
    <w:rsid w:val="008E1A44"/>
    <w:rsid w:val="008E1E55"/>
    <w:rsid w:val="008E28E6"/>
    <w:rsid w:val="008E3232"/>
    <w:rsid w:val="008E3674"/>
    <w:rsid w:val="008E3B6C"/>
    <w:rsid w:val="008E3DE7"/>
    <w:rsid w:val="008E562C"/>
    <w:rsid w:val="008E6540"/>
    <w:rsid w:val="008E6D26"/>
    <w:rsid w:val="008E77D4"/>
    <w:rsid w:val="008E7ADD"/>
    <w:rsid w:val="008F091F"/>
    <w:rsid w:val="008F17B2"/>
    <w:rsid w:val="008F22B3"/>
    <w:rsid w:val="008F357B"/>
    <w:rsid w:val="008F44CA"/>
    <w:rsid w:val="008F49D3"/>
    <w:rsid w:val="008F62C1"/>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2F5"/>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956"/>
    <w:rsid w:val="00921BEA"/>
    <w:rsid w:val="009227BE"/>
    <w:rsid w:val="009238FD"/>
    <w:rsid w:val="00923998"/>
    <w:rsid w:val="00923DB4"/>
    <w:rsid w:val="0092420B"/>
    <w:rsid w:val="0092430E"/>
    <w:rsid w:val="00924570"/>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53808"/>
    <w:rsid w:val="009539A6"/>
    <w:rsid w:val="00954032"/>
    <w:rsid w:val="00954537"/>
    <w:rsid w:val="0095472D"/>
    <w:rsid w:val="00955205"/>
    <w:rsid w:val="00955FBB"/>
    <w:rsid w:val="0095694B"/>
    <w:rsid w:val="00956BD5"/>
    <w:rsid w:val="00956D84"/>
    <w:rsid w:val="009577B5"/>
    <w:rsid w:val="00957E83"/>
    <w:rsid w:val="00960110"/>
    <w:rsid w:val="009608E6"/>
    <w:rsid w:val="00960F57"/>
    <w:rsid w:val="00961C90"/>
    <w:rsid w:val="00965443"/>
    <w:rsid w:val="00965954"/>
    <w:rsid w:val="00965A21"/>
    <w:rsid w:val="00965E55"/>
    <w:rsid w:val="0096608E"/>
    <w:rsid w:val="00966522"/>
    <w:rsid w:val="00966C33"/>
    <w:rsid w:val="00966FCB"/>
    <w:rsid w:val="00967285"/>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812"/>
    <w:rsid w:val="00990225"/>
    <w:rsid w:val="00992A13"/>
    <w:rsid w:val="00994AAD"/>
    <w:rsid w:val="00994DE1"/>
    <w:rsid w:val="00995150"/>
    <w:rsid w:val="00995D67"/>
    <w:rsid w:val="009A013B"/>
    <w:rsid w:val="009A02F4"/>
    <w:rsid w:val="009A06BF"/>
    <w:rsid w:val="009A0D17"/>
    <w:rsid w:val="009A2494"/>
    <w:rsid w:val="009A32B1"/>
    <w:rsid w:val="009A33A3"/>
    <w:rsid w:val="009A36F2"/>
    <w:rsid w:val="009A40C3"/>
    <w:rsid w:val="009A40D5"/>
    <w:rsid w:val="009A57D0"/>
    <w:rsid w:val="009A6559"/>
    <w:rsid w:val="009A68FC"/>
    <w:rsid w:val="009A6CE4"/>
    <w:rsid w:val="009A7514"/>
    <w:rsid w:val="009A7E7A"/>
    <w:rsid w:val="009B1584"/>
    <w:rsid w:val="009B183D"/>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7E6"/>
    <w:rsid w:val="009C6CE5"/>
    <w:rsid w:val="009C6D50"/>
    <w:rsid w:val="009C7547"/>
    <w:rsid w:val="009D05EC"/>
    <w:rsid w:val="009D18D4"/>
    <w:rsid w:val="009D26D1"/>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A0010C"/>
    <w:rsid w:val="00A004DF"/>
    <w:rsid w:val="00A00FD5"/>
    <w:rsid w:val="00A012C0"/>
    <w:rsid w:val="00A019A8"/>
    <w:rsid w:val="00A01B03"/>
    <w:rsid w:val="00A01B89"/>
    <w:rsid w:val="00A02C66"/>
    <w:rsid w:val="00A02C84"/>
    <w:rsid w:val="00A03DFA"/>
    <w:rsid w:val="00A0464C"/>
    <w:rsid w:val="00A050BB"/>
    <w:rsid w:val="00A054E0"/>
    <w:rsid w:val="00A05D91"/>
    <w:rsid w:val="00A0740B"/>
    <w:rsid w:val="00A07ED3"/>
    <w:rsid w:val="00A10CA8"/>
    <w:rsid w:val="00A11042"/>
    <w:rsid w:val="00A12579"/>
    <w:rsid w:val="00A133D8"/>
    <w:rsid w:val="00A15655"/>
    <w:rsid w:val="00A160B0"/>
    <w:rsid w:val="00A1740C"/>
    <w:rsid w:val="00A20069"/>
    <w:rsid w:val="00A2244D"/>
    <w:rsid w:val="00A2253D"/>
    <w:rsid w:val="00A2267F"/>
    <w:rsid w:val="00A22CDB"/>
    <w:rsid w:val="00A247B8"/>
    <w:rsid w:val="00A2495A"/>
    <w:rsid w:val="00A24C7A"/>
    <w:rsid w:val="00A24D8F"/>
    <w:rsid w:val="00A250DD"/>
    <w:rsid w:val="00A25B8B"/>
    <w:rsid w:val="00A25C5D"/>
    <w:rsid w:val="00A2689F"/>
    <w:rsid w:val="00A26ECA"/>
    <w:rsid w:val="00A26EFD"/>
    <w:rsid w:val="00A2746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0155"/>
    <w:rsid w:val="00A61C60"/>
    <w:rsid w:val="00A61ECB"/>
    <w:rsid w:val="00A6410C"/>
    <w:rsid w:val="00A647B1"/>
    <w:rsid w:val="00A64DEF"/>
    <w:rsid w:val="00A654D2"/>
    <w:rsid w:val="00A665DF"/>
    <w:rsid w:val="00A67928"/>
    <w:rsid w:val="00A67FCC"/>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930"/>
    <w:rsid w:val="00A863F7"/>
    <w:rsid w:val="00A86604"/>
    <w:rsid w:val="00A87519"/>
    <w:rsid w:val="00A9125D"/>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B03FD"/>
    <w:rsid w:val="00AB2000"/>
    <w:rsid w:val="00AB2E94"/>
    <w:rsid w:val="00AB38CB"/>
    <w:rsid w:val="00AB3BEC"/>
    <w:rsid w:val="00AB44E4"/>
    <w:rsid w:val="00AB4AEB"/>
    <w:rsid w:val="00AB4E5F"/>
    <w:rsid w:val="00AB5256"/>
    <w:rsid w:val="00AB5352"/>
    <w:rsid w:val="00AB56AE"/>
    <w:rsid w:val="00AB62D5"/>
    <w:rsid w:val="00AB65B5"/>
    <w:rsid w:val="00AB6DCD"/>
    <w:rsid w:val="00AB6EE0"/>
    <w:rsid w:val="00AC17A2"/>
    <w:rsid w:val="00AC18CD"/>
    <w:rsid w:val="00AC3581"/>
    <w:rsid w:val="00AC40B7"/>
    <w:rsid w:val="00AC531F"/>
    <w:rsid w:val="00AC5B36"/>
    <w:rsid w:val="00AC6377"/>
    <w:rsid w:val="00AC66A4"/>
    <w:rsid w:val="00AC6CB1"/>
    <w:rsid w:val="00AC7D6D"/>
    <w:rsid w:val="00AD0091"/>
    <w:rsid w:val="00AD23EF"/>
    <w:rsid w:val="00AD2662"/>
    <w:rsid w:val="00AD307B"/>
    <w:rsid w:val="00AD4014"/>
    <w:rsid w:val="00AD41B3"/>
    <w:rsid w:val="00AD42F3"/>
    <w:rsid w:val="00AD5721"/>
    <w:rsid w:val="00AD5C4D"/>
    <w:rsid w:val="00AD69F0"/>
    <w:rsid w:val="00AD7127"/>
    <w:rsid w:val="00AD730C"/>
    <w:rsid w:val="00AD7795"/>
    <w:rsid w:val="00AE123A"/>
    <w:rsid w:val="00AE1539"/>
    <w:rsid w:val="00AE28A7"/>
    <w:rsid w:val="00AE2A98"/>
    <w:rsid w:val="00AE2CF2"/>
    <w:rsid w:val="00AE3012"/>
    <w:rsid w:val="00AE31D2"/>
    <w:rsid w:val="00AE33A6"/>
    <w:rsid w:val="00AE3729"/>
    <w:rsid w:val="00AE4138"/>
    <w:rsid w:val="00AE4CCE"/>
    <w:rsid w:val="00AE5C6A"/>
    <w:rsid w:val="00AE6317"/>
    <w:rsid w:val="00AE6B62"/>
    <w:rsid w:val="00AE6C0C"/>
    <w:rsid w:val="00AE7280"/>
    <w:rsid w:val="00AF033A"/>
    <w:rsid w:val="00AF1699"/>
    <w:rsid w:val="00AF1FD3"/>
    <w:rsid w:val="00AF2910"/>
    <w:rsid w:val="00AF34B8"/>
    <w:rsid w:val="00AF3896"/>
    <w:rsid w:val="00AF3FC2"/>
    <w:rsid w:val="00AF48DB"/>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07EAF"/>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4F86"/>
    <w:rsid w:val="00B2504A"/>
    <w:rsid w:val="00B25EE6"/>
    <w:rsid w:val="00B3115A"/>
    <w:rsid w:val="00B31825"/>
    <w:rsid w:val="00B31A5C"/>
    <w:rsid w:val="00B33B06"/>
    <w:rsid w:val="00B33C19"/>
    <w:rsid w:val="00B35A15"/>
    <w:rsid w:val="00B35B45"/>
    <w:rsid w:val="00B36A99"/>
    <w:rsid w:val="00B42264"/>
    <w:rsid w:val="00B434B2"/>
    <w:rsid w:val="00B43D45"/>
    <w:rsid w:val="00B468F2"/>
    <w:rsid w:val="00B469DE"/>
    <w:rsid w:val="00B47286"/>
    <w:rsid w:val="00B50234"/>
    <w:rsid w:val="00B51BF4"/>
    <w:rsid w:val="00B52C68"/>
    <w:rsid w:val="00B5372B"/>
    <w:rsid w:val="00B542FE"/>
    <w:rsid w:val="00B54624"/>
    <w:rsid w:val="00B55A1B"/>
    <w:rsid w:val="00B561DB"/>
    <w:rsid w:val="00B56DF9"/>
    <w:rsid w:val="00B600BD"/>
    <w:rsid w:val="00B61274"/>
    <w:rsid w:val="00B61DCE"/>
    <w:rsid w:val="00B62188"/>
    <w:rsid w:val="00B62F79"/>
    <w:rsid w:val="00B62F82"/>
    <w:rsid w:val="00B6306A"/>
    <w:rsid w:val="00B635E3"/>
    <w:rsid w:val="00B653D7"/>
    <w:rsid w:val="00B662FF"/>
    <w:rsid w:val="00B66679"/>
    <w:rsid w:val="00B70145"/>
    <w:rsid w:val="00B71A92"/>
    <w:rsid w:val="00B721D8"/>
    <w:rsid w:val="00B730CA"/>
    <w:rsid w:val="00B747C5"/>
    <w:rsid w:val="00B74F2F"/>
    <w:rsid w:val="00B753ED"/>
    <w:rsid w:val="00B75FCF"/>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892"/>
    <w:rsid w:val="00BA0B39"/>
    <w:rsid w:val="00BA0CB2"/>
    <w:rsid w:val="00BA0E26"/>
    <w:rsid w:val="00BA1310"/>
    <w:rsid w:val="00BA138B"/>
    <w:rsid w:val="00BA305B"/>
    <w:rsid w:val="00BA31BF"/>
    <w:rsid w:val="00BA3FC7"/>
    <w:rsid w:val="00BA478B"/>
    <w:rsid w:val="00BA5224"/>
    <w:rsid w:val="00BA575E"/>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2260"/>
    <w:rsid w:val="00BE3786"/>
    <w:rsid w:val="00BE3917"/>
    <w:rsid w:val="00BE50FD"/>
    <w:rsid w:val="00BE51CA"/>
    <w:rsid w:val="00BE537F"/>
    <w:rsid w:val="00BE5D77"/>
    <w:rsid w:val="00BE6D47"/>
    <w:rsid w:val="00BE7032"/>
    <w:rsid w:val="00BE7330"/>
    <w:rsid w:val="00BF01C5"/>
    <w:rsid w:val="00BF061A"/>
    <w:rsid w:val="00BF066A"/>
    <w:rsid w:val="00BF14CC"/>
    <w:rsid w:val="00BF1821"/>
    <w:rsid w:val="00BF3C42"/>
    <w:rsid w:val="00BF4342"/>
    <w:rsid w:val="00BF4704"/>
    <w:rsid w:val="00BF4FE7"/>
    <w:rsid w:val="00BF4FFC"/>
    <w:rsid w:val="00BF5050"/>
    <w:rsid w:val="00BF50D1"/>
    <w:rsid w:val="00BF5422"/>
    <w:rsid w:val="00BF59B1"/>
    <w:rsid w:val="00BF6A78"/>
    <w:rsid w:val="00BF7695"/>
    <w:rsid w:val="00BF79B4"/>
    <w:rsid w:val="00BF7C61"/>
    <w:rsid w:val="00C00037"/>
    <w:rsid w:val="00C01427"/>
    <w:rsid w:val="00C014C7"/>
    <w:rsid w:val="00C047AB"/>
    <w:rsid w:val="00C058AF"/>
    <w:rsid w:val="00C075B6"/>
    <w:rsid w:val="00C124C1"/>
    <w:rsid w:val="00C128AE"/>
    <w:rsid w:val="00C12BA8"/>
    <w:rsid w:val="00C136D6"/>
    <w:rsid w:val="00C13902"/>
    <w:rsid w:val="00C13D5B"/>
    <w:rsid w:val="00C141D7"/>
    <w:rsid w:val="00C16F84"/>
    <w:rsid w:val="00C1711B"/>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4B60"/>
    <w:rsid w:val="00C35D01"/>
    <w:rsid w:val="00C360B3"/>
    <w:rsid w:val="00C37027"/>
    <w:rsid w:val="00C37B19"/>
    <w:rsid w:val="00C41109"/>
    <w:rsid w:val="00C413CB"/>
    <w:rsid w:val="00C42752"/>
    <w:rsid w:val="00C42973"/>
    <w:rsid w:val="00C44C69"/>
    <w:rsid w:val="00C4712A"/>
    <w:rsid w:val="00C5034F"/>
    <w:rsid w:val="00C50830"/>
    <w:rsid w:val="00C50B1B"/>
    <w:rsid w:val="00C52479"/>
    <w:rsid w:val="00C5266E"/>
    <w:rsid w:val="00C5280F"/>
    <w:rsid w:val="00C52C59"/>
    <w:rsid w:val="00C5349E"/>
    <w:rsid w:val="00C539FF"/>
    <w:rsid w:val="00C544BD"/>
    <w:rsid w:val="00C54D3D"/>
    <w:rsid w:val="00C55A30"/>
    <w:rsid w:val="00C56384"/>
    <w:rsid w:val="00C60AD0"/>
    <w:rsid w:val="00C60F8C"/>
    <w:rsid w:val="00C61794"/>
    <w:rsid w:val="00C62A48"/>
    <w:rsid w:val="00C62AC4"/>
    <w:rsid w:val="00C62B59"/>
    <w:rsid w:val="00C62F96"/>
    <w:rsid w:val="00C631E1"/>
    <w:rsid w:val="00C638D8"/>
    <w:rsid w:val="00C63AE7"/>
    <w:rsid w:val="00C63D26"/>
    <w:rsid w:val="00C6540A"/>
    <w:rsid w:val="00C6625C"/>
    <w:rsid w:val="00C66736"/>
    <w:rsid w:val="00C668A1"/>
    <w:rsid w:val="00C67223"/>
    <w:rsid w:val="00C707B8"/>
    <w:rsid w:val="00C712AC"/>
    <w:rsid w:val="00C71C15"/>
    <w:rsid w:val="00C71F3D"/>
    <w:rsid w:val="00C72F53"/>
    <w:rsid w:val="00C74035"/>
    <w:rsid w:val="00C748EA"/>
    <w:rsid w:val="00C77818"/>
    <w:rsid w:val="00C8063F"/>
    <w:rsid w:val="00C806ED"/>
    <w:rsid w:val="00C81282"/>
    <w:rsid w:val="00C827B4"/>
    <w:rsid w:val="00C83214"/>
    <w:rsid w:val="00C8329F"/>
    <w:rsid w:val="00C8468A"/>
    <w:rsid w:val="00C84F8A"/>
    <w:rsid w:val="00C85BA4"/>
    <w:rsid w:val="00C8618F"/>
    <w:rsid w:val="00C8625D"/>
    <w:rsid w:val="00C90372"/>
    <w:rsid w:val="00C9041F"/>
    <w:rsid w:val="00C90F54"/>
    <w:rsid w:val="00C9166B"/>
    <w:rsid w:val="00C91A45"/>
    <w:rsid w:val="00C91FB4"/>
    <w:rsid w:val="00C92150"/>
    <w:rsid w:val="00C92328"/>
    <w:rsid w:val="00C92D42"/>
    <w:rsid w:val="00C938C2"/>
    <w:rsid w:val="00C93F8A"/>
    <w:rsid w:val="00C94EA1"/>
    <w:rsid w:val="00C9511B"/>
    <w:rsid w:val="00C95745"/>
    <w:rsid w:val="00C95902"/>
    <w:rsid w:val="00C962E3"/>
    <w:rsid w:val="00C9712D"/>
    <w:rsid w:val="00C97246"/>
    <w:rsid w:val="00C978E2"/>
    <w:rsid w:val="00C97997"/>
    <w:rsid w:val="00CA10A2"/>
    <w:rsid w:val="00CA1D83"/>
    <w:rsid w:val="00CA25C0"/>
    <w:rsid w:val="00CA3451"/>
    <w:rsid w:val="00CA35C6"/>
    <w:rsid w:val="00CA4948"/>
    <w:rsid w:val="00CA52F9"/>
    <w:rsid w:val="00CA5368"/>
    <w:rsid w:val="00CA568B"/>
    <w:rsid w:val="00CA573A"/>
    <w:rsid w:val="00CA5C58"/>
    <w:rsid w:val="00CA7D80"/>
    <w:rsid w:val="00CB1775"/>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72A"/>
    <w:rsid w:val="00CC4ACD"/>
    <w:rsid w:val="00CC4AD3"/>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46F1"/>
    <w:rsid w:val="00CD5DAD"/>
    <w:rsid w:val="00CD72C5"/>
    <w:rsid w:val="00CD79A7"/>
    <w:rsid w:val="00CE0789"/>
    <w:rsid w:val="00CE0E8D"/>
    <w:rsid w:val="00CE1A03"/>
    <w:rsid w:val="00CE2346"/>
    <w:rsid w:val="00CE25B2"/>
    <w:rsid w:val="00CE2687"/>
    <w:rsid w:val="00CE27B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55F9"/>
    <w:rsid w:val="00CF7074"/>
    <w:rsid w:val="00CF7390"/>
    <w:rsid w:val="00CF7495"/>
    <w:rsid w:val="00D01CF9"/>
    <w:rsid w:val="00D0334D"/>
    <w:rsid w:val="00D0374D"/>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85A"/>
    <w:rsid w:val="00D259B0"/>
    <w:rsid w:val="00D26C3F"/>
    <w:rsid w:val="00D27026"/>
    <w:rsid w:val="00D2708A"/>
    <w:rsid w:val="00D27185"/>
    <w:rsid w:val="00D30EF8"/>
    <w:rsid w:val="00D32518"/>
    <w:rsid w:val="00D33488"/>
    <w:rsid w:val="00D33AB3"/>
    <w:rsid w:val="00D33F24"/>
    <w:rsid w:val="00D34160"/>
    <w:rsid w:val="00D346B8"/>
    <w:rsid w:val="00D34DCA"/>
    <w:rsid w:val="00D35AC8"/>
    <w:rsid w:val="00D36F87"/>
    <w:rsid w:val="00D3742C"/>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12C8"/>
    <w:rsid w:val="00D51601"/>
    <w:rsid w:val="00D51955"/>
    <w:rsid w:val="00D51ECB"/>
    <w:rsid w:val="00D5264C"/>
    <w:rsid w:val="00D52BBC"/>
    <w:rsid w:val="00D537FE"/>
    <w:rsid w:val="00D53CC9"/>
    <w:rsid w:val="00D54A6A"/>
    <w:rsid w:val="00D54B8F"/>
    <w:rsid w:val="00D55951"/>
    <w:rsid w:val="00D559F0"/>
    <w:rsid w:val="00D57EB6"/>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CC9"/>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A3A"/>
    <w:rsid w:val="00DA2351"/>
    <w:rsid w:val="00DA249E"/>
    <w:rsid w:val="00DA2D3D"/>
    <w:rsid w:val="00DA4C30"/>
    <w:rsid w:val="00DA7722"/>
    <w:rsid w:val="00DB10D4"/>
    <w:rsid w:val="00DB145E"/>
    <w:rsid w:val="00DB1A94"/>
    <w:rsid w:val="00DB1D52"/>
    <w:rsid w:val="00DB1D92"/>
    <w:rsid w:val="00DB1E2B"/>
    <w:rsid w:val="00DB1F05"/>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35A"/>
    <w:rsid w:val="00DD64DE"/>
    <w:rsid w:val="00DD73D0"/>
    <w:rsid w:val="00DD7859"/>
    <w:rsid w:val="00DD7B41"/>
    <w:rsid w:val="00DE0784"/>
    <w:rsid w:val="00DE0A1D"/>
    <w:rsid w:val="00DE15B2"/>
    <w:rsid w:val="00DE1A9A"/>
    <w:rsid w:val="00DE3D2C"/>
    <w:rsid w:val="00DE5E82"/>
    <w:rsid w:val="00DE5FA6"/>
    <w:rsid w:val="00DE6792"/>
    <w:rsid w:val="00DE6AA1"/>
    <w:rsid w:val="00DE795F"/>
    <w:rsid w:val="00DE7AAB"/>
    <w:rsid w:val="00DE7EF7"/>
    <w:rsid w:val="00DF015B"/>
    <w:rsid w:val="00DF02EC"/>
    <w:rsid w:val="00DF10FC"/>
    <w:rsid w:val="00DF1185"/>
    <w:rsid w:val="00DF1299"/>
    <w:rsid w:val="00DF1A70"/>
    <w:rsid w:val="00DF1E5F"/>
    <w:rsid w:val="00DF1F03"/>
    <w:rsid w:val="00DF23A8"/>
    <w:rsid w:val="00DF2F27"/>
    <w:rsid w:val="00DF36B6"/>
    <w:rsid w:val="00DF4296"/>
    <w:rsid w:val="00DF53F0"/>
    <w:rsid w:val="00DF5F38"/>
    <w:rsid w:val="00DF6608"/>
    <w:rsid w:val="00DF6CCC"/>
    <w:rsid w:val="00DF6D0C"/>
    <w:rsid w:val="00DF6F64"/>
    <w:rsid w:val="00DF721E"/>
    <w:rsid w:val="00DF7B8A"/>
    <w:rsid w:val="00DF7C87"/>
    <w:rsid w:val="00DF7D05"/>
    <w:rsid w:val="00E009B0"/>
    <w:rsid w:val="00E00A12"/>
    <w:rsid w:val="00E00C49"/>
    <w:rsid w:val="00E01C9C"/>
    <w:rsid w:val="00E0219D"/>
    <w:rsid w:val="00E04C0F"/>
    <w:rsid w:val="00E0570B"/>
    <w:rsid w:val="00E10343"/>
    <w:rsid w:val="00E10913"/>
    <w:rsid w:val="00E10B87"/>
    <w:rsid w:val="00E121CE"/>
    <w:rsid w:val="00E12598"/>
    <w:rsid w:val="00E1478B"/>
    <w:rsid w:val="00E14FAC"/>
    <w:rsid w:val="00E15007"/>
    <w:rsid w:val="00E16277"/>
    <w:rsid w:val="00E16EC7"/>
    <w:rsid w:val="00E219CE"/>
    <w:rsid w:val="00E23409"/>
    <w:rsid w:val="00E24071"/>
    <w:rsid w:val="00E24EBC"/>
    <w:rsid w:val="00E2522C"/>
    <w:rsid w:val="00E2552F"/>
    <w:rsid w:val="00E2599B"/>
    <w:rsid w:val="00E2710C"/>
    <w:rsid w:val="00E27428"/>
    <w:rsid w:val="00E305B4"/>
    <w:rsid w:val="00E31182"/>
    <w:rsid w:val="00E3197A"/>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440"/>
    <w:rsid w:val="00E46013"/>
    <w:rsid w:val="00E47099"/>
    <w:rsid w:val="00E47284"/>
    <w:rsid w:val="00E4730A"/>
    <w:rsid w:val="00E477C3"/>
    <w:rsid w:val="00E47E23"/>
    <w:rsid w:val="00E517A5"/>
    <w:rsid w:val="00E51E16"/>
    <w:rsid w:val="00E53730"/>
    <w:rsid w:val="00E5438D"/>
    <w:rsid w:val="00E54511"/>
    <w:rsid w:val="00E54E50"/>
    <w:rsid w:val="00E55288"/>
    <w:rsid w:val="00E57577"/>
    <w:rsid w:val="00E62043"/>
    <w:rsid w:val="00E626B9"/>
    <w:rsid w:val="00E627C9"/>
    <w:rsid w:val="00E630F3"/>
    <w:rsid w:val="00E63156"/>
    <w:rsid w:val="00E6332F"/>
    <w:rsid w:val="00E637C9"/>
    <w:rsid w:val="00E6402D"/>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97EB6"/>
    <w:rsid w:val="00EA14C8"/>
    <w:rsid w:val="00EA2110"/>
    <w:rsid w:val="00EA283A"/>
    <w:rsid w:val="00EA2C90"/>
    <w:rsid w:val="00EA2E07"/>
    <w:rsid w:val="00EA383B"/>
    <w:rsid w:val="00EA41E6"/>
    <w:rsid w:val="00EA48F3"/>
    <w:rsid w:val="00EA60BF"/>
    <w:rsid w:val="00EA7365"/>
    <w:rsid w:val="00EA763F"/>
    <w:rsid w:val="00EA77E9"/>
    <w:rsid w:val="00EA7875"/>
    <w:rsid w:val="00EB05D0"/>
    <w:rsid w:val="00EB1151"/>
    <w:rsid w:val="00EB1D49"/>
    <w:rsid w:val="00EB23D9"/>
    <w:rsid w:val="00EB2DED"/>
    <w:rsid w:val="00EB39A0"/>
    <w:rsid w:val="00EB559F"/>
    <w:rsid w:val="00EB566C"/>
    <w:rsid w:val="00EB5F3D"/>
    <w:rsid w:val="00EB77E5"/>
    <w:rsid w:val="00EC1CEB"/>
    <w:rsid w:val="00EC1DC0"/>
    <w:rsid w:val="00EC1DC2"/>
    <w:rsid w:val="00EC21EC"/>
    <w:rsid w:val="00EC24B8"/>
    <w:rsid w:val="00EC268C"/>
    <w:rsid w:val="00EC3753"/>
    <w:rsid w:val="00EC4E71"/>
    <w:rsid w:val="00EC5F1C"/>
    <w:rsid w:val="00ED0365"/>
    <w:rsid w:val="00ED0865"/>
    <w:rsid w:val="00ED1C60"/>
    <w:rsid w:val="00ED2057"/>
    <w:rsid w:val="00ED2EB9"/>
    <w:rsid w:val="00ED32D5"/>
    <w:rsid w:val="00ED3722"/>
    <w:rsid w:val="00ED3A31"/>
    <w:rsid w:val="00ED4469"/>
    <w:rsid w:val="00ED5424"/>
    <w:rsid w:val="00ED5F23"/>
    <w:rsid w:val="00ED6DC0"/>
    <w:rsid w:val="00ED7A7A"/>
    <w:rsid w:val="00EE0327"/>
    <w:rsid w:val="00EE038C"/>
    <w:rsid w:val="00EE2237"/>
    <w:rsid w:val="00EE28C5"/>
    <w:rsid w:val="00EE2F09"/>
    <w:rsid w:val="00EE47C5"/>
    <w:rsid w:val="00EE4885"/>
    <w:rsid w:val="00EE490C"/>
    <w:rsid w:val="00EE4E57"/>
    <w:rsid w:val="00EE5738"/>
    <w:rsid w:val="00EE58BD"/>
    <w:rsid w:val="00EE5E59"/>
    <w:rsid w:val="00EE6549"/>
    <w:rsid w:val="00EE73D0"/>
    <w:rsid w:val="00EE7CB0"/>
    <w:rsid w:val="00EF08A8"/>
    <w:rsid w:val="00EF08FA"/>
    <w:rsid w:val="00EF167B"/>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59B"/>
    <w:rsid w:val="00F04E15"/>
    <w:rsid w:val="00F05DF3"/>
    <w:rsid w:val="00F0692C"/>
    <w:rsid w:val="00F069EA"/>
    <w:rsid w:val="00F070E5"/>
    <w:rsid w:val="00F07DDE"/>
    <w:rsid w:val="00F11675"/>
    <w:rsid w:val="00F12557"/>
    <w:rsid w:val="00F1291D"/>
    <w:rsid w:val="00F13599"/>
    <w:rsid w:val="00F13B28"/>
    <w:rsid w:val="00F14E01"/>
    <w:rsid w:val="00F156A0"/>
    <w:rsid w:val="00F15730"/>
    <w:rsid w:val="00F16CE3"/>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0058"/>
    <w:rsid w:val="00F5088F"/>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5171"/>
    <w:rsid w:val="00F6560D"/>
    <w:rsid w:val="00F65C23"/>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87"/>
    <w:rsid w:val="00F8288F"/>
    <w:rsid w:val="00F84033"/>
    <w:rsid w:val="00F84802"/>
    <w:rsid w:val="00F84E4F"/>
    <w:rsid w:val="00F85B72"/>
    <w:rsid w:val="00F86540"/>
    <w:rsid w:val="00F865CE"/>
    <w:rsid w:val="00F8766F"/>
    <w:rsid w:val="00F91082"/>
    <w:rsid w:val="00F9116D"/>
    <w:rsid w:val="00F91A9A"/>
    <w:rsid w:val="00F9203B"/>
    <w:rsid w:val="00F93ABB"/>
    <w:rsid w:val="00F94D79"/>
    <w:rsid w:val="00F963A2"/>
    <w:rsid w:val="00F9658C"/>
    <w:rsid w:val="00F96E3C"/>
    <w:rsid w:val="00F97A7F"/>
    <w:rsid w:val="00FA0889"/>
    <w:rsid w:val="00FA16E7"/>
    <w:rsid w:val="00FA2505"/>
    <w:rsid w:val="00FA31C7"/>
    <w:rsid w:val="00FA3E7F"/>
    <w:rsid w:val="00FA472D"/>
    <w:rsid w:val="00FA6283"/>
    <w:rsid w:val="00FA7827"/>
    <w:rsid w:val="00FB0CBF"/>
    <w:rsid w:val="00FB18F6"/>
    <w:rsid w:val="00FB2A52"/>
    <w:rsid w:val="00FB3F92"/>
    <w:rsid w:val="00FB4C2B"/>
    <w:rsid w:val="00FB52C7"/>
    <w:rsid w:val="00FB57DC"/>
    <w:rsid w:val="00FB6E19"/>
    <w:rsid w:val="00FB71F6"/>
    <w:rsid w:val="00FC0AF8"/>
    <w:rsid w:val="00FC1483"/>
    <w:rsid w:val="00FC1C47"/>
    <w:rsid w:val="00FC3102"/>
    <w:rsid w:val="00FC3493"/>
    <w:rsid w:val="00FC39ED"/>
    <w:rsid w:val="00FC4419"/>
    <w:rsid w:val="00FC47E2"/>
    <w:rsid w:val="00FC4AA5"/>
    <w:rsid w:val="00FC4B88"/>
    <w:rsid w:val="00FC4BB8"/>
    <w:rsid w:val="00FC5148"/>
    <w:rsid w:val="00FC623A"/>
    <w:rsid w:val="00FC6524"/>
    <w:rsid w:val="00FC708F"/>
    <w:rsid w:val="00FC75AC"/>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70B"/>
    <w:rsid w:val="00FE7A68"/>
    <w:rsid w:val="00FE7D72"/>
    <w:rsid w:val="00FF0231"/>
    <w:rsid w:val="00FF1C9B"/>
    <w:rsid w:val="00FF1D49"/>
    <w:rsid w:val="00FF203B"/>
    <w:rsid w:val="00FF2562"/>
    <w:rsid w:val="00FF3A41"/>
    <w:rsid w:val="00FF3E5B"/>
    <w:rsid w:val="00FF57E4"/>
    <w:rsid w:val="00FF78E5"/>
    <w:rsid w:val="0103398B"/>
    <w:rsid w:val="011132F6"/>
    <w:rsid w:val="011E1F3A"/>
    <w:rsid w:val="012D0F5C"/>
    <w:rsid w:val="014C1D05"/>
    <w:rsid w:val="015C7AD5"/>
    <w:rsid w:val="0168437B"/>
    <w:rsid w:val="01791910"/>
    <w:rsid w:val="01907316"/>
    <w:rsid w:val="01A433EB"/>
    <w:rsid w:val="01AF3D99"/>
    <w:rsid w:val="01B90B97"/>
    <w:rsid w:val="01C628D4"/>
    <w:rsid w:val="01D24894"/>
    <w:rsid w:val="01E3453D"/>
    <w:rsid w:val="01FF3BC3"/>
    <w:rsid w:val="01FF4BEC"/>
    <w:rsid w:val="021741B2"/>
    <w:rsid w:val="02204683"/>
    <w:rsid w:val="022E44A8"/>
    <w:rsid w:val="02511F9D"/>
    <w:rsid w:val="025F06CD"/>
    <w:rsid w:val="026954E1"/>
    <w:rsid w:val="02827C52"/>
    <w:rsid w:val="028C24AD"/>
    <w:rsid w:val="029F225D"/>
    <w:rsid w:val="02A57908"/>
    <w:rsid w:val="02B0089B"/>
    <w:rsid w:val="02C76111"/>
    <w:rsid w:val="02D6235F"/>
    <w:rsid w:val="02D81256"/>
    <w:rsid w:val="030532A9"/>
    <w:rsid w:val="03286A1E"/>
    <w:rsid w:val="032B79A4"/>
    <w:rsid w:val="03305A68"/>
    <w:rsid w:val="033F12EC"/>
    <w:rsid w:val="03407951"/>
    <w:rsid w:val="03535D6B"/>
    <w:rsid w:val="03807E26"/>
    <w:rsid w:val="039A08B0"/>
    <w:rsid w:val="03A314B8"/>
    <w:rsid w:val="03C8711A"/>
    <w:rsid w:val="03D25887"/>
    <w:rsid w:val="03D82B98"/>
    <w:rsid w:val="03D964F4"/>
    <w:rsid w:val="03F83E8B"/>
    <w:rsid w:val="043A0627"/>
    <w:rsid w:val="04643F2F"/>
    <w:rsid w:val="04902A30"/>
    <w:rsid w:val="049570A7"/>
    <w:rsid w:val="04AF7A85"/>
    <w:rsid w:val="04B74446"/>
    <w:rsid w:val="04BA414C"/>
    <w:rsid w:val="04C505BB"/>
    <w:rsid w:val="04CD2CEE"/>
    <w:rsid w:val="04E87914"/>
    <w:rsid w:val="04F25707"/>
    <w:rsid w:val="04FA60EF"/>
    <w:rsid w:val="04FC24D4"/>
    <w:rsid w:val="05023BEB"/>
    <w:rsid w:val="05096B07"/>
    <w:rsid w:val="050E5E84"/>
    <w:rsid w:val="05102192"/>
    <w:rsid w:val="054F7686"/>
    <w:rsid w:val="05520FB6"/>
    <w:rsid w:val="05557587"/>
    <w:rsid w:val="05681A7F"/>
    <w:rsid w:val="057F4E2B"/>
    <w:rsid w:val="0585008B"/>
    <w:rsid w:val="058F6224"/>
    <w:rsid w:val="05A674E0"/>
    <w:rsid w:val="05AC3FA4"/>
    <w:rsid w:val="05C56868"/>
    <w:rsid w:val="05D74547"/>
    <w:rsid w:val="06040198"/>
    <w:rsid w:val="060774EA"/>
    <w:rsid w:val="06083B9D"/>
    <w:rsid w:val="061223CE"/>
    <w:rsid w:val="06125CEF"/>
    <w:rsid w:val="06211C5A"/>
    <w:rsid w:val="06737835"/>
    <w:rsid w:val="06B25549"/>
    <w:rsid w:val="06B96E5F"/>
    <w:rsid w:val="06C91C0B"/>
    <w:rsid w:val="06D86BC4"/>
    <w:rsid w:val="072940AD"/>
    <w:rsid w:val="072E4C95"/>
    <w:rsid w:val="07325DEE"/>
    <w:rsid w:val="07633118"/>
    <w:rsid w:val="07736840"/>
    <w:rsid w:val="078132CC"/>
    <w:rsid w:val="078627A3"/>
    <w:rsid w:val="078B092B"/>
    <w:rsid w:val="07966D78"/>
    <w:rsid w:val="07A5201F"/>
    <w:rsid w:val="07B72767"/>
    <w:rsid w:val="07C23DE6"/>
    <w:rsid w:val="07D41D57"/>
    <w:rsid w:val="08077E72"/>
    <w:rsid w:val="080E162A"/>
    <w:rsid w:val="08203C28"/>
    <w:rsid w:val="083B22F1"/>
    <w:rsid w:val="083C419B"/>
    <w:rsid w:val="083C4C73"/>
    <w:rsid w:val="08461DC5"/>
    <w:rsid w:val="084C5E23"/>
    <w:rsid w:val="0886060D"/>
    <w:rsid w:val="08882DD0"/>
    <w:rsid w:val="08BE34E2"/>
    <w:rsid w:val="08F821C8"/>
    <w:rsid w:val="09006769"/>
    <w:rsid w:val="091A48F3"/>
    <w:rsid w:val="09783845"/>
    <w:rsid w:val="097E7AC3"/>
    <w:rsid w:val="09860032"/>
    <w:rsid w:val="09921955"/>
    <w:rsid w:val="09CC2AAC"/>
    <w:rsid w:val="09D26E76"/>
    <w:rsid w:val="09DE2A8F"/>
    <w:rsid w:val="0A171D19"/>
    <w:rsid w:val="0A331AD7"/>
    <w:rsid w:val="0A342157"/>
    <w:rsid w:val="0A3A3B56"/>
    <w:rsid w:val="0A4412A4"/>
    <w:rsid w:val="0A477589"/>
    <w:rsid w:val="0A5C3ECC"/>
    <w:rsid w:val="0A652D3E"/>
    <w:rsid w:val="0A6A1AA6"/>
    <w:rsid w:val="0A767E3E"/>
    <w:rsid w:val="0A9D4A5C"/>
    <w:rsid w:val="0AAB5F5D"/>
    <w:rsid w:val="0AB6063D"/>
    <w:rsid w:val="0ACE3FA1"/>
    <w:rsid w:val="0ADA366D"/>
    <w:rsid w:val="0B193B77"/>
    <w:rsid w:val="0B2220A0"/>
    <w:rsid w:val="0B325243"/>
    <w:rsid w:val="0B326F2A"/>
    <w:rsid w:val="0B3D510B"/>
    <w:rsid w:val="0B475F57"/>
    <w:rsid w:val="0B5B05C2"/>
    <w:rsid w:val="0B5E289E"/>
    <w:rsid w:val="0B623221"/>
    <w:rsid w:val="0B6D6FF5"/>
    <w:rsid w:val="0B802572"/>
    <w:rsid w:val="0B8558FA"/>
    <w:rsid w:val="0BA40399"/>
    <w:rsid w:val="0BB40771"/>
    <w:rsid w:val="0BE93715"/>
    <w:rsid w:val="0BEA3C78"/>
    <w:rsid w:val="0C11238F"/>
    <w:rsid w:val="0C1E2888"/>
    <w:rsid w:val="0C2D753D"/>
    <w:rsid w:val="0C2E225D"/>
    <w:rsid w:val="0C4502C0"/>
    <w:rsid w:val="0C530F2E"/>
    <w:rsid w:val="0C5361CC"/>
    <w:rsid w:val="0C591AD6"/>
    <w:rsid w:val="0C6A764E"/>
    <w:rsid w:val="0C6F29D6"/>
    <w:rsid w:val="0C92213C"/>
    <w:rsid w:val="0C9F5D63"/>
    <w:rsid w:val="0CA737D5"/>
    <w:rsid w:val="0CAB5D64"/>
    <w:rsid w:val="0CB33F28"/>
    <w:rsid w:val="0CB968D6"/>
    <w:rsid w:val="0CD304AC"/>
    <w:rsid w:val="0CF5395D"/>
    <w:rsid w:val="0D0114AE"/>
    <w:rsid w:val="0D29001E"/>
    <w:rsid w:val="0D325EDF"/>
    <w:rsid w:val="0D445D4C"/>
    <w:rsid w:val="0D535069"/>
    <w:rsid w:val="0D6D5644"/>
    <w:rsid w:val="0D84032B"/>
    <w:rsid w:val="0D873E13"/>
    <w:rsid w:val="0D8B2464"/>
    <w:rsid w:val="0D953396"/>
    <w:rsid w:val="0D994191"/>
    <w:rsid w:val="0DA2594C"/>
    <w:rsid w:val="0DBD35C9"/>
    <w:rsid w:val="0DD17D5D"/>
    <w:rsid w:val="0DE53B38"/>
    <w:rsid w:val="0DF4443C"/>
    <w:rsid w:val="0E071437"/>
    <w:rsid w:val="0E2B3D03"/>
    <w:rsid w:val="0E374C0A"/>
    <w:rsid w:val="0E556B89"/>
    <w:rsid w:val="0E5B282E"/>
    <w:rsid w:val="0E5E166A"/>
    <w:rsid w:val="0E5F47DD"/>
    <w:rsid w:val="0E6772B0"/>
    <w:rsid w:val="0E6B66E8"/>
    <w:rsid w:val="0E8F2DCE"/>
    <w:rsid w:val="0E9434CC"/>
    <w:rsid w:val="0EB36C82"/>
    <w:rsid w:val="0EC341CA"/>
    <w:rsid w:val="0ED45624"/>
    <w:rsid w:val="0EE04BDF"/>
    <w:rsid w:val="0EE44AEB"/>
    <w:rsid w:val="0F150F54"/>
    <w:rsid w:val="0F2A74C4"/>
    <w:rsid w:val="0F377C68"/>
    <w:rsid w:val="0F403360"/>
    <w:rsid w:val="0F421B7B"/>
    <w:rsid w:val="0F553015"/>
    <w:rsid w:val="0F620A17"/>
    <w:rsid w:val="0F687E3D"/>
    <w:rsid w:val="0F7543D3"/>
    <w:rsid w:val="0F7A6CDB"/>
    <w:rsid w:val="0F8755FD"/>
    <w:rsid w:val="0F8772D5"/>
    <w:rsid w:val="0FBD0194"/>
    <w:rsid w:val="0FE030CE"/>
    <w:rsid w:val="0FEE5277"/>
    <w:rsid w:val="10136B03"/>
    <w:rsid w:val="10202CC1"/>
    <w:rsid w:val="103B47DC"/>
    <w:rsid w:val="10730C95"/>
    <w:rsid w:val="10A27F31"/>
    <w:rsid w:val="10A753AB"/>
    <w:rsid w:val="10AA5CB1"/>
    <w:rsid w:val="10B54EB2"/>
    <w:rsid w:val="10BF682C"/>
    <w:rsid w:val="10CB29C5"/>
    <w:rsid w:val="10CC3A02"/>
    <w:rsid w:val="10CC6281"/>
    <w:rsid w:val="10D20B24"/>
    <w:rsid w:val="10D87300"/>
    <w:rsid w:val="10DA48AD"/>
    <w:rsid w:val="10E33AF2"/>
    <w:rsid w:val="10FD027D"/>
    <w:rsid w:val="110B438A"/>
    <w:rsid w:val="1167339E"/>
    <w:rsid w:val="11785740"/>
    <w:rsid w:val="118153A5"/>
    <w:rsid w:val="118E435A"/>
    <w:rsid w:val="11927058"/>
    <w:rsid w:val="119423C1"/>
    <w:rsid w:val="11A02DC7"/>
    <w:rsid w:val="11AB0C22"/>
    <w:rsid w:val="11B50F78"/>
    <w:rsid w:val="11B5291B"/>
    <w:rsid w:val="11C1301D"/>
    <w:rsid w:val="11EE4343"/>
    <w:rsid w:val="11EF6FB9"/>
    <w:rsid w:val="12086E43"/>
    <w:rsid w:val="120D4199"/>
    <w:rsid w:val="120F3D85"/>
    <w:rsid w:val="12171B57"/>
    <w:rsid w:val="12573688"/>
    <w:rsid w:val="127F4FEA"/>
    <w:rsid w:val="12AA40AD"/>
    <w:rsid w:val="12BC14E9"/>
    <w:rsid w:val="12D720A5"/>
    <w:rsid w:val="12EF08E6"/>
    <w:rsid w:val="133E327C"/>
    <w:rsid w:val="13467E71"/>
    <w:rsid w:val="134E47DC"/>
    <w:rsid w:val="13542B43"/>
    <w:rsid w:val="138C43DE"/>
    <w:rsid w:val="139C5DE4"/>
    <w:rsid w:val="139D71F2"/>
    <w:rsid w:val="13AC3968"/>
    <w:rsid w:val="13AF4F03"/>
    <w:rsid w:val="13F75519"/>
    <w:rsid w:val="13FD47FE"/>
    <w:rsid w:val="1409072D"/>
    <w:rsid w:val="140A4F68"/>
    <w:rsid w:val="140F2E16"/>
    <w:rsid w:val="144401A2"/>
    <w:rsid w:val="14670F31"/>
    <w:rsid w:val="14736E66"/>
    <w:rsid w:val="147F458F"/>
    <w:rsid w:val="148954D3"/>
    <w:rsid w:val="14911257"/>
    <w:rsid w:val="14D43C93"/>
    <w:rsid w:val="14D958EC"/>
    <w:rsid w:val="14FA3E00"/>
    <w:rsid w:val="1531036E"/>
    <w:rsid w:val="1534169A"/>
    <w:rsid w:val="156D25A1"/>
    <w:rsid w:val="15812F88"/>
    <w:rsid w:val="158D0E46"/>
    <w:rsid w:val="158E1BEE"/>
    <w:rsid w:val="15911585"/>
    <w:rsid w:val="159513FB"/>
    <w:rsid w:val="159C0EE7"/>
    <w:rsid w:val="15A27358"/>
    <w:rsid w:val="15B14FA7"/>
    <w:rsid w:val="15C03E03"/>
    <w:rsid w:val="15C3785B"/>
    <w:rsid w:val="15D26520"/>
    <w:rsid w:val="15EE508B"/>
    <w:rsid w:val="160F4148"/>
    <w:rsid w:val="162A25EB"/>
    <w:rsid w:val="16473933"/>
    <w:rsid w:val="16775078"/>
    <w:rsid w:val="168B7C8B"/>
    <w:rsid w:val="169F56FE"/>
    <w:rsid w:val="16A267A7"/>
    <w:rsid w:val="16BD6398"/>
    <w:rsid w:val="16BD6B43"/>
    <w:rsid w:val="16D31DF9"/>
    <w:rsid w:val="16D67838"/>
    <w:rsid w:val="16FD2A55"/>
    <w:rsid w:val="17067C1A"/>
    <w:rsid w:val="172045B4"/>
    <w:rsid w:val="172F08F7"/>
    <w:rsid w:val="17366761"/>
    <w:rsid w:val="17393A34"/>
    <w:rsid w:val="173A76F6"/>
    <w:rsid w:val="175A043F"/>
    <w:rsid w:val="17672074"/>
    <w:rsid w:val="177C01F0"/>
    <w:rsid w:val="177E17B7"/>
    <w:rsid w:val="17A1706E"/>
    <w:rsid w:val="17C50D78"/>
    <w:rsid w:val="17CE6630"/>
    <w:rsid w:val="17D32A08"/>
    <w:rsid w:val="17D42519"/>
    <w:rsid w:val="17EB3722"/>
    <w:rsid w:val="17EF65A5"/>
    <w:rsid w:val="17FA1D25"/>
    <w:rsid w:val="17FC5A0B"/>
    <w:rsid w:val="180E6351"/>
    <w:rsid w:val="1810355D"/>
    <w:rsid w:val="181235D5"/>
    <w:rsid w:val="183C473C"/>
    <w:rsid w:val="18750DB1"/>
    <w:rsid w:val="187B48A5"/>
    <w:rsid w:val="187C2A7B"/>
    <w:rsid w:val="18A419CD"/>
    <w:rsid w:val="18AC51E6"/>
    <w:rsid w:val="18EE2472"/>
    <w:rsid w:val="18F71640"/>
    <w:rsid w:val="19002335"/>
    <w:rsid w:val="19206078"/>
    <w:rsid w:val="19314F92"/>
    <w:rsid w:val="193F68F3"/>
    <w:rsid w:val="19434380"/>
    <w:rsid w:val="19491239"/>
    <w:rsid w:val="19537014"/>
    <w:rsid w:val="19621891"/>
    <w:rsid w:val="197A7D49"/>
    <w:rsid w:val="19915DD8"/>
    <w:rsid w:val="19934424"/>
    <w:rsid w:val="19A5109C"/>
    <w:rsid w:val="19AD5CB2"/>
    <w:rsid w:val="19BD66DD"/>
    <w:rsid w:val="19C607E7"/>
    <w:rsid w:val="19F6165F"/>
    <w:rsid w:val="1A0B68A8"/>
    <w:rsid w:val="1A1B0F5C"/>
    <w:rsid w:val="1A232551"/>
    <w:rsid w:val="1A614813"/>
    <w:rsid w:val="1A6962BC"/>
    <w:rsid w:val="1A782658"/>
    <w:rsid w:val="1A7867B1"/>
    <w:rsid w:val="1A7D68F1"/>
    <w:rsid w:val="1A7F33F1"/>
    <w:rsid w:val="1A8573D4"/>
    <w:rsid w:val="1A867FDC"/>
    <w:rsid w:val="1AB74F63"/>
    <w:rsid w:val="1AC3132A"/>
    <w:rsid w:val="1AE94689"/>
    <w:rsid w:val="1AF65A4C"/>
    <w:rsid w:val="1AFF0AFE"/>
    <w:rsid w:val="1B0C4085"/>
    <w:rsid w:val="1B34103B"/>
    <w:rsid w:val="1B39650C"/>
    <w:rsid w:val="1B4F19F8"/>
    <w:rsid w:val="1B5C2F75"/>
    <w:rsid w:val="1B6B7470"/>
    <w:rsid w:val="1BAE3D4C"/>
    <w:rsid w:val="1BC81E14"/>
    <w:rsid w:val="1BEE7729"/>
    <w:rsid w:val="1C100CC6"/>
    <w:rsid w:val="1C1A42E7"/>
    <w:rsid w:val="1C1F28DB"/>
    <w:rsid w:val="1C226F03"/>
    <w:rsid w:val="1C3F670D"/>
    <w:rsid w:val="1C55025E"/>
    <w:rsid w:val="1C9A50D4"/>
    <w:rsid w:val="1CA823CD"/>
    <w:rsid w:val="1CB41CEC"/>
    <w:rsid w:val="1CB515F6"/>
    <w:rsid w:val="1CDE1F2F"/>
    <w:rsid w:val="1CE61E5F"/>
    <w:rsid w:val="1CF93E51"/>
    <w:rsid w:val="1D1C46B8"/>
    <w:rsid w:val="1D3943AC"/>
    <w:rsid w:val="1D3A7549"/>
    <w:rsid w:val="1D7C700E"/>
    <w:rsid w:val="1D805CF0"/>
    <w:rsid w:val="1D8F637F"/>
    <w:rsid w:val="1D9404C8"/>
    <w:rsid w:val="1D996796"/>
    <w:rsid w:val="1DA07F2F"/>
    <w:rsid w:val="1DD106A3"/>
    <w:rsid w:val="1DE75398"/>
    <w:rsid w:val="1E0450B5"/>
    <w:rsid w:val="1E2734BD"/>
    <w:rsid w:val="1E375346"/>
    <w:rsid w:val="1E5F3EE3"/>
    <w:rsid w:val="1E657FE9"/>
    <w:rsid w:val="1E6B39C7"/>
    <w:rsid w:val="1E72152A"/>
    <w:rsid w:val="1E842C7C"/>
    <w:rsid w:val="1E8C24F9"/>
    <w:rsid w:val="1EA7798B"/>
    <w:rsid w:val="1ECC44FA"/>
    <w:rsid w:val="1ECE7147"/>
    <w:rsid w:val="1EE53F41"/>
    <w:rsid w:val="1EF76561"/>
    <w:rsid w:val="1F002542"/>
    <w:rsid w:val="1F063325"/>
    <w:rsid w:val="1F066139"/>
    <w:rsid w:val="1F132F1E"/>
    <w:rsid w:val="1F206483"/>
    <w:rsid w:val="1F4D240C"/>
    <w:rsid w:val="1F50678E"/>
    <w:rsid w:val="1F6A3BA7"/>
    <w:rsid w:val="1F80168B"/>
    <w:rsid w:val="1F843156"/>
    <w:rsid w:val="1F885ACE"/>
    <w:rsid w:val="1F91158B"/>
    <w:rsid w:val="1FBC5DF5"/>
    <w:rsid w:val="1FC16863"/>
    <w:rsid w:val="1FC82D6B"/>
    <w:rsid w:val="1FE41ABA"/>
    <w:rsid w:val="1FEA075F"/>
    <w:rsid w:val="1FEF662C"/>
    <w:rsid w:val="1FF26E0D"/>
    <w:rsid w:val="1FF90588"/>
    <w:rsid w:val="201167D2"/>
    <w:rsid w:val="20134907"/>
    <w:rsid w:val="201474B7"/>
    <w:rsid w:val="20213923"/>
    <w:rsid w:val="20233DBF"/>
    <w:rsid w:val="20245062"/>
    <w:rsid w:val="203B5C52"/>
    <w:rsid w:val="204D2ACD"/>
    <w:rsid w:val="20586255"/>
    <w:rsid w:val="20874471"/>
    <w:rsid w:val="20914128"/>
    <w:rsid w:val="20AE4CDA"/>
    <w:rsid w:val="20BB6724"/>
    <w:rsid w:val="20BF7883"/>
    <w:rsid w:val="20C3623F"/>
    <w:rsid w:val="20D84C09"/>
    <w:rsid w:val="20F12AC3"/>
    <w:rsid w:val="20F25B07"/>
    <w:rsid w:val="211041C1"/>
    <w:rsid w:val="212B4272"/>
    <w:rsid w:val="2144147A"/>
    <w:rsid w:val="21781212"/>
    <w:rsid w:val="21833156"/>
    <w:rsid w:val="21AB0864"/>
    <w:rsid w:val="21B83F86"/>
    <w:rsid w:val="21E069CE"/>
    <w:rsid w:val="21E27BB0"/>
    <w:rsid w:val="22106A4D"/>
    <w:rsid w:val="221178A8"/>
    <w:rsid w:val="221213CF"/>
    <w:rsid w:val="22327A92"/>
    <w:rsid w:val="224752A4"/>
    <w:rsid w:val="22A84DFE"/>
    <w:rsid w:val="22BB3EC7"/>
    <w:rsid w:val="22DB129D"/>
    <w:rsid w:val="22F47D51"/>
    <w:rsid w:val="22FA4C94"/>
    <w:rsid w:val="230436F8"/>
    <w:rsid w:val="23173D82"/>
    <w:rsid w:val="231C181E"/>
    <w:rsid w:val="231D53A2"/>
    <w:rsid w:val="23435214"/>
    <w:rsid w:val="234401DF"/>
    <w:rsid w:val="23502079"/>
    <w:rsid w:val="235477BA"/>
    <w:rsid w:val="236D5383"/>
    <w:rsid w:val="23811F5D"/>
    <w:rsid w:val="23A41B75"/>
    <w:rsid w:val="23B134E6"/>
    <w:rsid w:val="23B74A16"/>
    <w:rsid w:val="23B7504C"/>
    <w:rsid w:val="23BA654A"/>
    <w:rsid w:val="23C509CD"/>
    <w:rsid w:val="240D25B5"/>
    <w:rsid w:val="241E5A1E"/>
    <w:rsid w:val="24205BC8"/>
    <w:rsid w:val="242C0CB6"/>
    <w:rsid w:val="242D75E2"/>
    <w:rsid w:val="24354590"/>
    <w:rsid w:val="24571307"/>
    <w:rsid w:val="24744285"/>
    <w:rsid w:val="247C7D19"/>
    <w:rsid w:val="24B34021"/>
    <w:rsid w:val="24B822DD"/>
    <w:rsid w:val="24BE0ABD"/>
    <w:rsid w:val="24CB4B0D"/>
    <w:rsid w:val="24E91BBE"/>
    <w:rsid w:val="25110A2A"/>
    <w:rsid w:val="251513DA"/>
    <w:rsid w:val="251569DF"/>
    <w:rsid w:val="252F3220"/>
    <w:rsid w:val="25647DF0"/>
    <w:rsid w:val="256C0944"/>
    <w:rsid w:val="25773D5F"/>
    <w:rsid w:val="257751E6"/>
    <w:rsid w:val="257E73F2"/>
    <w:rsid w:val="25A979D1"/>
    <w:rsid w:val="25BE7679"/>
    <w:rsid w:val="25C00F8A"/>
    <w:rsid w:val="25D53DA4"/>
    <w:rsid w:val="25E410EC"/>
    <w:rsid w:val="25EC2CF7"/>
    <w:rsid w:val="261F4447"/>
    <w:rsid w:val="263050F1"/>
    <w:rsid w:val="26381F9B"/>
    <w:rsid w:val="263C6B89"/>
    <w:rsid w:val="26446DE3"/>
    <w:rsid w:val="267B0CDC"/>
    <w:rsid w:val="269669E7"/>
    <w:rsid w:val="26A744DB"/>
    <w:rsid w:val="26D4005A"/>
    <w:rsid w:val="26D7699F"/>
    <w:rsid w:val="26DA3B4A"/>
    <w:rsid w:val="26E26183"/>
    <w:rsid w:val="26E36ACC"/>
    <w:rsid w:val="26F73A2A"/>
    <w:rsid w:val="26FF2BB8"/>
    <w:rsid w:val="270417B7"/>
    <w:rsid w:val="27102C21"/>
    <w:rsid w:val="27227C57"/>
    <w:rsid w:val="2750171F"/>
    <w:rsid w:val="275122E4"/>
    <w:rsid w:val="2769156F"/>
    <w:rsid w:val="27793F5D"/>
    <w:rsid w:val="27A2622E"/>
    <w:rsid w:val="27A60F83"/>
    <w:rsid w:val="27C12412"/>
    <w:rsid w:val="27D24FCB"/>
    <w:rsid w:val="28124EAE"/>
    <w:rsid w:val="28704451"/>
    <w:rsid w:val="28785F5E"/>
    <w:rsid w:val="2895115B"/>
    <w:rsid w:val="28BA46FA"/>
    <w:rsid w:val="28BE38E2"/>
    <w:rsid w:val="28F14595"/>
    <w:rsid w:val="28F416F8"/>
    <w:rsid w:val="29063629"/>
    <w:rsid w:val="291137B2"/>
    <w:rsid w:val="2913753A"/>
    <w:rsid w:val="293D6B2E"/>
    <w:rsid w:val="29462E61"/>
    <w:rsid w:val="295E2317"/>
    <w:rsid w:val="296B020D"/>
    <w:rsid w:val="297D3FFE"/>
    <w:rsid w:val="29802F8C"/>
    <w:rsid w:val="29AD0C8B"/>
    <w:rsid w:val="29BB39AC"/>
    <w:rsid w:val="29C5574F"/>
    <w:rsid w:val="29C67FA0"/>
    <w:rsid w:val="29D00278"/>
    <w:rsid w:val="29DC3BA0"/>
    <w:rsid w:val="29E509C9"/>
    <w:rsid w:val="29EF6C45"/>
    <w:rsid w:val="2A007C29"/>
    <w:rsid w:val="2A154368"/>
    <w:rsid w:val="2A1769A3"/>
    <w:rsid w:val="2A4D3396"/>
    <w:rsid w:val="2A541720"/>
    <w:rsid w:val="2A834AE2"/>
    <w:rsid w:val="2A83619E"/>
    <w:rsid w:val="2A8636A0"/>
    <w:rsid w:val="2AC53F93"/>
    <w:rsid w:val="2ACF406E"/>
    <w:rsid w:val="2AD830F7"/>
    <w:rsid w:val="2AE241C5"/>
    <w:rsid w:val="2B253E47"/>
    <w:rsid w:val="2B4F5C95"/>
    <w:rsid w:val="2B6A0459"/>
    <w:rsid w:val="2B774624"/>
    <w:rsid w:val="2B8A5BDD"/>
    <w:rsid w:val="2B8C3FB1"/>
    <w:rsid w:val="2B9D1BD3"/>
    <w:rsid w:val="2BC83AB9"/>
    <w:rsid w:val="2BEA293F"/>
    <w:rsid w:val="2BF5056F"/>
    <w:rsid w:val="2C187060"/>
    <w:rsid w:val="2C1B56AB"/>
    <w:rsid w:val="2C4402A1"/>
    <w:rsid w:val="2C534988"/>
    <w:rsid w:val="2C553B65"/>
    <w:rsid w:val="2C796B75"/>
    <w:rsid w:val="2C7A72BE"/>
    <w:rsid w:val="2C890BCA"/>
    <w:rsid w:val="2C8A7A52"/>
    <w:rsid w:val="2C9A7D75"/>
    <w:rsid w:val="2CB734DA"/>
    <w:rsid w:val="2CBC587B"/>
    <w:rsid w:val="2CBF4377"/>
    <w:rsid w:val="2CC17412"/>
    <w:rsid w:val="2CC85EEB"/>
    <w:rsid w:val="2CCB04B9"/>
    <w:rsid w:val="2CD40732"/>
    <w:rsid w:val="2CEA1907"/>
    <w:rsid w:val="2CF26A4B"/>
    <w:rsid w:val="2CF350E3"/>
    <w:rsid w:val="2CFE48F4"/>
    <w:rsid w:val="2CFF7BB9"/>
    <w:rsid w:val="2D04594C"/>
    <w:rsid w:val="2D0C5851"/>
    <w:rsid w:val="2D1C1975"/>
    <w:rsid w:val="2D1F543F"/>
    <w:rsid w:val="2D3E4B0D"/>
    <w:rsid w:val="2D446A9B"/>
    <w:rsid w:val="2D8377D5"/>
    <w:rsid w:val="2D863EDD"/>
    <w:rsid w:val="2DA120C4"/>
    <w:rsid w:val="2DAC6336"/>
    <w:rsid w:val="2DC65BA0"/>
    <w:rsid w:val="2DD85E2E"/>
    <w:rsid w:val="2E41718B"/>
    <w:rsid w:val="2E554EA6"/>
    <w:rsid w:val="2E5F03A4"/>
    <w:rsid w:val="2E6A1892"/>
    <w:rsid w:val="2E717F8B"/>
    <w:rsid w:val="2E88190D"/>
    <w:rsid w:val="2E8B3645"/>
    <w:rsid w:val="2E8E1E30"/>
    <w:rsid w:val="2E9976CE"/>
    <w:rsid w:val="2EBF6F8E"/>
    <w:rsid w:val="2ECE34C2"/>
    <w:rsid w:val="2EDE539C"/>
    <w:rsid w:val="2F134027"/>
    <w:rsid w:val="2F330F99"/>
    <w:rsid w:val="2F401D3C"/>
    <w:rsid w:val="2F562EC0"/>
    <w:rsid w:val="2F572D25"/>
    <w:rsid w:val="2F5B24E1"/>
    <w:rsid w:val="2F704EEA"/>
    <w:rsid w:val="2F7E1D1C"/>
    <w:rsid w:val="2F7F4483"/>
    <w:rsid w:val="2F8026D7"/>
    <w:rsid w:val="2F8F65C7"/>
    <w:rsid w:val="2FA95C88"/>
    <w:rsid w:val="2FC97926"/>
    <w:rsid w:val="2FD471C0"/>
    <w:rsid w:val="2FDD46B8"/>
    <w:rsid w:val="2FF9770A"/>
    <w:rsid w:val="300833DF"/>
    <w:rsid w:val="3019031A"/>
    <w:rsid w:val="301C38BE"/>
    <w:rsid w:val="30242658"/>
    <w:rsid w:val="302F4907"/>
    <w:rsid w:val="303B3107"/>
    <w:rsid w:val="3041370F"/>
    <w:rsid w:val="30506D05"/>
    <w:rsid w:val="305D6C11"/>
    <w:rsid w:val="306D5836"/>
    <w:rsid w:val="3097349C"/>
    <w:rsid w:val="30A03F6A"/>
    <w:rsid w:val="30AD7887"/>
    <w:rsid w:val="30BF083E"/>
    <w:rsid w:val="30D32298"/>
    <w:rsid w:val="30EC5E2A"/>
    <w:rsid w:val="30ED1946"/>
    <w:rsid w:val="311B0A1E"/>
    <w:rsid w:val="31216B3F"/>
    <w:rsid w:val="31295B5B"/>
    <w:rsid w:val="312B50A3"/>
    <w:rsid w:val="313C4010"/>
    <w:rsid w:val="3162004B"/>
    <w:rsid w:val="317172BB"/>
    <w:rsid w:val="318E6873"/>
    <w:rsid w:val="31923046"/>
    <w:rsid w:val="31B46ACE"/>
    <w:rsid w:val="31C533E2"/>
    <w:rsid w:val="31F256BB"/>
    <w:rsid w:val="31F51115"/>
    <w:rsid w:val="32003808"/>
    <w:rsid w:val="32172470"/>
    <w:rsid w:val="321A6930"/>
    <w:rsid w:val="32244602"/>
    <w:rsid w:val="32364B30"/>
    <w:rsid w:val="32432DA9"/>
    <w:rsid w:val="32453A27"/>
    <w:rsid w:val="3263064A"/>
    <w:rsid w:val="3265766A"/>
    <w:rsid w:val="327D2533"/>
    <w:rsid w:val="329842A9"/>
    <w:rsid w:val="329B7A68"/>
    <w:rsid w:val="32A43132"/>
    <w:rsid w:val="32AB00DA"/>
    <w:rsid w:val="32AC0C06"/>
    <w:rsid w:val="32AD0CCA"/>
    <w:rsid w:val="32C33CD3"/>
    <w:rsid w:val="32D54349"/>
    <w:rsid w:val="32DA6D47"/>
    <w:rsid w:val="32E04E37"/>
    <w:rsid w:val="32E15130"/>
    <w:rsid w:val="33027836"/>
    <w:rsid w:val="3331060D"/>
    <w:rsid w:val="33344EF5"/>
    <w:rsid w:val="33496CCF"/>
    <w:rsid w:val="334C28DF"/>
    <w:rsid w:val="3378161D"/>
    <w:rsid w:val="339C3B02"/>
    <w:rsid w:val="33A05880"/>
    <w:rsid w:val="33A35F1E"/>
    <w:rsid w:val="33B22505"/>
    <w:rsid w:val="33D36651"/>
    <w:rsid w:val="33E85CE2"/>
    <w:rsid w:val="341D0201"/>
    <w:rsid w:val="34246B9F"/>
    <w:rsid w:val="342A2472"/>
    <w:rsid w:val="342B0F4F"/>
    <w:rsid w:val="344D3742"/>
    <w:rsid w:val="347B2D6D"/>
    <w:rsid w:val="34AB2475"/>
    <w:rsid w:val="34B52163"/>
    <w:rsid w:val="34D72013"/>
    <w:rsid w:val="34EB7D5F"/>
    <w:rsid w:val="34ED5DDA"/>
    <w:rsid w:val="34EE1C44"/>
    <w:rsid w:val="35067AB5"/>
    <w:rsid w:val="35293FD9"/>
    <w:rsid w:val="352C24DC"/>
    <w:rsid w:val="3537750C"/>
    <w:rsid w:val="3537798C"/>
    <w:rsid w:val="357005A7"/>
    <w:rsid w:val="357A579A"/>
    <w:rsid w:val="358E312C"/>
    <w:rsid w:val="35C13FC9"/>
    <w:rsid w:val="35E07056"/>
    <w:rsid w:val="35E91989"/>
    <w:rsid w:val="35EF4FE4"/>
    <w:rsid w:val="35F2040C"/>
    <w:rsid w:val="35F9471D"/>
    <w:rsid w:val="36085EA6"/>
    <w:rsid w:val="36266D8A"/>
    <w:rsid w:val="3630167A"/>
    <w:rsid w:val="364257B6"/>
    <w:rsid w:val="36636B8E"/>
    <w:rsid w:val="36741335"/>
    <w:rsid w:val="369E4AB8"/>
    <w:rsid w:val="36AC6498"/>
    <w:rsid w:val="36C53640"/>
    <w:rsid w:val="36F7087E"/>
    <w:rsid w:val="3705788F"/>
    <w:rsid w:val="3724059E"/>
    <w:rsid w:val="3729538A"/>
    <w:rsid w:val="374E4FB2"/>
    <w:rsid w:val="376462CF"/>
    <w:rsid w:val="37725F65"/>
    <w:rsid w:val="37734E19"/>
    <w:rsid w:val="377868E8"/>
    <w:rsid w:val="379C5435"/>
    <w:rsid w:val="37DE378C"/>
    <w:rsid w:val="37EA5922"/>
    <w:rsid w:val="37FE20D7"/>
    <w:rsid w:val="380C2E7F"/>
    <w:rsid w:val="38134D6C"/>
    <w:rsid w:val="381C20D2"/>
    <w:rsid w:val="38205CA3"/>
    <w:rsid w:val="38276B93"/>
    <w:rsid w:val="38336FC4"/>
    <w:rsid w:val="384C0C8E"/>
    <w:rsid w:val="384D3BF2"/>
    <w:rsid w:val="386A2AA2"/>
    <w:rsid w:val="38830777"/>
    <w:rsid w:val="388D1222"/>
    <w:rsid w:val="389430F0"/>
    <w:rsid w:val="38A34D36"/>
    <w:rsid w:val="38AC3431"/>
    <w:rsid w:val="38B9690B"/>
    <w:rsid w:val="38C26745"/>
    <w:rsid w:val="38CD0AA7"/>
    <w:rsid w:val="38D52DE0"/>
    <w:rsid w:val="38E67108"/>
    <w:rsid w:val="38F06097"/>
    <w:rsid w:val="38F211AC"/>
    <w:rsid w:val="38FE35D2"/>
    <w:rsid w:val="39226DE8"/>
    <w:rsid w:val="392F2E16"/>
    <w:rsid w:val="39406F09"/>
    <w:rsid w:val="396554F4"/>
    <w:rsid w:val="39791C92"/>
    <w:rsid w:val="398147FC"/>
    <w:rsid w:val="39854459"/>
    <w:rsid w:val="39A85265"/>
    <w:rsid w:val="39B614C9"/>
    <w:rsid w:val="39BE755C"/>
    <w:rsid w:val="39D678CC"/>
    <w:rsid w:val="39D94185"/>
    <w:rsid w:val="39E00529"/>
    <w:rsid w:val="39E359C2"/>
    <w:rsid w:val="39E9733C"/>
    <w:rsid w:val="3A0B6254"/>
    <w:rsid w:val="3A0B64A7"/>
    <w:rsid w:val="3A1C7B1C"/>
    <w:rsid w:val="3A271BC8"/>
    <w:rsid w:val="3A2F182B"/>
    <w:rsid w:val="3A36312B"/>
    <w:rsid w:val="3A3B5CDC"/>
    <w:rsid w:val="3A520B7E"/>
    <w:rsid w:val="3A574DDA"/>
    <w:rsid w:val="3A7C0B25"/>
    <w:rsid w:val="3A952A43"/>
    <w:rsid w:val="3AA73CF1"/>
    <w:rsid w:val="3AAA5A75"/>
    <w:rsid w:val="3AD3075A"/>
    <w:rsid w:val="3AD5142D"/>
    <w:rsid w:val="3AD71232"/>
    <w:rsid w:val="3AF74C02"/>
    <w:rsid w:val="3B0754C5"/>
    <w:rsid w:val="3B761717"/>
    <w:rsid w:val="3B831369"/>
    <w:rsid w:val="3B8B5350"/>
    <w:rsid w:val="3B954BE0"/>
    <w:rsid w:val="3B9F1620"/>
    <w:rsid w:val="3BB84161"/>
    <w:rsid w:val="3BC431BE"/>
    <w:rsid w:val="3BD53F3C"/>
    <w:rsid w:val="3C0059A5"/>
    <w:rsid w:val="3C07120D"/>
    <w:rsid w:val="3C0906C9"/>
    <w:rsid w:val="3C134E78"/>
    <w:rsid w:val="3C15518D"/>
    <w:rsid w:val="3C2528F1"/>
    <w:rsid w:val="3C2A0F17"/>
    <w:rsid w:val="3C33057E"/>
    <w:rsid w:val="3C334EAF"/>
    <w:rsid w:val="3C3D49BD"/>
    <w:rsid w:val="3C6D16C6"/>
    <w:rsid w:val="3C921FB2"/>
    <w:rsid w:val="3C9333AF"/>
    <w:rsid w:val="3C9E1EBC"/>
    <w:rsid w:val="3CD21D29"/>
    <w:rsid w:val="3CF30249"/>
    <w:rsid w:val="3CF52957"/>
    <w:rsid w:val="3D147205"/>
    <w:rsid w:val="3D187F39"/>
    <w:rsid w:val="3D2E6923"/>
    <w:rsid w:val="3D33169F"/>
    <w:rsid w:val="3D506996"/>
    <w:rsid w:val="3D614B55"/>
    <w:rsid w:val="3D67163F"/>
    <w:rsid w:val="3D6871A7"/>
    <w:rsid w:val="3D817764"/>
    <w:rsid w:val="3D873FCE"/>
    <w:rsid w:val="3DA653BB"/>
    <w:rsid w:val="3DB17E6C"/>
    <w:rsid w:val="3DCE1FF5"/>
    <w:rsid w:val="3DE61DFF"/>
    <w:rsid w:val="3DEC7285"/>
    <w:rsid w:val="3DF6345D"/>
    <w:rsid w:val="3E2B5515"/>
    <w:rsid w:val="3E3E5EF1"/>
    <w:rsid w:val="3E4D4F28"/>
    <w:rsid w:val="3E5325C6"/>
    <w:rsid w:val="3E547F4D"/>
    <w:rsid w:val="3E5840E2"/>
    <w:rsid w:val="3E706639"/>
    <w:rsid w:val="3E7F32DC"/>
    <w:rsid w:val="3EB11AC7"/>
    <w:rsid w:val="3EBF3622"/>
    <w:rsid w:val="3EC9706E"/>
    <w:rsid w:val="3ED818CD"/>
    <w:rsid w:val="3EE13701"/>
    <w:rsid w:val="3EE25742"/>
    <w:rsid w:val="3F0C5D2F"/>
    <w:rsid w:val="3F144FB4"/>
    <w:rsid w:val="3F1A4BB3"/>
    <w:rsid w:val="3F372168"/>
    <w:rsid w:val="3F4A64D9"/>
    <w:rsid w:val="3F571CFE"/>
    <w:rsid w:val="3F60225A"/>
    <w:rsid w:val="3F79605C"/>
    <w:rsid w:val="3F934E86"/>
    <w:rsid w:val="3F9960CD"/>
    <w:rsid w:val="3FAE2ADC"/>
    <w:rsid w:val="3FD140EA"/>
    <w:rsid w:val="3FD921B4"/>
    <w:rsid w:val="3FF317AE"/>
    <w:rsid w:val="3FFA2455"/>
    <w:rsid w:val="40010575"/>
    <w:rsid w:val="400E712D"/>
    <w:rsid w:val="40192BA6"/>
    <w:rsid w:val="401D2E8B"/>
    <w:rsid w:val="402C58F5"/>
    <w:rsid w:val="40484D68"/>
    <w:rsid w:val="405A01BF"/>
    <w:rsid w:val="40761BDC"/>
    <w:rsid w:val="408D092B"/>
    <w:rsid w:val="40963BF6"/>
    <w:rsid w:val="40991CAB"/>
    <w:rsid w:val="40B15F11"/>
    <w:rsid w:val="40BE68D5"/>
    <w:rsid w:val="40D43427"/>
    <w:rsid w:val="41071387"/>
    <w:rsid w:val="41184017"/>
    <w:rsid w:val="411D2299"/>
    <w:rsid w:val="413D6CFA"/>
    <w:rsid w:val="4144773B"/>
    <w:rsid w:val="414E40BA"/>
    <w:rsid w:val="4151394D"/>
    <w:rsid w:val="415560AD"/>
    <w:rsid w:val="41766EA9"/>
    <w:rsid w:val="418D6651"/>
    <w:rsid w:val="41906B0F"/>
    <w:rsid w:val="4192330C"/>
    <w:rsid w:val="41B0021B"/>
    <w:rsid w:val="41F6509D"/>
    <w:rsid w:val="42145CCA"/>
    <w:rsid w:val="42241EB7"/>
    <w:rsid w:val="423035D9"/>
    <w:rsid w:val="42550A18"/>
    <w:rsid w:val="425A4BD1"/>
    <w:rsid w:val="427B1BBB"/>
    <w:rsid w:val="429C7597"/>
    <w:rsid w:val="429D496A"/>
    <w:rsid w:val="42B81FA5"/>
    <w:rsid w:val="42CC751E"/>
    <w:rsid w:val="42D75513"/>
    <w:rsid w:val="42E0276A"/>
    <w:rsid w:val="42EB6093"/>
    <w:rsid w:val="42F473A1"/>
    <w:rsid w:val="42F61AFB"/>
    <w:rsid w:val="42F80FA5"/>
    <w:rsid w:val="4305361D"/>
    <w:rsid w:val="431C26D3"/>
    <w:rsid w:val="431F637C"/>
    <w:rsid w:val="434E3AB8"/>
    <w:rsid w:val="43537F8A"/>
    <w:rsid w:val="43805D73"/>
    <w:rsid w:val="43AD665B"/>
    <w:rsid w:val="43D83C99"/>
    <w:rsid w:val="43DD4E0B"/>
    <w:rsid w:val="43F955DA"/>
    <w:rsid w:val="44107EE3"/>
    <w:rsid w:val="441E62C0"/>
    <w:rsid w:val="44380293"/>
    <w:rsid w:val="443E50E2"/>
    <w:rsid w:val="44406167"/>
    <w:rsid w:val="44967985"/>
    <w:rsid w:val="44974521"/>
    <w:rsid w:val="44FB65C3"/>
    <w:rsid w:val="45097E82"/>
    <w:rsid w:val="45147341"/>
    <w:rsid w:val="45192471"/>
    <w:rsid w:val="45235D5B"/>
    <w:rsid w:val="452802B4"/>
    <w:rsid w:val="452F1A92"/>
    <w:rsid w:val="45325D14"/>
    <w:rsid w:val="453A5298"/>
    <w:rsid w:val="453E21EF"/>
    <w:rsid w:val="454F4D0B"/>
    <w:rsid w:val="45553FAD"/>
    <w:rsid w:val="456A5852"/>
    <w:rsid w:val="456B6447"/>
    <w:rsid w:val="457D0B54"/>
    <w:rsid w:val="45811C7C"/>
    <w:rsid w:val="45906116"/>
    <w:rsid w:val="45A0305D"/>
    <w:rsid w:val="45A03571"/>
    <w:rsid w:val="45B44292"/>
    <w:rsid w:val="45B72BF8"/>
    <w:rsid w:val="45C96298"/>
    <w:rsid w:val="45DD1BD3"/>
    <w:rsid w:val="45E356FB"/>
    <w:rsid w:val="45F51AEF"/>
    <w:rsid w:val="460B016C"/>
    <w:rsid w:val="46263C87"/>
    <w:rsid w:val="465219D4"/>
    <w:rsid w:val="465716AD"/>
    <w:rsid w:val="46745ABF"/>
    <w:rsid w:val="46830E83"/>
    <w:rsid w:val="468B3EFB"/>
    <w:rsid w:val="46AE3D43"/>
    <w:rsid w:val="46BD7CDA"/>
    <w:rsid w:val="46C16AA0"/>
    <w:rsid w:val="46C44510"/>
    <w:rsid w:val="46CC1041"/>
    <w:rsid w:val="46CD455E"/>
    <w:rsid w:val="46D5130D"/>
    <w:rsid w:val="46E15B1B"/>
    <w:rsid w:val="46FF778E"/>
    <w:rsid w:val="470A6193"/>
    <w:rsid w:val="471244BB"/>
    <w:rsid w:val="471B4E2C"/>
    <w:rsid w:val="471E4985"/>
    <w:rsid w:val="47385210"/>
    <w:rsid w:val="474C2DD7"/>
    <w:rsid w:val="474D5830"/>
    <w:rsid w:val="47543636"/>
    <w:rsid w:val="475C3001"/>
    <w:rsid w:val="47625066"/>
    <w:rsid w:val="47690E29"/>
    <w:rsid w:val="47767EAB"/>
    <w:rsid w:val="47864E13"/>
    <w:rsid w:val="478F1033"/>
    <w:rsid w:val="479A5F27"/>
    <w:rsid w:val="47A837E0"/>
    <w:rsid w:val="47D31E5D"/>
    <w:rsid w:val="47DC4F5C"/>
    <w:rsid w:val="47DD36B3"/>
    <w:rsid w:val="47F32E64"/>
    <w:rsid w:val="481C7304"/>
    <w:rsid w:val="482C6A5C"/>
    <w:rsid w:val="485C15EC"/>
    <w:rsid w:val="486F432D"/>
    <w:rsid w:val="48783354"/>
    <w:rsid w:val="488D3FC9"/>
    <w:rsid w:val="48927DC0"/>
    <w:rsid w:val="48992B03"/>
    <w:rsid w:val="48B40671"/>
    <w:rsid w:val="48D8429F"/>
    <w:rsid w:val="48E34F9B"/>
    <w:rsid w:val="48F52BF7"/>
    <w:rsid w:val="48F73DFC"/>
    <w:rsid w:val="490D112E"/>
    <w:rsid w:val="493C2711"/>
    <w:rsid w:val="49496502"/>
    <w:rsid w:val="495664BB"/>
    <w:rsid w:val="49724D22"/>
    <w:rsid w:val="49751310"/>
    <w:rsid w:val="49973F6B"/>
    <w:rsid w:val="499B5738"/>
    <w:rsid w:val="499D5FA9"/>
    <w:rsid w:val="499F244D"/>
    <w:rsid w:val="4A105051"/>
    <w:rsid w:val="4A280204"/>
    <w:rsid w:val="4A2D0198"/>
    <w:rsid w:val="4A420EE7"/>
    <w:rsid w:val="4A973F3F"/>
    <w:rsid w:val="4AE6282E"/>
    <w:rsid w:val="4AED2A70"/>
    <w:rsid w:val="4AF4108E"/>
    <w:rsid w:val="4AF50338"/>
    <w:rsid w:val="4AF96BC7"/>
    <w:rsid w:val="4B136101"/>
    <w:rsid w:val="4B1C090F"/>
    <w:rsid w:val="4B203103"/>
    <w:rsid w:val="4B2E1D56"/>
    <w:rsid w:val="4B32607A"/>
    <w:rsid w:val="4B464533"/>
    <w:rsid w:val="4B496045"/>
    <w:rsid w:val="4B545C08"/>
    <w:rsid w:val="4B5A416B"/>
    <w:rsid w:val="4B5D14C2"/>
    <w:rsid w:val="4B662EDE"/>
    <w:rsid w:val="4B667F55"/>
    <w:rsid w:val="4B6A63A2"/>
    <w:rsid w:val="4B6E0A3F"/>
    <w:rsid w:val="4B7C6990"/>
    <w:rsid w:val="4B8273D5"/>
    <w:rsid w:val="4B862A85"/>
    <w:rsid w:val="4B8B200B"/>
    <w:rsid w:val="4B98008D"/>
    <w:rsid w:val="4BAC4867"/>
    <w:rsid w:val="4BB44475"/>
    <w:rsid w:val="4BD472E1"/>
    <w:rsid w:val="4BD5655E"/>
    <w:rsid w:val="4BF16188"/>
    <w:rsid w:val="4BF417D4"/>
    <w:rsid w:val="4BF92147"/>
    <w:rsid w:val="4C01654C"/>
    <w:rsid w:val="4C2A770A"/>
    <w:rsid w:val="4C3A28DD"/>
    <w:rsid w:val="4C597AF9"/>
    <w:rsid w:val="4C8018E7"/>
    <w:rsid w:val="4C8624FC"/>
    <w:rsid w:val="4C8A38D4"/>
    <w:rsid w:val="4C9C27CC"/>
    <w:rsid w:val="4CA20A24"/>
    <w:rsid w:val="4CB755B1"/>
    <w:rsid w:val="4CEF36E2"/>
    <w:rsid w:val="4CEF4DC5"/>
    <w:rsid w:val="4CF23DD6"/>
    <w:rsid w:val="4CF25996"/>
    <w:rsid w:val="4D171C3B"/>
    <w:rsid w:val="4D353E59"/>
    <w:rsid w:val="4D3D7D51"/>
    <w:rsid w:val="4D411D80"/>
    <w:rsid w:val="4D482BAA"/>
    <w:rsid w:val="4D4873F2"/>
    <w:rsid w:val="4D54264D"/>
    <w:rsid w:val="4D6A5813"/>
    <w:rsid w:val="4D812262"/>
    <w:rsid w:val="4D922FBD"/>
    <w:rsid w:val="4D9A766C"/>
    <w:rsid w:val="4DA62246"/>
    <w:rsid w:val="4DB54B95"/>
    <w:rsid w:val="4DC17B81"/>
    <w:rsid w:val="4DC23F1C"/>
    <w:rsid w:val="4DEE41E3"/>
    <w:rsid w:val="4DF21879"/>
    <w:rsid w:val="4DF71805"/>
    <w:rsid w:val="4E0A3FBD"/>
    <w:rsid w:val="4E17231F"/>
    <w:rsid w:val="4E180C61"/>
    <w:rsid w:val="4E257655"/>
    <w:rsid w:val="4E2670DE"/>
    <w:rsid w:val="4E352A01"/>
    <w:rsid w:val="4E5F311C"/>
    <w:rsid w:val="4E8E7871"/>
    <w:rsid w:val="4EA85542"/>
    <w:rsid w:val="4EAB47D5"/>
    <w:rsid w:val="4EC4406A"/>
    <w:rsid w:val="4EC455C1"/>
    <w:rsid w:val="4EF43951"/>
    <w:rsid w:val="4EF86E3C"/>
    <w:rsid w:val="4F006555"/>
    <w:rsid w:val="4F06496B"/>
    <w:rsid w:val="4F0C1AC6"/>
    <w:rsid w:val="4F127C58"/>
    <w:rsid w:val="4F365F84"/>
    <w:rsid w:val="4F367AC5"/>
    <w:rsid w:val="4F372380"/>
    <w:rsid w:val="4F372FFB"/>
    <w:rsid w:val="4F4B5D83"/>
    <w:rsid w:val="4F4F319C"/>
    <w:rsid w:val="4F71142E"/>
    <w:rsid w:val="4F7A6CA5"/>
    <w:rsid w:val="4F9C17F9"/>
    <w:rsid w:val="4FA7341A"/>
    <w:rsid w:val="4FC66A35"/>
    <w:rsid w:val="4FE34F88"/>
    <w:rsid w:val="4FEF4AC6"/>
    <w:rsid w:val="4FF56AEF"/>
    <w:rsid w:val="4FF82B69"/>
    <w:rsid w:val="5025116D"/>
    <w:rsid w:val="50310AE7"/>
    <w:rsid w:val="503D7DBA"/>
    <w:rsid w:val="507369B2"/>
    <w:rsid w:val="507725C3"/>
    <w:rsid w:val="50811214"/>
    <w:rsid w:val="508A158E"/>
    <w:rsid w:val="50BF67C9"/>
    <w:rsid w:val="50C85235"/>
    <w:rsid w:val="50CA0599"/>
    <w:rsid w:val="50ED7CC8"/>
    <w:rsid w:val="50FB62A0"/>
    <w:rsid w:val="511E0283"/>
    <w:rsid w:val="515158DB"/>
    <w:rsid w:val="515A7AB7"/>
    <w:rsid w:val="516623C4"/>
    <w:rsid w:val="51B05107"/>
    <w:rsid w:val="51DA39DC"/>
    <w:rsid w:val="51E0241A"/>
    <w:rsid w:val="51F1394A"/>
    <w:rsid w:val="51F23F94"/>
    <w:rsid w:val="5201085F"/>
    <w:rsid w:val="522024E6"/>
    <w:rsid w:val="52314419"/>
    <w:rsid w:val="52395ECD"/>
    <w:rsid w:val="526D1B33"/>
    <w:rsid w:val="526D4E29"/>
    <w:rsid w:val="52735E8B"/>
    <w:rsid w:val="52917E8F"/>
    <w:rsid w:val="52B44696"/>
    <w:rsid w:val="52BB5DFD"/>
    <w:rsid w:val="52C10D75"/>
    <w:rsid w:val="52CB7ED7"/>
    <w:rsid w:val="52D55821"/>
    <w:rsid w:val="52EB2FB5"/>
    <w:rsid w:val="53064443"/>
    <w:rsid w:val="53376E09"/>
    <w:rsid w:val="53655BA8"/>
    <w:rsid w:val="539232B3"/>
    <w:rsid w:val="53A303CC"/>
    <w:rsid w:val="53C27FF8"/>
    <w:rsid w:val="53D0274A"/>
    <w:rsid w:val="53EA1FF6"/>
    <w:rsid w:val="53EC03B2"/>
    <w:rsid w:val="5406042B"/>
    <w:rsid w:val="540B5AE5"/>
    <w:rsid w:val="54167271"/>
    <w:rsid w:val="54457E2A"/>
    <w:rsid w:val="544A1D81"/>
    <w:rsid w:val="544E00F4"/>
    <w:rsid w:val="5475679C"/>
    <w:rsid w:val="548850A3"/>
    <w:rsid w:val="548E3F00"/>
    <w:rsid w:val="548E485C"/>
    <w:rsid w:val="549E1A80"/>
    <w:rsid w:val="54AB108A"/>
    <w:rsid w:val="54BA25DB"/>
    <w:rsid w:val="54C658F4"/>
    <w:rsid w:val="54CB45B1"/>
    <w:rsid w:val="54CF22DF"/>
    <w:rsid w:val="54E0494C"/>
    <w:rsid w:val="54E171CD"/>
    <w:rsid w:val="54E7784F"/>
    <w:rsid w:val="550C4BD7"/>
    <w:rsid w:val="55322669"/>
    <w:rsid w:val="5539470A"/>
    <w:rsid w:val="554C1D56"/>
    <w:rsid w:val="55572986"/>
    <w:rsid w:val="555761AA"/>
    <w:rsid w:val="555E236D"/>
    <w:rsid w:val="55805785"/>
    <w:rsid w:val="5586551B"/>
    <w:rsid w:val="558A2402"/>
    <w:rsid w:val="55A82C22"/>
    <w:rsid w:val="55C062DD"/>
    <w:rsid w:val="55C84FE2"/>
    <w:rsid w:val="55CB0F14"/>
    <w:rsid w:val="55E822CC"/>
    <w:rsid w:val="5607446A"/>
    <w:rsid w:val="56081243"/>
    <w:rsid w:val="56182C00"/>
    <w:rsid w:val="56245CC2"/>
    <w:rsid w:val="56330E85"/>
    <w:rsid w:val="565340FA"/>
    <w:rsid w:val="565C3ECA"/>
    <w:rsid w:val="56636EEC"/>
    <w:rsid w:val="56790914"/>
    <w:rsid w:val="567D64C6"/>
    <w:rsid w:val="568E01E7"/>
    <w:rsid w:val="569A7860"/>
    <w:rsid w:val="56B25952"/>
    <w:rsid w:val="56FC519F"/>
    <w:rsid w:val="571B3688"/>
    <w:rsid w:val="571F4860"/>
    <w:rsid w:val="5723343E"/>
    <w:rsid w:val="573D7EAB"/>
    <w:rsid w:val="57443354"/>
    <w:rsid w:val="57580904"/>
    <w:rsid w:val="578057C8"/>
    <w:rsid w:val="578231ED"/>
    <w:rsid w:val="57856002"/>
    <w:rsid w:val="57893184"/>
    <w:rsid w:val="57A66BAB"/>
    <w:rsid w:val="57AA18F7"/>
    <w:rsid w:val="57D21B1D"/>
    <w:rsid w:val="57DB4A0B"/>
    <w:rsid w:val="57DD34B9"/>
    <w:rsid w:val="57E6392C"/>
    <w:rsid w:val="57EA6084"/>
    <w:rsid w:val="57F706C9"/>
    <w:rsid w:val="58017793"/>
    <w:rsid w:val="58244E5C"/>
    <w:rsid w:val="58685C59"/>
    <w:rsid w:val="58697500"/>
    <w:rsid w:val="5874230E"/>
    <w:rsid w:val="58843841"/>
    <w:rsid w:val="5891308F"/>
    <w:rsid w:val="589236B1"/>
    <w:rsid w:val="58C86B99"/>
    <w:rsid w:val="58DB0E48"/>
    <w:rsid w:val="5904102E"/>
    <w:rsid w:val="590A564B"/>
    <w:rsid w:val="59415D84"/>
    <w:rsid w:val="5944577D"/>
    <w:rsid w:val="594D2B53"/>
    <w:rsid w:val="595D5F56"/>
    <w:rsid w:val="598813E0"/>
    <w:rsid w:val="59914276"/>
    <w:rsid w:val="5999679A"/>
    <w:rsid w:val="599B7268"/>
    <w:rsid w:val="599C38F2"/>
    <w:rsid w:val="59A03BB4"/>
    <w:rsid w:val="59AA0FB1"/>
    <w:rsid w:val="59B91F8C"/>
    <w:rsid w:val="59EF6A42"/>
    <w:rsid w:val="59F20EF7"/>
    <w:rsid w:val="5A1030D6"/>
    <w:rsid w:val="5A254E82"/>
    <w:rsid w:val="5A2F2CC8"/>
    <w:rsid w:val="5A6059E2"/>
    <w:rsid w:val="5A6251EB"/>
    <w:rsid w:val="5A673F93"/>
    <w:rsid w:val="5A723722"/>
    <w:rsid w:val="5A7D02BC"/>
    <w:rsid w:val="5A84088B"/>
    <w:rsid w:val="5AAA4EE2"/>
    <w:rsid w:val="5AC95C92"/>
    <w:rsid w:val="5B436D5A"/>
    <w:rsid w:val="5B487697"/>
    <w:rsid w:val="5B570637"/>
    <w:rsid w:val="5B79092D"/>
    <w:rsid w:val="5B7D33AD"/>
    <w:rsid w:val="5B7F28A2"/>
    <w:rsid w:val="5B8E36FB"/>
    <w:rsid w:val="5B9C3F03"/>
    <w:rsid w:val="5BA26962"/>
    <w:rsid w:val="5BA85879"/>
    <w:rsid w:val="5BAF1477"/>
    <w:rsid w:val="5BAF4E87"/>
    <w:rsid w:val="5BAF6C35"/>
    <w:rsid w:val="5BB978F4"/>
    <w:rsid w:val="5BC1259B"/>
    <w:rsid w:val="5BEF222A"/>
    <w:rsid w:val="5C10702D"/>
    <w:rsid w:val="5C14136F"/>
    <w:rsid w:val="5C152601"/>
    <w:rsid w:val="5C20614F"/>
    <w:rsid w:val="5C591F03"/>
    <w:rsid w:val="5C697AAA"/>
    <w:rsid w:val="5C7D09AB"/>
    <w:rsid w:val="5C8A1B2F"/>
    <w:rsid w:val="5C9257B9"/>
    <w:rsid w:val="5C96399E"/>
    <w:rsid w:val="5CAF3DCD"/>
    <w:rsid w:val="5CDC5AFF"/>
    <w:rsid w:val="5CEA4062"/>
    <w:rsid w:val="5D2C1215"/>
    <w:rsid w:val="5D3B3CF3"/>
    <w:rsid w:val="5D3E52C6"/>
    <w:rsid w:val="5D4D4133"/>
    <w:rsid w:val="5D857790"/>
    <w:rsid w:val="5D861815"/>
    <w:rsid w:val="5D8936D2"/>
    <w:rsid w:val="5D914004"/>
    <w:rsid w:val="5DA74B52"/>
    <w:rsid w:val="5DC13151"/>
    <w:rsid w:val="5DD80331"/>
    <w:rsid w:val="5DD95E29"/>
    <w:rsid w:val="5DDD16DD"/>
    <w:rsid w:val="5DF41766"/>
    <w:rsid w:val="5E015F08"/>
    <w:rsid w:val="5E202401"/>
    <w:rsid w:val="5E615889"/>
    <w:rsid w:val="5E727AB0"/>
    <w:rsid w:val="5E847BF7"/>
    <w:rsid w:val="5E936FAE"/>
    <w:rsid w:val="5EAA1124"/>
    <w:rsid w:val="5EC8520A"/>
    <w:rsid w:val="5ED25050"/>
    <w:rsid w:val="5F032C23"/>
    <w:rsid w:val="5F0341A4"/>
    <w:rsid w:val="5F0A7504"/>
    <w:rsid w:val="5F114CB9"/>
    <w:rsid w:val="5F11516A"/>
    <w:rsid w:val="5F174D94"/>
    <w:rsid w:val="5F4F5E24"/>
    <w:rsid w:val="5F543532"/>
    <w:rsid w:val="5F561B72"/>
    <w:rsid w:val="5F774396"/>
    <w:rsid w:val="5F811AD3"/>
    <w:rsid w:val="5F8E3288"/>
    <w:rsid w:val="5F92448C"/>
    <w:rsid w:val="5FA13309"/>
    <w:rsid w:val="5FB646B2"/>
    <w:rsid w:val="5FBB0ADC"/>
    <w:rsid w:val="5FC2179D"/>
    <w:rsid w:val="5FE00927"/>
    <w:rsid w:val="5FE24EDD"/>
    <w:rsid w:val="5FE437FC"/>
    <w:rsid w:val="5FED0446"/>
    <w:rsid w:val="5FF87C07"/>
    <w:rsid w:val="60014470"/>
    <w:rsid w:val="600E5833"/>
    <w:rsid w:val="602A626F"/>
    <w:rsid w:val="603E60FC"/>
    <w:rsid w:val="60504C82"/>
    <w:rsid w:val="606007BB"/>
    <w:rsid w:val="606163EC"/>
    <w:rsid w:val="606963B0"/>
    <w:rsid w:val="608E10F9"/>
    <w:rsid w:val="6095423F"/>
    <w:rsid w:val="60AC7F66"/>
    <w:rsid w:val="60C13070"/>
    <w:rsid w:val="6100382D"/>
    <w:rsid w:val="61042335"/>
    <w:rsid w:val="611E12A8"/>
    <w:rsid w:val="61226064"/>
    <w:rsid w:val="61497909"/>
    <w:rsid w:val="614E0C9F"/>
    <w:rsid w:val="614F0CAD"/>
    <w:rsid w:val="6189448A"/>
    <w:rsid w:val="61A475B0"/>
    <w:rsid w:val="61A66546"/>
    <w:rsid w:val="61BD42A4"/>
    <w:rsid w:val="61BF10D9"/>
    <w:rsid w:val="61BF1193"/>
    <w:rsid w:val="61DA3D4C"/>
    <w:rsid w:val="61F215C9"/>
    <w:rsid w:val="61F734FF"/>
    <w:rsid w:val="62052E11"/>
    <w:rsid w:val="62461C4F"/>
    <w:rsid w:val="6265481D"/>
    <w:rsid w:val="626A5412"/>
    <w:rsid w:val="62AC22DC"/>
    <w:rsid w:val="62B22B31"/>
    <w:rsid w:val="62BF2D76"/>
    <w:rsid w:val="62FA4283"/>
    <w:rsid w:val="630871F9"/>
    <w:rsid w:val="630A6917"/>
    <w:rsid w:val="63177FBC"/>
    <w:rsid w:val="632630D2"/>
    <w:rsid w:val="633575E4"/>
    <w:rsid w:val="633E67A6"/>
    <w:rsid w:val="63493F8F"/>
    <w:rsid w:val="635251C8"/>
    <w:rsid w:val="6354469B"/>
    <w:rsid w:val="635A3E88"/>
    <w:rsid w:val="635C1FFD"/>
    <w:rsid w:val="63606311"/>
    <w:rsid w:val="63607FA4"/>
    <w:rsid w:val="63724593"/>
    <w:rsid w:val="637833E8"/>
    <w:rsid w:val="63DE0947"/>
    <w:rsid w:val="63F14628"/>
    <w:rsid w:val="63F30799"/>
    <w:rsid w:val="64404872"/>
    <w:rsid w:val="64481274"/>
    <w:rsid w:val="647D0531"/>
    <w:rsid w:val="648743E5"/>
    <w:rsid w:val="64941CD4"/>
    <w:rsid w:val="64AF189F"/>
    <w:rsid w:val="64B10E28"/>
    <w:rsid w:val="64BB10E5"/>
    <w:rsid w:val="64C0006E"/>
    <w:rsid w:val="64C210FC"/>
    <w:rsid w:val="64D8014C"/>
    <w:rsid w:val="64E45EF7"/>
    <w:rsid w:val="64E536C8"/>
    <w:rsid w:val="65096EA6"/>
    <w:rsid w:val="650D635E"/>
    <w:rsid w:val="651240A3"/>
    <w:rsid w:val="6528541A"/>
    <w:rsid w:val="652C53ED"/>
    <w:rsid w:val="653C2B4E"/>
    <w:rsid w:val="6544472C"/>
    <w:rsid w:val="65465871"/>
    <w:rsid w:val="654866C3"/>
    <w:rsid w:val="654E2D83"/>
    <w:rsid w:val="6555098E"/>
    <w:rsid w:val="65AE15F5"/>
    <w:rsid w:val="65D06BA5"/>
    <w:rsid w:val="65D153CD"/>
    <w:rsid w:val="65F12154"/>
    <w:rsid w:val="661D63AD"/>
    <w:rsid w:val="6630196A"/>
    <w:rsid w:val="665253D0"/>
    <w:rsid w:val="66815672"/>
    <w:rsid w:val="66873275"/>
    <w:rsid w:val="6691014E"/>
    <w:rsid w:val="66970489"/>
    <w:rsid w:val="669C7BE6"/>
    <w:rsid w:val="66C1066D"/>
    <w:rsid w:val="66C87CCE"/>
    <w:rsid w:val="66D23840"/>
    <w:rsid w:val="66E1028C"/>
    <w:rsid w:val="66E73D86"/>
    <w:rsid w:val="66FB490A"/>
    <w:rsid w:val="670006DA"/>
    <w:rsid w:val="67220FA2"/>
    <w:rsid w:val="67592253"/>
    <w:rsid w:val="677435B2"/>
    <w:rsid w:val="6779688C"/>
    <w:rsid w:val="67814D8C"/>
    <w:rsid w:val="678801E7"/>
    <w:rsid w:val="678D2EAE"/>
    <w:rsid w:val="67AC1EB3"/>
    <w:rsid w:val="67E35B9E"/>
    <w:rsid w:val="67EF75F1"/>
    <w:rsid w:val="67F323FA"/>
    <w:rsid w:val="682062DD"/>
    <w:rsid w:val="68230178"/>
    <w:rsid w:val="6828218F"/>
    <w:rsid w:val="68327BBE"/>
    <w:rsid w:val="68836ACA"/>
    <w:rsid w:val="688D5804"/>
    <w:rsid w:val="689736F8"/>
    <w:rsid w:val="68B35F15"/>
    <w:rsid w:val="69124F16"/>
    <w:rsid w:val="692556B9"/>
    <w:rsid w:val="69280117"/>
    <w:rsid w:val="693022D8"/>
    <w:rsid w:val="694A5205"/>
    <w:rsid w:val="694C59EB"/>
    <w:rsid w:val="69874AA4"/>
    <w:rsid w:val="699B453B"/>
    <w:rsid w:val="69AD518D"/>
    <w:rsid w:val="69CD5C14"/>
    <w:rsid w:val="69CF0D33"/>
    <w:rsid w:val="69D8686C"/>
    <w:rsid w:val="69D96AC3"/>
    <w:rsid w:val="69F567A0"/>
    <w:rsid w:val="6A1A7186"/>
    <w:rsid w:val="6A2D3C19"/>
    <w:rsid w:val="6A36068B"/>
    <w:rsid w:val="6A434A35"/>
    <w:rsid w:val="6A4B2209"/>
    <w:rsid w:val="6A5066CB"/>
    <w:rsid w:val="6A512713"/>
    <w:rsid w:val="6A542D51"/>
    <w:rsid w:val="6A5F0F50"/>
    <w:rsid w:val="6A6030C4"/>
    <w:rsid w:val="6A676547"/>
    <w:rsid w:val="6A767148"/>
    <w:rsid w:val="6A7F05D0"/>
    <w:rsid w:val="6AAB324D"/>
    <w:rsid w:val="6AB235AF"/>
    <w:rsid w:val="6ABD719F"/>
    <w:rsid w:val="6AC13E4D"/>
    <w:rsid w:val="6ADA17F5"/>
    <w:rsid w:val="6AE644C3"/>
    <w:rsid w:val="6AE71A96"/>
    <w:rsid w:val="6AF64E0B"/>
    <w:rsid w:val="6AFD4928"/>
    <w:rsid w:val="6B0F6F0C"/>
    <w:rsid w:val="6B14078A"/>
    <w:rsid w:val="6B175FBC"/>
    <w:rsid w:val="6B297797"/>
    <w:rsid w:val="6B2F4D3E"/>
    <w:rsid w:val="6B303F71"/>
    <w:rsid w:val="6B374E7A"/>
    <w:rsid w:val="6B4317B4"/>
    <w:rsid w:val="6B4A10E4"/>
    <w:rsid w:val="6B5C4B71"/>
    <w:rsid w:val="6B614E02"/>
    <w:rsid w:val="6B623CC4"/>
    <w:rsid w:val="6B7E2908"/>
    <w:rsid w:val="6B9946B3"/>
    <w:rsid w:val="6BAB1CA8"/>
    <w:rsid w:val="6BC23FBB"/>
    <w:rsid w:val="6BF5106A"/>
    <w:rsid w:val="6C211E68"/>
    <w:rsid w:val="6C241930"/>
    <w:rsid w:val="6C2D0A9C"/>
    <w:rsid w:val="6C343327"/>
    <w:rsid w:val="6C372961"/>
    <w:rsid w:val="6C4052D5"/>
    <w:rsid w:val="6C431EF3"/>
    <w:rsid w:val="6C4B0DE1"/>
    <w:rsid w:val="6C4E6902"/>
    <w:rsid w:val="6C5B59F4"/>
    <w:rsid w:val="6C6278D3"/>
    <w:rsid w:val="6C662189"/>
    <w:rsid w:val="6C6B22D7"/>
    <w:rsid w:val="6C6C2F38"/>
    <w:rsid w:val="6C7007C7"/>
    <w:rsid w:val="6C8C2B67"/>
    <w:rsid w:val="6C8D38AF"/>
    <w:rsid w:val="6C8D7684"/>
    <w:rsid w:val="6CA13443"/>
    <w:rsid w:val="6CA83959"/>
    <w:rsid w:val="6CB04275"/>
    <w:rsid w:val="6CDC07DA"/>
    <w:rsid w:val="6CDF720B"/>
    <w:rsid w:val="6CEB7CE9"/>
    <w:rsid w:val="6CF92C55"/>
    <w:rsid w:val="6D21360D"/>
    <w:rsid w:val="6D3A3B10"/>
    <w:rsid w:val="6D415399"/>
    <w:rsid w:val="6D4C7D54"/>
    <w:rsid w:val="6D5E0131"/>
    <w:rsid w:val="6D60703C"/>
    <w:rsid w:val="6D616805"/>
    <w:rsid w:val="6D68310A"/>
    <w:rsid w:val="6D6D4330"/>
    <w:rsid w:val="6D8B0FD6"/>
    <w:rsid w:val="6D915D95"/>
    <w:rsid w:val="6D94625C"/>
    <w:rsid w:val="6D9B53CB"/>
    <w:rsid w:val="6DA32372"/>
    <w:rsid w:val="6DB63374"/>
    <w:rsid w:val="6DE76850"/>
    <w:rsid w:val="6DF8337B"/>
    <w:rsid w:val="6E030A47"/>
    <w:rsid w:val="6E1A3980"/>
    <w:rsid w:val="6E2B20B9"/>
    <w:rsid w:val="6E2B50E3"/>
    <w:rsid w:val="6E455F22"/>
    <w:rsid w:val="6E506EFF"/>
    <w:rsid w:val="6E8059E4"/>
    <w:rsid w:val="6E930639"/>
    <w:rsid w:val="6E9E45BF"/>
    <w:rsid w:val="6EA34CC4"/>
    <w:rsid w:val="6EA52F78"/>
    <w:rsid w:val="6EC00BE3"/>
    <w:rsid w:val="6EE14809"/>
    <w:rsid w:val="6EE54F57"/>
    <w:rsid w:val="6EFF7A7C"/>
    <w:rsid w:val="6F055DD7"/>
    <w:rsid w:val="6F2E0D5F"/>
    <w:rsid w:val="6F395B8B"/>
    <w:rsid w:val="6F4A6530"/>
    <w:rsid w:val="6F6B76CB"/>
    <w:rsid w:val="6F6E0ACF"/>
    <w:rsid w:val="6F753C1F"/>
    <w:rsid w:val="6F7869E1"/>
    <w:rsid w:val="6F964F3B"/>
    <w:rsid w:val="6F993A2D"/>
    <w:rsid w:val="6FB20BD4"/>
    <w:rsid w:val="6FB650F7"/>
    <w:rsid w:val="6FB75277"/>
    <w:rsid w:val="6FBA59BE"/>
    <w:rsid w:val="6FD64135"/>
    <w:rsid w:val="6FF16C9A"/>
    <w:rsid w:val="6FF2418B"/>
    <w:rsid w:val="6FF3192C"/>
    <w:rsid w:val="6FFF04B6"/>
    <w:rsid w:val="702726F0"/>
    <w:rsid w:val="70296B3E"/>
    <w:rsid w:val="704255C1"/>
    <w:rsid w:val="704751B9"/>
    <w:rsid w:val="70497291"/>
    <w:rsid w:val="70542A01"/>
    <w:rsid w:val="705B357E"/>
    <w:rsid w:val="70611204"/>
    <w:rsid w:val="70B25EA3"/>
    <w:rsid w:val="70BF0EE0"/>
    <w:rsid w:val="70C20C9C"/>
    <w:rsid w:val="70C57C29"/>
    <w:rsid w:val="70D01410"/>
    <w:rsid w:val="70D036E5"/>
    <w:rsid w:val="70D32204"/>
    <w:rsid w:val="70F15847"/>
    <w:rsid w:val="70F740BA"/>
    <w:rsid w:val="710A582E"/>
    <w:rsid w:val="71147BFE"/>
    <w:rsid w:val="712565D6"/>
    <w:rsid w:val="713116FD"/>
    <w:rsid w:val="71354F80"/>
    <w:rsid w:val="71370AC8"/>
    <w:rsid w:val="713D46C5"/>
    <w:rsid w:val="71434E47"/>
    <w:rsid w:val="71486F7F"/>
    <w:rsid w:val="71534576"/>
    <w:rsid w:val="715F2A54"/>
    <w:rsid w:val="71662A10"/>
    <w:rsid w:val="71926986"/>
    <w:rsid w:val="71982A8B"/>
    <w:rsid w:val="71A17BB2"/>
    <w:rsid w:val="71D22136"/>
    <w:rsid w:val="72204649"/>
    <w:rsid w:val="722C5869"/>
    <w:rsid w:val="72450FB0"/>
    <w:rsid w:val="72487743"/>
    <w:rsid w:val="725E1213"/>
    <w:rsid w:val="727D6954"/>
    <w:rsid w:val="72844D41"/>
    <w:rsid w:val="72862C7E"/>
    <w:rsid w:val="728976DF"/>
    <w:rsid w:val="72936E2F"/>
    <w:rsid w:val="72AF2599"/>
    <w:rsid w:val="72CF4F19"/>
    <w:rsid w:val="72DB14EF"/>
    <w:rsid w:val="72EA7F26"/>
    <w:rsid w:val="72EC79FB"/>
    <w:rsid w:val="72F67BF9"/>
    <w:rsid w:val="731178E3"/>
    <w:rsid w:val="73240DF9"/>
    <w:rsid w:val="732C6F33"/>
    <w:rsid w:val="733D16A9"/>
    <w:rsid w:val="73425548"/>
    <w:rsid w:val="73445350"/>
    <w:rsid w:val="73514DB1"/>
    <w:rsid w:val="736A73D7"/>
    <w:rsid w:val="737C5261"/>
    <w:rsid w:val="738A77D2"/>
    <w:rsid w:val="73A553FF"/>
    <w:rsid w:val="73AC15DC"/>
    <w:rsid w:val="73AF3EE1"/>
    <w:rsid w:val="73E07E7C"/>
    <w:rsid w:val="73F27930"/>
    <w:rsid w:val="74121260"/>
    <w:rsid w:val="743462D3"/>
    <w:rsid w:val="74365CEE"/>
    <w:rsid w:val="743E7D5E"/>
    <w:rsid w:val="743F4028"/>
    <w:rsid w:val="7441374C"/>
    <w:rsid w:val="744149C3"/>
    <w:rsid w:val="74474E71"/>
    <w:rsid w:val="74A93E5A"/>
    <w:rsid w:val="74C633BB"/>
    <w:rsid w:val="74FA2C30"/>
    <w:rsid w:val="751D1A0B"/>
    <w:rsid w:val="753B09F7"/>
    <w:rsid w:val="754D5C4B"/>
    <w:rsid w:val="756C78B0"/>
    <w:rsid w:val="75775737"/>
    <w:rsid w:val="757939B3"/>
    <w:rsid w:val="757E50F6"/>
    <w:rsid w:val="75855224"/>
    <w:rsid w:val="75A05064"/>
    <w:rsid w:val="75A85DA3"/>
    <w:rsid w:val="75AB5440"/>
    <w:rsid w:val="75CB60C0"/>
    <w:rsid w:val="75D74C81"/>
    <w:rsid w:val="75E76F6F"/>
    <w:rsid w:val="75EC127C"/>
    <w:rsid w:val="75F142DB"/>
    <w:rsid w:val="75F23E97"/>
    <w:rsid w:val="760B3F34"/>
    <w:rsid w:val="76334397"/>
    <w:rsid w:val="765B4F30"/>
    <w:rsid w:val="766C4E79"/>
    <w:rsid w:val="766D6FAF"/>
    <w:rsid w:val="767D07C6"/>
    <w:rsid w:val="768D6906"/>
    <w:rsid w:val="768F7316"/>
    <w:rsid w:val="76A143E8"/>
    <w:rsid w:val="76BF1D66"/>
    <w:rsid w:val="76C240A7"/>
    <w:rsid w:val="76C8773D"/>
    <w:rsid w:val="76EE3F18"/>
    <w:rsid w:val="76F219E9"/>
    <w:rsid w:val="76F263F7"/>
    <w:rsid w:val="770F3331"/>
    <w:rsid w:val="77285125"/>
    <w:rsid w:val="77315AC4"/>
    <w:rsid w:val="775246B7"/>
    <w:rsid w:val="77583C37"/>
    <w:rsid w:val="775974AF"/>
    <w:rsid w:val="77822BBC"/>
    <w:rsid w:val="778264A7"/>
    <w:rsid w:val="77930B55"/>
    <w:rsid w:val="77977DAD"/>
    <w:rsid w:val="77CA03EE"/>
    <w:rsid w:val="77CA234A"/>
    <w:rsid w:val="781E69D1"/>
    <w:rsid w:val="782A2DF7"/>
    <w:rsid w:val="788D27B5"/>
    <w:rsid w:val="78DE4305"/>
    <w:rsid w:val="79091C23"/>
    <w:rsid w:val="797F0359"/>
    <w:rsid w:val="7988495F"/>
    <w:rsid w:val="79962040"/>
    <w:rsid w:val="799A2861"/>
    <w:rsid w:val="79A4105F"/>
    <w:rsid w:val="79BC014A"/>
    <w:rsid w:val="79BC34FC"/>
    <w:rsid w:val="79C95D86"/>
    <w:rsid w:val="79D042C8"/>
    <w:rsid w:val="79D90DD4"/>
    <w:rsid w:val="7A0C5ABB"/>
    <w:rsid w:val="7A263B6B"/>
    <w:rsid w:val="7A2A6E84"/>
    <w:rsid w:val="7A2D01BD"/>
    <w:rsid w:val="7A447E0C"/>
    <w:rsid w:val="7A573C85"/>
    <w:rsid w:val="7A6D67DD"/>
    <w:rsid w:val="7A7106D0"/>
    <w:rsid w:val="7A8E7E6B"/>
    <w:rsid w:val="7A9F3904"/>
    <w:rsid w:val="7AF46346"/>
    <w:rsid w:val="7AF753E6"/>
    <w:rsid w:val="7B0F5EBF"/>
    <w:rsid w:val="7B125252"/>
    <w:rsid w:val="7B130FB9"/>
    <w:rsid w:val="7B14483E"/>
    <w:rsid w:val="7B1C0A25"/>
    <w:rsid w:val="7B1F1DF8"/>
    <w:rsid w:val="7B2611AB"/>
    <w:rsid w:val="7B4E6A0D"/>
    <w:rsid w:val="7B641BCE"/>
    <w:rsid w:val="7B770612"/>
    <w:rsid w:val="7B875F34"/>
    <w:rsid w:val="7BDD6F19"/>
    <w:rsid w:val="7BF64EDE"/>
    <w:rsid w:val="7C10151B"/>
    <w:rsid w:val="7C141428"/>
    <w:rsid w:val="7C1E1D84"/>
    <w:rsid w:val="7C221C6B"/>
    <w:rsid w:val="7C370186"/>
    <w:rsid w:val="7C400C1E"/>
    <w:rsid w:val="7C99714C"/>
    <w:rsid w:val="7CA07DE8"/>
    <w:rsid w:val="7CA350BE"/>
    <w:rsid w:val="7CA53FD5"/>
    <w:rsid w:val="7CB50883"/>
    <w:rsid w:val="7CBE6D5D"/>
    <w:rsid w:val="7CCF481C"/>
    <w:rsid w:val="7CDD1808"/>
    <w:rsid w:val="7CF57CC1"/>
    <w:rsid w:val="7D0B5456"/>
    <w:rsid w:val="7D2B12B1"/>
    <w:rsid w:val="7D352792"/>
    <w:rsid w:val="7D563551"/>
    <w:rsid w:val="7D6F6791"/>
    <w:rsid w:val="7D7558BB"/>
    <w:rsid w:val="7D830B9D"/>
    <w:rsid w:val="7D905E8D"/>
    <w:rsid w:val="7DB23C3E"/>
    <w:rsid w:val="7DD11708"/>
    <w:rsid w:val="7DE5430C"/>
    <w:rsid w:val="7DE64899"/>
    <w:rsid w:val="7DF813B2"/>
    <w:rsid w:val="7DFC32D8"/>
    <w:rsid w:val="7DFD7978"/>
    <w:rsid w:val="7E0763E6"/>
    <w:rsid w:val="7E1202A7"/>
    <w:rsid w:val="7E156055"/>
    <w:rsid w:val="7E2D7872"/>
    <w:rsid w:val="7E522C19"/>
    <w:rsid w:val="7E5C0F61"/>
    <w:rsid w:val="7E786F03"/>
    <w:rsid w:val="7E7B37EB"/>
    <w:rsid w:val="7E8E6EBF"/>
    <w:rsid w:val="7EAA7A04"/>
    <w:rsid w:val="7EAD21C3"/>
    <w:rsid w:val="7EBD579E"/>
    <w:rsid w:val="7EC167BD"/>
    <w:rsid w:val="7ED56D33"/>
    <w:rsid w:val="7EFA4BE7"/>
    <w:rsid w:val="7EFC345C"/>
    <w:rsid w:val="7F013EF5"/>
    <w:rsid w:val="7F1A6960"/>
    <w:rsid w:val="7F272D9E"/>
    <w:rsid w:val="7F376DBE"/>
    <w:rsid w:val="7F397426"/>
    <w:rsid w:val="7F507488"/>
    <w:rsid w:val="7F657C66"/>
    <w:rsid w:val="7F687D9B"/>
    <w:rsid w:val="7F7848F6"/>
    <w:rsid w:val="7FAB30D0"/>
    <w:rsid w:val="7FF54CAF"/>
    <w:rsid w:val="7FFD53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qFormat="1" w:unhideWhenUsed="0" w:uiPriority="99" w:semiHidden="0"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46"/>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47"/>
    <w:qFormat/>
    <w:uiPriority w:val="99"/>
    <w:pPr>
      <w:keepNext/>
      <w:keepLines/>
      <w:spacing w:before="260" w:after="260" w:line="416" w:lineRule="auto"/>
      <w:outlineLvl w:val="2"/>
    </w:pPr>
    <w:rPr>
      <w:b/>
      <w:bCs/>
      <w:sz w:val="32"/>
      <w:szCs w:val="32"/>
    </w:rPr>
  </w:style>
  <w:style w:type="paragraph" w:styleId="5">
    <w:name w:val="heading 4"/>
    <w:basedOn w:val="1"/>
    <w:next w:val="1"/>
    <w:link w:val="48"/>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7"/>
    <w:link w:val="49"/>
    <w:qFormat/>
    <w:uiPriority w:val="9"/>
    <w:pPr>
      <w:keepNext/>
      <w:keepLines/>
      <w:spacing w:before="280" w:after="290" w:line="376" w:lineRule="auto"/>
      <w:outlineLvl w:val="4"/>
    </w:pPr>
    <w:rPr>
      <w:b/>
      <w:bCs/>
      <w:sz w:val="28"/>
      <w:szCs w:val="28"/>
    </w:rPr>
  </w:style>
  <w:style w:type="paragraph" w:styleId="8">
    <w:name w:val="heading 8"/>
    <w:basedOn w:val="1"/>
    <w:next w:val="1"/>
    <w:link w:val="50"/>
    <w:qFormat/>
    <w:uiPriority w:val="9"/>
    <w:pPr>
      <w:keepNext/>
      <w:keepLines/>
      <w:spacing w:before="240" w:after="64" w:line="320" w:lineRule="auto"/>
      <w:outlineLvl w:val="7"/>
    </w:pPr>
    <w:rPr>
      <w:rFonts w:ascii="等线 Light" w:hAnsi="等线 Light" w:eastAsia="等线 Light"/>
      <w:sz w:val="24"/>
    </w:rPr>
  </w:style>
  <w:style w:type="character" w:default="1" w:styleId="33">
    <w:name w:val="Default Paragraph Font"/>
    <w:semiHidden/>
    <w:unhideWhenUsed/>
    <w:qFormat/>
    <w:uiPriority w:val="1"/>
  </w:style>
  <w:style w:type="table" w:default="1" w:styleId="3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qFormat/>
    <w:uiPriority w:val="99"/>
    <w:pPr>
      <w:ind w:firstLine="420"/>
    </w:pPr>
    <w:rPr>
      <w:szCs w:val="20"/>
    </w:rPr>
  </w:style>
  <w:style w:type="paragraph" w:styleId="9">
    <w:name w:val="table of authorities"/>
    <w:basedOn w:val="1"/>
    <w:next w:val="1"/>
    <w:qFormat/>
    <w:uiPriority w:val="99"/>
    <w:pPr>
      <w:ind w:left="420" w:leftChars="200"/>
    </w:pPr>
    <w:rPr>
      <w:rFonts w:ascii="Calibri" w:hAnsi="Calibri"/>
    </w:rPr>
  </w:style>
  <w:style w:type="paragraph" w:styleId="10">
    <w:name w:val="index 8"/>
    <w:basedOn w:val="1"/>
    <w:next w:val="1"/>
    <w:qFormat/>
    <w:uiPriority w:val="0"/>
    <w:pPr>
      <w:ind w:left="2940"/>
    </w:pPr>
  </w:style>
  <w:style w:type="paragraph" w:styleId="11">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2">
    <w:name w:val="caption"/>
    <w:basedOn w:val="1"/>
    <w:next w:val="1"/>
    <w:qFormat/>
    <w:uiPriority w:val="0"/>
    <w:rPr>
      <w:rFonts w:ascii="DejaVu Sans" w:hAnsi="DejaVu Sans" w:eastAsia="方正黑体_GBK"/>
      <w:sz w:val="20"/>
    </w:rPr>
  </w:style>
  <w:style w:type="paragraph" w:styleId="13">
    <w:name w:val="annotation text"/>
    <w:basedOn w:val="1"/>
    <w:link w:val="42"/>
    <w:qFormat/>
    <w:uiPriority w:val="99"/>
    <w:pPr>
      <w:jc w:val="left"/>
    </w:pPr>
  </w:style>
  <w:style w:type="paragraph" w:styleId="14">
    <w:name w:val="Body Text 3"/>
    <w:basedOn w:val="1"/>
    <w:link w:val="51"/>
    <w:unhideWhenUsed/>
    <w:qFormat/>
    <w:uiPriority w:val="99"/>
    <w:pPr>
      <w:spacing w:after="120"/>
    </w:pPr>
    <w:rPr>
      <w:sz w:val="16"/>
      <w:szCs w:val="16"/>
    </w:rPr>
  </w:style>
  <w:style w:type="paragraph" w:styleId="15">
    <w:name w:val="Body Text"/>
    <w:basedOn w:val="1"/>
    <w:next w:val="1"/>
    <w:link w:val="52"/>
    <w:unhideWhenUsed/>
    <w:qFormat/>
    <w:uiPriority w:val="0"/>
    <w:pPr>
      <w:spacing w:after="120"/>
    </w:pPr>
  </w:style>
  <w:style w:type="paragraph" w:styleId="16">
    <w:name w:val="Body Text Indent"/>
    <w:basedOn w:val="1"/>
    <w:link w:val="41"/>
    <w:qFormat/>
    <w:uiPriority w:val="99"/>
    <w:pPr>
      <w:ind w:firstLine="830" w:firstLineChars="352"/>
    </w:pPr>
    <w:rPr>
      <w:rFonts w:ascii="仿宋_GB2312" w:eastAsia="仿宋_GB2312"/>
      <w:kern w:val="0"/>
      <w:sz w:val="32"/>
      <w:szCs w:val="20"/>
    </w:rPr>
  </w:style>
  <w:style w:type="paragraph" w:styleId="17">
    <w:name w:val="List 2"/>
    <w:basedOn w:val="1"/>
    <w:unhideWhenUsed/>
    <w:qFormat/>
    <w:uiPriority w:val="99"/>
    <w:pPr>
      <w:ind w:left="100" w:leftChars="200" w:hanging="200" w:hangingChars="200"/>
      <w:contextualSpacing/>
    </w:pPr>
  </w:style>
  <w:style w:type="paragraph" w:styleId="18">
    <w:name w:val="toc 3"/>
    <w:basedOn w:val="1"/>
    <w:next w:val="1"/>
    <w:unhideWhenUsed/>
    <w:qFormat/>
    <w:uiPriority w:val="39"/>
    <w:pPr>
      <w:ind w:left="840" w:leftChars="400"/>
    </w:pPr>
  </w:style>
  <w:style w:type="paragraph" w:styleId="19">
    <w:name w:val="Plain Text"/>
    <w:basedOn w:val="1"/>
    <w:next w:val="5"/>
    <w:link w:val="53"/>
    <w:qFormat/>
    <w:uiPriority w:val="0"/>
    <w:rPr>
      <w:rFonts w:ascii="宋体" w:hAnsi="Courier New"/>
      <w:kern w:val="0"/>
      <w:sz w:val="20"/>
      <w:szCs w:val="21"/>
    </w:rPr>
  </w:style>
  <w:style w:type="paragraph" w:styleId="20">
    <w:name w:val="Date"/>
    <w:basedOn w:val="1"/>
    <w:next w:val="1"/>
    <w:link w:val="54"/>
    <w:unhideWhenUsed/>
    <w:qFormat/>
    <w:uiPriority w:val="99"/>
    <w:pPr>
      <w:ind w:left="100" w:leftChars="2500"/>
    </w:pPr>
  </w:style>
  <w:style w:type="paragraph" w:styleId="21">
    <w:name w:val="Balloon Text"/>
    <w:basedOn w:val="1"/>
    <w:semiHidden/>
    <w:qFormat/>
    <w:uiPriority w:val="0"/>
    <w:rPr>
      <w:sz w:val="18"/>
      <w:szCs w:val="18"/>
    </w:rPr>
  </w:style>
  <w:style w:type="paragraph" w:styleId="22">
    <w:name w:val="footer"/>
    <w:basedOn w:val="1"/>
    <w:next w:val="1"/>
    <w:link w:val="55"/>
    <w:unhideWhenUsed/>
    <w:qFormat/>
    <w:uiPriority w:val="99"/>
    <w:pPr>
      <w:tabs>
        <w:tab w:val="center" w:pos="4153"/>
        <w:tab w:val="right" w:pos="8306"/>
      </w:tabs>
      <w:snapToGrid w:val="0"/>
      <w:jc w:val="left"/>
    </w:pPr>
    <w:rPr>
      <w:kern w:val="0"/>
      <w:sz w:val="18"/>
      <w:szCs w:val="18"/>
    </w:rPr>
  </w:style>
  <w:style w:type="paragraph" w:styleId="23">
    <w:name w:val="header"/>
    <w:basedOn w:val="1"/>
    <w:link w:val="5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unhideWhenUsed/>
    <w:qFormat/>
    <w:uiPriority w:val="39"/>
  </w:style>
  <w:style w:type="paragraph" w:styleId="25">
    <w:name w:val="List"/>
    <w:basedOn w:val="1"/>
    <w:unhideWhenUsed/>
    <w:qFormat/>
    <w:uiPriority w:val="99"/>
    <w:pPr>
      <w:ind w:left="200" w:hanging="200" w:hangingChars="200"/>
      <w:contextualSpacing/>
    </w:pPr>
  </w:style>
  <w:style w:type="paragraph" w:styleId="26">
    <w:name w:val="toc 2"/>
    <w:basedOn w:val="1"/>
    <w:next w:val="1"/>
    <w:unhideWhenUsed/>
    <w:qFormat/>
    <w:uiPriority w:val="39"/>
    <w:pPr>
      <w:tabs>
        <w:tab w:val="right" w:leader="dot" w:pos="8296"/>
      </w:tabs>
      <w:ind w:left="420" w:leftChars="200"/>
    </w:pPr>
  </w:style>
  <w:style w:type="paragraph" w:styleId="27">
    <w:name w:val="Normal (Web)"/>
    <w:basedOn w:val="1"/>
    <w:unhideWhenUsed/>
    <w:qFormat/>
    <w:uiPriority w:val="99"/>
    <w:rPr>
      <w:rFonts w:ascii="Calibri" w:hAnsi="Calibri"/>
      <w:kern w:val="0"/>
      <w:sz w:val="24"/>
    </w:rPr>
  </w:style>
  <w:style w:type="paragraph" w:styleId="28">
    <w:name w:val="annotation subject"/>
    <w:basedOn w:val="13"/>
    <w:next w:val="1"/>
    <w:link w:val="43"/>
    <w:qFormat/>
    <w:uiPriority w:val="99"/>
    <w:rPr>
      <w:b/>
      <w:bCs/>
    </w:rPr>
  </w:style>
  <w:style w:type="paragraph" w:styleId="29">
    <w:name w:val="Body Text First Indent"/>
    <w:basedOn w:val="15"/>
    <w:qFormat/>
    <w:uiPriority w:val="0"/>
    <w:pPr>
      <w:ind w:firstLine="420" w:firstLineChars="100"/>
    </w:pPr>
  </w:style>
  <w:style w:type="paragraph" w:styleId="30">
    <w:name w:val="Body Text First Indent 2"/>
    <w:basedOn w:val="16"/>
    <w:link w:val="44"/>
    <w:qFormat/>
    <w:uiPriority w:val="99"/>
    <w:pPr>
      <w:autoSpaceDE w:val="0"/>
      <w:autoSpaceDN w:val="0"/>
      <w:spacing w:after="120" w:line="360" w:lineRule="auto"/>
      <w:ind w:left="420" w:leftChars="200" w:firstLine="420" w:firstLineChars="200"/>
    </w:pPr>
    <w:rPr>
      <w:sz w:val="21"/>
      <w:szCs w:val="24"/>
    </w:rPr>
  </w:style>
  <w:style w:type="table" w:styleId="32">
    <w:name w:val="Table Grid"/>
    <w:basedOn w:val="3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endnote reference"/>
    <w:unhideWhenUsed/>
    <w:qFormat/>
    <w:uiPriority w:val="99"/>
    <w:rPr>
      <w:vertAlign w:val="superscript"/>
    </w:rPr>
  </w:style>
  <w:style w:type="character" w:styleId="35">
    <w:name w:val="page number"/>
    <w:qFormat/>
    <w:uiPriority w:val="0"/>
  </w:style>
  <w:style w:type="character" w:styleId="36">
    <w:name w:val="FollowedHyperlink"/>
    <w:unhideWhenUsed/>
    <w:qFormat/>
    <w:uiPriority w:val="99"/>
    <w:rPr>
      <w:color w:val="800080"/>
      <w:u w:val="single"/>
    </w:rPr>
  </w:style>
  <w:style w:type="character" w:styleId="37">
    <w:name w:val="Emphasis"/>
    <w:basedOn w:val="33"/>
    <w:qFormat/>
    <w:uiPriority w:val="20"/>
    <w:rPr>
      <w:i/>
    </w:rPr>
  </w:style>
  <w:style w:type="character" w:styleId="38">
    <w:name w:val="Hyperlink"/>
    <w:unhideWhenUsed/>
    <w:qFormat/>
    <w:uiPriority w:val="99"/>
    <w:rPr>
      <w:color w:val="0000FF"/>
      <w:u w:val="single"/>
    </w:rPr>
  </w:style>
  <w:style w:type="character" w:styleId="39">
    <w:name w:val="annotation reference"/>
    <w:qFormat/>
    <w:uiPriority w:val="99"/>
    <w:rPr>
      <w:sz w:val="21"/>
      <w:szCs w:val="21"/>
    </w:rPr>
  </w:style>
  <w:style w:type="paragraph" w:customStyle="1" w:styleId="40">
    <w:name w:val="Heading2"/>
    <w:basedOn w:val="1"/>
    <w:next w:val="1"/>
    <w:qFormat/>
    <w:uiPriority w:val="0"/>
    <w:pPr>
      <w:keepNext/>
      <w:keepLines/>
      <w:spacing w:before="260" w:after="260" w:line="416" w:lineRule="auto"/>
    </w:pPr>
    <w:rPr>
      <w:rFonts w:ascii="Arial" w:hAnsi="Arial" w:eastAsia="黑体"/>
      <w:b/>
      <w:bCs/>
      <w:kern w:val="0"/>
      <w:sz w:val="32"/>
      <w:szCs w:val="32"/>
    </w:rPr>
  </w:style>
  <w:style w:type="character" w:customStyle="1" w:styleId="41">
    <w:name w:val="正文文本缩进 字符"/>
    <w:link w:val="16"/>
    <w:qFormat/>
    <w:uiPriority w:val="99"/>
    <w:rPr>
      <w:rFonts w:ascii="仿宋_GB2312" w:hAnsi="Times New Roman" w:eastAsia="仿宋_GB2312" w:cs="Times New Roman"/>
      <w:sz w:val="32"/>
      <w:szCs w:val="20"/>
    </w:rPr>
  </w:style>
  <w:style w:type="character" w:customStyle="1" w:styleId="42">
    <w:name w:val="批注文字 字符2"/>
    <w:link w:val="13"/>
    <w:qFormat/>
    <w:uiPriority w:val="99"/>
    <w:rPr>
      <w:rFonts w:ascii="Times New Roman" w:hAnsi="Times New Roman"/>
      <w:kern w:val="2"/>
      <w:sz w:val="21"/>
      <w:szCs w:val="24"/>
    </w:rPr>
  </w:style>
  <w:style w:type="character" w:customStyle="1" w:styleId="43">
    <w:name w:val="批注主题 字符"/>
    <w:link w:val="28"/>
    <w:qFormat/>
    <w:uiPriority w:val="99"/>
    <w:rPr>
      <w:rFonts w:ascii="Times New Roman" w:hAnsi="Times New Roman"/>
      <w:b/>
      <w:bCs/>
      <w:kern w:val="2"/>
      <w:sz w:val="21"/>
      <w:szCs w:val="24"/>
    </w:rPr>
  </w:style>
  <w:style w:type="character" w:customStyle="1" w:styleId="44">
    <w:name w:val="正文文本首行缩进 2 字符"/>
    <w:link w:val="30"/>
    <w:qFormat/>
    <w:uiPriority w:val="99"/>
    <w:rPr>
      <w:kern w:val="2"/>
      <w:sz w:val="21"/>
      <w:szCs w:val="24"/>
    </w:rPr>
  </w:style>
  <w:style w:type="character" w:customStyle="1" w:styleId="45">
    <w:name w:val="标题 1 字符"/>
    <w:link w:val="2"/>
    <w:qFormat/>
    <w:uiPriority w:val="99"/>
    <w:rPr>
      <w:b/>
      <w:bCs/>
      <w:kern w:val="44"/>
      <w:sz w:val="44"/>
      <w:szCs w:val="44"/>
    </w:rPr>
  </w:style>
  <w:style w:type="character" w:customStyle="1" w:styleId="46">
    <w:name w:val="标题 2 字符"/>
    <w:link w:val="3"/>
    <w:qFormat/>
    <w:uiPriority w:val="9"/>
    <w:rPr>
      <w:rFonts w:ascii="Cambria" w:hAnsi="Cambria" w:eastAsia="宋体" w:cs="Times New Roman"/>
      <w:b/>
      <w:bCs/>
      <w:kern w:val="2"/>
      <w:sz w:val="32"/>
      <w:szCs w:val="32"/>
    </w:rPr>
  </w:style>
  <w:style w:type="character" w:customStyle="1" w:styleId="47">
    <w:name w:val="标题 3 字符"/>
    <w:link w:val="4"/>
    <w:qFormat/>
    <w:uiPriority w:val="99"/>
    <w:rPr>
      <w:b/>
      <w:bCs/>
      <w:kern w:val="2"/>
      <w:sz w:val="32"/>
      <w:szCs w:val="32"/>
    </w:rPr>
  </w:style>
  <w:style w:type="character" w:customStyle="1" w:styleId="48">
    <w:name w:val="标题 4 字符"/>
    <w:link w:val="5"/>
    <w:qFormat/>
    <w:uiPriority w:val="9"/>
    <w:rPr>
      <w:rFonts w:ascii="Arial" w:hAnsi="Arial" w:eastAsia="黑体"/>
      <w:b/>
      <w:kern w:val="2"/>
      <w:sz w:val="28"/>
      <w:szCs w:val="24"/>
    </w:rPr>
  </w:style>
  <w:style w:type="character" w:customStyle="1" w:styleId="49">
    <w:name w:val="标题 5 字符"/>
    <w:link w:val="6"/>
    <w:qFormat/>
    <w:uiPriority w:val="9"/>
    <w:rPr>
      <w:rFonts w:ascii="Times New Roman" w:hAnsi="Times New Roman"/>
      <w:b/>
      <w:bCs/>
      <w:kern w:val="2"/>
      <w:sz w:val="28"/>
      <w:szCs w:val="28"/>
    </w:rPr>
  </w:style>
  <w:style w:type="character" w:customStyle="1" w:styleId="50">
    <w:name w:val="标题 8 字符"/>
    <w:link w:val="8"/>
    <w:semiHidden/>
    <w:qFormat/>
    <w:uiPriority w:val="9"/>
    <w:rPr>
      <w:rFonts w:ascii="等线 Light" w:hAnsi="等线 Light" w:eastAsia="等线 Light" w:cs="Times New Roman"/>
      <w:kern w:val="2"/>
      <w:sz w:val="24"/>
      <w:szCs w:val="24"/>
    </w:rPr>
  </w:style>
  <w:style w:type="character" w:customStyle="1" w:styleId="51">
    <w:name w:val="正文文本 3 字符"/>
    <w:link w:val="14"/>
    <w:semiHidden/>
    <w:qFormat/>
    <w:uiPriority w:val="99"/>
    <w:rPr>
      <w:kern w:val="2"/>
      <w:sz w:val="16"/>
      <w:szCs w:val="16"/>
    </w:rPr>
  </w:style>
  <w:style w:type="character" w:customStyle="1" w:styleId="52">
    <w:name w:val="正文文本 字符1"/>
    <w:link w:val="15"/>
    <w:qFormat/>
    <w:uiPriority w:val="0"/>
    <w:rPr>
      <w:rFonts w:ascii="Times New Roman" w:hAnsi="Times New Roman"/>
      <w:kern w:val="2"/>
      <w:sz w:val="21"/>
      <w:szCs w:val="24"/>
    </w:rPr>
  </w:style>
  <w:style w:type="character" w:customStyle="1" w:styleId="53">
    <w:name w:val="纯文本 字符3"/>
    <w:link w:val="19"/>
    <w:qFormat/>
    <w:uiPriority w:val="0"/>
    <w:rPr>
      <w:rFonts w:ascii="宋体" w:hAnsi="Courier New" w:eastAsia="宋体" w:cs="Courier New"/>
      <w:szCs w:val="21"/>
    </w:rPr>
  </w:style>
  <w:style w:type="character" w:customStyle="1" w:styleId="54">
    <w:name w:val="日期 字符"/>
    <w:link w:val="20"/>
    <w:semiHidden/>
    <w:qFormat/>
    <w:uiPriority w:val="99"/>
    <w:rPr>
      <w:rFonts w:ascii="Times New Roman" w:hAnsi="Times New Roman"/>
      <w:kern w:val="2"/>
      <w:sz w:val="21"/>
      <w:szCs w:val="24"/>
    </w:rPr>
  </w:style>
  <w:style w:type="character" w:customStyle="1" w:styleId="55">
    <w:name w:val="页脚 字符"/>
    <w:link w:val="22"/>
    <w:qFormat/>
    <w:uiPriority w:val="99"/>
    <w:rPr>
      <w:sz w:val="18"/>
      <w:szCs w:val="18"/>
    </w:rPr>
  </w:style>
  <w:style w:type="character" w:customStyle="1" w:styleId="56">
    <w:name w:val="页眉 字符"/>
    <w:link w:val="23"/>
    <w:qFormat/>
    <w:uiPriority w:val="99"/>
    <w:rPr>
      <w:sz w:val="18"/>
      <w:szCs w:val="18"/>
    </w:rPr>
  </w:style>
  <w:style w:type="character" w:customStyle="1" w:styleId="57">
    <w:name w:val="textcontents"/>
    <w:qFormat/>
    <w:uiPriority w:val="0"/>
  </w:style>
  <w:style w:type="character" w:customStyle="1" w:styleId="58">
    <w:name w:val="标题 2 Char"/>
    <w:qFormat/>
    <w:uiPriority w:val="99"/>
    <w:rPr>
      <w:rFonts w:ascii="Cambria" w:hAnsi="Cambria" w:eastAsia="宋体" w:cs="Times New Roman"/>
      <w:b/>
      <w:bCs/>
      <w:kern w:val="2"/>
      <w:sz w:val="32"/>
      <w:szCs w:val="32"/>
    </w:rPr>
  </w:style>
  <w:style w:type="character" w:customStyle="1" w:styleId="59">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0">
    <w:name w:val="纯文本 字符2"/>
    <w:qFormat/>
    <w:uiPriority w:val="0"/>
    <w:rPr>
      <w:rFonts w:ascii="宋体" w:hAnsi="Courier New" w:eastAsia="宋体" w:cs="Courier New"/>
      <w:szCs w:val="21"/>
    </w:rPr>
  </w:style>
  <w:style w:type="character" w:customStyle="1" w:styleId="61">
    <w:name w:val="正文文本 字符"/>
    <w:qFormat/>
    <w:uiPriority w:val="0"/>
    <w:rPr>
      <w:rFonts w:ascii="Times New Roman" w:hAnsi="Times New Roman"/>
      <w:kern w:val="2"/>
      <w:sz w:val="21"/>
      <w:szCs w:val="24"/>
    </w:rPr>
  </w:style>
  <w:style w:type="character" w:customStyle="1" w:styleId="62">
    <w:name w:val="批注文字 字符1"/>
    <w:qFormat/>
    <w:uiPriority w:val="0"/>
    <w:rPr>
      <w:rFonts w:ascii="Times New Roman" w:hAnsi="Times New Roman"/>
      <w:kern w:val="2"/>
      <w:sz w:val="21"/>
      <w:szCs w:val="24"/>
    </w:rPr>
  </w:style>
  <w:style w:type="character" w:customStyle="1" w:styleId="63">
    <w:name w:val="正文文本 Char"/>
    <w:qFormat/>
    <w:uiPriority w:val="99"/>
    <w:rPr>
      <w:rFonts w:ascii="Times New Roman" w:hAnsi="Times New Roman"/>
      <w:kern w:val="2"/>
      <w:sz w:val="21"/>
      <w:szCs w:val="24"/>
    </w:rPr>
  </w:style>
  <w:style w:type="character" w:customStyle="1" w:styleId="64">
    <w:name w:val="纯文本 字符"/>
    <w:qFormat/>
    <w:uiPriority w:val="0"/>
    <w:rPr>
      <w:rFonts w:ascii="宋体" w:hAnsi="Courier New" w:eastAsia="宋体" w:cs="Courier New"/>
      <w:szCs w:val="21"/>
    </w:rPr>
  </w:style>
  <w:style w:type="character" w:customStyle="1" w:styleId="65">
    <w:name w:val="标题 1 字符1"/>
    <w:qFormat/>
    <w:uiPriority w:val="0"/>
    <w:rPr>
      <w:b/>
      <w:bCs/>
      <w:kern w:val="44"/>
      <w:sz w:val="44"/>
      <w:szCs w:val="44"/>
    </w:rPr>
  </w:style>
  <w:style w:type="character" w:customStyle="1" w:styleId="66">
    <w:name w:val="正文2 Char Char"/>
    <w:link w:val="67"/>
    <w:qFormat/>
    <w:uiPriority w:val="0"/>
    <w:rPr>
      <w:sz w:val="24"/>
    </w:rPr>
  </w:style>
  <w:style w:type="paragraph" w:customStyle="1" w:styleId="67">
    <w:name w:val="正文2"/>
    <w:basedOn w:val="1"/>
    <w:link w:val="66"/>
    <w:qFormat/>
    <w:uiPriority w:val="0"/>
    <w:pPr>
      <w:adjustRightInd w:val="0"/>
      <w:spacing w:before="156" w:line="360" w:lineRule="auto"/>
      <w:ind w:firstLine="510" w:firstLineChars="200"/>
    </w:pPr>
    <w:rPr>
      <w:kern w:val="0"/>
      <w:sz w:val="24"/>
      <w:szCs w:val="20"/>
    </w:rPr>
  </w:style>
  <w:style w:type="character" w:customStyle="1" w:styleId="68">
    <w:name w:val="标题 8 Char"/>
    <w:qFormat/>
    <w:uiPriority w:val="0"/>
    <w:rPr>
      <w:rFonts w:ascii="Arial" w:hAnsi="Arial" w:eastAsia="黑体"/>
      <w:kern w:val="2"/>
      <w:sz w:val="24"/>
      <w:szCs w:val="24"/>
    </w:rPr>
  </w:style>
  <w:style w:type="character" w:customStyle="1" w:styleId="69">
    <w:name w:val="纯文本 Char"/>
    <w:qFormat/>
    <w:uiPriority w:val="99"/>
    <w:rPr>
      <w:rFonts w:ascii="宋体" w:hAnsi="Courier New" w:eastAsia="宋体" w:cs="Courier New"/>
      <w:szCs w:val="21"/>
    </w:rPr>
  </w:style>
  <w:style w:type="character" w:customStyle="1" w:styleId="70">
    <w:name w:val="批注文字 Char"/>
    <w:qFormat/>
    <w:uiPriority w:val="99"/>
    <w:rPr>
      <w:rFonts w:ascii="Times New Roman" w:hAnsi="Times New Roman"/>
      <w:kern w:val="2"/>
      <w:sz w:val="21"/>
      <w:szCs w:val="24"/>
    </w:rPr>
  </w:style>
  <w:style w:type="character" w:customStyle="1" w:styleId="71">
    <w:name w:val="纯文本 字符1"/>
    <w:qFormat/>
    <w:uiPriority w:val="0"/>
    <w:rPr>
      <w:rFonts w:ascii="宋体" w:hAnsi="Courier New"/>
    </w:rPr>
  </w:style>
  <w:style w:type="character" w:customStyle="1" w:styleId="72">
    <w:name w:val="未处理的提及1"/>
    <w:unhideWhenUsed/>
    <w:qFormat/>
    <w:uiPriority w:val="99"/>
    <w:rPr>
      <w:color w:val="605E5C"/>
      <w:shd w:val="clear" w:color="auto" w:fill="E1DFDD"/>
    </w:rPr>
  </w:style>
  <w:style w:type="character" w:customStyle="1" w:styleId="73">
    <w:name w:val="apple-style-span"/>
    <w:qFormat/>
    <w:uiPriority w:val="0"/>
  </w:style>
  <w:style w:type="character" w:customStyle="1" w:styleId="74">
    <w:name w:val="批注文字 字符"/>
    <w:qFormat/>
    <w:uiPriority w:val="0"/>
    <w:rPr>
      <w:rFonts w:ascii="Times New Roman" w:hAnsi="Times New Roman"/>
      <w:kern w:val="2"/>
      <w:sz w:val="21"/>
      <w:szCs w:val="24"/>
    </w:rPr>
  </w:style>
  <w:style w:type="paragraph" w:customStyle="1" w:styleId="75">
    <w:name w:val="正文 A"/>
    <w:qFormat/>
    <w:uiPriority w:val="99"/>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76">
    <w:name w:val="表头"/>
    <w:basedOn w:val="1"/>
    <w:qFormat/>
    <w:uiPriority w:val="0"/>
    <w:pPr>
      <w:widowControl/>
      <w:jc w:val="center"/>
    </w:pPr>
    <w:rPr>
      <w:rFonts w:ascii="仿宋_GB2312" w:hAnsi="宋体" w:eastAsia="仿宋_GB2312" w:cs="等线"/>
      <w:b/>
      <w:bCs/>
      <w:kern w:val="0"/>
      <w:sz w:val="24"/>
    </w:rPr>
  </w:style>
  <w:style w:type="paragraph" w:customStyle="1" w:styleId="77">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78">
    <w:name w:val="_Style 3"/>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80">
    <w:name w:val="Char Char Char Char"/>
    <w:basedOn w:val="1"/>
    <w:qFormat/>
    <w:uiPriority w:val="0"/>
    <w:pPr>
      <w:widowControl/>
      <w:spacing w:after="160" w:line="240" w:lineRule="exact"/>
      <w:jc w:val="left"/>
    </w:pPr>
  </w:style>
  <w:style w:type="paragraph" w:customStyle="1" w:styleId="8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82">
    <w:name w:val="列出段落3"/>
    <w:basedOn w:val="1"/>
    <w:unhideWhenUsed/>
    <w:qFormat/>
    <w:uiPriority w:val="99"/>
    <w:pPr>
      <w:ind w:firstLine="420"/>
    </w:pPr>
  </w:style>
  <w:style w:type="paragraph" w:customStyle="1" w:styleId="83">
    <w:name w:val="Table Paragraph"/>
    <w:basedOn w:val="1"/>
    <w:qFormat/>
    <w:uiPriority w:val="1"/>
    <w:pPr>
      <w:jc w:val="left"/>
    </w:pPr>
    <w:rPr>
      <w:rFonts w:ascii="Calibri" w:hAnsi="Calibri"/>
      <w:kern w:val="0"/>
      <w:sz w:val="22"/>
      <w:szCs w:val="22"/>
      <w:lang w:eastAsia="en-US"/>
    </w:rPr>
  </w:style>
  <w:style w:type="paragraph" w:customStyle="1" w:styleId="84">
    <w:name w:val="列出段落2"/>
    <w:basedOn w:val="1"/>
    <w:unhideWhenUsed/>
    <w:qFormat/>
    <w:uiPriority w:val="99"/>
    <w:pPr>
      <w:spacing w:line="360" w:lineRule="auto"/>
      <w:ind w:firstLine="420" w:firstLineChars="200"/>
    </w:pPr>
    <w:rPr>
      <w:rFonts w:ascii="Calibri" w:hAnsi="Calibri" w:eastAsia="仿宋"/>
      <w:sz w:val="28"/>
      <w:szCs w:val="22"/>
    </w:rPr>
  </w:style>
  <w:style w:type="paragraph" w:customStyle="1" w:styleId="8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86">
    <w:name w:val="表格内容"/>
    <w:basedOn w:val="1"/>
    <w:qFormat/>
    <w:uiPriority w:val="0"/>
    <w:pPr>
      <w:widowControl/>
      <w:jc w:val="left"/>
    </w:pPr>
    <w:rPr>
      <w:rFonts w:ascii="仿宋_GB2312" w:hAnsi="宋体" w:cs="等线"/>
      <w:kern w:val="0"/>
      <w:sz w:val="24"/>
    </w:rPr>
  </w:style>
  <w:style w:type="paragraph" w:styleId="87">
    <w:name w:val="List Paragraph"/>
    <w:basedOn w:val="1"/>
    <w:qFormat/>
    <w:uiPriority w:val="34"/>
    <w:pPr>
      <w:ind w:firstLine="420" w:firstLineChars="200"/>
    </w:pPr>
  </w:style>
  <w:style w:type="paragraph" w:customStyle="1" w:styleId="88">
    <w:name w:val="默认段落字体 Para Char Char Char Char Char Char Char Char Char1 Char Char Char Char"/>
    <w:basedOn w:val="1"/>
    <w:qFormat/>
    <w:uiPriority w:val="0"/>
    <w:rPr>
      <w:rFonts w:ascii="Tahoma" w:hAnsi="Tahoma"/>
      <w:sz w:val="24"/>
      <w:szCs w:val="20"/>
    </w:rPr>
  </w:style>
  <w:style w:type="paragraph" w:customStyle="1" w:styleId="89">
    <w:name w:val="正文缩进1"/>
    <w:basedOn w:val="1"/>
    <w:next w:val="1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90">
    <w:name w:val="正文-2字符首行缩进"/>
    <w:basedOn w:val="1"/>
    <w:qFormat/>
    <w:uiPriority w:val="0"/>
    <w:pPr>
      <w:spacing w:line="360" w:lineRule="auto"/>
      <w:ind w:firstLine="200" w:firstLineChars="200"/>
    </w:pPr>
    <w:rPr>
      <w:rFonts w:ascii="仿宋_GB2312" w:hAnsi="宋体" w:eastAsia="仿宋_GB2312"/>
      <w:sz w:val="28"/>
      <w:szCs w:val="22"/>
    </w:rPr>
  </w:style>
  <w:style w:type="paragraph" w:customStyle="1" w:styleId="91">
    <w:name w:val="样式1"/>
    <w:basedOn w:val="1"/>
    <w:qFormat/>
    <w:uiPriority w:val="0"/>
    <w:pPr>
      <w:numPr>
        <w:ilvl w:val="2"/>
        <w:numId w:val="1"/>
      </w:numPr>
    </w:pPr>
  </w:style>
  <w:style w:type="paragraph" w:customStyle="1" w:styleId="92">
    <w:name w:val="样式 0正文 + 首行缩进:  2 字符1"/>
    <w:qFormat/>
    <w:uiPriority w:val="99"/>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93">
    <w:name w:val="正文首行缩进两字"/>
    <w:qFormat/>
    <w:uiPriority w:val="0"/>
    <w:pPr>
      <w:widowControl w:val="0"/>
      <w:spacing w:line="360" w:lineRule="auto"/>
      <w:ind w:right="245"/>
      <w:jc w:val="center"/>
    </w:pPr>
    <w:rPr>
      <w:rFonts w:ascii="Arial" w:hAnsi="Arial" w:eastAsia="宋体" w:cs="Arial"/>
      <w:bCs/>
      <w:sz w:val="24"/>
      <w:szCs w:val="24"/>
      <w:lang w:val="en-US" w:eastAsia="zh-CN" w:bidi="ar-SA"/>
    </w:rPr>
  </w:style>
  <w:style w:type="paragraph" w:customStyle="1" w:styleId="94">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95">
    <w:name w:val="列出段落1"/>
    <w:basedOn w:val="1"/>
    <w:qFormat/>
    <w:uiPriority w:val="34"/>
    <w:pPr>
      <w:ind w:firstLine="420"/>
    </w:pPr>
  </w:style>
  <w:style w:type="paragraph" w:customStyle="1" w:styleId="96">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97">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98">
    <w:name w:val="修订4"/>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104</Pages>
  <Words>23079</Words>
  <Characters>24021</Characters>
  <Lines>2155</Lines>
  <Paragraphs>2525</Paragraphs>
  <TotalTime>68</TotalTime>
  <ScaleCrop>false</ScaleCrop>
  <LinksUpToDate>false</LinksUpToDate>
  <CharactersWithSpaces>24118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2025-06-26T01:09:00Z</dcterms:created>
  <dc:creator>唐冰</dc:creator>
  <cp:lastModifiedBy>科联招标韦毅锋</cp:lastModifiedBy>
  <cp:lastPrinted>2025-10-30T02:13:00Z</cp:lastPrinted>
  <dcterms:modified xsi:type="dcterms:W3CDTF">2025-11-12T10:50:43Z</dcterms:modified>
  <dc:title>竞争性谈判文件规范</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B105E348F85041F8B39E9D2E67396BB8_13</vt:lpwstr>
  </property>
  <property fmtid="{D5CDD505-2E9C-101B-9397-08002B2CF9AE}" pid="4" name="KSOTemplateDocerSaveRecord">
    <vt:lpwstr>eyJoZGlkIjoiNjIxYjVlZjBiYTRlN2Y3YTNhNzAyNGNjMTRjNWNhZWYiLCJ1c2VySWQiOiIxNTkyMzIxODc0In0=</vt:lpwstr>
  </property>
</Properties>
</file>