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center" w:pos="4536"/>
          <w:tab w:val="right" w:pos="9072"/>
        </w:tabs>
        <w:jc w:val="left"/>
        <w:rPr>
          <w:rFonts w:hAnsi="宋体" w:cs="宋体"/>
          <w:b/>
          <w:sz w:val="44"/>
          <w:szCs w:val="44"/>
        </w:rPr>
      </w:pPr>
    </w:p>
    <w:p>
      <w:pPr>
        <w:snapToGrid w:val="0"/>
        <w:spacing w:before="156" w:beforeLines="50" w:line="360" w:lineRule="auto"/>
        <w:jc w:val="center"/>
        <w:rPr>
          <w:rFonts w:ascii="宋体" w:hAnsi="宋体" w:cs="宋体"/>
          <w:sz w:val="120"/>
          <w:szCs w:val="120"/>
        </w:rPr>
      </w:pPr>
      <w:r>
        <w:rPr>
          <w:rFonts w:hint="eastAsia" w:ascii="宋体" w:hAnsi="宋体" w:cs="宋体"/>
          <w:sz w:val="96"/>
          <w:szCs w:val="96"/>
        </w:rPr>
        <w:t>竞争性磋商文件</w:t>
      </w:r>
    </w:p>
    <w:p>
      <w:pPr>
        <w:snapToGrid w:val="0"/>
        <w:spacing w:before="156" w:beforeLines="50" w:line="360" w:lineRule="auto"/>
        <w:jc w:val="center"/>
        <w:rPr>
          <w:rFonts w:ascii="宋体" w:hAnsi="宋体"/>
          <w:sz w:val="20"/>
          <w:szCs w:val="20"/>
        </w:rPr>
      </w:pPr>
      <w:r>
        <w:rPr>
          <w:rFonts w:hint="eastAsia" w:ascii="宋体" w:hAnsi="宋体"/>
          <w:sz w:val="20"/>
          <w:szCs w:val="20"/>
        </w:rPr>
        <w:t>（全流程电子化采购）</w:t>
      </w:r>
    </w:p>
    <w:p>
      <w:pPr>
        <w:snapToGrid w:val="0"/>
        <w:spacing w:line="360" w:lineRule="auto"/>
        <w:rPr>
          <w:rFonts w:ascii="宋体" w:hAnsi="宋体" w:cs="宋体"/>
          <w:b/>
          <w:sz w:val="48"/>
          <w:szCs w:val="48"/>
        </w:rPr>
      </w:pPr>
    </w:p>
    <w:p>
      <w:pPr>
        <w:pStyle w:val="18"/>
        <w:snapToGrid w:val="0"/>
        <w:spacing w:line="360" w:lineRule="auto"/>
        <w:jc w:val="center"/>
        <w:rPr>
          <w:rFonts w:hAnsi="宋体" w:cs="宋体"/>
          <w:b/>
          <w:bCs/>
          <w:sz w:val="30"/>
          <w:szCs w:val="30"/>
        </w:rPr>
      </w:pPr>
    </w:p>
    <w:p>
      <w:pPr>
        <w:pStyle w:val="18"/>
        <w:snapToGrid w:val="0"/>
        <w:spacing w:line="360" w:lineRule="auto"/>
        <w:jc w:val="center"/>
        <w:rPr>
          <w:rFonts w:hAnsi="宋体" w:cs="宋体"/>
          <w:b/>
          <w:bCs/>
          <w:kern w:val="44"/>
          <w:sz w:val="32"/>
          <w:szCs w:val="32"/>
        </w:rPr>
      </w:pPr>
      <w:r>
        <w:rPr>
          <w:rFonts w:hint="eastAsia" w:hAnsi="宋体" w:cs="宋体"/>
          <w:b/>
          <w:bCs/>
          <w:kern w:val="44"/>
          <w:sz w:val="32"/>
          <w:szCs w:val="32"/>
        </w:rPr>
        <w:t>项目名称：</w:t>
      </w:r>
      <w:bookmarkStart w:id="0" w:name="OLE_LINK4"/>
      <w:r>
        <w:rPr>
          <w:rFonts w:hint="eastAsia" w:hAnsi="宋体" w:cs="宋体"/>
          <w:b/>
          <w:bCs/>
          <w:kern w:val="44"/>
          <w:sz w:val="32"/>
          <w:szCs w:val="32"/>
        </w:rPr>
        <w:t>广西大学实验室通排风系统维保服务项目</w:t>
      </w:r>
      <w:bookmarkEnd w:id="0"/>
    </w:p>
    <w:p>
      <w:pPr>
        <w:pStyle w:val="18"/>
        <w:snapToGrid w:val="0"/>
        <w:spacing w:line="360" w:lineRule="auto"/>
        <w:jc w:val="center"/>
        <w:rPr>
          <w:rFonts w:hAnsi="宋体" w:cs="宋体"/>
          <w:b/>
          <w:bCs/>
          <w:kern w:val="44"/>
          <w:sz w:val="36"/>
          <w:szCs w:val="36"/>
        </w:rPr>
      </w:pPr>
      <w:r>
        <w:rPr>
          <w:rFonts w:hint="eastAsia" w:hAnsi="宋体" w:cs="宋体"/>
          <w:b/>
          <w:bCs/>
          <w:kern w:val="44"/>
          <w:sz w:val="32"/>
          <w:szCs w:val="32"/>
        </w:rPr>
        <w:t>项目编号：</w:t>
      </w:r>
      <w:r>
        <w:rPr>
          <w:rFonts w:hint="eastAsia" w:hAnsi="宋体" w:cs="宋体"/>
          <w:b/>
          <w:bCs/>
          <w:kern w:val="44"/>
          <w:sz w:val="36"/>
          <w:szCs w:val="36"/>
        </w:rPr>
        <w:t>GXZC2025-C3-001835-GXKL</w:t>
      </w:r>
    </w:p>
    <w:p>
      <w:pPr>
        <w:pStyle w:val="18"/>
        <w:snapToGrid w:val="0"/>
        <w:spacing w:line="360" w:lineRule="auto"/>
        <w:ind w:firstLine="1205" w:firstLineChars="400"/>
        <w:rPr>
          <w:rFonts w:hAnsi="宋体" w:cs="宋体"/>
          <w:b/>
          <w:bCs/>
          <w:sz w:val="30"/>
          <w:szCs w:val="30"/>
        </w:rPr>
      </w:pPr>
    </w:p>
    <w:p>
      <w:pPr>
        <w:snapToGrid w:val="0"/>
        <w:spacing w:line="360" w:lineRule="auto"/>
        <w:ind w:firstLine="1145" w:firstLineChars="400"/>
        <w:rPr>
          <w:rFonts w:ascii="宋体" w:hAnsi="宋体" w:cs="宋体"/>
          <w:b/>
          <w:bCs/>
          <w:w w:val="95"/>
          <w:sz w:val="30"/>
          <w:szCs w:val="30"/>
        </w:rPr>
      </w:pPr>
    </w:p>
    <w:p>
      <w:pPr>
        <w:snapToGrid w:val="0"/>
        <w:spacing w:line="360" w:lineRule="auto"/>
        <w:ind w:firstLine="1145" w:firstLineChars="400"/>
        <w:rPr>
          <w:rFonts w:ascii="宋体" w:hAnsi="宋体" w:cs="宋体"/>
          <w:b/>
          <w:bCs/>
          <w:w w:val="95"/>
          <w:sz w:val="30"/>
          <w:szCs w:val="30"/>
        </w:rPr>
      </w:pPr>
    </w:p>
    <w:p>
      <w:pPr>
        <w:snapToGrid w:val="0"/>
        <w:spacing w:line="360" w:lineRule="auto"/>
        <w:ind w:firstLine="1205" w:firstLineChars="400"/>
        <w:rPr>
          <w:rFonts w:ascii="宋体" w:hAnsi="宋体" w:cs="宋体"/>
          <w:sz w:val="30"/>
          <w:szCs w:val="72"/>
        </w:rPr>
      </w:pPr>
      <w:r>
        <w:rPr>
          <w:rFonts w:hint="eastAsia" w:ascii="宋体" w:hAnsi="宋体" w:cs="宋体"/>
          <w:b/>
          <w:sz w:val="30"/>
          <w:szCs w:val="48"/>
        </w:rPr>
        <w:t xml:space="preserve"> </w:t>
      </w:r>
    </w:p>
    <w:p>
      <w:pPr>
        <w:pStyle w:val="18"/>
        <w:snapToGrid w:val="0"/>
        <w:spacing w:line="360" w:lineRule="auto"/>
        <w:jc w:val="center"/>
        <w:rPr>
          <w:rFonts w:hAnsi="宋体" w:cs="宋体"/>
          <w:b/>
          <w:bCs/>
          <w:w w:val="95"/>
          <w:sz w:val="30"/>
          <w:szCs w:val="30"/>
        </w:rPr>
      </w:pPr>
      <w:r>
        <w:rPr>
          <w:rFonts w:hint="eastAsia" w:hAnsi="宋体" w:cs="宋体"/>
          <w:b/>
          <w:bCs/>
          <w:w w:val="95"/>
          <w:sz w:val="30"/>
          <w:szCs w:val="30"/>
        </w:rPr>
        <w:t>采 购 人：</w:t>
      </w:r>
      <w:r>
        <w:rPr>
          <w:rFonts w:hint="eastAsia" w:hAnsi="宋体" w:cs="宋体"/>
          <w:b/>
          <w:sz w:val="32"/>
          <w:szCs w:val="32"/>
        </w:rPr>
        <w:t>广西大学</w:t>
      </w:r>
    </w:p>
    <w:p>
      <w:pPr>
        <w:pStyle w:val="18"/>
        <w:snapToGrid w:val="0"/>
        <w:spacing w:line="360" w:lineRule="auto"/>
        <w:jc w:val="center"/>
        <w:rPr>
          <w:rFonts w:hAnsi="宋体" w:cs="宋体"/>
          <w:b/>
          <w:bCs/>
          <w:w w:val="95"/>
          <w:sz w:val="30"/>
          <w:szCs w:val="30"/>
        </w:rPr>
      </w:pPr>
      <w:r>
        <w:rPr>
          <w:rFonts w:hint="eastAsia" w:hAnsi="宋体" w:cs="宋体"/>
          <w:b/>
          <w:bCs/>
          <w:w w:val="95"/>
          <w:sz w:val="30"/>
          <w:szCs w:val="30"/>
        </w:rPr>
        <w:t>采购代理机构：广西科联招标中心有限公司</w:t>
      </w:r>
    </w:p>
    <w:p>
      <w:pPr>
        <w:pStyle w:val="18"/>
        <w:snapToGrid w:val="0"/>
        <w:spacing w:line="360" w:lineRule="auto"/>
        <w:ind w:left="420" w:firstLine="841" w:firstLineChars="294"/>
        <w:jc w:val="center"/>
        <w:rPr>
          <w:rFonts w:hAnsi="宋体" w:cs="宋体"/>
          <w:b/>
          <w:bCs/>
          <w:w w:val="95"/>
          <w:sz w:val="30"/>
          <w:szCs w:val="30"/>
        </w:rPr>
      </w:pPr>
    </w:p>
    <w:p>
      <w:pPr>
        <w:pStyle w:val="18"/>
        <w:snapToGrid w:val="0"/>
        <w:spacing w:line="360" w:lineRule="auto"/>
        <w:ind w:left="420"/>
        <w:jc w:val="center"/>
        <w:rPr>
          <w:rFonts w:hAnsi="宋体" w:cs="宋体"/>
          <w:b/>
          <w:bCs/>
          <w:w w:val="95"/>
          <w:sz w:val="30"/>
          <w:szCs w:val="30"/>
        </w:rPr>
      </w:pPr>
      <w:r>
        <w:rPr>
          <w:rFonts w:hint="eastAsia" w:hAnsi="宋体" w:cs="宋体"/>
          <w:b/>
          <w:bCs/>
          <w:w w:val="95"/>
          <w:sz w:val="30"/>
          <w:szCs w:val="30"/>
        </w:rPr>
        <w:t>2025年</w:t>
      </w:r>
      <w:r>
        <w:rPr>
          <w:rFonts w:hint="eastAsia" w:hAnsi="宋体" w:cs="宋体"/>
          <w:b/>
          <w:bCs/>
          <w:w w:val="95"/>
          <w:sz w:val="30"/>
          <w:szCs w:val="30"/>
          <w:lang w:val="en-US" w:eastAsia="zh-CN"/>
        </w:rPr>
        <w:t>7</w:t>
      </w:r>
      <w:r>
        <w:rPr>
          <w:rFonts w:hint="eastAsia" w:hAnsi="宋体" w:cs="宋体"/>
          <w:b/>
          <w:bCs/>
          <w:w w:val="95"/>
          <w:sz w:val="30"/>
          <w:szCs w:val="30"/>
        </w:rPr>
        <w:t>月</w:t>
      </w:r>
      <w:r>
        <w:rPr>
          <w:rFonts w:hint="eastAsia" w:hAnsi="宋体" w:cs="宋体"/>
          <w:b/>
          <w:bCs/>
          <w:w w:val="95"/>
          <w:sz w:val="30"/>
          <w:szCs w:val="30"/>
          <w:lang w:val="en-US" w:eastAsia="zh-CN"/>
        </w:rPr>
        <w:t>14</w:t>
      </w:r>
      <w:r>
        <w:rPr>
          <w:rFonts w:hint="eastAsia" w:hAnsi="宋体" w:cs="宋体"/>
          <w:b/>
          <w:bCs/>
          <w:w w:val="95"/>
          <w:sz w:val="30"/>
          <w:szCs w:val="30"/>
        </w:rPr>
        <w:t>日</w:t>
      </w:r>
    </w:p>
    <w:p>
      <w:pPr>
        <w:pStyle w:val="18"/>
        <w:snapToGrid w:val="0"/>
        <w:spacing w:line="360" w:lineRule="auto"/>
        <w:ind w:left="420"/>
        <w:jc w:val="center"/>
        <w:rPr>
          <w:rFonts w:hAnsi="宋体" w:cs="宋体"/>
          <w:b/>
          <w:bCs/>
          <w:w w:val="95"/>
          <w:sz w:val="30"/>
          <w:szCs w:val="30"/>
        </w:rPr>
      </w:pPr>
    </w:p>
    <w:p>
      <w:pPr>
        <w:spacing w:line="360" w:lineRule="auto"/>
        <w:jc w:val="center"/>
        <w:rPr>
          <w:rFonts w:ascii="宋体" w:hAnsi="宋体" w:cs="宋体"/>
          <w:b/>
          <w:bCs/>
          <w:kern w:val="0"/>
          <w:sz w:val="32"/>
          <w:szCs w:val="32"/>
        </w:rPr>
      </w:pPr>
    </w:p>
    <w:p>
      <w:pPr>
        <w:widowControl/>
        <w:jc w:val="left"/>
        <w:rPr>
          <w:rFonts w:ascii="宋体" w:hAnsi="宋体" w:cs="宋体"/>
          <w:b/>
          <w:sz w:val="44"/>
          <w:szCs w:val="44"/>
        </w:rPr>
      </w:pPr>
      <w:r>
        <w:rPr>
          <w:rFonts w:ascii="宋体" w:hAnsi="宋体" w:cs="宋体"/>
          <w:b/>
          <w:sz w:val="44"/>
          <w:szCs w:val="44"/>
        </w:rPr>
        <w:br w:type="page"/>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spacing w:line="400" w:lineRule="exact"/>
        <w:jc w:val="center"/>
        <w:rPr>
          <w:rFonts w:ascii="宋体" w:hAnsi="宋体" w:cs="宋体"/>
          <w:b/>
          <w:sz w:val="44"/>
          <w:szCs w:val="44"/>
        </w:rPr>
      </w:pPr>
    </w:p>
    <w:p>
      <w:pPr>
        <w:pStyle w:val="23"/>
        <w:tabs>
          <w:tab w:val="right" w:leader="dot" w:pos="8730"/>
        </w:tabs>
        <w:spacing w:before="120" w:after="120"/>
        <w:ind w:firstLine="241" w:firstLineChars="100"/>
        <w:jc w:val="left"/>
        <w:rPr>
          <w:rFonts w:ascii="宋体" w:hAnsi="宋体"/>
          <w:b/>
          <w:bCs/>
          <w:caps/>
          <w:sz w:val="24"/>
        </w:rPr>
      </w:pPr>
      <w:r>
        <w:rPr>
          <w:rFonts w:hint="eastAsia" w:ascii="宋体" w:hAnsi="宋体"/>
          <w:b/>
          <w:bCs/>
          <w:caps/>
          <w:sz w:val="24"/>
        </w:rPr>
        <w:fldChar w:fldCharType="begin"/>
      </w:r>
      <w:r>
        <w:rPr>
          <w:rFonts w:hint="eastAsia" w:ascii="宋体" w:hAnsi="宋体"/>
          <w:b/>
          <w:bCs/>
          <w:caps/>
          <w:sz w:val="24"/>
        </w:rPr>
        <w:instrText xml:space="preserve"> TOC \o "1-3" \h \z \u </w:instrText>
      </w:r>
      <w:r>
        <w:rPr>
          <w:rFonts w:hint="eastAsia" w:ascii="宋体" w:hAnsi="宋体"/>
          <w:b/>
          <w:bCs/>
          <w:caps/>
          <w:sz w:val="24"/>
        </w:rPr>
        <w:fldChar w:fldCharType="separate"/>
      </w:r>
      <w:r>
        <w:fldChar w:fldCharType="begin"/>
      </w:r>
      <w:r>
        <w:instrText xml:space="preserve"> HYPERLINK \l "_Toc74323456" </w:instrText>
      </w:r>
      <w:r>
        <w:fldChar w:fldCharType="separate"/>
      </w:r>
      <w:r>
        <w:rPr>
          <w:rFonts w:hint="eastAsia" w:ascii="宋体" w:hAnsi="宋体"/>
          <w:b/>
          <w:bCs/>
          <w:caps/>
          <w:sz w:val="24"/>
        </w:rPr>
        <w:t>第一章 竞争性磋商公告</w:t>
      </w:r>
      <w:r>
        <w:rPr>
          <w:rFonts w:hint="eastAsia" w:ascii="宋体" w:hAnsi="宋体"/>
          <w:b/>
          <w:bCs/>
          <w:caps/>
          <w:sz w:val="24"/>
        </w:rPr>
        <w:tab/>
      </w:r>
      <w:r>
        <w:rPr>
          <w:rFonts w:hint="eastAsia" w:ascii="宋体" w:hAnsi="宋体"/>
          <w:b/>
          <w:bCs/>
          <w:caps/>
          <w:sz w:val="24"/>
        </w:rPr>
        <w:t>2</w:t>
      </w:r>
      <w:r>
        <w:rPr>
          <w:rFonts w:hint="eastAsia" w:ascii="宋体" w:hAnsi="宋体"/>
          <w:b/>
          <w:bCs/>
          <w:caps/>
          <w:sz w:val="24"/>
        </w:rPr>
        <w:fldChar w:fldCharType="end"/>
      </w:r>
    </w:p>
    <w:p>
      <w:pPr>
        <w:pStyle w:val="23"/>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"_Toc74323457" </w:instrText>
      </w:r>
      <w:r>
        <w:fldChar w:fldCharType="separate"/>
      </w:r>
      <w:r>
        <w:rPr>
          <w:rFonts w:hint="eastAsia" w:ascii="宋体" w:hAnsi="宋体"/>
          <w:b/>
          <w:bCs/>
          <w:caps/>
          <w:sz w:val="24"/>
        </w:rPr>
        <w:t>第二章 供应</w:t>
      </w:r>
      <w:bookmarkStart w:id="1" w:name="_Hlt82161237"/>
      <w:r>
        <w:rPr>
          <w:rFonts w:hint="eastAsia" w:ascii="宋体" w:hAnsi="宋体"/>
          <w:b/>
          <w:bCs/>
          <w:caps/>
          <w:sz w:val="24"/>
        </w:rPr>
        <w:t>商</w:t>
      </w:r>
      <w:bookmarkEnd w:id="1"/>
      <w:r>
        <w:rPr>
          <w:rFonts w:hint="eastAsia" w:ascii="宋体" w:hAnsi="宋体"/>
          <w:b/>
          <w:bCs/>
          <w:caps/>
          <w:sz w:val="24"/>
        </w:rPr>
        <w:t>须知</w:t>
      </w:r>
      <w:r>
        <w:rPr>
          <w:rFonts w:hint="eastAsia" w:ascii="宋体" w:hAnsi="宋体"/>
          <w:b/>
          <w:bCs/>
          <w:caps/>
          <w:sz w:val="24"/>
        </w:rPr>
        <w:tab/>
      </w:r>
      <w:r>
        <w:rPr>
          <w:rFonts w:hint="eastAsia" w:ascii="宋体" w:hAnsi="宋体"/>
          <w:b/>
          <w:bCs/>
          <w:caps/>
          <w:sz w:val="24"/>
        </w:rPr>
        <w:t>6</w:t>
      </w:r>
      <w:r>
        <w:rPr>
          <w:rFonts w:hint="eastAsia" w:ascii="宋体" w:hAnsi="宋体"/>
          <w:b/>
          <w:bCs/>
          <w:caps/>
          <w:sz w:val="24"/>
        </w:rPr>
        <w:fldChar w:fldCharType="end"/>
      </w:r>
    </w:p>
    <w:p>
      <w:pPr>
        <w:pStyle w:val="23"/>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"_Toc74323458" </w:instrText>
      </w:r>
      <w:r>
        <w:fldChar w:fldCharType="separate"/>
      </w:r>
      <w:r>
        <w:rPr>
          <w:rFonts w:hint="eastAsia" w:ascii="宋体" w:hAnsi="宋体"/>
          <w:b/>
          <w:bCs/>
          <w:caps/>
          <w:sz w:val="24"/>
        </w:rPr>
        <w:t>第三章 采购需</w:t>
      </w:r>
      <w:bookmarkStart w:id="2" w:name="_Hlt82166940"/>
      <w:r>
        <w:rPr>
          <w:rFonts w:hint="eastAsia" w:ascii="宋体" w:hAnsi="宋体"/>
          <w:b/>
          <w:bCs/>
          <w:caps/>
          <w:sz w:val="24"/>
        </w:rPr>
        <w:t>求</w:t>
      </w:r>
      <w:bookmarkEnd w:id="2"/>
      <w:r>
        <w:rPr>
          <w:rFonts w:hint="eastAsia" w:ascii="宋体" w:hAnsi="宋体"/>
          <w:b/>
          <w:bCs/>
          <w:caps/>
          <w:sz w:val="24"/>
        </w:rPr>
        <w:tab/>
      </w:r>
      <w:r>
        <w:rPr>
          <w:rFonts w:hint="eastAsia" w:ascii="宋体" w:hAnsi="宋体"/>
          <w:b/>
          <w:bCs/>
          <w:caps/>
          <w:sz w:val="24"/>
        </w:rPr>
        <w:t>2</w:t>
      </w:r>
      <w:r>
        <w:rPr>
          <w:rFonts w:hint="eastAsia" w:ascii="宋体" w:hAnsi="宋体"/>
          <w:b/>
          <w:bCs/>
          <w:caps/>
          <w:sz w:val="24"/>
        </w:rPr>
        <w:fldChar w:fldCharType="end"/>
      </w:r>
      <w:r>
        <w:rPr>
          <w:rFonts w:hint="eastAsia" w:ascii="宋体" w:hAnsi="宋体"/>
          <w:b/>
          <w:bCs/>
          <w:caps/>
          <w:sz w:val="24"/>
        </w:rPr>
        <w:t>8</w:t>
      </w:r>
    </w:p>
    <w:p>
      <w:pPr>
        <w:pStyle w:val="23"/>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"_Toc74323459" </w:instrText>
      </w:r>
      <w:r>
        <w:fldChar w:fldCharType="separate"/>
      </w:r>
      <w:r>
        <w:rPr>
          <w:rFonts w:hint="eastAsia" w:ascii="宋体" w:hAnsi="宋体"/>
          <w:b/>
          <w:bCs/>
          <w:caps/>
          <w:sz w:val="24"/>
        </w:rPr>
        <w:t>第四章 评审程序、评审方法和评审标准</w:t>
      </w:r>
      <w:r>
        <w:rPr>
          <w:rFonts w:hint="eastAsia" w:ascii="宋体" w:hAnsi="宋体"/>
          <w:b/>
          <w:bCs/>
          <w:caps/>
          <w:sz w:val="24"/>
        </w:rPr>
        <w:tab/>
      </w:r>
      <w:r>
        <w:rPr>
          <w:rFonts w:hint="eastAsia" w:ascii="宋体" w:hAnsi="宋体"/>
          <w:b/>
          <w:bCs/>
          <w:caps/>
          <w:sz w:val="24"/>
        </w:rPr>
        <w:fldChar w:fldCharType="end"/>
      </w:r>
      <w:r>
        <w:rPr>
          <w:rFonts w:hint="eastAsia" w:ascii="宋体" w:hAnsi="宋体"/>
          <w:b/>
          <w:bCs/>
          <w:caps/>
          <w:sz w:val="24"/>
        </w:rPr>
        <w:t>64</w:t>
      </w:r>
    </w:p>
    <w:p>
      <w:pPr>
        <w:pStyle w:val="23"/>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"_Toc74323460" </w:instrText>
      </w:r>
      <w:r>
        <w:fldChar w:fldCharType="separate"/>
      </w:r>
      <w:r>
        <w:rPr>
          <w:rFonts w:hint="eastAsia" w:ascii="宋体" w:hAnsi="宋体"/>
          <w:b/>
          <w:bCs/>
          <w:caps/>
          <w:sz w:val="24"/>
        </w:rPr>
        <w:t>第五章 响应文件格式</w:t>
      </w:r>
      <w:r>
        <w:rPr>
          <w:rFonts w:hint="eastAsia" w:ascii="宋体" w:hAnsi="宋体"/>
          <w:b/>
          <w:bCs/>
          <w:caps/>
          <w:sz w:val="24"/>
        </w:rPr>
        <w:tab/>
      </w:r>
      <w:r>
        <w:rPr>
          <w:rFonts w:hint="eastAsia" w:ascii="宋体" w:hAnsi="宋体"/>
          <w:b/>
          <w:bCs/>
          <w:caps/>
          <w:sz w:val="24"/>
        </w:rPr>
        <w:fldChar w:fldCharType="end"/>
      </w:r>
      <w:r>
        <w:rPr>
          <w:rFonts w:hint="eastAsia" w:ascii="宋体" w:hAnsi="宋体"/>
          <w:b/>
          <w:bCs/>
          <w:caps/>
          <w:sz w:val="24"/>
        </w:rPr>
        <w:t>75</w:t>
      </w:r>
    </w:p>
    <w:p>
      <w:pPr>
        <w:pStyle w:val="23"/>
        <w:tabs>
          <w:tab w:val="right" w:leader="dot" w:pos="8730"/>
        </w:tabs>
        <w:spacing w:before="120" w:after="120"/>
        <w:ind w:firstLine="210" w:firstLineChars="100"/>
        <w:jc w:val="left"/>
        <w:rPr>
          <w:rFonts w:ascii="宋体" w:hAnsi="宋体"/>
          <w:b/>
          <w:bCs/>
          <w:caps/>
          <w:sz w:val="24"/>
        </w:rPr>
      </w:pPr>
      <w:r>
        <w:fldChar w:fldCharType="begin"/>
      </w:r>
      <w:r>
        <w:instrText xml:space="preserve"> HYPERLINK \l "_Toc74323461" </w:instrText>
      </w:r>
      <w:r>
        <w:fldChar w:fldCharType="separate"/>
      </w:r>
      <w:r>
        <w:rPr>
          <w:rFonts w:hint="eastAsia" w:ascii="宋体" w:hAnsi="宋体"/>
          <w:b/>
          <w:bCs/>
          <w:caps/>
          <w:sz w:val="24"/>
        </w:rPr>
        <w:t>第六章 合同文本</w:t>
      </w:r>
      <w:r>
        <w:rPr>
          <w:rFonts w:hint="eastAsia" w:ascii="宋体" w:hAnsi="宋体"/>
          <w:b/>
          <w:bCs/>
          <w:caps/>
          <w:sz w:val="24"/>
        </w:rPr>
        <w:tab/>
      </w:r>
      <w:r>
        <w:rPr>
          <w:rFonts w:hint="eastAsia" w:ascii="宋体" w:hAnsi="宋体"/>
          <w:b/>
          <w:bCs/>
          <w:caps/>
          <w:sz w:val="24"/>
        </w:rPr>
        <w:fldChar w:fldCharType="end"/>
      </w:r>
      <w:r>
        <w:rPr>
          <w:rFonts w:hint="eastAsia" w:ascii="宋体" w:hAnsi="宋体"/>
          <w:b/>
          <w:bCs/>
          <w:caps/>
          <w:sz w:val="24"/>
        </w:rPr>
        <w:t>108</w:t>
      </w:r>
    </w:p>
    <w:p>
      <w:pPr>
        <w:pStyle w:val="23"/>
        <w:tabs>
          <w:tab w:val="right" w:leader="dot" w:pos="8730"/>
        </w:tabs>
        <w:spacing w:before="120" w:after="120"/>
        <w:ind w:firstLine="241" w:firstLineChars="100"/>
        <w:jc w:val="left"/>
        <w:rPr>
          <w:rFonts w:ascii="宋体" w:hAnsi="宋体" w:cs="宋体"/>
          <w:b/>
          <w:sz w:val="24"/>
        </w:rPr>
      </w:pPr>
      <w:r>
        <w:rPr>
          <w:rFonts w:hint="eastAsia" w:ascii="宋体" w:hAnsi="宋体"/>
          <w:b/>
          <w:bCs/>
          <w:caps/>
          <w:sz w:val="24"/>
        </w:rPr>
        <w:fldChar w:fldCharType="end"/>
      </w:r>
    </w:p>
    <w:p>
      <w:pPr>
        <w:spacing w:line="400" w:lineRule="exact"/>
        <w:jc w:val="left"/>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pStyle w:val="25"/>
        <w:tabs>
          <w:tab w:val="right" w:leader="dot" w:pos="8931"/>
          <w:tab w:val="clear" w:pos="8296"/>
        </w:tabs>
        <w:snapToGrid w:val="0"/>
        <w:spacing w:line="500" w:lineRule="atLeast"/>
        <w:ind w:left="0" w:leftChars="0"/>
        <w:rPr>
          <w:rFonts w:ascii="宋体" w:hAnsi="宋体" w:cs="宋体"/>
          <w:b/>
          <w:sz w:val="24"/>
        </w:rPr>
      </w:pPr>
    </w:p>
    <w:p>
      <w:pPr>
        <w:spacing w:line="400" w:lineRule="exact"/>
        <w:jc w:val="left"/>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p>
    <w:p>
      <w:pPr>
        <w:spacing w:line="400" w:lineRule="exact"/>
        <w:rPr>
          <w:rFonts w:ascii="宋体" w:hAnsi="宋体" w:cs="宋体"/>
          <w:b/>
          <w:sz w:val="32"/>
          <w:szCs w:val="32"/>
        </w:rPr>
        <w:sectPr>
          <w:headerReference r:id="rId4" w:type="first"/>
          <w:footerReference r:id="rId6" w:type="first"/>
          <w:headerReference r:id="rId3" w:type="default"/>
          <w:footerReference r:id="rId5" w:type="default"/>
          <w:pgSz w:w="11906" w:h="16838"/>
          <w:pgMar w:top="1417" w:right="1417" w:bottom="1417" w:left="1417" w:header="851" w:footer="567" w:gutter="0"/>
          <w:pgNumType w:start="0"/>
          <w:cols w:space="720" w:num="1"/>
          <w:titlePg/>
          <w:docGrid w:type="lines" w:linePitch="312" w:charSpace="0"/>
        </w:sectPr>
      </w:pPr>
    </w:p>
    <w:p>
      <w:pPr>
        <w:pStyle w:val="3"/>
        <w:spacing w:line="360" w:lineRule="auto"/>
        <w:jc w:val="center"/>
        <w:rPr>
          <w:rFonts w:ascii="宋体" w:hAnsi="宋体" w:cs="宋体"/>
        </w:rPr>
      </w:pPr>
      <w:bookmarkStart w:id="3" w:name="_Toc74323456"/>
      <w:r>
        <w:rPr>
          <w:rFonts w:hint="eastAsia" w:ascii="宋体" w:hAnsi="宋体" w:cs="宋体"/>
        </w:rPr>
        <w:t>第一章 竞争性磋商公告</w:t>
      </w:r>
      <w:bookmarkEnd w:id="3"/>
    </w:p>
    <w:p>
      <w:pPr>
        <w:pStyle w:val="18"/>
        <w:spacing w:line="360" w:lineRule="auto"/>
        <w:jc w:val="center"/>
        <w:rPr>
          <w:rFonts w:hAnsi="宋体" w:cs="宋体"/>
          <w:b/>
          <w:bCs/>
          <w:kern w:val="44"/>
          <w:sz w:val="36"/>
          <w:szCs w:val="36"/>
        </w:rPr>
      </w:pPr>
      <w:r>
        <w:rPr>
          <w:rFonts w:hint="eastAsia" w:hAnsi="宋体" w:cs="宋体"/>
          <w:b/>
          <w:bCs/>
          <w:kern w:val="44"/>
          <w:sz w:val="36"/>
          <w:szCs w:val="36"/>
        </w:rPr>
        <w:t>广西科联招标中心有限公司</w:t>
      </w:r>
    </w:p>
    <w:p>
      <w:pPr>
        <w:spacing w:line="360" w:lineRule="auto"/>
        <w:jc w:val="center"/>
        <w:rPr>
          <w:rFonts w:ascii="宋体" w:hAnsi="宋体" w:cs="宋体"/>
          <w:b/>
          <w:bCs/>
          <w:kern w:val="44"/>
          <w:sz w:val="36"/>
          <w:szCs w:val="36"/>
        </w:rPr>
      </w:pPr>
      <w:r>
        <w:rPr>
          <w:rFonts w:hint="eastAsia" w:ascii="宋体" w:hAnsi="宋体" w:cs="宋体"/>
          <w:b/>
          <w:bCs/>
          <w:kern w:val="44"/>
          <w:sz w:val="36"/>
          <w:szCs w:val="36"/>
        </w:rPr>
        <w:t xml:space="preserve">  广西大学实验室通排风系统维保服务项目（GXZC2025-C3-001835-GXKL）</w:t>
      </w:r>
    </w:p>
    <w:p>
      <w:pPr>
        <w:spacing w:line="360" w:lineRule="auto"/>
        <w:jc w:val="center"/>
        <w:rPr>
          <w:rFonts w:ascii="宋体" w:hAnsi="宋体" w:cs="宋体"/>
          <w:b/>
          <w:bCs/>
          <w:kern w:val="44"/>
          <w:sz w:val="36"/>
          <w:szCs w:val="36"/>
        </w:rPr>
      </w:pPr>
      <w:r>
        <w:rPr>
          <w:rFonts w:hint="eastAsia" w:ascii="宋体" w:hAnsi="宋体" w:cs="宋体"/>
          <w:b/>
          <w:bCs/>
          <w:kern w:val="44"/>
          <w:sz w:val="36"/>
          <w:szCs w:val="36"/>
        </w:rPr>
        <w:t>竞争性磋商公告</w:t>
      </w:r>
    </w:p>
    <w:p>
      <w:pPr>
        <w:spacing w:line="360" w:lineRule="auto"/>
        <w:jc w:val="center"/>
        <w:rPr>
          <w:rFonts w:ascii="宋体" w:hAnsi="宋体" w:cs="宋体"/>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bookmarkStart w:id="4" w:name="_Hlk37430271"/>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广西大学实验室通排风系统维保服务项目</w:t>
      </w:r>
      <w:r>
        <w:rPr>
          <w:rFonts w:hint="eastAsia" w:ascii="宋体" w:hAnsi="宋体" w:cs="宋体"/>
          <w:sz w:val="24"/>
        </w:rPr>
        <w:t>的潜在供应商应在广西政府采购云平台（https://www.gcy.zfcg.gxzf.gov.cn/）获取（下载）竞争性磋商文件，并于2025年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时</w:t>
      </w:r>
      <w:r>
        <w:rPr>
          <w:rFonts w:hint="eastAsia" w:ascii="宋体" w:hAnsi="宋体" w:cs="宋体"/>
          <w:sz w:val="24"/>
          <w:lang w:val="en-US" w:eastAsia="zh-CN"/>
        </w:rPr>
        <w:t>0</w:t>
      </w:r>
      <w:r>
        <w:rPr>
          <w:rFonts w:hint="eastAsia" w:ascii="宋体" w:hAnsi="宋体" w:cs="宋体"/>
          <w:sz w:val="24"/>
        </w:rPr>
        <w:t>分</w:t>
      </w:r>
      <w:r>
        <w:rPr>
          <w:rFonts w:hint="eastAsia" w:ascii="宋体" w:hAnsi="宋体" w:cs="宋体"/>
          <w:bCs/>
          <w:sz w:val="24"/>
        </w:rPr>
        <w:t>（北京时间）前提交响应文件</w:t>
      </w:r>
      <w:r>
        <w:rPr>
          <w:rFonts w:hint="eastAsia" w:ascii="宋体" w:hAnsi="宋体" w:cs="宋体"/>
          <w:sz w:val="24"/>
        </w:rPr>
        <w:t>。</w:t>
      </w:r>
    </w:p>
    <w:p>
      <w:pPr>
        <w:widowControl/>
        <w:spacing w:line="360" w:lineRule="auto"/>
        <w:ind w:firstLine="482" w:firstLineChars="200"/>
        <w:rPr>
          <w:rFonts w:ascii="宋体" w:hAnsi="宋体" w:cs="宋体"/>
          <w:b/>
          <w:sz w:val="24"/>
        </w:rPr>
      </w:pPr>
      <w:bookmarkStart w:id="5" w:name="_Hlk37429674"/>
      <w:bookmarkStart w:id="6" w:name="_Toc44229885"/>
      <w:bookmarkStart w:id="7" w:name="_Toc28359095"/>
      <w:bookmarkStart w:id="8" w:name="_Toc28359018"/>
      <w:bookmarkStart w:id="9" w:name="_Toc35393805"/>
      <w:bookmarkStart w:id="10" w:name="_Toc35393636"/>
    </w:p>
    <w:p>
      <w:pPr>
        <w:widowControl/>
        <w:spacing w:line="360" w:lineRule="auto"/>
        <w:ind w:firstLine="482" w:firstLineChars="200"/>
        <w:rPr>
          <w:rFonts w:ascii="宋体" w:hAnsi="宋体" w:cs="宋体"/>
          <w:b/>
          <w:sz w:val="24"/>
        </w:rPr>
      </w:pPr>
      <w:r>
        <w:rPr>
          <w:rFonts w:hint="eastAsia" w:ascii="宋体" w:hAnsi="宋体" w:cs="宋体"/>
          <w:b/>
          <w:sz w:val="24"/>
        </w:rPr>
        <w:t>一、项目基本情况</w:t>
      </w:r>
    </w:p>
    <w:p>
      <w:pPr>
        <w:spacing w:line="360" w:lineRule="auto"/>
        <w:ind w:firstLine="480" w:firstLineChars="200"/>
        <w:rPr>
          <w:rFonts w:ascii="宋体" w:hAnsi="宋体" w:cs="宋体"/>
          <w:sz w:val="24"/>
        </w:rPr>
      </w:pPr>
      <w:r>
        <w:rPr>
          <w:rFonts w:hint="eastAsia" w:ascii="宋体" w:hAnsi="宋体" w:cs="宋体"/>
          <w:sz w:val="24"/>
        </w:rPr>
        <w:t>项目名称：广西大学实验室通排风系统维保服务项目</w:t>
      </w:r>
    </w:p>
    <w:p>
      <w:pPr>
        <w:spacing w:line="360" w:lineRule="auto"/>
        <w:ind w:firstLine="480" w:firstLineChars="200"/>
        <w:rPr>
          <w:rFonts w:ascii="宋体" w:hAnsi="宋体" w:cs="宋体"/>
          <w:sz w:val="24"/>
        </w:rPr>
      </w:pPr>
      <w:r>
        <w:rPr>
          <w:rFonts w:hint="eastAsia" w:ascii="宋体" w:hAnsi="宋体" w:cs="宋体"/>
          <w:sz w:val="24"/>
        </w:rPr>
        <w:t>项目编号：GXZC2025-C3-001835-GXKL</w:t>
      </w:r>
    </w:p>
    <w:p>
      <w:pPr>
        <w:spacing w:line="360" w:lineRule="auto"/>
        <w:ind w:firstLine="480" w:firstLineChars="200"/>
        <w:rPr>
          <w:rFonts w:ascii="宋体" w:hAnsi="宋体" w:cs="宋体"/>
          <w:sz w:val="24"/>
        </w:rPr>
      </w:pPr>
      <w:r>
        <w:rPr>
          <w:rFonts w:hint="eastAsia" w:ascii="宋体" w:hAnsi="宋体" w:cs="宋体"/>
          <w:sz w:val="24"/>
        </w:rPr>
        <w:t>采购计划编号：广西政采[2025]12517号</w:t>
      </w:r>
    </w:p>
    <w:p>
      <w:pPr>
        <w:spacing w:line="360" w:lineRule="auto"/>
        <w:ind w:firstLine="480" w:firstLineChars="200"/>
        <w:rPr>
          <w:rFonts w:ascii="宋体" w:hAnsi="宋体" w:cs="宋体"/>
          <w:sz w:val="24"/>
        </w:rPr>
      </w:pPr>
      <w:r>
        <w:rPr>
          <w:rFonts w:hint="eastAsia" w:ascii="宋体" w:hAnsi="宋体" w:cs="宋体"/>
          <w:sz w:val="24"/>
        </w:rPr>
        <w:t>预算金额（人民币）：贰佰壹拾玖万元整（</w:t>
      </w:r>
      <w:r>
        <w:rPr>
          <w:rFonts w:ascii="宋体" w:hAnsi="宋体" w:cs="宋体"/>
          <w:sz w:val="24"/>
        </w:rPr>
        <w:t>¥</w:t>
      </w:r>
      <w:r>
        <w:rPr>
          <w:rFonts w:hint="eastAsia" w:ascii="宋体" w:hAnsi="宋体" w:cs="宋体"/>
          <w:sz w:val="24"/>
        </w:rPr>
        <w:t>2190000.00）</w:t>
      </w:r>
    </w:p>
    <w:p>
      <w:pPr>
        <w:spacing w:line="360" w:lineRule="auto"/>
        <w:ind w:firstLine="480" w:firstLineChars="200"/>
        <w:rPr>
          <w:rFonts w:ascii="宋体" w:hAnsi="宋体" w:cs="宋体"/>
          <w:sz w:val="24"/>
        </w:rPr>
      </w:pPr>
      <w:r>
        <w:rPr>
          <w:rFonts w:hint="eastAsia" w:ascii="宋体" w:hAnsi="宋体" w:cs="宋体"/>
          <w:sz w:val="24"/>
        </w:rPr>
        <w:t>最高限价（如有/人民币）：贰佰壹拾玖万元整（</w:t>
      </w:r>
      <w:r>
        <w:rPr>
          <w:rFonts w:ascii="宋体" w:hAnsi="宋体" w:cs="宋体"/>
          <w:sz w:val="24"/>
        </w:rPr>
        <w:t>¥</w:t>
      </w:r>
      <w:r>
        <w:rPr>
          <w:rFonts w:hint="eastAsia" w:ascii="宋体" w:hAnsi="宋体" w:cs="宋体"/>
          <w:sz w:val="24"/>
        </w:rPr>
        <w:t>2190000.00）</w:t>
      </w:r>
    </w:p>
    <w:p>
      <w:pPr>
        <w:spacing w:line="360" w:lineRule="auto"/>
        <w:ind w:firstLine="480" w:firstLineChars="200"/>
        <w:rPr>
          <w:rFonts w:ascii="宋体" w:hAnsi="宋体" w:cs="宋体"/>
          <w:sz w:val="24"/>
        </w:rPr>
      </w:pPr>
      <w:r>
        <w:rPr>
          <w:rFonts w:hint="eastAsia" w:ascii="宋体" w:hAnsi="宋体" w:cs="宋体"/>
          <w:sz w:val="24"/>
        </w:rPr>
        <w:t>采购需求：</w:t>
      </w:r>
    </w:p>
    <w:tbl>
      <w:tblPr>
        <w:tblStyle w:val="2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35"/>
        <w:gridCol w:w="705"/>
        <w:gridCol w:w="735"/>
        <w:gridCol w:w="475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45" w:type="dxa"/>
            <w:shd w:val="clear" w:color="auto" w:fill="auto"/>
            <w:vAlign w:val="center"/>
          </w:tcPr>
          <w:p>
            <w:pPr>
              <w:pStyle w:val="76"/>
              <w:jc w:val="center"/>
              <w:rPr>
                <w:rFonts w:ascii="宋体" w:hAnsi="宋体" w:cs="宋体"/>
                <w:sz w:val="24"/>
              </w:rPr>
            </w:pPr>
            <w:r>
              <w:rPr>
                <w:rFonts w:hint="eastAsia" w:ascii="宋体" w:hAnsi="宋体" w:cs="宋体"/>
                <w:sz w:val="24"/>
              </w:rPr>
              <w:t>序号</w:t>
            </w:r>
          </w:p>
        </w:tc>
        <w:tc>
          <w:tcPr>
            <w:tcW w:w="1335" w:type="dxa"/>
            <w:shd w:val="clear" w:color="auto" w:fill="auto"/>
            <w:vAlign w:val="center"/>
          </w:tcPr>
          <w:p>
            <w:pPr>
              <w:pStyle w:val="76"/>
              <w:jc w:val="center"/>
              <w:rPr>
                <w:rFonts w:ascii="宋体" w:hAnsi="宋体" w:cs="宋体"/>
                <w:sz w:val="24"/>
              </w:rPr>
            </w:pPr>
            <w:r>
              <w:rPr>
                <w:rFonts w:hint="eastAsia" w:ascii="宋体" w:hAnsi="宋体" w:cs="宋体"/>
                <w:sz w:val="24"/>
              </w:rPr>
              <w:t>标的名称</w:t>
            </w:r>
          </w:p>
        </w:tc>
        <w:tc>
          <w:tcPr>
            <w:tcW w:w="705" w:type="dxa"/>
            <w:shd w:val="clear" w:color="auto" w:fill="auto"/>
            <w:vAlign w:val="center"/>
          </w:tcPr>
          <w:p>
            <w:pPr>
              <w:pStyle w:val="76"/>
              <w:jc w:val="center"/>
              <w:rPr>
                <w:rFonts w:ascii="宋体" w:hAnsi="宋体" w:cs="宋体"/>
                <w:sz w:val="24"/>
                <w:szCs w:val="24"/>
              </w:rPr>
            </w:pPr>
            <w:r>
              <w:rPr>
                <w:rFonts w:hint="eastAsia" w:ascii="宋体" w:hAnsi="宋体" w:cs="宋体"/>
                <w:sz w:val="24"/>
                <w:szCs w:val="24"/>
              </w:rPr>
              <w:t>数量</w:t>
            </w:r>
          </w:p>
        </w:tc>
        <w:tc>
          <w:tcPr>
            <w:tcW w:w="735" w:type="dxa"/>
            <w:shd w:val="clear" w:color="auto" w:fill="auto"/>
            <w:vAlign w:val="center"/>
          </w:tcPr>
          <w:p>
            <w:pPr>
              <w:pStyle w:val="76"/>
              <w:jc w:val="center"/>
              <w:rPr>
                <w:rFonts w:ascii="宋体" w:hAnsi="宋体" w:cs="宋体"/>
                <w:sz w:val="24"/>
                <w:szCs w:val="24"/>
              </w:rPr>
            </w:pPr>
            <w:r>
              <w:rPr>
                <w:rFonts w:hint="eastAsia" w:ascii="宋体" w:hAnsi="宋体" w:cs="宋体"/>
                <w:sz w:val="24"/>
                <w:szCs w:val="24"/>
              </w:rPr>
              <w:t>单位</w:t>
            </w:r>
          </w:p>
        </w:tc>
        <w:tc>
          <w:tcPr>
            <w:tcW w:w="4755" w:type="dxa"/>
            <w:shd w:val="clear" w:color="auto" w:fill="auto"/>
            <w:vAlign w:val="center"/>
          </w:tcPr>
          <w:p>
            <w:pPr>
              <w:pStyle w:val="76"/>
              <w:jc w:val="center"/>
              <w:rPr>
                <w:rFonts w:ascii="宋体" w:hAnsi="宋体" w:cs="宋体"/>
                <w:sz w:val="24"/>
                <w:szCs w:val="24"/>
              </w:rPr>
            </w:pPr>
            <w:r>
              <w:rPr>
                <w:rFonts w:hint="eastAsia" w:ascii="宋体" w:hAnsi="宋体" w:cs="宋体"/>
                <w:sz w:val="24"/>
                <w:szCs w:val="24"/>
              </w:rPr>
              <w:t>简要服务要求</w:t>
            </w:r>
          </w:p>
        </w:tc>
        <w:tc>
          <w:tcPr>
            <w:tcW w:w="1955" w:type="dxa"/>
            <w:shd w:val="clear" w:color="auto" w:fill="auto"/>
            <w:vAlign w:val="center"/>
          </w:tcPr>
          <w:p>
            <w:pPr>
              <w:pStyle w:val="76"/>
              <w:jc w:val="center"/>
              <w:rPr>
                <w:rFonts w:ascii="宋体" w:hAnsi="宋体" w:cs="宋体"/>
                <w:sz w:val="24"/>
                <w:szCs w:val="24"/>
              </w:rPr>
            </w:pPr>
            <w:r>
              <w:rPr>
                <w:rFonts w:hint="eastAsia" w:ascii="宋体" w:hAnsi="宋体" w:cs="宋体"/>
                <w:sz w:val="24"/>
                <w:szCs w:val="24"/>
              </w:rPr>
              <w:t>预算合计</w:t>
            </w:r>
          </w:p>
          <w:p>
            <w:pPr>
              <w:pStyle w:val="76"/>
              <w:jc w:val="center"/>
              <w:rPr>
                <w:rFonts w:ascii="宋体" w:hAnsi="宋体" w:cs="宋体"/>
                <w:sz w:val="24"/>
                <w:szCs w:val="24"/>
              </w:rPr>
            </w:pPr>
            <w:r>
              <w:rPr>
                <w:rFonts w:hint="eastAsia" w:ascii="宋体" w:hAnsi="宋体" w:cs="宋体"/>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45" w:type="dxa"/>
            <w:shd w:val="clear" w:color="auto" w:fill="auto"/>
            <w:vAlign w:val="center"/>
          </w:tcPr>
          <w:p>
            <w:pPr>
              <w:pStyle w:val="76"/>
              <w:jc w:val="center"/>
              <w:rPr>
                <w:rFonts w:ascii="宋体" w:hAnsi="宋体" w:cs="宋体"/>
                <w:sz w:val="24"/>
                <w:szCs w:val="24"/>
              </w:rPr>
            </w:pPr>
            <w:r>
              <w:rPr>
                <w:rFonts w:hint="eastAsia" w:ascii="宋体" w:hAnsi="宋体" w:cs="宋体"/>
                <w:sz w:val="24"/>
                <w:szCs w:val="24"/>
              </w:rPr>
              <w:t>1</w:t>
            </w:r>
          </w:p>
        </w:tc>
        <w:tc>
          <w:tcPr>
            <w:tcW w:w="1335" w:type="dxa"/>
            <w:shd w:val="clear" w:color="auto" w:fill="auto"/>
            <w:vAlign w:val="center"/>
          </w:tcPr>
          <w:p>
            <w:pPr>
              <w:pStyle w:val="76"/>
              <w:jc w:val="center"/>
              <w:rPr>
                <w:rFonts w:ascii="宋体" w:hAnsi="宋体" w:cs="宋体"/>
                <w:sz w:val="24"/>
                <w:szCs w:val="24"/>
              </w:rPr>
            </w:pPr>
            <w:r>
              <w:rPr>
                <w:rFonts w:hint="eastAsia" w:ascii="宋体" w:hAnsi="宋体" w:cs="新宋体"/>
                <w:sz w:val="24"/>
                <w:szCs w:val="24"/>
              </w:rPr>
              <w:t>广西大学实验室通排风系统维保服务项目</w:t>
            </w:r>
          </w:p>
        </w:tc>
        <w:tc>
          <w:tcPr>
            <w:tcW w:w="705" w:type="dxa"/>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735" w:type="dxa"/>
            <w:shd w:val="clear" w:color="auto" w:fill="auto"/>
            <w:vAlign w:val="center"/>
          </w:tcPr>
          <w:p>
            <w:pPr>
              <w:pStyle w:val="76"/>
              <w:jc w:val="center"/>
              <w:rPr>
                <w:rFonts w:ascii="宋体" w:hAnsi="宋体" w:cs="宋体"/>
                <w:sz w:val="24"/>
                <w:szCs w:val="24"/>
              </w:rPr>
            </w:pPr>
            <w:r>
              <w:rPr>
                <w:rFonts w:hint="eastAsia" w:ascii="宋体" w:hAnsi="宋体" w:cs="宋体"/>
                <w:sz w:val="24"/>
                <w:szCs w:val="24"/>
              </w:rPr>
              <w:t>项</w:t>
            </w:r>
          </w:p>
        </w:tc>
        <w:tc>
          <w:tcPr>
            <w:tcW w:w="4755" w:type="dxa"/>
            <w:shd w:val="clear" w:color="auto" w:fill="auto"/>
            <w:vAlign w:val="center"/>
          </w:tcPr>
          <w:p>
            <w:pPr>
              <w:pStyle w:val="76"/>
              <w:jc w:val="center"/>
              <w:rPr>
                <w:rFonts w:ascii="宋体" w:hAnsi="宋体" w:cs="宋体"/>
                <w:sz w:val="24"/>
                <w:szCs w:val="24"/>
              </w:rPr>
            </w:pPr>
            <w:r>
              <w:rPr>
                <w:rFonts w:hint="eastAsia" w:ascii="宋体" w:hAnsi="宋体"/>
                <w:sz w:val="24"/>
                <w:szCs w:val="24"/>
              </w:rPr>
              <w:t>本次维保方案涉及广西大学化工学院1号楼、化工学院3号楼、物理学院、资环材学院、医学院综合楼、医学院生物医药、医学院脑神经中心、海洋学院、生科院等9个用户实验室内的通排风系统、废气处理系统、实验室家具及附属系统等的维修保养工作。</w:t>
            </w:r>
          </w:p>
        </w:tc>
        <w:tc>
          <w:tcPr>
            <w:tcW w:w="1955" w:type="dxa"/>
            <w:shd w:val="clear" w:color="auto" w:fill="auto"/>
            <w:vAlign w:val="center"/>
          </w:tcPr>
          <w:p>
            <w:pPr>
              <w:pStyle w:val="76"/>
              <w:jc w:val="center"/>
              <w:rPr>
                <w:rFonts w:ascii="宋体" w:hAnsi="宋体" w:cs="宋体"/>
                <w:sz w:val="24"/>
                <w:szCs w:val="24"/>
              </w:rPr>
            </w:pPr>
            <w:r>
              <w:rPr>
                <w:rFonts w:hint="eastAsia" w:ascii="宋体" w:hAnsi="宋体" w:cs="宋体"/>
                <w:sz w:val="24"/>
                <w:szCs w:val="24"/>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130" w:type="dxa"/>
            <w:gridSpan w:val="6"/>
            <w:shd w:val="clear" w:color="auto" w:fill="auto"/>
            <w:vAlign w:val="center"/>
          </w:tcPr>
          <w:p>
            <w:pPr>
              <w:pStyle w:val="76"/>
              <w:jc w:val="center"/>
              <w:rPr>
                <w:rFonts w:ascii="宋体" w:hAnsi="宋体" w:cs="宋体"/>
                <w:sz w:val="24"/>
              </w:rPr>
            </w:pPr>
            <w:r>
              <w:rPr>
                <w:rFonts w:hint="eastAsia" w:ascii="宋体" w:hAnsi="宋体" w:cs="宋体"/>
                <w:sz w:val="24"/>
              </w:rPr>
              <w:t>预算合计金额（人民币大写）</w:t>
            </w:r>
            <w:r>
              <w:rPr>
                <w:rFonts w:hint="eastAsia" w:ascii="宋体" w:hAnsi="宋体" w:cs="宋体"/>
                <w:sz w:val="24"/>
                <w:u w:val="single"/>
              </w:rPr>
              <w:t>贰佰壹拾玖万元整（小写）¥</w:t>
            </w:r>
            <w:r>
              <w:rPr>
                <w:rFonts w:ascii="宋体" w:hAnsi="宋体" w:cs="宋体"/>
                <w:sz w:val="24"/>
                <w:u w:val="single"/>
              </w:rPr>
              <w:t xml:space="preserve"> </w:t>
            </w:r>
            <w:r>
              <w:rPr>
                <w:rFonts w:hint="eastAsia" w:ascii="宋体" w:hAnsi="宋体" w:cs="宋体"/>
                <w:sz w:val="24"/>
                <w:u w:val="single"/>
              </w:rPr>
              <w:t>2190000.00</w:t>
            </w:r>
          </w:p>
        </w:tc>
      </w:tr>
    </w:tbl>
    <w:p>
      <w:pPr>
        <w:spacing w:line="360" w:lineRule="auto"/>
        <w:ind w:firstLine="480" w:firstLineChars="200"/>
        <w:rPr>
          <w:rFonts w:ascii="宋体" w:hAnsi="宋体" w:cs="宋体"/>
          <w:sz w:val="24"/>
        </w:rPr>
      </w:pPr>
      <w:r>
        <w:rPr>
          <w:rFonts w:hint="eastAsia" w:ascii="宋体" w:hAnsi="宋体" w:cs="宋体"/>
          <w:sz w:val="24"/>
        </w:rPr>
        <w:t>详见第三章采购需求表。</w:t>
      </w:r>
    </w:p>
    <w:p>
      <w:pPr>
        <w:spacing w:line="360" w:lineRule="auto"/>
        <w:ind w:firstLine="480" w:firstLineChars="200"/>
        <w:rPr>
          <w:rFonts w:ascii="宋体" w:hAnsi="宋体" w:cs="宋体"/>
          <w:sz w:val="24"/>
        </w:rPr>
      </w:pPr>
      <w:r>
        <w:rPr>
          <w:rFonts w:hint="eastAsia" w:ascii="宋体" w:hAnsi="宋体" w:cs="宋体"/>
          <w:sz w:val="24"/>
        </w:rPr>
        <w:t>合同履行期限：详见商务条款。</w:t>
      </w:r>
    </w:p>
    <w:p>
      <w:pPr>
        <w:spacing w:line="360" w:lineRule="auto"/>
        <w:ind w:firstLine="480" w:firstLineChars="200"/>
        <w:rPr>
          <w:rFonts w:ascii="宋体" w:hAnsi="宋体" w:cs="宋体"/>
          <w:sz w:val="24"/>
        </w:rPr>
      </w:pPr>
      <w:r>
        <w:rPr>
          <w:rFonts w:hint="eastAsia" w:ascii="宋体" w:hAnsi="宋体" w:cs="宋体"/>
          <w:sz w:val="24"/>
        </w:rPr>
        <w:t>本项目是否接受联合体：（勾选）：</w:t>
      </w:r>
      <w:r>
        <w:rPr>
          <w:rFonts w:hint="eastAsia" w:ascii="宋体" w:hAnsi="宋体" w:cs="宋体"/>
          <w:sz w:val="24"/>
        </w:rPr>
        <w:sym w:font="Wingdings" w:char="00A8"/>
      </w:r>
      <w:r>
        <w:rPr>
          <w:rFonts w:ascii="宋体" w:hAnsi="宋体" w:cs="宋体"/>
          <w:sz w:val="24"/>
        </w:rPr>
        <w:t xml:space="preserve"> </w:t>
      </w:r>
      <w:r>
        <w:rPr>
          <w:rFonts w:hint="eastAsia" w:ascii="宋体" w:hAnsi="宋体" w:cs="宋体"/>
          <w:sz w:val="24"/>
        </w:rPr>
        <w:t>是 ；</w:t>
      </w:r>
      <w:r>
        <w:rPr>
          <w:rFonts w:hint="eastAsia" w:ascii="宋体" w:hAnsi="宋体" w:cs="宋体"/>
          <w:sz w:val="24"/>
        </w:rPr>
        <w:sym w:font="Wingdings" w:char="00FE"/>
      </w:r>
      <w:r>
        <w:rPr>
          <w:rFonts w:hint="eastAsia" w:ascii="宋体" w:hAnsi="宋体" w:cs="宋体"/>
          <w:sz w:val="24"/>
        </w:rPr>
        <w:t>否</w:t>
      </w:r>
    </w:p>
    <w:p>
      <w:pPr>
        <w:widowControl/>
        <w:spacing w:line="360" w:lineRule="auto"/>
        <w:ind w:firstLine="482" w:firstLineChars="200"/>
        <w:rPr>
          <w:rFonts w:ascii="宋体" w:hAnsi="宋体" w:cs="宋体"/>
          <w:b/>
          <w:sz w:val="24"/>
        </w:rPr>
      </w:pPr>
      <w:r>
        <w:rPr>
          <w:rFonts w:hint="eastAsia" w:ascii="宋体" w:hAnsi="宋体" w:cs="宋体"/>
          <w:b/>
          <w:sz w:val="24"/>
        </w:rPr>
        <w:t>二、申请人的资格条件：</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满足《中华人民共和国政府采购法》第二十二条规定；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落实政府采购政策需满足的资格要求：是否</w:t>
      </w:r>
      <w:r>
        <w:rPr>
          <w:rFonts w:hint="eastAsia" w:ascii="宋体" w:hAnsi="宋体"/>
          <w:sz w:val="24"/>
        </w:rPr>
        <w:t>专门面向中小企业采购（</w:t>
      </w:r>
      <w:r>
        <w:rPr>
          <w:rFonts w:hint="eastAsia" w:ascii="宋体" w:hAnsi="宋体"/>
          <w:sz w:val="24"/>
        </w:rPr>
        <w:sym w:font="Wingdings" w:char="00A8"/>
      </w:r>
      <w:r>
        <w:rPr>
          <w:rFonts w:hint="eastAsia" w:ascii="宋体" w:hAnsi="宋体"/>
          <w:sz w:val="24"/>
        </w:rPr>
        <w:t>是</w:t>
      </w:r>
      <w:r>
        <w:rPr>
          <w:rFonts w:hint="eastAsia" w:ascii="宋体" w:hAnsi="宋体"/>
          <w:sz w:val="24"/>
        </w:rPr>
        <w:sym w:font="Wingdings" w:char="00FE"/>
      </w:r>
      <w:r>
        <w:rPr>
          <w:rFonts w:hint="eastAsia" w:ascii="宋体" w:hAnsi="宋体"/>
          <w:sz w:val="24"/>
        </w:rPr>
        <w:t>否）；</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bidi="ar"/>
        </w:rPr>
        <w:t>.</w:t>
      </w:r>
      <w:r>
        <w:rPr>
          <w:rFonts w:hint="eastAsia" w:ascii="宋体" w:hAnsi="宋体" w:cs="宋体"/>
          <w:sz w:val="24"/>
        </w:rPr>
        <w:t>本项目的特定资格要求：无</w:t>
      </w:r>
    </w:p>
    <w:p>
      <w:pPr>
        <w:widowControl/>
        <w:spacing w:line="360" w:lineRule="auto"/>
        <w:ind w:firstLine="482" w:firstLineChars="200"/>
        <w:rPr>
          <w:rFonts w:ascii="宋体" w:hAnsi="宋体" w:cs="宋体"/>
          <w:b/>
          <w:sz w:val="24"/>
        </w:rPr>
      </w:pPr>
      <w:r>
        <w:rPr>
          <w:rFonts w:hint="eastAsia" w:ascii="宋体" w:hAnsi="宋体" w:cs="宋体"/>
          <w:b/>
          <w:sz w:val="24"/>
        </w:rPr>
        <w:t>三、获取竞争性磋商文件</w:t>
      </w:r>
    </w:p>
    <w:p>
      <w:pPr>
        <w:spacing w:line="360" w:lineRule="auto"/>
        <w:ind w:firstLine="480" w:firstLineChars="200"/>
        <w:rPr>
          <w:rFonts w:ascii="宋体" w:hAnsi="宋体" w:cs="宋体"/>
          <w:bCs/>
          <w:kern w:val="0"/>
          <w:sz w:val="24"/>
        </w:rPr>
      </w:pPr>
      <w:r>
        <w:rPr>
          <w:rFonts w:hint="eastAsia" w:ascii="宋体" w:hAnsi="宋体" w:cs="宋体"/>
          <w:bCs/>
          <w:kern w:val="0"/>
          <w:sz w:val="24"/>
        </w:rPr>
        <w:t>时间：</w:t>
      </w:r>
      <w:r>
        <w:rPr>
          <w:rFonts w:hint="eastAsia" w:ascii="宋体" w:hAnsi="宋体" w:cs="宋体"/>
          <w:sz w:val="24"/>
        </w:rPr>
        <w:t>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日至2025年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日，每天上午00:00-12:00，下午12:00-23:59（北京时间，法定节假日除外）</w:t>
      </w:r>
      <w:r>
        <w:rPr>
          <w:rFonts w:hint="eastAsia" w:ascii="宋体" w:hAnsi="宋体" w:cs="宋体"/>
          <w:bCs/>
          <w:kern w:val="0"/>
          <w:sz w:val="24"/>
        </w:rPr>
        <w:t>。</w:t>
      </w:r>
    </w:p>
    <w:p>
      <w:pPr>
        <w:spacing w:line="360" w:lineRule="auto"/>
        <w:ind w:firstLine="480" w:firstLineChars="200"/>
        <w:rPr>
          <w:rFonts w:ascii="宋体" w:hAnsi="宋体" w:cs="宋体"/>
          <w:bCs/>
          <w:kern w:val="0"/>
          <w:sz w:val="24"/>
        </w:rPr>
      </w:pPr>
      <w:r>
        <w:rPr>
          <w:rFonts w:hint="eastAsia" w:ascii="宋体" w:hAnsi="宋体" w:cs="宋体"/>
          <w:bCs/>
          <w:kern w:val="0"/>
          <w:sz w:val="24"/>
        </w:rPr>
        <w:t>地点：广西政府采购云平台（https://www.gcy.zfcg.gxzf.gov.cn/）</w:t>
      </w:r>
    </w:p>
    <w:p>
      <w:pPr>
        <w:spacing w:line="360" w:lineRule="auto"/>
        <w:ind w:firstLine="480" w:firstLineChars="200"/>
        <w:rPr>
          <w:rFonts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 w:val="24"/>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通过其他方式获取竞争性磋商文件的，将有可能导致供应商无法在广西政府采购云平台编制及上传响应文件。</w:t>
      </w:r>
    </w:p>
    <w:p>
      <w:pPr>
        <w:spacing w:line="360" w:lineRule="auto"/>
        <w:ind w:firstLine="480" w:firstLineChars="200"/>
        <w:rPr>
          <w:rFonts w:ascii="宋体" w:hAnsi="宋体" w:cs="宋体"/>
          <w:sz w:val="24"/>
        </w:rPr>
      </w:pPr>
      <w:r>
        <w:rPr>
          <w:rFonts w:hint="eastAsia" w:ascii="宋体" w:hAnsi="宋体" w:cs="宋体"/>
          <w:bCs/>
          <w:kern w:val="0"/>
          <w:sz w:val="24"/>
        </w:rPr>
        <w:t>售价：0元人民币。</w:t>
      </w:r>
    </w:p>
    <w:p>
      <w:pPr>
        <w:widowControl/>
        <w:spacing w:line="360" w:lineRule="auto"/>
        <w:ind w:firstLine="482" w:firstLineChars="200"/>
        <w:rPr>
          <w:rFonts w:ascii="宋体" w:hAnsi="宋体" w:cs="宋体"/>
          <w:b/>
          <w:sz w:val="24"/>
        </w:rPr>
      </w:pPr>
      <w:r>
        <w:rPr>
          <w:rFonts w:hint="eastAsia" w:ascii="宋体" w:hAnsi="宋体" w:cs="宋体"/>
          <w:b/>
          <w:sz w:val="24"/>
        </w:rPr>
        <w:t>四、响应文件提交</w:t>
      </w:r>
    </w:p>
    <w:p>
      <w:pPr>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首次响应文件提交截止时间：</w:t>
      </w:r>
      <w:r>
        <w:rPr>
          <w:rFonts w:hint="eastAsia" w:ascii="宋体" w:hAnsi="宋体" w:cs="宋体"/>
          <w:bCs/>
          <w:kern w:val="0"/>
          <w:sz w:val="24"/>
        </w:rPr>
        <w:t>2025年</w:t>
      </w:r>
      <w:r>
        <w:rPr>
          <w:rFonts w:hint="eastAsia" w:ascii="宋体" w:hAnsi="宋体" w:cs="宋体"/>
          <w:bCs/>
          <w:kern w:val="0"/>
          <w:sz w:val="24"/>
          <w:lang w:val="en-US" w:eastAsia="zh-CN"/>
        </w:rPr>
        <w:t>7</w:t>
      </w:r>
      <w:r>
        <w:rPr>
          <w:rFonts w:hint="eastAsia" w:ascii="宋体" w:hAnsi="宋体" w:cs="宋体"/>
          <w:bCs/>
          <w:kern w:val="0"/>
          <w:sz w:val="24"/>
        </w:rPr>
        <w:t>月</w:t>
      </w:r>
      <w:r>
        <w:rPr>
          <w:rFonts w:hint="eastAsia" w:ascii="宋体" w:hAnsi="宋体" w:cs="宋体"/>
          <w:bCs/>
          <w:kern w:val="0"/>
          <w:sz w:val="24"/>
          <w:lang w:val="en-US" w:eastAsia="zh-CN"/>
        </w:rPr>
        <w:t>25</w:t>
      </w:r>
      <w:r>
        <w:rPr>
          <w:rFonts w:hint="eastAsia" w:ascii="宋体" w:hAnsi="宋体" w:cs="宋体"/>
          <w:bCs/>
          <w:kern w:val="0"/>
          <w:sz w:val="24"/>
        </w:rPr>
        <w:t>日</w:t>
      </w:r>
      <w:r>
        <w:rPr>
          <w:rFonts w:hint="eastAsia" w:ascii="宋体" w:hAnsi="宋体" w:cs="宋体"/>
          <w:bCs/>
          <w:kern w:val="0"/>
          <w:sz w:val="24"/>
          <w:lang w:val="en-US" w:eastAsia="zh-CN"/>
        </w:rPr>
        <w:t>9</w:t>
      </w:r>
      <w:r>
        <w:rPr>
          <w:rFonts w:hint="eastAsia" w:ascii="宋体" w:hAnsi="宋体" w:cs="宋体"/>
          <w:bCs/>
          <w:kern w:val="0"/>
          <w:sz w:val="24"/>
        </w:rPr>
        <w:t>时00分（北京时间）</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地点：</w:t>
      </w:r>
      <w:r>
        <w:rPr>
          <w:rFonts w:hint="eastAsia" w:ascii="宋体" w:hAnsi="宋体" w:cs="宋体"/>
          <w:sz w:val="24"/>
          <w:lang w:bidi="ar"/>
        </w:rPr>
        <w:t>通过广西政府采购云平台在线提交。</w:t>
      </w:r>
    </w:p>
    <w:p>
      <w:pPr>
        <w:widowControl/>
        <w:spacing w:line="360" w:lineRule="auto"/>
        <w:ind w:firstLine="482" w:firstLineChars="200"/>
        <w:rPr>
          <w:rFonts w:ascii="宋体" w:hAnsi="宋体" w:cs="宋体"/>
          <w:b/>
          <w:sz w:val="24"/>
        </w:rPr>
      </w:pPr>
      <w:r>
        <w:rPr>
          <w:rFonts w:hint="eastAsia" w:ascii="宋体" w:hAnsi="宋体" w:cs="宋体"/>
          <w:b/>
          <w:sz w:val="24"/>
        </w:rPr>
        <w:t>五、开启</w:t>
      </w:r>
    </w:p>
    <w:p>
      <w:pPr>
        <w:spacing w:line="360" w:lineRule="auto"/>
        <w:ind w:firstLine="480" w:firstLineChars="200"/>
        <w:rPr>
          <w:rFonts w:ascii="宋体" w:hAnsi="宋体" w:cs="宋体"/>
          <w:bCs/>
          <w:sz w:val="24"/>
          <w:u w:val="single"/>
        </w:rPr>
      </w:pPr>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首次响应文件开启时间：</w:t>
      </w:r>
      <w:r>
        <w:rPr>
          <w:rFonts w:hint="eastAsia" w:ascii="宋体" w:hAnsi="宋体" w:cs="宋体"/>
          <w:bCs/>
          <w:kern w:val="0"/>
          <w:sz w:val="24"/>
        </w:rPr>
        <w:t>2025年</w:t>
      </w:r>
      <w:r>
        <w:rPr>
          <w:rFonts w:hint="eastAsia" w:ascii="宋体" w:hAnsi="宋体" w:cs="宋体"/>
          <w:bCs/>
          <w:kern w:val="0"/>
          <w:sz w:val="24"/>
          <w:lang w:val="en-US" w:eastAsia="zh-CN"/>
        </w:rPr>
        <w:t>7</w:t>
      </w:r>
      <w:r>
        <w:rPr>
          <w:rFonts w:hint="eastAsia" w:ascii="宋体" w:hAnsi="宋体" w:cs="宋体"/>
          <w:bCs/>
          <w:kern w:val="0"/>
          <w:sz w:val="24"/>
        </w:rPr>
        <w:t>月</w:t>
      </w:r>
      <w:r>
        <w:rPr>
          <w:rFonts w:hint="eastAsia" w:ascii="宋体" w:hAnsi="宋体" w:cs="宋体"/>
          <w:bCs/>
          <w:kern w:val="0"/>
          <w:sz w:val="24"/>
          <w:lang w:val="en-US" w:eastAsia="zh-CN"/>
        </w:rPr>
        <w:t>25</w:t>
      </w:r>
      <w:r>
        <w:rPr>
          <w:rFonts w:hint="eastAsia" w:ascii="宋体" w:hAnsi="宋体" w:cs="宋体"/>
          <w:bCs/>
          <w:kern w:val="0"/>
          <w:sz w:val="24"/>
        </w:rPr>
        <w:t>日</w:t>
      </w:r>
      <w:r>
        <w:rPr>
          <w:rFonts w:hint="eastAsia" w:ascii="宋体" w:hAnsi="宋体" w:cs="宋体"/>
          <w:bCs/>
          <w:kern w:val="0"/>
          <w:sz w:val="24"/>
          <w:lang w:val="en-US" w:eastAsia="zh-CN"/>
        </w:rPr>
        <w:t>9</w:t>
      </w:r>
      <w:r>
        <w:rPr>
          <w:rFonts w:hint="eastAsia" w:ascii="宋体" w:hAnsi="宋体" w:cs="宋体"/>
          <w:bCs/>
          <w:kern w:val="0"/>
          <w:sz w:val="24"/>
        </w:rPr>
        <w:t>时00分（北京时间）</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w:t>
      </w:r>
      <w:r>
        <w:rPr>
          <w:rFonts w:hint="eastAsia" w:ascii="宋体" w:hAnsi="宋体" w:cs="宋体"/>
          <w:sz w:val="24"/>
        </w:rPr>
        <w:t>地点：</w:t>
      </w:r>
      <w:r>
        <w:rPr>
          <w:rFonts w:hint="eastAsia" w:ascii="宋体" w:hAnsi="宋体" w:cs="宋体"/>
          <w:sz w:val="24"/>
          <w:lang w:bidi="ar"/>
        </w:rPr>
        <w:t>本项目将在广西政府采购云平台电子开标大厅解密、开启。</w:t>
      </w:r>
    </w:p>
    <w:p>
      <w:pPr>
        <w:widowControl/>
        <w:spacing w:line="360" w:lineRule="auto"/>
        <w:ind w:firstLine="482" w:firstLineChars="200"/>
        <w:rPr>
          <w:rFonts w:ascii="宋体" w:hAnsi="宋体" w:cs="宋体"/>
          <w:b/>
          <w:sz w:val="24"/>
        </w:rPr>
      </w:pPr>
      <w:r>
        <w:rPr>
          <w:rFonts w:hint="eastAsia" w:ascii="宋体" w:hAnsi="宋体" w:cs="宋体"/>
          <w:b/>
          <w:sz w:val="24"/>
        </w:rPr>
        <w:t>六、公告期限</w:t>
      </w:r>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spacing w:line="360" w:lineRule="auto"/>
        <w:ind w:firstLine="480" w:firstLineChars="200"/>
        <w:rPr>
          <w:rFonts w:ascii="宋体" w:hAnsi="宋体" w:cs="宋体"/>
          <w:sz w:val="24"/>
        </w:rPr>
      </w:pPr>
      <w:r>
        <w:rPr>
          <w:rFonts w:hint="eastAsia" w:ascii="宋体" w:hAnsi="宋体" w:cs="宋体"/>
          <w:sz w:val="24"/>
          <w:lang w:bidi="ar"/>
        </w:rPr>
        <w:t>七、</w:t>
      </w:r>
      <w:r>
        <w:rPr>
          <w:rFonts w:hint="eastAsia" w:ascii="宋体" w:hAnsi="宋体" w:cs="宋体"/>
          <w:b/>
          <w:sz w:val="24"/>
        </w:rPr>
        <w:t>其他补充事宜</w:t>
      </w:r>
      <w:r>
        <w:rPr>
          <w:rFonts w:hint="eastAsia" w:ascii="宋体" w:hAnsi="宋体" w:cs="宋体"/>
          <w:sz w:val="24"/>
          <w:lang w:bidi="ar"/>
        </w:rPr>
        <w:t>：</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2.根据财政部《关于在政府采购活动中查询及使用信用记录有关问题的通知》（财库〔2016〕125号）的规定，对在“信用中国”网站(www.creditchina.gov.cn) 、中国政府采购网(www.ccgp.gov.cn)被列入失信被执行人、</w:t>
      </w:r>
      <w:r>
        <w:rPr>
          <w:rFonts w:hint="eastAsia" w:ascii="宋体" w:hAnsi="宋体" w:cs="宋体"/>
          <w:sz w:val="24"/>
        </w:rPr>
        <w:t>重大税收违法失信主体</w:t>
      </w:r>
      <w:r>
        <w:rPr>
          <w:rFonts w:hint="eastAsia" w:ascii="宋体" w:hAnsi="宋体" w:cs="宋体"/>
          <w:sz w:val="24"/>
          <w:lang w:bidi="ar"/>
        </w:rPr>
        <w:t>、政府采购严重违法失信行为记录名单及其他不符合《中华人民共和国政府采购法》第二十二条规定条件的供应商，不得参与政府采购活动。</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3.网上查询地址：中国政府采购网（www.ccgp.gov.cn）、广西政府采购网（zfcg.gxzf.gov.cn）。</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4.本项目需要落实的政府采购政策：</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（1）政府采购促进中小企业发展。</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（2）政府采购支持采用本国产品的政策。</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（3）强制采购节能产品；优先采购节能产品、环境标志产品。</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（4）政府采购促进残疾人就业政策。</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（5）政府采购支持监狱企业发展。</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（6）扶持不发达地区和少数民族地区政策</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5.磋商注意事项：</w:t>
      </w:r>
    </w:p>
    <w:p>
      <w:pPr>
        <w:widowControl/>
        <w:spacing w:line="360" w:lineRule="auto"/>
        <w:ind w:firstLine="480" w:firstLineChars="200"/>
        <w:rPr>
          <w:rFonts w:ascii="宋体" w:hAnsi="宋体" w:cs="宋体"/>
          <w:bCs/>
          <w:sz w:val="24"/>
        </w:rPr>
      </w:pPr>
      <w:r>
        <w:rPr>
          <w:rFonts w:hint="eastAsia" w:ascii="宋体" w:hAnsi="宋体" w:cs="宋体"/>
          <w:sz w:val="24"/>
          <w:lang w:bidi="ar"/>
        </w:rPr>
        <w:t>（1）</w:t>
      </w:r>
      <w:r>
        <w:rPr>
          <w:rFonts w:hint="eastAsia" w:ascii="宋体" w:hAnsi="宋体" w:cs="宋体"/>
          <w:sz w:val="24"/>
        </w:rPr>
        <w:t>响应文件</w:t>
      </w:r>
      <w:r>
        <w:rPr>
          <w:rFonts w:hint="eastAsia" w:ascii="宋体" w:hAnsi="宋体" w:cs="宋体"/>
          <w:sz w:val="24"/>
          <w:lang w:bidi="ar"/>
        </w:rPr>
        <w:t>提交方式：本项目为全流程电子化政府采购项目，通过广西政府采购云平台（https://www.gcy.zfcg.gxzf.gov.cn/）实行在线电子磋商采购，供应商应先安装“广西政府采购云平台电子交易客户端”（请自行前往广西政府采购云平台进行下载），并按照本项目竞争性磋商文件和广西政府采购云平台的要求编制、加密后在</w:t>
      </w:r>
      <w:r>
        <w:rPr>
          <w:rFonts w:hint="eastAsia" w:ascii="宋体" w:hAnsi="宋体" w:cs="宋体"/>
          <w:sz w:val="24"/>
        </w:rPr>
        <w:t>首次响应文件提交截止时间</w:t>
      </w:r>
      <w:r>
        <w:rPr>
          <w:rFonts w:hint="eastAsia" w:ascii="宋体" w:hAnsi="宋体" w:cs="宋体"/>
          <w:sz w:val="24"/>
          <w:lang w:bidi="ar"/>
        </w:rPr>
        <w:t>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（2）供应商应及时熟悉掌握电子标系统操作指南（见广西政府采购云平台电子卖场首页右上角—服务中心—帮助文档—项目采购）：</w:t>
      </w:r>
      <w:r>
        <w:rPr>
          <w:rFonts w:ascii="宋体" w:hAnsi="宋体" w:cs="宋体"/>
          <w:sz w:val="24"/>
          <w:lang w:bidi="ar"/>
        </w:rPr>
        <w:t>https://helpcenter.zcygov.cn/document/#/document/dashboard?siteCode=gx</w:t>
      </w:r>
      <w:r>
        <w:rPr>
          <w:rFonts w:hint="eastAsia" w:ascii="宋体" w:hAnsi="宋体" w:cs="宋体"/>
          <w:sz w:val="24"/>
          <w:lang w:bidi="ar"/>
        </w:rPr>
        <w:t>；及时完成CA申领和绑定（见广西壮族自治区政府采购网—办事服务—下载专区-广西政府采购云平台CA证书办理操作指南）。</w:t>
      </w:r>
    </w:p>
    <w:p>
      <w:pPr>
        <w:widowControl/>
        <w:spacing w:line="360" w:lineRule="auto"/>
        <w:ind w:firstLine="480" w:firstLineChars="200"/>
        <w:rPr>
          <w:rFonts w:ascii="宋体" w:hAnsi="宋体" w:cs="宋体"/>
          <w:sz w:val="24"/>
          <w:lang w:bidi="ar"/>
        </w:rPr>
      </w:pPr>
      <w:r>
        <w:rPr>
          <w:rFonts w:hint="eastAsia" w:ascii="宋体" w:hAnsi="宋体" w:cs="宋体"/>
          <w:sz w:val="24"/>
          <w:lang w:bidi="ar"/>
        </w:rPr>
        <w:t>（3）未进行网上注册并办理数字证书（CA认证）的供应商将无法参与本项目政府采购活动，潜在供应商应当在</w:t>
      </w:r>
      <w:r>
        <w:rPr>
          <w:rFonts w:hint="eastAsia" w:ascii="宋体" w:hAnsi="宋体" w:cs="宋体"/>
          <w:sz w:val="24"/>
        </w:rPr>
        <w:t>首次响应文件提交截止时间</w:t>
      </w:r>
      <w:r>
        <w:rPr>
          <w:rFonts w:hint="eastAsia" w:ascii="宋体" w:hAnsi="宋体" w:cs="宋体"/>
          <w:sz w:val="24"/>
          <w:lang w:bidi="ar"/>
        </w:rPr>
        <w:t>前，完成电子交易平台上的CA数字证书办理及响应文件的提交。完成CA数字证书办理预计7日左右，供应商只需办理其中一家CA数字证书及签章，建议各供应商抓紧时间办理。</w:t>
      </w:r>
    </w:p>
    <w:p>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（4）为确保网上操作合法、有效和安全，请供应商确保在电子竞争性磋商过程中能够对相关数据电文进行加密和使用电子签章，妥善保管CA数字证书并使用有效的CA数字证书参与整个采购活动。</w:t>
      </w:r>
    </w:p>
    <w:p>
      <w:pPr>
        <w:spacing w:line="360" w:lineRule="auto"/>
        <w:ind w:firstLine="482" w:firstLineChars="200"/>
        <w:rPr>
          <w:rFonts w:ascii="楷体" w:hAnsi="楷体" w:eastAsia="楷体" w:cs="宋体"/>
          <w:b/>
          <w:bCs/>
          <w:sz w:val="24"/>
        </w:rPr>
      </w:pPr>
      <w:r>
        <w:rPr>
          <w:rFonts w:hint="eastAsia" w:ascii="楷体" w:hAnsi="楷体" w:eastAsia="楷体" w:cs="宋体"/>
          <w:b/>
          <w:bCs/>
          <w:sz w:val="24"/>
          <w:lang w:bidi="ar"/>
        </w:rPr>
        <w:t>注：供应商应当在首次响应文件提交截止时间前完成电子响应文件的上传、提交，</w:t>
      </w:r>
      <w:r>
        <w:rPr>
          <w:rFonts w:hint="eastAsia" w:ascii="楷体" w:hAnsi="楷体" w:eastAsia="楷体" w:cs="宋体"/>
          <w:b/>
          <w:sz w:val="24"/>
        </w:rPr>
        <w:t>首次响应文件提交截止时间</w:t>
      </w:r>
      <w:r>
        <w:rPr>
          <w:rFonts w:hint="eastAsia" w:ascii="楷体" w:hAnsi="楷体" w:eastAsia="楷体" w:cs="宋体"/>
          <w:b/>
          <w:bCs/>
          <w:sz w:val="24"/>
          <w:lang w:bidi="ar"/>
        </w:rPr>
        <w:t>前可以补充、修改或者撤回响应文件。补充或者修改响应文件的，应当先行撤回原文件，补充、修改后重新上传、提交。</w:t>
      </w:r>
      <w:r>
        <w:rPr>
          <w:rFonts w:hint="eastAsia" w:ascii="楷体" w:hAnsi="楷体" w:eastAsia="楷体" w:cs="宋体"/>
          <w:b/>
          <w:sz w:val="24"/>
        </w:rPr>
        <w:t>首次响应文件提交截止时间</w:t>
      </w:r>
      <w:r>
        <w:rPr>
          <w:rFonts w:hint="eastAsia" w:ascii="楷体" w:hAnsi="楷体" w:eastAsia="楷体" w:cs="宋体"/>
          <w:b/>
          <w:bCs/>
          <w:sz w:val="24"/>
          <w:lang w:bidi="ar"/>
        </w:rPr>
        <w:t>前未完成上传、提交的，视为撤回响应文件。</w:t>
      </w:r>
      <w:r>
        <w:rPr>
          <w:rFonts w:hint="eastAsia" w:ascii="楷体" w:hAnsi="楷体" w:eastAsia="楷体" w:cs="宋体"/>
          <w:b/>
          <w:sz w:val="24"/>
        </w:rPr>
        <w:t>首次响应文件提交截止时间</w:t>
      </w:r>
      <w:r>
        <w:rPr>
          <w:rFonts w:hint="eastAsia" w:ascii="楷体" w:hAnsi="楷体" w:eastAsia="楷体" w:cs="宋体"/>
          <w:b/>
          <w:bCs/>
          <w:sz w:val="24"/>
          <w:lang w:bidi="ar"/>
        </w:rPr>
        <w:t>以后上传递交的响应文件，广西政府采购云平台将予以拒收。</w:t>
      </w:r>
    </w:p>
    <w:p>
      <w:pPr>
        <w:widowControl/>
        <w:spacing w:line="360" w:lineRule="auto"/>
        <w:ind w:firstLine="480" w:firstLineChars="200"/>
        <w:rPr>
          <w:rFonts w:ascii="宋体" w:hAnsi="宋体" w:cs="宋体"/>
          <w:b/>
          <w:bCs/>
          <w:sz w:val="24"/>
        </w:rPr>
      </w:pPr>
      <w:r>
        <w:rPr>
          <w:rFonts w:hint="eastAsia" w:ascii="宋体" w:hAnsi="宋体" w:cs="宋体"/>
          <w:kern w:val="0"/>
          <w:sz w:val="24"/>
          <w:lang w:bidi="ar"/>
        </w:rPr>
        <w:t>6.</w:t>
      </w:r>
      <w:r>
        <w:rPr>
          <w:rFonts w:hint="eastAsia" w:ascii="宋体" w:hAnsi="宋体" w:cs="宋体"/>
          <w:sz w:val="24"/>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pPr>
        <w:widowControl/>
        <w:spacing w:line="360" w:lineRule="auto"/>
        <w:ind w:firstLine="480" w:firstLineChars="200"/>
        <w:rPr>
          <w:rFonts w:ascii="宋体" w:hAnsi="宋体" w:cs="宋体"/>
          <w:kern w:val="0"/>
          <w:sz w:val="24"/>
        </w:rPr>
      </w:pPr>
      <w:r>
        <w:rPr>
          <w:rFonts w:hint="eastAsia" w:ascii="宋体" w:hAnsi="宋体" w:cs="宋体"/>
          <w:sz w:val="24"/>
          <w:lang w:bidi="ar"/>
        </w:rPr>
        <w:t>7.供应商需要在具备有摄像头及语音功能且互联网网络状况良好的电脑登录广西政府采购云平台远程开标大厅参与本次磋商，否则后果自负。</w:t>
      </w:r>
    </w:p>
    <w:p>
      <w:pPr>
        <w:widowControl/>
        <w:spacing w:line="360" w:lineRule="auto"/>
        <w:ind w:firstLine="480" w:firstLineChars="200"/>
        <w:rPr>
          <w:rFonts w:ascii="宋体" w:hAnsi="宋体" w:cs="宋体"/>
          <w:kern w:val="0"/>
          <w:sz w:val="24"/>
        </w:rPr>
      </w:pPr>
      <w:r>
        <w:rPr>
          <w:rFonts w:hint="eastAsia" w:ascii="宋体" w:hAnsi="宋体" w:cs="宋体"/>
          <w:sz w:val="24"/>
          <w:lang w:bidi="ar"/>
        </w:rPr>
        <w:t>8.若对项目采购电子交易系统操作有疑问，可登录广西政府采购云平台（https://www.gcy.zfcg.gxzf.gov.cn/），点击右侧咨询小采，获取采小蜜智能服务管家帮助，或拨打广西政府采购云平台服务热线</w:t>
      </w:r>
      <w:r>
        <w:rPr>
          <w:rFonts w:ascii="宋体" w:hAnsi="宋体" w:cs="宋体"/>
          <w:sz w:val="24"/>
          <w:lang w:bidi="ar"/>
        </w:rPr>
        <w:t>95763</w:t>
      </w:r>
      <w:r>
        <w:rPr>
          <w:rFonts w:hint="eastAsia" w:ascii="宋体" w:hAnsi="宋体" w:cs="宋体"/>
          <w:sz w:val="24"/>
          <w:lang w:bidi="ar"/>
        </w:rPr>
        <w:t>获取热线服务帮助。</w:t>
      </w:r>
    </w:p>
    <w:bookmarkEnd w:id="5"/>
    <w:p>
      <w:pPr>
        <w:widowControl/>
        <w:spacing w:line="360" w:lineRule="auto"/>
        <w:ind w:firstLine="482" w:firstLineChars="200"/>
        <w:rPr>
          <w:rFonts w:ascii="宋体" w:hAnsi="宋体" w:cs="宋体"/>
          <w:b/>
          <w:sz w:val="24"/>
        </w:rPr>
      </w:pPr>
      <w:r>
        <w:rPr>
          <w:rFonts w:hint="eastAsia" w:ascii="宋体" w:hAnsi="宋体" w:cs="宋体"/>
          <w:b/>
          <w:sz w:val="24"/>
        </w:rPr>
        <w:t>八、凡对本次采购提出询问，请按以下方式联系。</w:t>
      </w:r>
      <w:bookmarkEnd w:id="6"/>
      <w:bookmarkEnd w:id="7"/>
      <w:bookmarkEnd w:id="8"/>
      <w:bookmarkEnd w:id="9"/>
      <w:bookmarkEnd w:id="10"/>
    </w:p>
    <w:bookmarkEnd w:id="4"/>
    <w:p>
      <w:pPr>
        <w:spacing w:line="360" w:lineRule="auto"/>
        <w:ind w:firstLine="648" w:firstLineChars="270"/>
        <w:jc w:val="left"/>
        <w:rPr>
          <w:rFonts w:ascii="宋体" w:hAnsi="宋体" w:cs="宋体"/>
          <w:sz w:val="24"/>
        </w:rPr>
      </w:pPr>
      <w:bookmarkStart w:id="11" w:name="_Toc35393637"/>
      <w:bookmarkStart w:id="12" w:name="_Toc28359096"/>
      <w:bookmarkStart w:id="13" w:name="_Toc35393806"/>
      <w:bookmarkStart w:id="14" w:name="_Toc28359019"/>
      <w:bookmarkStart w:id="15" w:name="_Toc74323457"/>
      <w:r>
        <w:rPr>
          <w:rFonts w:hint="eastAsia" w:ascii="宋体" w:hAnsi="宋体" w:cs="宋体"/>
          <w:sz w:val="24"/>
        </w:rPr>
        <w:t>1</w:t>
      </w:r>
      <w:r>
        <w:rPr>
          <w:rFonts w:hint="eastAsia" w:ascii="宋体" w:hAnsi="宋体" w:cs="宋体"/>
          <w:sz w:val="24"/>
          <w:lang w:bidi="ar"/>
        </w:rPr>
        <w:t>.</w:t>
      </w:r>
      <w:r>
        <w:rPr>
          <w:rFonts w:hint="eastAsia" w:ascii="宋体" w:hAnsi="宋体" w:cs="宋体"/>
          <w:sz w:val="24"/>
        </w:rPr>
        <w:t>采购人信息</w:t>
      </w:r>
    </w:p>
    <w:p>
      <w:pPr>
        <w:spacing w:line="360" w:lineRule="auto"/>
        <w:ind w:firstLine="648" w:firstLineChars="270"/>
        <w:rPr>
          <w:rFonts w:ascii="宋体" w:hAnsi="宋体" w:cs="宋体"/>
          <w:sz w:val="24"/>
        </w:rPr>
      </w:pPr>
      <w:r>
        <w:rPr>
          <w:rFonts w:hint="eastAsia" w:ascii="宋体" w:hAnsi="宋体" w:cs="宋体"/>
          <w:sz w:val="24"/>
        </w:rPr>
        <w:t>名 称：广西大学</w:t>
      </w:r>
    </w:p>
    <w:p>
      <w:pPr>
        <w:spacing w:line="360" w:lineRule="auto"/>
        <w:ind w:firstLine="648" w:firstLineChars="270"/>
        <w:jc w:val="left"/>
        <w:rPr>
          <w:rFonts w:ascii="宋体" w:hAnsi="宋体" w:cs="宋体"/>
          <w:sz w:val="24"/>
        </w:rPr>
      </w:pPr>
      <w:bookmarkStart w:id="16" w:name="_Toc28359086"/>
      <w:bookmarkStart w:id="17" w:name="_Toc28359009"/>
      <w:r>
        <w:rPr>
          <w:rFonts w:hint="eastAsia" w:ascii="宋体" w:hAnsi="宋体" w:cs="宋体"/>
          <w:sz w:val="24"/>
        </w:rPr>
        <w:t>地址：广西壮族自治区南宁市西乡塘区大学东路1</w:t>
      </w:r>
      <w:r>
        <w:rPr>
          <w:rFonts w:ascii="宋体" w:hAnsi="宋体" w:cs="宋体"/>
          <w:sz w:val="24"/>
        </w:rPr>
        <w:t>00</w:t>
      </w:r>
      <w:r>
        <w:rPr>
          <w:rFonts w:hint="eastAsia" w:ascii="宋体" w:hAnsi="宋体" w:cs="宋体"/>
          <w:sz w:val="24"/>
        </w:rPr>
        <w:t>号</w:t>
      </w:r>
    </w:p>
    <w:p>
      <w:pPr>
        <w:spacing w:line="360" w:lineRule="auto"/>
        <w:ind w:firstLine="648" w:firstLineChars="270"/>
        <w:jc w:val="left"/>
        <w:rPr>
          <w:rFonts w:ascii="宋体" w:hAnsi="宋体" w:cs="宋体"/>
          <w:sz w:val="24"/>
        </w:rPr>
      </w:pPr>
      <w:r>
        <w:rPr>
          <w:rFonts w:hint="eastAsia" w:ascii="宋体" w:hAnsi="宋体" w:cs="宋体"/>
          <w:sz w:val="24"/>
        </w:rPr>
        <w:t>联系人：张老师   联系方式：0771-3274121</w:t>
      </w:r>
    </w:p>
    <w:bookmarkEnd w:id="11"/>
    <w:bookmarkEnd w:id="12"/>
    <w:bookmarkEnd w:id="13"/>
    <w:bookmarkEnd w:id="14"/>
    <w:bookmarkEnd w:id="16"/>
    <w:bookmarkEnd w:id="17"/>
    <w:p>
      <w:pPr>
        <w:spacing w:line="360" w:lineRule="auto"/>
        <w:ind w:firstLine="648" w:firstLineChars="2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p>
    <w:p>
      <w:pPr>
        <w:spacing w:line="360" w:lineRule="auto"/>
        <w:ind w:firstLine="648" w:firstLineChars="270"/>
        <w:jc w:val="left"/>
        <w:rPr>
          <w:rFonts w:ascii="宋体" w:hAnsi="宋体" w:cs="宋体"/>
          <w:color w:val="000000" w:themeColor="text1"/>
          <w:sz w:val="24"/>
          <w14:textFill>
            <w14:solidFill>
              <w14:schemeClr w14:val="tx1"/>
            </w14:solidFill>
          </w14:textFill>
        </w:rPr>
      </w:pPr>
      <w:bookmarkStart w:id="18" w:name="_Toc28359010"/>
      <w:bookmarkStart w:id="19" w:name="_Toc28359087"/>
      <w:r>
        <w:rPr>
          <w:rFonts w:hint="eastAsia" w:ascii="宋体" w:hAnsi="宋体" w:cs="宋体"/>
          <w:color w:val="000000" w:themeColor="text1"/>
          <w:sz w:val="24"/>
          <w14:textFill>
            <w14:solidFill>
              <w14:schemeClr w14:val="tx1"/>
            </w14:solidFill>
          </w14:textFill>
        </w:rPr>
        <w:t>名    称：广西科联招标中心有限公司</w:t>
      </w:r>
    </w:p>
    <w:p>
      <w:pPr>
        <w:spacing w:line="360" w:lineRule="auto"/>
        <w:ind w:firstLine="648" w:firstLineChars="2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址：南宁市大学东路170号</w:t>
      </w:r>
    </w:p>
    <w:p>
      <w:pPr>
        <w:spacing w:line="360" w:lineRule="auto"/>
        <w:ind w:firstLine="648" w:firstLineChars="2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联系方式：杨工，0771-3486236   </w:t>
      </w:r>
    </w:p>
    <w:p>
      <w:pPr>
        <w:spacing w:line="360" w:lineRule="auto"/>
        <w:ind w:firstLine="648" w:firstLineChars="2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3.项目联系方式</w:t>
      </w:r>
      <w:bookmarkEnd w:id="18"/>
      <w:bookmarkEnd w:id="19"/>
    </w:p>
    <w:p>
      <w:pPr>
        <w:spacing w:line="360" w:lineRule="auto"/>
        <w:ind w:firstLine="648" w:firstLineChars="27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项目联系人：杨工      电　话： 0771-3486236      </w:t>
      </w:r>
    </w:p>
    <w:p>
      <w:pPr>
        <w:spacing w:line="360" w:lineRule="auto"/>
        <w:ind w:firstLine="5923" w:firstLineChars="2468"/>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广西科联招标中心有限公司</w:t>
      </w:r>
    </w:p>
    <w:p>
      <w:pPr>
        <w:spacing w:line="360" w:lineRule="auto"/>
        <w:ind w:firstLine="648" w:firstLineChars="270"/>
        <w:jc w:val="right"/>
        <w:rPr>
          <w:rFonts w:ascii="宋体" w:hAnsi="宋体" w:cs="宋体"/>
          <w:sz w:val="24"/>
        </w:rPr>
      </w:pP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14</w:t>
      </w:r>
      <w:r>
        <w:rPr>
          <w:rFonts w:hint="eastAsia" w:ascii="宋体" w:hAnsi="宋体" w:cs="宋体"/>
          <w:color w:val="000000" w:themeColor="text1"/>
          <w:sz w:val="24"/>
          <w14:textFill>
            <w14:solidFill>
              <w14:schemeClr w14:val="tx1"/>
            </w14:solidFill>
          </w14:textFill>
        </w:rPr>
        <w:t>日</w:t>
      </w:r>
    </w:p>
    <w:p>
      <w:pPr>
        <w:pStyle w:val="3"/>
        <w:jc w:val="center"/>
        <w:rPr>
          <w:rFonts w:ascii="宋体" w:hAnsi="宋体" w:cs="宋体"/>
        </w:rPr>
      </w:pPr>
      <w:r>
        <w:rPr>
          <w:rFonts w:hint="eastAsia" w:ascii="宋体" w:hAnsi="宋体" w:cs="宋体"/>
          <w:sz w:val="24"/>
        </w:rPr>
        <w:br w:type="page"/>
      </w:r>
      <w:r>
        <w:rPr>
          <w:rFonts w:hint="eastAsia" w:ascii="宋体" w:hAnsi="宋体" w:cs="宋体"/>
        </w:rPr>
        <w:t>第二章 供应商须知</w:t>
      </w:r>
      <w:bookmarkEnd w:id="15"/>
    </w:p>
    <w:p>
      <w:pPr>
        <w:spacing w:line="400" w:lineRule="exact"/>
        <w:jc w:val="center"/>
        <w:rPr>
          <w:rFonts w:ascii="宋体" w:hAnsi="宋体" w:cs="宋体"/>
          <w:b/>
          <w:sz w:val="32"/>
          <w:szCs w:val="32"/>
        </w:rPr>
      </w:pPr>
      <w:bookmarkStart w:id="20" w:name="OLE_LINK6"/>
      <w:r>
        <w:rPr>
          <w:rFonts w:hint="eastAsia" w:ascii="宋体" w:hAnsi="宋体" w:cs="宋体"/>
          <w:b/>
          <w:sz w:val="32"/>
          <w:szCs w:val="32"/>
        </w:rPr>
        <w:t>供应商须知前附表</w:t>
      </w:r>
      <w:bookmarkEnd w:id="20"/>
    </w:p>
    <w:p>
      <w:pPr>
        <w:spacing w:line="400" w:lineRule="exact"/>
        <w:jc w:val="center"/>
        <w:rPr>
          <w:rFonts w:ascii="宋体" w:hAnsi="宋体" w:cs="宋体"/>
          <w:b/>
          <w:sz w:val="32"/>
          <w:szCs w:val="32"/>
        </w:rPr>
      </w:pPr>
    </w:p>
    <w:tbl>
      <w:tblPr>
        <w:tblStyle w:val="2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sz w:val="24"/>
              </w:rPr>
            </w:pPr>
            <w:r>
              <w:rPr>
                <w:rFonts w:hint="eastAsia" w:ascii="宋体" w:hAnsi="宋体" w:cs="宋体"/>
                <w:b/>
                <w:sz w:val="24"/>
              </w:rPr>
              <w:t>条款号</w:t>
            </w:r>
          </w:p>
        </w:tc>
        <w:tc>
          <w:tcPr>
            <w:tcW w:w="8627" w:type="dxa"/>
          </w:tcPr>
          <w:p>
            <w:pPr>
              <w:spacing w:line="360" w:lineRule="auto"/>
              <w:jc w:val="center"/>
              <w:rPr>
                <w:rFonts w:ascii="宋体" w:hAnsi="宋体" w:cs="宋体"/>
                <w:b/>
                <w:sz w:val="24"/>
              </w:rPr>
            </w:pPr>
            <w:r>
              <w:rPr>
                <w:rFonts w:hint="eastAsia" w:ascii="宋体" w:hAnsi="宋体" w:cs="宋体"/>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3</w:t>
            </w:r>
          </w:p>
        </w:tc>
        <w:tc>
          <w:tcPr>
            <w:tcW w:w="8627" w:type="dxa"/>
            <w:vAlign w:val="center"/>
          </w:tcPr>
          <w:p>
            <w:pPr>
              <w:spacing w:line="360" w:lineRule="auto"/>
              <w:rPr>
                <w:rFonts w:ascii="宋体" w:hAnsi="宋体" w:cs="宋体"/>
                <w:sz w:val="24"/>
              </w:rPr>
            </w:pPr>
            <w:r>
              <w:rPr>
                <w:rFonts w:hint="eastAsia" w:ascii="宋体" w:hAnsi="宋体" w:cs="宋体"/>
                <w:bCs/>
                <w:sz w:val="24"/>
              </w:rPr>
              <w:t>供应商的资格条件</w:t>
            </w:r>
            <w:r>
              <w:rPr>
                <w:rFonts w:hint="eastAsia" w:ascii="宋体" w:hAnsi="宋体" w:cs="宋体"/>
                <w:sz w:val="24"/>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5.1</w:t>
            </w:r>
          </w:p>
        </w:tc>
        <w:tc>
          <w:tcPr>
            <w:tcW w:w="8627" w:type="dxa"/>
            <w:vAlign w:val="center"/>
          </w:tcPr>
          <w:p>
            <w:pPr>
              <w:spacing w:line="360" w:lineRule="auto"/>
              <w:rPr>
                <w:rFonts w:ascii="宋体" w:hAnsi="宋体" w:cs="宋体"/>
                <w:sz w:val="24"/>
              </w:rPr>
            </w:pPr>
            <w:r>
              <w:rPr>
                <w:rFonts w:hint="eastAsia" w:ascii="宋体" w:hAnsi="宋体" w:cs="宋体"/>
                <w:sz w:val="24"/>
              </w:rPr>
              <w:t>是否接受联合体参加竞争性磋商：详见竞争性磋商公告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5.2</w:t>
            </w:r>
          </w:p>
        </w:tc>
        <w:tc>
          <w:tcPr>
            <w:tcW w:w="8627" w:type="dxa"/>
            <w:vAlign w:val="center"/>
          </w:tcPr>
          <w:p>
            <w:pPr>
              <w:spacing w:line="360" w:lineRule="auto"/>
              <w:rPr>
                <w:rFonts w:ascii="宋体" w:hAnsi="宋体" w:cs="宋体"/>
                <w:sz w:val="24"/>
              </w:rPr>
            </w:pPr>
            <w:r>
              <w:rPr>
                <w:rFonts w:hint="eastAsia" w:ascii="宋体" w:hAnsi="宋体" w:cs="宋体"/>
                <w:sz w:val="24"/>
              </w:rPr>
              <w:t>如接受联合体参加竞争性磋商，要求如下：</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1.两个以上供应商可以组成一个竞争性磋商联合体，以一个供应商的身份共同参加竞争性磋商，联合体供应商的名称应统一按“XXX 公司与 XXX 公司的联合体”的规则填写。</w:t>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2.以联合体形式参加竞争性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3.联合体参加竞争性磋商的，须提供《联合体参加竞争性磋商协议书》（格式后附），协议书必须明确主体方（或者牵头方）并明确约定联合体各方承担的工作和相应的责任（各方承担责任与义务的分工必须符合采购需求，否则，联合体响应无效），并将联合参加竞争性磋商协议放入响应文件。联合体各方必须共同与采购人签订采购合同，就采购合同约定的事项对采购人承担连带责任。</w:t>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sz w:val="24"/>
              </w:rPr>
              <w:tab/>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5.联合体中有同类资质的供应商按照联合体分工承担相同工作的，应当按照资质等级较低的供应商确定资质等级。</w:t>
            </w:r>
            <w:r>
              <w:rPr>
                <w:rFonts w:hint="eastAsia" w:ascii="宋体" w:hAnsi="宋体" w:cs="宋体"/>
                <w:sz w:val="24"/>
              </w:rPr>
              <w:tab/>
            </w:r>
            <w:r>
              <w:rPr>
                <w:rFonts w:hint="eastAsia" w:ascii="宋体" w:hAnsi="宋体" w:cs="宋体"/>
                <w:sz w:val="24"/>
              </w:rPr>
              <w:tab/>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6.联合体参加竞争性磋商的业绩、履约能力按照联合体各方其中较高的一方认定并计算（竞争性磋商文件另有规定的除外）。</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7.联合体各方均应按照竞争性磋商文件的规定提交资格证明文件。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6.2</w:t>
            </w:r>
          </w:p>
        </w:tc>
        <w:tc>
          <w:tcPr>
            <w:tcW w:w="8627" w:type="dxa"/>
            <w:vAlign w:val="center"/>
          </w:tcPr>
          <w:p>
            <w:pPr>
              <w:pStyle w:val="12"/>
              <w:spacing w:line="360" w:lineRule="auto"/>
              <w:rPr>
                <w:rFonts w:ascii="宋体" w:hAnsi="宋体" w:cs="宋体"/>
                <w:b/>
                <w:sz w:val="24"/>
              </w:rPr>
            </w:pPr>
            <w:r>
              <w:rPr>
                <w:rFonts w:ascii="宋体" w:hAnsi="宋体" w:cs="宋体"/>
                <w:b/>
                <w:sz w:val="24"/>
              </w:rPr>
              <w:sym w:font="Wingdings" w:char="00FE"/>
            </w:r>
            <w:r>
              <w:rPr>
                <w:rFonts w:hint="eastAsia" w:ascii="宋体" w:hAnsi="宋体" w:cs="宋体"/>
                <w:b/>
                <w:sz w:val="24"/>
              </w:rPr>
              <w:t>本项目不允许分包。</w:t>
            </w:r>
          </w:p>
          <w:p>
            <w:pPr>
              <w:pStyle w:val="12"/>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pPr>
              <w:pStyle w:val="12"/>
              <w:spacing w:line="360" w:lineRule="auto"/>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 xml:space="preserve">                                     。</w:t>
            </w:r>
          </w:p>
          <w:p>
            <w:pPr>
              <w:pStyle w:val="12"/>
              <w:spacing w:line="360" w:lineRule="auto"/>
              <w:rPr>
                <w:rFonts w:ascii="宋体" w:hAnsi="宋体" w:cs="宋体"/>
                <w:sz w:val="24"/>
              </w:rPr>
            </w:pPr>
            <w:r>
              <w:rPr>
                <w:rFonts w:hint="eastAsia" w:ascii="宋体" w:hAnsi="宋体" w:cs="宋体"/>
                <w:sz w:val="24"/>
              </w:rPr>
              <w:t>分包金额或者比例：</w:t>
            </w:r>
            <w:r>
              <w:rPr>
                <w:rFonts w:hint="eastAsia" w:ascii="宋体" w:hAnsi="宋体" w:cs="宋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12.1.1</w:t>
            </w:r>
          </w:p>
        </w:tc>
        <w:tc>
          <w:tcPr>
            <w:tcW w:w="8627" w:type="dxa"/>
            <w:vAlign w:val="center"/>
          </w:tcPr>
          <w:p>
            <w:pPr>
              <w:snapToGrid w:val="0"/>
              <w:spacing w:line="360" w:lineRule="auto"/>
              <w:jc w:val="left"/>
              <w:rPr>
                <w:rFonts w:ascii="宋体" w:hAnsi="宋体" w:cs="宋体"/>
                <w:b/>
                <w:sz w:val="24"/>
              </w:rPr>
            </w:pPr>
            <w:r>
              <w:rPr>
                <w:rFonts w:hint="eastAsia" w:ascii="宋体" w:hAnsi="宋体" w:cs="宋体"/>
                <w:b/>
                <w:sz w:val="24"/>
              </w:rPr>
              <w:t>资格证明文件</w:t>
            </w:r>
          </w:p>
          <w:p>
            <w:pPr>
              <w:pStyle w:val="12"/>
              <w:spacing w:line="360" w:lineRule="auto"/>
              <w:rPr>
                <w:rFonts w:ascii="宋体" w:hAnsi="宋体" w:cs="宋体"/>
                <w:sz w:val="24"/>
              </w:rPr>
            </w:pPr>
            <w:r>
              <w:rPr>
                <w:rFonts w:hint="eastAsia" w:ascii="宋体" w:hAnsi="宋体" w:cs="宋体"/>
                <w:sz w:val="24"/>
              </w:rPr>
              <w:t>1.</w:t>
            </w:r>
            <w:bookmarkStart w:id="21" w:name="OLE_LINK7"/>
            <w:r>
              <w:rPr>
                <w:rFonts w:hint="eastAsia" w:ascii="宋体" w:hAnsi="宋体" w:cs="宋体"/>
                <w:sz w:val="24"/>
              </w:rPr>
              <w:t>供应商为法人或者其他组织的，证明文件为其营业执照复印件（如营业执照或者事业单位法人证书或者执业许可证等）；供应商为自然人的，证明文件为其身份证复印件</w:t>
            </w:r>
            <w:bookmarkEnd w:id="21"/>
            <w:r>
              <w:rPr>
                <w:rFonts w:hint="eastAsia" w:ascii="宋体" w:hAnsi="宋体" w:cs="宋体"/>
                <w:sz w:val="24"/>
              </w:rPr>
              <w:t>；（</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contextualSpacing/>
              <w:jc w:val="left"/>
              <w:rPr>
                <w:rFonts w:ascii="宋体" w:hAnsi="宋体" w:cs="宋体"/>
                <w:sz w:val="24"/>
              </w:rPr>
            </w:pPr>
            <w:r>
              <w:rPr>
                <w:rFonts w:hint="eastAsia" w:ascii="宋体" w:hAnsi="宋体" w:cs="宋体"/>
                <w:sz w:val="24"/>
              </w:rPr>
              <w:t>2.</w:t>
            </w:r>
            <w:bookmarkStart w:id="22" w:name="OLE_LINK8"/>
            <w:r>
              <w:rPr>
                <w:rFonts w:hint="eastAsia" w:ascii="宋体" w:hAnsi="宋体" w:cs="宋体"/>
                <w:sz w:val="24"/>
              </w:rPr>
              <w:t>供应商依法缴纳税收的相关材料（截至</w:t>
            </w:r>
            <w:r>
              <w:rPr>
                <w:rFonts w:hint="eastAsia" w:ascii="宋体" w:hAnsi="宋体" w:cs="宋体"/>
                <w:sz w:val="24"/>
                <w:u w:val="single"/>
              </w:rPr>
              <w:t>首次响应文件提交截止之日半年内任意三个月</w:t>
            </w:r>
            <w:r>
              <w:rPr>
                <w:rFonts w:hint="eastAsia" w:ascii="宋体" w:hAnsi="宋体" w:cs="宋体"/>
                <w:sz w:val="24"/>
              </w:rPr>
              <w:t>的依法缴纳税收的凭据复印件；依法免税的，必须提供相应文件证明。从成立之日起到首次响应文件提交截止之日不足要求月数的，只需提供从成立之日起的依法缴纳税收相应证明文件）</w:t>
            </w:r>
            <w:bookmarkEnd w:id="22"/>
            <w:r>
              <w:rPr>
                <w:rFonts w:hint="eastAsia" w:ascii="宋体" w:hAnsi="宋体" w:cs="宋体"/>
                <w:sz w:val="24"/>
              </w:rPr>
              <w:t>；（</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contextualSpacing/>
              <w:jc w:val="left"/>
              <w:rPr>
                <w:rFonts w:ascii="宋体" w:hAnsi="宋体" w:cs="宋体"/>
                <w:sz w:val="24"/>
              </w:rPr>
            </w:pPr>
            <w:r>
              <w:rPr>
                <w:rFonts w:hint="eastAsia" w:ascii="宋体" w:hAnsi="宋体" w:cs="宋体"/>
                <w:sz w:val="24"/>
              </w:rPr>
              <w:t>3.</w:t>
            </w:r>
            <w:bookmarkStart w:id="23" w:name="OLE_LINK9"/>
            <w:r>
              <w:rPr>
                <w:rFonts w:hint="eastAsia" w:ascii="宋体" w:hAnsi="宋体" w:cs="宋体"/>
                <w:sz w:val="24"/>
              </w:rPr>
              <w:t>供应商依法缴纳社会保障资金的相关材料</w:t>
            </w:r>
            <w:r>
              <w:rPr>
                <w:rFonts w:ascii="宋体" w:hAnsi="宋体" w:cs="宋体"/>
                <w:sz w:val="24"/>
              </w:rPr>
              <w:t>[</w:t>
            </w:r>
            <w:r>
              <w:rPr>
                <w:rFonts w:hint="eastAsia" w:ascii="宋体" w:hAnsi="宋体" w:cs="宋体"/>
                <w:sz w:val="24"/>
              </w:rPr>
              <w:t>截至</w:t>
            </w:r>
            <w:r>
              <w:rPr>
                <w:rFonts w:hint="eastAsia" w:ascii="宋体" w:hAnsi="宋体" w:cs="宋体"/>
                <w:sz w:val="24"/>
                <w:u w:val="single"/>
              </w:rPr>
              <w:t>首次响应文件提交截止之日半年内任意三个月</w:t>
            </w:r>
            <w:r>
              <w:rPr>
                <w:rFonts w:hint="eastAsia" w:ascii="宋体" w:hAnsi="宋体" w:cs="宋体"/>
                <w:sz w:val="24"/>
              </w:rPr>
              <w:t>的依法缴纳社会保障资金的缴费凭证（专用收据或者社会保险缴纳清单）复印件；依法不需要缴纳社会保障资金的，必须提供相应文件证明。从成立之日起到首次响应文件提交截止之日不足要求月数的只需提供从成立之日起一个月的依法缴纳社会保障资金的相应证明文件]；</w:t>
            </w:r>
            <w:bookmarkEnd w:id="23"/>
            <w:r>
              <w:rPr>
                <w:rFonts w:hint="eastAsia" w:ascii="宋体" w:hAnsi="宋体" w:cs="宋体"/>
                <w:sz w:val="24"/>
              </w:rPr>
              <w:t>（</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contextualSpacing/>
              <w:jc w:val="left"/>
              <w:rPr>
                <w:rFonts w:ascii="宋体" w:hAnsi="宋体" w:cs="宋体"/>
                <w:b/>
                <w:sz w:val="24"/>
              </w:rPr>
            </w:pPr>
            <w:r>
              <w:rPr>
                <w:rFonts w:hint="eastAsia" w:ascii="宋体" w:hAnsi="宋体" w:cs="宋体"/>
                <w:sz w:val="24"/>
              </w:rPr>
              <w:t>4.</w:t>
            </w:r>
            <w:bookmarkStart w:id="24" w:name="OLE_LINK10"/>
            <w:r>
              <w:rPr>
                <w:rFonts w:hint="eastAsia" w:ascii="宋体" w:hAnsi="宋体" w:cs="宋体"/>
                <w:sz w:val="24"/>
              </w:rPr>
              <w:t>供应商财务状况报告（提供2024年财务状况报告复印件，或者银行出具的资信证明（资信证明应在有效期内，未注明有效期的，银行出具时间至首次响应文件提交截止之日不超过一年）；供应商成立不满一年的应按首次响应文件提交截止之日上一个月的财务状况报告复印件）</w:t>
            </w:r>
            <w:bookmarkEnd w:id="24"/>
            <w:r>
              <w:rPr>
                <w:rFonts w:hint="eastAsia" w:ascii="宋体" w:hAnsi="宋体" w:cs="宋体"/>
                <w:sz w:val="24"/>
              </w:rPr>
              <w:t>；</w:t>
            </w:r>
            <w:r>
              <w:rPr>
                <w:rFonts w:hint="eastAsia" w:ascii="宋体" w:hAnsi="宋体" w:cs="宋体"/>
                <w:bCs/>
                <w:sz w:val="24"/>
              </w:rPr>
              <w:t>（</w:t>
            </w:r>
            <w:r>
              <w:rPr>
                <w:rFonts w:hint="eastAsia" w:ascii="宋体" w:hAnsi="宋体" w:cs="宋体"/>
                <w:b/>
                <w:sz w:val="24"/>
              </w:rPr>
              <w:t>除自然人外必须提供，否则响应文件按无效响应处理</w:t>
            </w:r>
            <w:r>
              <w:rPr>
                <w:rFonts w:hint="eastAsia" w:ascii="宋体" w:hAnsi="宋体" w:cs="宋体"/>
                <w:bCs/>
                <w:sz w:val="24"/>
              </w:rPr>
              <w:t>）</w:t>
            </w:r>
          </w:p>
          <w:p>
            <w:pPr>
              <w:snapToGrid w:val="0"/>
              <w:spacing w:line="360" w:lineRule="auto"/>
              <w:jc w:val="left"/>
              <w:rPr>
                <w:rFonts w:ascii="宋体" w:hAnsi="宋体" w:cs="宋体"/>
                <w:sz w:val="24"/>
              </w:rPr>
            </w:pPr>
            <w:r>
              <w:rPr>
                <w:rFonts w:hint="eastAsia" w:ascii="宋体" w:hAnsi="宋体" w:cs="宋体"/>
                <w:sz w:val="24"/>
              </w:rPr>
              <w:t>5.供应商直接控股、管理关系信息表（格式后附）；（</w:t>
            </w:r>
            <w:r>
              <w:rPr>
                <w:rFonts w:hint="eastAsia" w:ascii="宋体" w:hAnsi="宋体" w:cs="宋体"/>
                <w:b/>
                <w:sz w:val="24"/>
              </w:rPr>
              <w:t>必须提供，否则响应文件按无效响应处理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6.参与竞争性磋商声明（格式后附）；（</w:t>
            </w:r>
            <w:r>
              <w:rPr>
                <w:rFonts w:hint="eastAsia" w:ascii="宋体" w:hAnsi="宋体" w:cs="宋体"/>
                <w:b/>
                <w:sz w:val="24"/>
              </w:rPr>
              <w:t>必须提供，否则响应文件按无效响应处理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7.联合体参与竞争性磋商协议书（格式后附）；（</w:t>
            </w:r>
            <w:r>
              <w:rPr>
                <w:rFonts w:hint="eastAsia" w:ascii="宋体" w:hAnsi="宋体" w:cs="宋体"/>
                <w:b/>
                <w:sz w:val="24"/>
              </w:rPr>
              <w:t>联合体</w:t>
            </w:r>
            <w:r>
              <w:rPr>
                <w:rFonts w:hint="eastAsia" w:ascii="宋体" w:hAnsi="宋体" w:cs="宋体"/>
                <w:sz w:val="24"/>
              </w:rPr>
              <w:t>参与竞争性磋商</w:t>
            </w:r>
            <w:r>
              <w:rPr>
                <w:rFonts w:hint="eastAsia" w:ascii="宋体" w:hAnsi="宋体" w:cs="宋体"/>
                <w:b/>
                <w:sz w:val="24"/>
              </w:rPr>
              <w:t>时必须提供，否则响应文件按无效响应处理</w:t>
            </w:r>
            <w:r>
              <w:rPr>
                <w:rFonts w:hint="eastAsia" w:ascii="宋体" w:hAnsi="宋体" w:cs="宋体"/>
                <w:sz w:val="24"/>
              </w:rPr>
              <w:t>）</w:t>
            </w:r>
          </w:p>
          <w:p>
            <w:pPr>
              <w:snapToGrid w:val="0"/>
              <w:spacing w:line="360" w:lineRule="auto"/>
              <w:jc w:val="left"/>
              <w:rPr>
                <w:rFonts w:ascii="宋体" w:hAnsi="宋体" w:cs="宋体"/>
                <w:sz w:val="24"/>
              </w:rPr>
            </w:pPr>
            <w:r>
              <w:rPr>
                <w:rFonts w:hint="eastAsia" w:ascii="宋体" w:hAnsi="宋体" w:cs="宋体"/>
                <w:sz w:val="24"/>
              </w:rPr>
              <w:t>8.竞争性磋商公告对应的特定资格要求的资格证明材料；</w:t>
            </w:r>
            <w:r>
              <w:rPr>
                <w:rFonts w:hint="eastAsia" w:ascii="宋体" w:hAnsi="宋体" w:cs="宋体"/>
                <w:b/>
                <w:bCs/>
                <w:sz w:val="24"/>
              </w:rPr>
              <w:t>（公告如有则必须提供</w:t>
            </w:r>
            <w:r>
              <w:rPr>
                <w:rFonts w:hint="eastAsia" w:ascii="宋体" w:hAnsi="宋体" w:cs="宋体"/>
                <w:b/>
                <w:sz w:val="24"/>
              </w:rPr>
              <w:t>，否则响应文件按无效响应处理</w:t>
            </w:r>
            <w:r>
              <w:rPr>
                <w:rFonts w:hint="eastAsia" w:ascii="宋体" w:hAnsi="宋体" w:cs="宋体"/>
                <w:sz w:val="24"/>
              </w:rPr>
              <w:t>）</w:t>
            </w:r>
          </w:p>
          <w:p>
            <w:pPr>
              <w:snapToGrid w:val="0"/>
              <w:spacing w:line="360" w:lineRule="auto"/>
              <w:jc w:val="left"/>
              <w:rPr>
                <w:rFonts w:ascii="宋体" w:hAnsi="宋体" w:cs="宋体"/>
                <w:b/>
                <w:sz w:val="24"/>
              </w:rPr>
            </w:pPr>
            <w:r>
              <w:rPr>
                <w:rFonts w:hint="eastAsia" w:ascii="宋体" w:hAnsi="宋体" w:cs="宋体"/>
                <w:sz w:val="24"/>
              </w:rPr>
              <w:t>9.除磋商文件规定必须提供以外，供应商认为需要提供的其他证明材料；</w:t>
            </w:r>
          </w:p>
          <w:p>
            <w:pPr>
              <w:snapToGrid w:val="0"/>
              <w:spacing w:line="360" w:lineRule="auto"/>
              <w:jc w:val="left"/>
              <w:rPr>
                <w:rFonts w:ascii="楷体" w:hAnsi="楷体" w:eastAsia="楷体" w:cs="宋体"/>
                <w:b/>
                <w:sz w:val="24"/>
              </w:rPr>
            </w:pPr>
            <w:r>
              <w:rPr>
                <w:rFonts w:hint="eastAsia" w:ascii="楷体" w:hAnsi="楷体" w:eastAsia="楷体" w:cs="宋体"/>
                <w:b/>
                <w:bCs/>
                <w:sz w:val="24"/>
              </w:rPr>
              <w:t>【注】</w:t>
            </w:r>
            <w:r>
              <w:rPr>
                <w:rFonts w:ascii="楷体" w:hAnsi="楷体" w:eastAsia="楷体" w:cs="宋体"/>
                <w:b/>
                <w:sz w:val="24"/>
              </w:rPr>
              <w:t>1.</w:t>
            </w:r>
            <w:r>
              <w:rPr>
                <w:rFonts w:hint="eastAsia" w:ascii="楷体" w:hAnsi="楷体" w:eastAsia="楷体" w:cs="宋体"/>
                <w:b/>
                <w:sz w:val="24"/>
              </w:rPr>
              <w:t>以上标明“必须提供”的材料属于复印件的，必须加盖供应商公章，否则响应文件按无效响应处理。</w:t>
            </w:r>
          </w:p>
          <w:p>
            <w:pPr>
              <w:snapToGrid w:val="0"/>
              <w:spacing w:line="360" w:lineRule="auto"/>
              <w:jc w:val="left"/>
              <w:rPr>
                <w:rFonts w:ascii="楷体" w:hAnsi="楷体" w:eastAsia="楷体" w:cs="宋体"/>
                <w:b/>
                <w:sz w:val="24"/>
              </w:rPr>
            </w:pPr>
            <w:r>
              <w:rPr>
                <w:rFonts w:ascii="楷体" w:hAnsi="楷体" w:eastAsia="楷体" w:cs="宋体"/>
                <w:b/>
                <w:sz w:val="24"/>
              </w:rPr>
              <w:t>2.</w:t>
            </w:r>
            <w:r>
              <w:rPr>
                <w:rFonts w:hint="eastAsia" w:ascii="楷体" w:hAnsi="楷体" w:eastAsia="楷体" w:cs="宋体"/>
                <w:b/>
                <w:sz w:val="24"/>
              </w:rPr>
              <w:t>参与竞争性磋商声明必须由法定代表人在规定签章处签字并加盖供应商公章，否则响应文件按无效响应处理。</w:t>
            </w:r>
          </w:p>
          <w:p>
            <w:pPr>
              <w:snapToGrid w:val="0"/>
              <w:spacing w:line="360" w:lineRule="auto"/>
              <w:jc w:val="left"/>
              <w:rPr>
                <w:rFonts w:ascii="楷体" w:hAnsi="楷体" w:eastAsia="楷体" w:cs="宋体"/>
                <w:b/>
                <w:sz w:val="24"/>
              </w:rPr>
            </w:pPr>
            <w:r>
              <w:rPr>
                <w:rFonts w:ascii="楷体" w:hAnsi="楷体" w:eastAsia="楷体" w:cs="宋体"/>
                <w:b/>
                <w:sz w:val="24"/>
              </w:rPr>
              <w:t>3.</w:t>
            </w:r>
            <w:r>
              <w:rPr>
                <w:rFonts w:hint="eastAsia" w:ascii="楷体" w:hAnsi="楷体" w:eastAsia="楷体" w:cs="宋体"/>
                <w:b/>
                <w:sz w:val="24"/>
              </w:rPr>
              <w:t>供应商直接控股、管理关系信息表必须由法定代表人或者委托代理人在规定签章处签字并加盖供应商公章，否则响应文件按无效响应处理。</w:t>
            </w:r>
          </w:p>
          <w:p>
            <w:pPr>
              <w:pStyle w:val="12"/>
              <w:spacing w:line="360" w:lineRule="auto"/>
              <w:rPr>
                <w:rFonts w:ascii="楷体" w:hAnsi="楷体" w:eastAsia="楷体" w:cs="宋体"/>
                <w:b/>
                <w:sz w:val="24"/>
              </w:rPr>
            </w:pPr>
            <w:r>
              <w:rPr>
                <w:rFonts w:ascii="楷体" w:hAnsi="楷体" w:eastAsia="楷体" w:cs="宋体"/>
                <w:b/>
                <w:sz w:val="24"/>
              </w:rPr>
              <w:t>4.</w:t>
            </w:r>
            <w:r>
              <w:rPr>
                <w:rFonts w:hint="eastAsia" w:ascii="楷体" w:hAnsi="楷体" w:eastAsia="楷体" w:cs="宋体"/>
                <w:b/>
                <w:sz w:val="24"/>
              </w:rPr>
              <w:t>联合体参加竞争性磋商时，第</w:t>
            </w:r>
            <w:r>
              <w:rPr>
                <w:rFonts w:ascii="楷体" w:hAnsi="楷体" w:eastAsia="楷体" w:cs="宋体"/>
                <w:b/>
                <w:sz w:val="24"/>
              </w:rPr>
              <w:t>1-5项和第8项资格证明文件联合体各方均必须分别提供，联合体各方分别盖章，否则响应文件按无效响应处理。</w:t>
            </w:r>
          </w:p>
          <w:p>
            <w:pPr>
              <w:pStyle w:val="12"/>
              <w:spacing w:line="360" w:lineRule="auto"/>
              <w:rPr>
                <w:rFonts w:ascii="宋体" w:hAnsi="宋体" w:cs="宋体"/>
                <w:b/>
                <w:sz w:val="24"/>
              </w:rPr>
            </w:pPr>
            <w:r>
              <w:rPr>
                <w:rFonts w:ascii="楷体" w:hAnsi="楷体" w:eastAsia="楷体" w:cs="宋体"/>
                <w:b/>
                <w:sz w:val="24"/>
              </w:rPr>
              <w:t>5.</w:t>
            </w:r>
            <w:r>
              <w:rPr>
                <w:rFonts w:hint="eastAsia" w:ascii="楷体" w:hAnsi="楷体" w:eastAsia="楷体" w:cs="宋体"/>
                <w:b/>
                <w:sz w:val="24"/>
              </w:rPr>
              <w:t>分公司参加竞争性磋商</w:t>
            </w:r>
            <w:r>
              <w:rPr>
                <w:rFonts w:hint="eastAsia" w:ascii="楷体" w:hAnsi="楷体" w:eastAsia="楷体" w:cs="宋体"/>
                <w:b/>
                <w:bCs/>
                <w:sz w:val="24"/>
              </w:rPr>
              <w:t>的，应当取得总公司授权</w:t>
            </w:r>
            <w:r>
              <w:rPr>
                <w:rFonts w:hint="eastAsia" w:ascii="楷体" w:hAnsi="楷体" w:eastAsia="楷体" w:cs="宋体"/>
                <w:b/>
                <w:sz w:val="24"/>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ascii="宋体" w:hAnsi="宋体" w:cs="宋体"/>
                <w:sz w:val="24"/>
              </w:rPr>
            </w:pPr>
            <w:r>
              <w:rPr>
                <w:rFonts w:hint="eastAsia" w:ascii="宋体" w:hAnsi="宋体" w:cs="宋体"/>
                <w:sz w:val="24"/>
              </w:rPr>
              <w:t>12.1.2</w:t>
            </w:r>
          </w:p>
          <w:p>
            <w:pPr>
              <w:spacing w:line="360" w:lineRule="auto"/>
              <w:jc w:val="center"/>
              <w:rPr>
                <w:rFonts w:ascii="宋体" w:hAnsi="宋体" w:cs="宋体"/>
                <w:sz w:val="24"/>
              </w:rPr>
            </w:pPr>
          </w:p>
        </w:tc>
        <w:tc>
          <w:tcPr>
            <w:tcW w:w="8627" w:type="dxa"/>
            <w:vAlign w:val="center"/>
          </w:tcPr>
          <w:p>
            <w:pPr>
              <w:spacing w:line="360" w:lineRule="auto"/>
              <w:rPr>
                <w:rFonts w:ascii="宋体" w:hAnsi="宋体" w:cs="宋体"/>
                <w:b/>
                <w:bCs/>
                <w:sz w:val="24"/>
              </w:rPr>
            </w:pPr>
            <w:r>
              <w:rPr>
                <w:rFonts w:hint="eastAsia" w:ascii="宋体" w:hAnsi="宋体" w:cs="宋体"/>
                <w:b/>
                <w:bCs/>
                <w:sz w:val="24"/>
              </w:rPr>
              <w:t>报价文件</w:t>
            </w:r>
          </w:p>
          <w:p>
            <w:pPr>
              <w:spacing w:line="360" w:lineRule="auto"/>
              <w:rPr>
                <w:rFonts w:ascii="宋体" w:hAnsi="宋体" w:cs="宋体"/>
                <w:sz w:val="24"/>
              </w:rPr>
            </w:pPr>
            <w:r>
              <w:rPr>
                <w:rFonts w:hint="eastAsia" w:ascii="宋体" w:hAnsi="宋体" w:cs="宋体"/>
                <w:sz w:val="24"/>
              </w:rPr>
              <w:t>1.无串通参与竞争性磋商行为的承诺函（格式后附）；（</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2.竞争性磋商报价表（格式后附）；（</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3.中小企业声明函（或残疾人福利性单位声明函或监狱企业声明函，残疾人福利性单位或监狱企业视同小微企业）</w:t>
            </w:r>
            <w:r>
              <w:rPr>
                <w:rFonts w:hint="eastAsia" w:ascii="宋体" w:hAnsi="宋体"/>
                <w:sz w:val="24"/>
              </w:rPr>
              <w:t>（格式后附）；</w:t>
            </w:r>
          </w:p>
          <w:p>
            <w:pPr>
              <w:spacing w:line="360" w:lineRule="auto"/>
              <w:rPr>
                <w:rFonts w:ascii="楷体" w:hAnsi="楷体" w:eastAsia="楷体" w:cs="宋体"/>
                <w:b/>
                <w:bCs/>
                <w:sz w:val="24"/>
              </w:rPr>
            </w:pPr>
            <w:r>
              <w:rPr>
                <w:rFonts w:hint="eastAsia" w:ascii="楷体" w:hAnsi="楷体" w:eastAsia="楷体" w:cs="宋体"/>
                <w:b/>
                <w:sz w:val="24"/>
              </w:rPr>
              <w:t>注：以上标明“必须提供”的材料属于复印件的，必须加盖供应商公章，否则响应文件按无效响应处理。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cs="宋体"/>
                <w:sz w:val="24"/>
              </w:rPr>
            </w:pPr>
          </w:p>
        </w:tc>
        <w:tc>
          <w:tcPr>
            <w:tcW w:w="8627" w:type="dxa"/>
            <w:vAlign w:val="center"/>
          </w:tcPr>
          <w:p>
            <w:pPr>
              <w:spacing w:line="360" w:lineRule="auto"/>
              <w:rPr>
                <w:rFonts w:ascii="宋体" w:hAnsi="宋体" w:cs="宋体"/>
                <w:sz w:val="24"/>
              </w:rPr>
            </w:pPr>
            <w:r>
              <w:rPr>
                <w:rFonts w:hint="eastAsia" w:ascii="宋体" w:hAnsi="宋体" w:cs="宋体"/>
                <w:b/>
                <w:bCs/>
                <w:sz w:val="24"/>
              </w:rPr>
              <w:t>商务、服务文件</w:t>
            </w:r>
          </w:p>
          <w:p>
            <w:pPr>
              <w:snapToGrid w:val="0"/>
              <w:spacing w:line="360" w:lineRule="auto"/>
              <w:jc w:val="left"/>
              <w:rPr>
                <w:rFonts w:ascii="宋体" w:hAnsi="宋体" w:cs="宋体"/>
                <w:sz w:val="24"/>
              </w:rPr>
            </w:pPr>
            <w:r>
              <w:rPr>
                <w:rFonts w:hint="eastAsia" w:ascii="宋体" w:hAnsi="宋体" w:cs="宋体"/>
                <w:sz w:val="24"/>
              </w:rPr>
              <w:t>1.</w:t>
            </w:r>
            <w:bookmarkStart w:id="25" w:name="OLE_LINK11"/>
            <w:r>
              <w:rPr>
                <w:rFonts w:hint="eastAsia" w:ascii="宋体" w:hAnsi="宋体" w:cs="宋体"/>
                <w:sz w:val="24"/>
              </w:rPr>
              <w:t>法定代表人身份证明及法定代表人有效身份证正反面复印件</w:t>
            </w:r>
            <w:bookmarkEnd w:id="25"/>
            <w:r>
              <w:rPr>
                <w:rFonts w:hint="eastAsia" w:ascii="宋体" w:hAnsi="宋体" w:cs="宋体"/>
                <w:sz w:val="24"/>
              </w:rPr>
              <w:t>（格式后附）；（</w:t>
            </w:r>
            <w:r>
              <w:rPr>
                <w:rFonts w:hint="eastAsia" w:ascii="宋体" w:hAnsi="宋体" w:cs="宋体"/>
                <w:b/>
                <w:bCs/>
                <w:sz w:val="24"/>
              </w:rPr>
              <w:t>除自然人</w:t>
            </w:r>
            <w:r>
              <w:rPr>
                <w:rFonts w:hint="eastAsia" w:ascii="宋体" w:hAnsi="宋体" w:cs="宋体"/>
                <w:sz w:val="24"/>
              </w:rPr>
              <w:t>参加竞争性磋商</w:t>
            </w:r>
            <w:r>
              <w:rPr>
                <w:rFonts w:hint="eastAsia" w:ascii="宋体" w:hAnsi="宋体" w:cs="宋体"/>
                <w:b/>
                <w:bCs/>
                <w:sz w:val="24"/>
              </w:rPr>
              <w:t>外</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rPr>
                <w:rFonts w:ascii="宋体" w:hAnsi="宋体" w:cs="宋体"/>
                <w:b/>
                <w:sz w:val="24"/>
              </w:rPr>
            </w:pPr>
            <w:r>
              <w:rPr>
                <w:rFonts w:hint="eastAsia" w:ascii="宋体" w:hAnsi="宋体" w:cs="宋体"/>
                <w:sz w:val="24"/>
              </w:rPr>
              <w:t>2.授权委托书及委托代理人有效身份证正反面复印件（格式后附）；（</w:t>
            </w:r>
            <w:r>
              <w:rPr>
                <w:rFonts w:hint="eastAsia" w:ascii="宋体" w:hAnsi="宋体" w:cs="宋体"/>
                <w:b/>
                <w:sz w:val="24"/>
              </w:rPr>
              <w:t>委托时必须提供，否则响应文件按无效响应处理</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3.磋商保证金提交凭证复印件；（</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4.商务要求偏离表（格式后附）；（</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5.服务要求偏离表（格式后附）；（</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6.服务方案（格式自拟）；（</w:t>
            </w:r>
            <w:r>
              <w:rPr>
                <w:rFonts w:hint="eastAsia" w:ascii="宋体" w:hAnsi="宋体" w:cs="宋体"/>
                <w:b/>
                <w:sz w:val="24"/>
              </w:rPr>
              <w:t>必须提供，否则响应文件按无效响应处理</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xml:space="preserve">7.项目实施人员一览表（格式自拟）； </w:t>
            </w:r>
          </w:p>
          <w:p>
            <w:pPr>
              <w:spacing w:line="360" w:lineRule="auto"/>
              <w:rPr>
                <w:rFonts w:ascii="宋体" w:hAnsi="宋体" w:cs="宋体"/>
                <w:sz w:val="24"/>
              </w:rPr>
            </w:pPr>
            <w:r>
              <w:rPr>
                <w:rFonts w:hint="eastAsia" w:ascii="宋体" w:hAnsi="宋体" w:cs="宋体"/>
                <w:sz w:val="24"/>
              </w:rPr>
              <w:t>8.对应采购需求的技术要求、商务要求提供的其他文件资料（格式自拟）；</w:t>
            </w:r>
          </w:p>
          <w:p>
            <w:pPr>
              <w:spacing w:line="360" w:lineRule="auto"/>
              <w:rPr>
                <w:rFonts w:ascii="宋体" w:hAnsi="宋体" w:cs="宋体"/>
                <w:sz w:val="24"/>
              </w:rPr>
            </w:pPr>
            <w:r>
              <w:rPr>
                <w:rFonts w:hint="eastAsia" w:ascii="宋体" w:hAnsi="宋体" w:cs="宋体"/>
                <w:sz w:val="24"/>
              </w:rPr>
              <w:t>9.供应商认为需要提供的其他有关资料。</w:t>
            </w:r>
          </w:p>
          <w:p>
            <w:pPr>
              <w:snapToGrid w:val="0"/>
              <w:spacing w:line="360" w:lineRule="auto"/>
              <w:jc w:val="left"/>
              <w:rPr>
                <w:rFonts w:ascii="楷体" w:hAnsi="楷体" w:eastAsia="楷体" w:cs="宋体"/>
                <w:b/>
                <w:sz w:val="24"/>
              </w:rPr>
            </w:pPr>
            <w:r>
              <w:rPr>
                <w:rFonts w:hint="eastAsia" w:ascii="楷体" w:hAnsi="楷体" w:eastAsia="楷体" w:cs="宋体"/>
                <w:b/>
                <w:sz w:val="24"/>
              </w:rPr>
              <w:t>注：以上标明“必须提供”的材料属于复印件的，必须加盖供应商公章，否则响应文件按无效响应处理。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8627" w:type="dxa"/>
            <w:vAlign w:val="center"/>
          </w:tcPr>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竞争性磋商报价包括但不限于满足本次响应全部采购需求所应提供的服务，以及伴随的货物和工程（如有）的价格；包含1）产品部件（“表3  维保运行耗材、维修配件、备品备件清单”所列耗材、配件、备品备件）和维保服务的价格；2）成交供应商专用工具、维保人员人工费用、保险、交通费、伙食费、调试、技术支持、管理服务成本、检测、预验收及履约验收、税费及其他所有成本费用的总和。税费因政策等原因发生变化的，由成交供应商承担。合同履行过程中，采购人不再支付合同以外的其他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16.2</w:t>
            </w:r>
          </w:p>
        </w:tc>
        <w:tc>
          <w:tcPr>
            <w:tcW w:w="8627" w:type="dxa"/>
            <w:vAlign w:val="center"/>
          </w:tcPr>
          <w:p>
            <w:pPr>
              <w:spacing w:line="360" w:lineRule="auto"/>
              <w:rPr>
                <w:rFonts w:ascii="宋体" w:hAnsi="宋体" w:cs="宋体"/>
                <w:sz w:val="24"/>
              </w:rPr>
            </w:pPr>
            <w:r>
              <w:rPr>
                <w:rFonts w:hint="eastAsia" w:ascii="宋体" w:hAnsi="宋体" w:cs="宋体"/>
                <w:sz w:val="24"/>
              </w:rPr>
              <w:t>竞争性磋商有效期：首次响应文件提交截止之日起60天内。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17.1</w:t>
            </w:r>
          </w:p>
        </w:tc>
        <w:tc>
          <w:tcPr>
            <w:tcW w:w="8627" w:type="dxa"/>
            <w:vAlign w:val="center"/>
          </w:tcPr>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本项目不收取磋商保证金。</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本项目收取磋商保证金。</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磋商保证金：20000 元</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缴纳磋商保证金指定账户的信息：</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开户名称：广西科联招标中心有限公司</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开户银行：招商银行南宁市金浦路支行</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银行账号：7719011969103333000009106 </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磋商保证金的交纳方式：</w:t>
            </w:r>
            <w:r>
              <w:rPr>
                <w:rFonts w:hint="eastAsia" w:ascii="宋体" w:hAnsi="宋体" w:cs="宋体"/>
                <w:kern w:val="0"/>
                <w:sz w:val="24"/>
              </w:rPr>
              <w:t>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电子保函除外）。否则视为无效磋商保证金</w:t>
            </w:r>
            <w:r>
              <w:rPr>
                <w:rFonts w:hint="eastAsia" w:ascii="宋体" w:hAnsi="宋体" w:cs="宋体"/>
                <w:color w:val="000000" w:themeColor="text1"/>
                <w:sz w:val="24"/>
                <w14:textFill>
                  <w14:solidFill>
                    <w14:schemeClr w14:val="tx1"/>
                  </w14:solidFill>
                </w14:textFill>
              </w:rPr>
              <w:t>。</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相关要求：</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采用银行转账交纳方式的，在响应文件提交截止时间前交至指定账户并且到账，供应商应将银行转账底单的复印件作为磋商保证金提交凭证，放置于报价商务技术文件中，否则响应文件按无效响应处理。</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sz w:val="24"/>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sz w:val="24"/>
              </w:rPr>
              <w:t>否则响应文件按无效响应处理</w:t>
            </w:r>
            <w:r>
              <w:rPr>
                <w:rFonts w:hint="eastAsia" w:ascii="宋体" w:hAnsi="宋体" w:cs="宋体"/>
                <w:sz w:val="24"/>
              </w:rPr>
              <w:t>。</w:t>
            </w:r>
            <w:r>
              <w:rPr>
                <w:rFonts w:hint="eastAsia" w:ascii="宋体" w:hAnsi="宋体" w:cs="宋体"/>
                <w:b/>
                <w:sz w:val="24"/>
              </w:rPr>
              <w:t>供应商必须在首次响应文件提交截止时间前将支票、汇票、本票或者金融、担保机构出具的保函原件提交给采购代理机构</w:t>
            </w:r>
            <w:r>
              <w:rPr>
                <w:rFonts w:hint="eastAsia" w:ascii="宋体" w:hAnsi="宋体" w:cs="宋体"/>
                <w:b/>
                <w:kern w:val="0"/>
                <w:sz w:val="24"/>
              </w:rPr>
              <w:t>（电子保函除外）</w:t>
            </w:r>
            <w:r>
              <w:rPr>
                <w:rFonts w:hint="eastAsia" w:ascii="宋体" w:hAnsi="宋体" w:cs="宋体"/>
                <w:b/>
                <w:sz w:val="24"/>
              </w:rPr>
              <w:t>，由采购代理机构向供应商出具回执，并妥善保管。</w:t>
            </w:r>
          </w:p>
          <w:p>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3.供应商为联合体的，可以由联合体中的一方或者多方共同交纳磋商保证金，其交纳的保证金对联合体各方均具有约束力。</w:t>
            </w:r>
          </w:p>
          <w:p>
            <w:pPr>
              <w:snapToGrid w:val="0"/>
              <w:spacing w:line="360" w:lineRule="auto"/>
              <w:rPr>
                <w:rFonts w:ascii="楷体" w:hAnsi="楷体" w:eastAsia="楷体" w:cs="宋体"/>
                <w:b/>
                <w:sz w:val="24"/>
              </w:rPr>
            </w:pPr>
            <w:r>
              <w:rPr>
                <w:rFonts w:hint="eastAsia" w:ascii="楷体" w:hAnsi="楷体" w:eastAsia="楷体" w:cs="宋体"/>
                <w:b/>
                <w:sz w:val="24"/>
              </w:rPr>
              <w:t>【备注】</w:t>
            </w:r>
            <w:r>
              <w:rPr>
                <w:rFonts w:ascii="楷体" w:hAnsi="楷体" w:eastAsia="楷体" w:cs="宋体"/>
                <w:b/>
                <w:sz w:val="24"/>
              </w:rPr>
              <w:t xml:space="preserve"> </w:t>
            </w:r>
          </w:p>
          <w:p>
            <w:pPr>
              <w:snapToGrid w:val="0"/>
              <w:spacing w:line="360" w:lineRule="auto"/>
              <w:rPr>
                <w:rFonts w:ascii="楷体" w:hAnsi="楷体" w:eastAsia="楷体" w:cs="宋体"/>
                <w:b/>
                <w:sz w:val="24"/>
              </w:rPr>
            </w:pPr>
            <w:r>
              <w:rPr>
                <w:rFonts w:ascii="楷体" w:hAnsi="楷体" w:eastAsia="楷体" w:cs="宋体"/>
                <w:b/>
                <w:sz w:val="24"/>
              </w:rPr>
              <w:t>1.</w:t>
            </w:r>
            <w:r>
              <w:rPr>
                <w:rFonts w:hint="eastAsia" w:ascii="楷体" w:hAnsi="楷体" w:eastAsia="楷体" w:cs="宋体"/>
                <w:b/>
                <w:sz w:val="24"/>
              </w:rPr>
              <w:t>磋商保证金在响应文件提交截止时间后提交的，或者不按规定交纳方式交纳的，或者未足额交纳的（包含保函额度不足的），视为无效磋商保证金。</w:t>
            </w:r>
          </w:p>
          <w:p>
            <w:pPr>
              <w:snapToGrid w:val="0"/>
              <w:spacing w:line="360" w:lineRule="auto"/>
              <w:rPr>
                <w:rFonts w:ascii="楷体" w:hAnsi="楷体" w:eastAsia="楷体" w:cs="宋体"/>
                <w:b/>
                <w:sz w:val="24"/>
              </w:rPr>
            </w:pPr>
            <w:r>
              <w:rPr>
                <w:rFonts w:ascii="楷体" w:hAnsi="楷体" w:eastAsia="楷体" w:cs="宋体"/>
                <w:b/>
                <w:sz w:val="24"/>
              </w:rPr>
              <w:t>2.</w:t>
            </w:r>
            <w:r>
              <w:rPr>
                <w:rFonts w:hint="eastAsia" w:ascii="楷体" w:hAnsi="楷体" w:eastAsia="楷体" w:cs="宋体"/>
                <w:b/>
                <w:sz w:val="24"/>
              </w:rPr>
              <w:t>供应商采用现钞方式或者从个人账户（自然人参加竞争性谈判除外）转出的磋商保证金，视为无效磋商保证金。</w:t>
            </w:r>
          </w:p>
          <w:p>
            <w:pPr>
              <w:snapToGrid w:val="0"/>
              <w:spacing w:line="360" w:lineRule="auto"/>
              <w:rPr>
                <w:rFonts w:ascii="楷体" w:hAnsi="楷体" w:eastAsia="楷体" w:cs="宋体"/>
                <w:b/>
                <w:sz w:val="24"/>
              </w:rPr>
            </w:pPr>
            <w:r>
              <w:rPr>
                <w:rFonts w:hint="eastAsia" w:ascii="楷体" w:hAnsi="楷体" w:eastAsia="楷体" w:cs="宋体"/>
                <w:b/>
                <w:sz w:val="24"/>
              </w:rPr>
              <w:t>3.支票、汇票或者本票出现无效或者背书情形的，视为无效磋商保证金。</w:t>
            </w:r>
          </w:p>
          <w:p>
            <w:pPr>
              <w:snapToGrid w:val="0"/>
              <w:spacing w:line="360" w:lineRule="auto"/>
              <w:rPr>
                <w:rFonts w:ascii="楷体" w:hAnsi="楷体" w:eastAsia="楷体" w:cs="宋体"/>
                <w:b/>
                <w:sz w:val="24"/>
              </w:rPr>
            </w:pPr>
            <w:r>
              <w:rPr>
                <w:rFonts w:hint="eastAsia" w:ascii="楷体" w:hAnsi="楷体" w:eastAsia="楷体" w:cs="宋体"/>
                <w:b/>
                <w:sz w:val="24"/>
              </w:rPr>
              <w:t>4.保函有效期短于竞争性磋商有效期的，视为无效磋商保证金。</w:t>
            </w:r>
          </w:p>
          <w:p>
            <w:pPr>
              <w:snapToGrid w:val="0"/>
              <w:spacing w:line="360" w:lineRule="auto"/>
              <w:rPr>
                <w:rFonts w:ascii="宋体" w:hAnsi="宋体" w:cs="宋体"/>
                <w:sz w:val="24"/>
              </w:rPr>
            </w:pPr>
            <w:r>
              <w:rPr>
                <w:rFonts w:hint="eastAsia" w:ascii="楷体" w:hAnsi="楷体" w:eastAsia="楷体" w:cs="宋体"/>
                <w:b/>
                <w:sz w:val="24"/>
              </w:rPr>
              <w:t>5.采用保函的，必须为无条件保函，否则视为无效磋商保证金。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18.2</w:t>
            </w:r>
          </w:p>
        </w:tc>
        <w:tc>
          <w:tcPr>
            <w:tcW w:w="8627" w:type="dxa"/>
            <w:vAlign w:val="center"/>
          </w:tcPr>
          <w:p>
            <w:pPr>
              <w:spacing w:line="360" w:lineRule="auto"/>
              <w:rPr>
                <w:rFonts w:ascii="宋体" w:hAnsi="宋体" w:cs="宋体"/>
                <w:sz w:val="24"/>
              </w:rPr>
            </w:pPr>
            <w:r>
              <w:rPr>
                <w:rFonts w:hint="eastAsia" w:ascii="宋体" w:hAnsi="宋体" w:cs="宋体"/>
                <w:sz w:val="24"/>
              </w:rPr>
              <w:t>响应文件应按资格证明文件、报价文件、商务技术文件分别编制，</w:t>
            </w:r>
            <w:r>
              <w:rPr>
                <w:rFonts w:hint="eastAsia" w:ascii="宋体" w:hAnsi="宋体" w:cs="宋体"/>
                <w:sz w:val="24"/>
                <w:lang w:bidi="ar"/>
              </w:rPr>
              <w:t>并按广西政府采购云平台的要求编制、加密、上传。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19</w:t>
            </w:r>
            <w:r>
              <w:rPr>
                <w:rFonts w:ascii="宋体" w:hAnsi="宋体" w:cs="宋体"/>
                <w:sz w:val="24"/>
              </w:rPr>
              <w:t>.2</w:t>
            </w:r>
          </w:p>
        </w:tc>
        <w:tc>
          <w:tcPr>
            <w:tcW w:w="8627" w:type="dxa"/>
            <w:vAlign w:val="center"/>
          </w:tcPr>
          <w:p>
            <w:pPr>
              <w:spacing w:line="360" w:lineRule="auto"/>
              <w:rPr>
                <w:rFonts w:ascii="宋体" w:hAnsi="宋体" w:cs="宋体"/>
                <w:sz w:val="24"/>
              </w:rPr>
            </w:pPr>
            <w:r>
              <w:rPr>
                <w:rFonts w:hint="eastAsia" w:ascii="宋体" w:hAnsi="宋体" w:cs="宋体"/>
                <w:sz w:val="24"/>
              </w:rPr>
              <w:t>本项目不接受电子备份响应文件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20.1</w:t>
            </w:r>
          </w:p>
        </w:tc>
        <w:tc>
          <w:tcPr>
            <w:tcW w:w="8627" w:type="dxa"/>
            <w:vAlign w:val="center"/>
          </w:tcPr>
          <w:p>
            <w:pPr>
              <w:spacing w:line="360" w:lineRule="auto"/>
              <w:contextualSpacing/>
              <w:rPr>
                <w:rFonts w:ascii="宋体" w:hAnsi="宋体" w:cs="宋体"/>
                <w:sz w:val="24"/>
              </w:rPr>
            </w:pPr>
            <w:r>
              <w:rPr>
                <w:rFonts w:hint="eastAsia" w:ascii="宋体" w:hAnsi="宋体" w:cs="宋体"/>
                <w:sz w:val="24"/>
              </w:rPr>
              <w:t>首次响应文件提交截止时间：详见竞争性磋商公告。</w:t>
            </w:r>
          </w:p>
          <w:p>
            <w:pPr>
              <w:spacing w:line="360" w:lineRule="auto"/>
              <w:contextualSpacing/>
              <w:rPr>
                <w:rFonts w:ascii="宋体" w:hAnsi="宋体" w:cs="宋体"/>
                <w:sz w:val="24"/>
              </w:rPr>
            </w:pPr>
            <w:r>
              <w:rPr>
                <w:rFonts w:hint="eastAsia" w:ascii="宋体" w:hAnsi="宋体" w:cs="宋体"/>
                <w:sz w:val="24"/>
              </w:rPr>
              <w:t>首次响应文件提交地点：详见竞争性磋商公告。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24.1</w:t>
            </w:r>
          </w:p>
        </w:tc>
        <w:tc>
          <w:tcPr>
            <w:tcW w:w="8627" w:type="dxa"/>
            <w:vAlign w:val="center"/>
          </w:tcPr>
          <w:p>
            <w:pPr>
              <w:snapToGrid w:val="0"/>
              <w:spacing w:line="360" w:lineRule="auto"/>
              <w:rPr>
                <w:rFonts w:ascii="宋体" w:hAnsi="宋体" w:cs="宋体"/>
                <w:sz w:val="24"/>
                <w:u w:val="single"/>
              </w:rPr>
            </w:pPr>
            <w:r>
              <w:rPr>
                <w:rFonts w:hint="eastAsia" w:ascii="宋体" w:hAnsi="宋体" w:cs="宋体"/>
                <w:sz w:val="24"/>
              </w:rPr>
              <w:t>磋商小组的人数：3人或以上单数。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25.2</w:t>
            </w:r>
          </w:p>
        </w:tc>
        <w:tc>
          <w:tcPr>
            <w:tcW w:w="8627" w:type="dxa"/>
            <w:vAlign w:val="center"/>
          </w:tcPr>
          <w:p>
            <w:pPr>
              <w:snapToGrid w:val="0"/>
              <w:spacing w:line="360" w:lineRule="auto"/>
              <w:rPr>
                <w:rFonts w:ascii="宋体" w:hAnsi="宋体" w:cs="宋体"/>
                <w:sz w:val="24"/>
              </w:rPr>
            </w:pPr>
            <w:r>
              <w:rPr>
                <w:rFonts w:hint="eastAsia" w:ascii="宋体" w:hAnsi="宋体" w:cs="宋体"/>
                <w:sz w:val="24"/>
              </w:rPr>
              <w:t>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w:t>
            </w:r>
            <w:r>
              <w:rPr>
                <w:rFonts w:hint="eastAsia" w:ascii="宋体" w:hAnsi="宋体" w:cs="宋体"/>
                <w:b/>
                <w:sz w:val="24"/>
              </w:rPr>
              <w:t>视为响应</w:t>
            </w:r>
            <w:r>
              <w:rPr>
                <w:rFonts w:hint="eastAsia" w:ascii="宋体" w:hAnsi="宋体" w:cs="宋体"/>
                <w:b/>
                <w:bCs/>
                <w:sz w:val="24"/>
              </w:rPr>
              <w:t>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ascii="宋体" w:hAnsi="宋体" w:cs="宋体"/>
                <w:sz w:val="24"/>
              </w:rPr>
            </w:pPr>
            <w:r>
              <w:rPr>
                <w:rFonts w:hint="eastAsia" w:ascii="宋体" w:hAnsi="宋体" w:cs="宋体"/>
                <w:sz w:val="24"/>
              </w:rPr>
              <w:t>26</w:t>
            </w:r>
          </w:p>
        </w:tc>
        <w:tc>
          <w:tcPr>
            <w:tcW w:w="8627" w:type="dxa"/>
            <w:vAlign w:val="center"/>
          </w:tcPr>
          <w:p>
            <w:pPr>
              <w:pStyle w:val="12"/>
              <w:spacing w:line="360" w:lineRule="auto"/>
              <w:jc w:val="both"/>
              <w:rPr>
                <w:rFonts w:ascii="宋体" w:hAnsi="宋体" w:cs="宋体"/>
                <w:sz w:val="24"/>
              </w:rPr>
            </w:pPr>
            <w:r>
              <w:rPr>
                <w:rFonts w:hint="eastAsia" w:ascii="宋体" w:hAnsi="宋体" w:cs="宋体"/>
                <w:sz w:val="24"/>
              </w:rPr>
              <w:t>磋商的顺序：按“广西政府采购云平台”系统的编号顺序。</w:t>
            </w:r>
          </w:p>
          <w:p>
            <w:pPr>
              <w:pStyle w:val="12"/>
              <w:spacing w:line="360" w:lineRule="auto"/>
              <w:jc w:val="both"/>
              <w:rPr>
                <w:rFonts w:ascii="宋体" w:hAnsi="宋体" w:cs="宋体"/>
                <w:b/>
                <w:sz w:val="24"/>
              </w:rPr>
            </w:pPr>
            <w:r>
              <w:rPr>
                <w:rFonts w:hint="eastAsia" w:ascii="宋体" w:hAnsi="宋体" w:cs="宋体"/>
                <w:b/>
                <w:sz w:val="24"/>
              </w:rPr>
              <w:t>符合磋商资格的供应商必须在接到磋商通知后规定时间内参加磋商，未在规定时间内参加磋商的视同放弃参加磋商权利，其响应文件按无效响应处理。</w:t>
            </w:r>
          </w:p>
          <w:p>
            <w:pPr>
              <w:snapToGrid w:val="0"/>
              <w:spacing w:line="360" w:lineRule="auto"/>
              <w:rPr>
                <w:rFonts w:ascii="宋体" w:hAnsi="宋体" w:cs="宋体"/>
                <w:sz w:val="24"/>
              </w:rPr>
            </w:pPr>
            <w:r>
              <w:rPr>
                <w:rFonts w:hint="eastAsia" w:ascii="宋体" w:hAnsi="宋体" w:cs="宋体"/>
                <w:b/>
                <w:sz w:val="24"/>
              </w:rPr>
              <w:t>注：参与磋商前，供应商法定代表人或者委托代理人向磋商小组出示本人有效证件原件（有效证件可以是身份证（含临时身份证明）或者护照的其中一项）。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continue"/>
            <w:vAlign w:val="center"/>
          </w:tcPr>
          <w:p>
            <w:pPr>
              <w:spacing w:line="360" w:lineRule="auto"/>
              <w:jc w:val="center"/>
              <w:rPr>
                <w:rFonts w:ascii="宋体" w:hAnsi="宋体" w:cs="宋体"/>
                <w:sz w:val="24"/>
              </w:rPr>
            </w:pPr>
          </w:p>
        </w:tc>
        <w:tc>
          <w:tcPr>
            <w:tcW w:w="8627" w:type="dxa"/>
            <w:vAlign w:val="center"/>
          </w:tcPr>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商务要求评审中允许负偏离的条款数为: </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项</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服务要求评审中允许负偏离的条款数为:0项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28.1</w:t>
            </w:r>
          </w:p>
        </w:tc>
        <w:tc>
          <w:tcPr>
            <w:tcW w:w="8627" w:type="dxa"/>
            <w:vAlign w:val="center"/>
          </w:tcPr>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本项目不收取履约保证金。</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sym w:font="Wingdings" w:char="00FE"/>
            </w:r>
            <w:r>
              <w:rPr>
                <w:rFonts w:hint="eastAsia" w:ascii="宋体" w:hAnsi="宋体" w:cs="宋体"/>
                <w:color w:val="000000" w:themeColor="text1"/>
                <w:sz w:val="24"/>
                <w14:textFill>
                  <w14:solidFill>
                    <w14:schemeClr w14:val="tx1"/>
                  </w14:solidFill>
                </w14:textFill>
              </w:rPr>
              <w:t>本项目收取履约保证金：详见商务条款。</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履约保证金递交方式：详见商务条款</w:t>
            </w:r>
          </w:p>
          <w:p>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履约保证金退付方式、时间及条件详见商务条款。</w:t>
            </w:r>
          </w:p>
          <w:p>
            <w:pPr>
              <w:spacing w:line="360" w:lineRule="auto"/>
              <w:contextualSpacing/>
              <w:rPr>
                <w:rFonts w:ascii="楷体" w:hAnsi="楷体" w:eastAsia="楷体" w:cs="宋体"/>
                <w:b/>
                <w:color w:val="000000" w:themeColor="text1"/>
                <w:sz w:val="24"/>
                <w14:textFill>
                  <w14:solidFill>
                    <w14:schemeClr w14:val="tx1"/>
                  </w14:solidFill>
                </w14:textFill>
              </w:rPr>
            </w:pPr>
            <w:r>
              <w:rPr>
                <w:rFonts w:hint="eastAsia" w:ascii="楷体" w:hAnsi="楷体" w:eastAsia="楷体" w:cs="宋体"/>
                <w:b/>
                <w:color w:val="000000" w:themeColor="text1"/>
                <w:sz w:val="24"/>
                <w14:textFill>
                  <w14:solidFill>
                    <w14:schemeClr w14:val="tx1"/>
                  </w14:solidFill>
                </w14:textFill>
              </w:rPr>
              <w:t>【备注】</w:t>
            </w:r>
          </w:p>
          <w:p>
            <w:pPr>
              <w:spacing w:line="360" w:lineRule="auto"/>
              <w:contextualSpacing/>
              <w:rPr>
                <w:rFonts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1.</w:t>
            </w:r>
            <w:r>
              <w:rPr>
                <w:rFonts w:hint="eastAsia" w:ascii="楷体" w:hAnsi="楷体" w:eastAsia="楷体" w:cs="宋体"/>
                <w:b/>
                <w:color w:val="000000" w:themeColor="text1"/>
                <w:sz w:val="24"/>
                <w14:textFill>
                  <w14:solidFill>
                    <w14:schemeClr w14:val="tx1"/>
                  </w14:solidFill>
                </w14:textFill>
              </w:rPr>
              <w:t>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pPr>
              <w:spacing w:line="360" w:lineRule="auto"/>
              <w:contextualSpacing/>
              <w:rPr>
                <w:rFonts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楷体" w:hAnsi="楷体" w:eastAsia="楷体" w:cs="宋体"/>
                <w:b/>
                <w:color w:val="000000" w:themeColor="text1"/>
                <w:sz w:val="24"/>
                <w14:textFill>
                  <w14:solidFill>
                    <w14:schemeClr w14:val="tx1"/>
                  </w14:solidFill>
                </w14:textFill>
              </w:rPr>
              <w:t>履约保证金必须足额缴纳，或出具的保函额度必须足额且保函有效期不能低于合同履行期限（即签订采购合同之日起至履行完合同约定的权利及义务之日止），否则视为无效履约保证金。</w:t>
            </w:r>
          </w:p>
          <w:p>
            <w:pPr>
              <w:autoSpaceDE w:val="0"/>
              <w:autoSpaceDN w:val="0"/>
              <w:snapToGrid w:val="0"/>
              <w:spacing w:line="360" w:lineRule="auto"/>
              <w:textAlignment w:val="bottom"/>
              <w:rPr>
                <w:rFonts w:ascii="楷体" w:hAnsi="楷体" w:eastAsia="楷体" w:cs="宋体"/>
                <w:b/>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3.采用保函的，必须为无条件保函</w:t>
            </w:r>
            <w:r>
              <w:rPr>
                <w:rFonts w:hint="eastAsia" w:ascii="楷体" w:hAnsi="楷体" w:eastAsia="楷体" w:cs="宋体"/>
                <w:b/>
                <w:color w:val="000000" w:themeColor="text1"/>
                <w:sz w:val="24"/>
                <w14:textFill>
                  <w14:solidFill>
                    <w14:schemeClr w14:val="tx1"/>
                  </w14:solidFill>
                </w14:textFill>
              </w:rPr>
              <w:t>，否则视为无效履约保证金。</w:t>
            </w:r>
          </w:p>
          <w:p>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ascii="楷体" w:hAnsi="楷体" w:eastAsia="楷体" w:cs="宋体"/>
                <w:b/>
                <w:color w:val="000000" w:themeColor="text1"/>
                <w:sz w:val="24"/>
                <w14:textFill>
                  <w14:solidFill>
                    <w14:schemeClr w14:val="tx1"/>
                  </w14:solidFill>
                </w14:textFill>
              </w:rPr>
              <w:t>4.投标人为联合体的，由联合体其中一方按规定提交的履约保证金，视为有效履约保证金。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29.1</w:t>
            </w:r>
          </w:p>
        </w:tc>
        <w:tc>
          <w:tcPr>
            <w:tcW w:w="8627" w:type="dxa"/>
            <w:vAlign w:val="center"/>
          </w:tcPr>
          <w:p>
            <w:pPr>
              <w:autoSpaceDE w:val="0"/>
              <w:autoSpaceDN w:val="0"/>
              <w:snapToGrid w:val="0"/>
              <w:spacing w:line="360" w:lineRule="auto"/>
              <w:textAlignment w:val="bottom"/>
              <w:rPr>
                <w:rFonts w:ascii="宋体" w:hAnsi="宋体" w:cs="宋体"/>
                <w:sz w:val="24"/>
              </w:rPr>
            </w:pPr>
            <w:r>
              <w:rPr>
                <w:rFonts w:hint="eastAsia" w:ascii="宋体" w:hAnsi="宋体" w:cs="宋体"/>
                <w:sz w:val="24"/>
              </w:rPr>
              <w:t xml:space="preserve">签订合同携带的证明材料： </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1.委托代理人负责签订合同的，须携带授权委托书及委托代理人身份证原件等其他资格证件。</w:t>
            </w:r>
          </w:p>
          <w:p>
            <w:pPr>
              <w:snapToGrid w:val="0"/>
              <w:spacing w:line="360" w:lineRule="auto"/>
              <w:rPr>
                <w:rFonts w:ascii="宋体" w:hAnsi="宋体" w:cs="宋体"/>
                <w:sz w:val="24"/>
              </w:rPr>
            </w:pPr>
            <w:r>
              <w:rPr>
                <w:rFonts w:hint="eastAsia" w:ascii="宋体" w:hAnsi="宋体" w:cs="宋体"/>
                <w:sz w:val="24"/>
              </w:rPr>
              <w:t>2.法定代表人负责签订合同的，须携带法定代表人身份证明原件及身份证原件等其他证明材料。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31.2</w:t>
            </w:r>
          </w:p>
        </w:tc>
        <w:tc>
          <w:tcPr>
            <w:tcW w:w="8627" w:type="dxa"/>
            <w:vAlign w:val="center"/>
          </w:tcPr>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接收质疑函方式：以书面形式。</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质疑联系部门及联系方式：广西科联招标中心有限公司（采购代理机构）一楼103室，联系电话：0771-3486228，通讯地址：广西南宁市大学东路170号</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现场提交质疑办理业务时间（北京时间）：上午8时00分到12时00分，下午3时00分到6时00分，业务时间以外、双休日和法定节假日不办理业务。</w:t>
            </w:r>
          </w:p>
          <w:p>
            <w:pPr>
              <w:snapToGrid w:val="0"/>
              <w:spacing w:line="500" w:lineRule="exact"/>
              <w:rPr>
                <w:rFonts w:hAnsi="宋体" w:cs="宋体"/>
                <w:sz w:val="24"/>
              </w:rPr>
            </w:pPr>
            <w:r>
              <w:rPr>
                <w:rFonts w:hint="eastAsia" w:ascii="宋体" w:hAnsi="宋体" w:cs="宋体"/>
                <w:color w:val="000000" w:themeColor="text1"/>
                <w:sz w:val="24"/>
                <w14:textFill>
                  <w14:solidFill>
                    <w14:schemeClr w14:val="tx1"/>
                  </w14:solidFill>
                </w14:textFill>
              </w:rPr>
              <w:t>供应商如有质疑，需在法定质疑期内一次性提出针对同一采购程序环节的质疑。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32.1</w:t>
            </w:r>
          </w:p>
        </w:tc>
        <w:tc>
          <w:tcPr>
            <w:tcW w:w="8627" w:type="dxa"/>
            <w:vAlign w:val="center"/>
          </w:tcPr>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1.采购代理服务费支付方式：本项目的招标代理服务费按以下收费标准向成交供应商收取，签订合同前，成交供应商应向采购代理机构一次付清招标代理服务费，否则采购代理机构有权不予以办理。</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2.采购代理服务费收取标准：</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以分标成交金额为计费额，按本采购文件之供应商须知正文第32.2条规定的收费计算标准（服务类）采用差额定率累进法计算出收费基准价格，采购代理服务费收费以收费基准价格收取。</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3.缴纳采购代理服务费账户的信息：</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开户名称：广西科联招标中心有限公司</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开户银行：中国工商银行南宁市高新科技支行</w:t>
            </w:r>
          </w:p>
          <w:p>
            <w:pPr>
              <w:snapToGrid w:val="0"/>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号：2102 1112 2930 0032 105</w:t>
            </w:r>
          </w:p>
          <w:p>
            <w:pPr>
              <w:snapToGrid w:val="0"/>
              <w:spacing w:line="500" w:lineRule="exact"/>
              <w:rPr>
                <w:rFonts w:hAnsi="宋体" w:cs="宋体"/>
                <w:sz w:val="24"/>
              </w:rPr>
            </w:pPr>
            <w:r>
              <w:rPr>
                <w:rFonts w:hint="eastAsia" w:ascii="宋体" w:hAnsi="宋体" w:cs="宋体"/>
                <w:color w:val="000000" w:themeColor="text1"/>
                <w:sz w:val="24"/>
                <w14:textFill>
                  <w14:solidFill>
                    <w14:schemeClr w14:val="tx1"/>
                  </w14:solidFill>
                </w14:textFill>
              </w:rPr>
              <w:t>开户行行号：102611011101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33.1</w:t>
            </w:r>
          </w:p>
        </w:tc>
        <w:tc>
          <w:tcPr>
            <w:tcW w:w="8627" w:type="dxa"/>
            <w:vAlign w:val="center"/>
          </w:tcPr>
          <w:p>
            <w:pPr>
              <w:pStyle w:val="18"/>
              <w:snapToGrid w:val="0"/>
              <w:spacing w:line="360" w:lineRule="auto"/>
              <w:rPr>
                <w:rFonts w:hAnsi="宋体" w:cs="宋体"/>
                <w:kern w:val="2"/>
                <w:sz w:val="24"/>
                <w:szCs w:val="24"/>
              </w:rPr>
            </w:pPr>
            <w:r>
              <w:rPr>
                <w:rFonts w:hint="eastAsia" w:hAnsi="宋体" w:cs="宋体"/>
                <w:sz w:val="24"/>
                <w:szCs w:val="24"/>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sz w:val="24"/>
              </w:rPr>
            </w:pPr>
            <w:r>
              <w:rPr>
                <w:rFonts w:hint="eastAsia" w:ascii="宋体" w:hAnsi="宋体" w:cs="宋体"/>
                <w:sz w:val="24"/>
              </w:rPr>
              <w:t>33.2</w:t>
            </w:r>
          </w:p>
        </w:tc>
        <w:tc>
          <w:tcPr>
            <w:tcW w:w="8627" w:type="dxa"/>
            <w:vAlign w:val="center"/>
          </w:tcPr>
          <w:p>
            <w:pPr>
              <w:pStyle w:val="18"/>
              <w:snapToGrid w:val="0"/>
              <w:spacing w:line="360" w:lineRule="auto"/>
              <w:rPr>
                <w:rFonts w:hAnsi="宋体" w:cs="宋体"/>
                <w:bCs/>
                <w:sz w:val="24"/>
                <w:szCs w:val="24"/>
              </w:rPr>
            </w:pPr>
            <w:r>
              <w:rPr>
                <w:rFonts w:hint="eastAsia" w:hAnsi="宋体" w:cs="宋体"/>
                <w:bCs/>
                <w:sz w:val="24"/>
                <w:szCs w:val="24"/>
              </w:rPr>
              <w:t>1.本磋商文件中描述投标人的“公章”是指根据我国对公章的管理规定，用供应商法定主体名称制作的印章</w:t>
            </w:r>
            <w:r>
              <w:rPr>
                <w:rFonts w:hint="eastAsia" w:hAnsi="宋体" w:cs="宋体"/>
                <w:sz w:val="24"/>
                <w:szCs w:val="24"/>
              </w:rPr>
              <w:t>或供应商通过指定电子化政府采购平台办理数字证书（CA认证）获得的以法定主体名称制作的电子印章。</w:t>
            </w:r>
            <w:r>
              <w:rPr>
                <w:rFonts w:hint="eastAsia" w:hAnsi="宋体" w:cs="宋体"/>
                <w:bCs/>
                <w:sz w:val="24"/>
                <w:szCs w:val="24"/>
              </w:rPr>
              <w:t>除本磋商文件有特殊规定外，供应商的财务章、部门章、分公司章、工会章、合同章、投标专用章、业务专用章及银行的转账章、现金收讫章、现金付讫章等其他形式印章均不能代替公章。</w:t>
            </w:r>
          </w:p>
          <w:p>
            <w:pPr>
              <w:pStyle w:val="18"/>
              <w:snapToGrid w:val="0"/>
              <w:spacing w:line="360" w:lineRule="auto"/>
              <w:rPr>
                <w:rFonts w:hAnsi="宋体" w:cs="宋体"/>
                <w:bCs/>
                <w:sz w:val="24"/>
                <w:szCs w:val="24"/>
              </w:rPr>
            </w:pPr>
            <w:r>
              <w:rPr>
                <w:rFonts w:hint="eastAsia" w:hAnsi="宋体" w:cs="宋体"/>
                <w:bCs/>
                <w:sz w:val="24"/>
                <w:szCs w:val="24"/>
              </w:rPr>
              <w:t>2.供应商为其他组织或者自然人时，本磋商文件规定的法定代表人指负责人或者自然人。本磋商文件所称负责人是指参加</w:t>
            </w:r>
            <w:r>
              <w:rPr>
                <w:rFonts w:hint="eastAsia" w:hAnsi="宋体" w:cs="宋体"/>
                <w:sz w:val="24"/>
                <w:szCs w:val="24"/>
              </w:rPr>
              <w:t>竞争性磋商</w:t>
            </w:r>
            <w:r>
              <w:rPr>
                <w:rFonts w:hint="eastAsia" w:hAnsi="宋体" w:cs="宋体"/>
                <w:bCs/>
                <w:sz w:val="24"/>
                <w:szCs w:val="24"/>
              </w:rPr>
              <w:t>的其他组织营业执照或者执业许可证等证照上的负责人，本磋商文件所称自然人指参与</w:t>
            </w:r>
            <w:r>
              <w:rPr>
                <w:rFonts w:hint="eastAsia" w:hAnsi="宋体" w:cs="宋体"/>
                <w:sz w:val="24"/>
                <w:szCs w:val="24"/>
              </w:rPr>
              <w:t>竞争性磋商</w:t>
            </w:r>
            <w:r>
              <w:rPr>
                <w:rFonts w:hint="eastAsia" w:hAnsi="宋体" w:cs="宋体"/>
                <w:bCs/>
                <w:sz w:val="24"/>
                <w:szCs w:val="24"/>
              </w:rPr>
              <w:t>的自然人本人，且应具备独立承担民事责任能力，自然人应当为年满18岁以上成年人（十六周岁以上的未成年人，以自己的劳动收入为主要生活来源的，视为完全民事行为能力人）。</w:t>
            </w:r>
          </w:p>
          <w:p>
            <w:pPr>
              <w:pStyle w:val="18"/>
              <w:snapToGrid w:val="0"/>
              <w:spacing w:line="360" w:lineRule="auto"/>
              <w:rPr>
                <w:rFonts w:hAnsi="宋体" w:cs="宋体"/>
                <w:bCs/>
                <w:sz w:val="24"/>
                <w:szCs w:val="24"/>
              </w:rPr>
            </w:pPr>
            <w:r>
              <w:rPr>
                <w:rFonts w:hint="eastAsia" w:hAnsi="宋体" w:cs="宋体"/>
                <w:bCs/>
                <w:sz w:val="24"/>
                <w:szCs w:val="24"/>
              </w:rPr>
              <w:t>3.本磋商文件中描述投标人的“签字”是指供应商的法定代表人或者委托代理人</w:t>
            </w:r>
            <w:r>
              <w:rPr>
                <w:rFonts w:hint="eastAsia" w:hAnsi="宋体" w:cs="宋体"/>
                <w:sz w:val="24"/>
                <w:szCs w:val="24"/>
              </w:rPr>
              <w:t>在文件规定签署处签名或者指供应商通过指定电子化政府采购平台办理数字证书（CA认证）获得的以供应商法定代表人或者委托代理人姓名制作的电子印章签名的行为，私章、印鉴等其他形式均不能代替签字</w:t>
            </w:r>
            <w:r>
              <w:rPr>
                <w:rFonts w:hint="eastAsia" w:hAnsi="宋体" w:cs="宋体"/>
                <w:bCs/>
                <w:sz w:val="24"/>
                <w:szCs w:val="24"/>
              </w:rPr>
              <w:t>。</w:t>
            </w:r>
          </w:p>
          <w:p>
            <w:pPr>
              <w:pStyle w:val="18"/>
              <w:snapToGrid w:val="0"/>
              <w:spacing w:line="360" w:lineRule="auto"/>
              <w:rPr>
                <w:rFonts w:hAnsi="宋体" w:cs="宋体"/>
                <w:bCs/>
                <w:sz w:val="24"/>
                <w:szCs w:val="24"/>
              </w:rPr>
            </w:pPr>
            <w:r>
              <w:rPr>
                <w:rFonts w:hint="eastAsia" w:hAnsi="宋体" w:cs="宋体"/>
                <w:bCs/>
                <w:sz w:val="24"/>
                <w:szCs w:val="24"/>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8"/>
              <w:snapToGrid w:val="0"/>
              <w:spacing w:line="360" w:lineRule="auto"/>
              <w:rPr>
                <w:rFonts w:hAnsi="宋体" w:cs="宋体"/>
                <w:bCs/>
                <w:sz w:val="24"/>
                <w:szCs w:val="24"/>
              </w:rPr>
            </w:pPr>
            <w:r>
              <w:rPr>
                <w:rFonts w:hAnsi="宋体" w:cs="宋体"/>
                <w:bCs/>
                <w:sz w:val="24"/>
                <w:szCs w:val="24"/>
              </w:rPr>
              <w:t>5</w:t>
            </w:r>
            <w:r>
              <w:rPr>
                <w:rFonts w:hint="eastAsia" w:hAnsi="宋体" w:cs="宋体"/>
                <w:bCs/>
                <w:sz w:val="24"/>
                <w:szCs w:val="24"/>
              </w:rPr>
              <w:t>.自然人参加</w:t>
            </w:r>
            <w:r>
              <w:rPr>
                <w:rFonts w:hint="eastAsia" w:hAnsi="宋体" w:cs="宋体"/>
                <w:sz w:val="24"/>
                <w:szCs w:val="24"/>
              </w:rPr>
              <w:t>竞争性磋商</w:t>
            </w:r>
            <w:r>
              <w:rPr>
                <w:rFonts w:hint="eastAsia" w:hAnsi="宋体" w:cs="宋体"/>
                <w:bCs/>
                <w:sz w:val="24"/>
                <w:szCs w:val="24"/>
              </w:rPr>
              <w:t>的，磋商文件规定盖公章处由自然人摁手指指印。</w:t>
            </w:r>
          </w:p>
          <w:p>
            <w:pPr>
              <w:pStyle w:val="18"/>
              <w:snapToGrid w:val="0"/>
              <w:spacing w:line="360" w:lineRule="auto"/>
              <w:rPr>
                <w:rFonts w:hAnsi="宋体" w:cs="宋体"/>
                <w:sz w:val="24"/>
                <w:szCs w:val="24"/>
              </w:rPr>
            </w:pPr>
            <w:r>
              <w:rPr>
                <w:rFonts w:hAnsi="宋体" w:cs="宋体"/>
                <w:bCs/>
                <w:sz w:val="24"/>
              </w:rPr>
              <w:t>6</w:t>
            </w:r>
            <w:r>
              <w:rPr>
                <w:rFonts w:hint="eastAsia" w:hAnsi="宋体" w:cs="宋体"/>
                <w:bCs/>
                <w:sz w:val="24"/>
              </w:rPr>
              <w:t>.本磋商文件所称的“以上”“以下”“以内”“届满”，包括本数；所称的“不满”“超过”“以外”，不包括本数。</w:t>
            </w:r>
          </w:p>
        </w:tc>
      </w:tr>
    </w:tbl>
    <w:p>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pPr>
        <w:spacing w:line="400" w:lineRule="exact"/>
        <w:jc w:val="center"/>
        <w:rPr>
          <w:rFonts w:ascii="宋体" w:hAnsi="宋体" w:cs="宋体"/>
          <w:b/>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一、总则</w:t>
      </w:r>
    </w:p>
    <w:p>
      <w:pPr>
        <w:spacing w:line="400" w:lineRule="exact"/>
        <w:rPr>
          <w:rFonts w:ascii="宋体" w:hAnsi="宋体" w:cs="宋体"/>
          <w:szCs w:val="21"/>
        </w:rPr>
      </w:pPr>
    </w:p>
    <w:p>
      <w:pPr>
        <w:spacing w:line="360" w:lineRule="auto"/>
        <w:ind w:firstLine="482" w:firstLineChars="200"/>
        <w:rPr>
          <w:rFonts w:ascii="宋体" w:hAnsi="宋体" w:cs="宋体"/>
          <w:b/>
          <w:bCs/>
          <w:sz w:val="24"/>
        </w:rPr>
      </w:pPr>
      <w:r>
        <w:rPr>
          <w:rFonts w:hint="eastAsia" w:ascii="宋体" w:hAnsi="宋体" w:cs="宋体"/>
          <w:b/>
          <w:bCs/>
          <w:sz w:val="24"/>
        </w:rPr>
        <w:t>1.适用范围</w:t>
      </w:r>
    </w:p>
    <w:p>
      <w:pPr>
        <w:spacing w:line="360" w:lineRule="auto"/>
        <w:ind w:firstLine="480" w:firstLineChars="200"/>
        <w:rPr>
          <w:rFonts w:ascii="宋体" w:hAnsi="宋体" w:cs="宋体"/>
          <w:sz w:val="24"/>
        </w:rPr>
      </w:pPr>
      <w:r>
        <w:rPr>
          <w:rFonts w:hint="eastAsia" w:ascii="宋体" w:hAnsi="宋体" w:cs="宋体"/>
          <w:sz w:val="24"/>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关于政府采购有关规定的约束和保护。</w:t>
      </w:r>
    </w:p>
    <w:p>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pacing w:val="-6"/>
          <w:sz w:val="24"/>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sz w:val="24"/>
        </w:rPr>
      </w:pPr>
      <w:r>
        <w:rPr>
          <w:rFonts w:hint="eastAsia" w:ascii="宋体" w:hAnsi="宋体" w:cs="宋体"/>
          <w:b/>
          <w:bCs/>
          <w:sz w:val="24"/>
        </w:rPr>
        <w:t>2.定义</w:t>
      </w:r>
    </w:p>
    <w:p>
      <w:pPr>
        <w:spacing w:line="360" w:lineRule="auto"/>
        <w:ind w:firstLine="480" w:firstLineChars="200"/>
        <w:rPr>
          <w:rFonts w:ascii="宋体" w:hAnsi="宋体" w:cs="宋体"/>
          <w:sz w:val="24"/>
        </w:rPr>
      </w:pPr>
      <w:r>
        <w:rPr>
          <w:rFonts w:hint="eastAsia" w:ascii="宋体" w:hAnsi="宋体" w:cs="宋体"/>
          <w:sz w:val="24"/>
        </w:rPr>
        <w:t>2.1“采购人”是指依法进行政府采购的国家机关、事业单位、团体组织。</w:t>
      </w:r>
    </w:p>
    <w:p>
      <w:pPr>
        <w:spacing w:line="360" w:lineRule="auto"/>
        <w:ind w:firstLine="480" w:firstLineChars="200"/>
        <w:rPr>
          <w:rFonts w:ascii="宋体" w:hAnsi="宋体" w:cs="宋体"/>
          <w:sz w:val="24"/>
          <w:u w:val="single"/>
        </w:rPr>
      </w:pPr>
      <w:r>
        <w:rPr>
          <w:rFonts w:hint="eastAsia" w:ascii="宋体" w:hAnsi="宋体" w:cs="宋体"/>
          <w:sz w:val="24"/>
        </w:rPr>
        <w:t>2.2“采购代理机构”是指政府采购集中采购机构和集中采购机构以外的采购代理机构。</w:t>
      </w:r>
    </w:p>
    <w:p>
      <w:pPr>
        <w:spacing w:line="360" w:lineRule="auto"/>
        <w:ind w:firstLine="480" w:firstLineChars="200"/>
        <w:rPr>
          <w:rFonts w:ascii="宋体" w:hAnsi="宋体" w:cs="宋体"/>
          <w:sz w:val="24"/>
        </w:rPr>
      </w:pPr>
      <w:r>
        <w:rPr>
          <w:rFonts w:hint="eastAsia" w:ascii="宋体" w:hAnsi="宋体" w:cs="宋体"/>
          <w:sz w:val="24"/>
        </w:rPr>
        <w:t>2.3“供应商”是指向采购人提供货物、工程或者服务的法人、其他组织或者自然人。</w:t>
      </w:r>
    </w:p>
    <w:p>
      <w:pPr>
        <w:spacing w:line="360" w:lineRule="auto"/>
        <w:ind w:firstLine="480" w:firstLineChars="200"/>
        <w:rPr>
          <w:rFonts w:ascii="宋体" w:hAnsi="宋体" w:cs="宋体"/>
          <w:sz w:val="24"/>
        </w:rPr>
      </w:pPr>
      <w:r>
        <w:rPr>
          <w:rFonts w:hint="eastAsia" w:ascii="宋体" w:hAnsi="宋体" w:cs="宋体"/>
          <w:sz w:val="24"/>
        </w:rPr>
        <w:t>2.4“服务”是指除货物和工程以外的其他政府采购对象。</w:t>
      </w:r>
    </w:p>
    <w:p>
      <w:pPr>
        <w:spacing w:line="360" w:lineRule="auto"/>
        <w:ind w:firstLine="480" w:firstLineChars="200"/>
        <w:rPr>
          <w:rFonts w:ascii="宋体" w:hAnsi="宋体" w:cs="宋体"/>
          <w:sz w:val="24"/>
        </w:rPr>
      </w:pPr>
      <w:r>
        <w:rPr>
          <w:rFonts w:hint="eastAsia" w:ascii="宋体" w:hAnsi="宋体" w:cs="宋体"/>
          <w:sz w:val="24"/>
        </w:rPr>
        <w:t>2.5“</w:t>
      </w:r>
      <w:r>
        <w:rPr>
          <w:rFonts w:hint="eastAsia" w:hAnsi="宋体" w:cs="宋体"/>
          <w:sz w:val="24"/>
        </w:rPr>
        <w:t>竞争性磋商</w:t>
      </w:r>
      <w:r>
        <w:rPr>
          <w:rFonts w:hint="eastAsia" w:ascii="宋体" w:hAnsi="宋体" w:cs="宋体"/>
          <w:sz w:val="24"/>
        </w:rPr>
        <w:t>”是指供应商按照本项目竞争性磋商公告或者邀请函规定的方式获取磋商文件、提交响应文件并希望获得标的的行为。</w:t>
      </w:r>
    </w:p>
    <w:p>
      <w:pPr>
        <w:spacing w:line="360" w:lineRule="auto"/>
        <w:ind w:firstLine="480" w:firstLineChars="200"/>
        <w:contextualSpacing/>
        <w:rPr>
          <w:rFonts w:ascii="宋体" w:hAnsi="宋体" w:cs="宋体"/>
          <w:sz w:val="24"/>
        </w:rPr>
      </w:pPr>
      <w:r>
        <w:rPr>
          <w:rFonts w:hint="eastAsia" w:ascii="宋体" w:hAnsi="宋体" w:cs="宋体"/>
          <w:sz w:val="24"/>
        </w:rPr>
        <w:t>2.6“书面形式”是指合同书、信件和数据电文（包括电报、电传、传真、电子数据交换和电子邮件）等可以有形地表现所载内容的形式。</w:t>
      </w:r>
    </w:p>
    <w:p>
      <w:pPr>
        <w:spacing w:line="360" w:lineRule="auto"/>
        <w:ind w:firstLine="480" w:firstLineChars="200"/>
        <w:contextualSpacing/>
        <w:rPr>
          <w:rFonts w:ascii="宋体" w:hAnsi="宋体" w:cs="宋体"/>
          <w:sz w:val="24"/>
        </w:rPr>
      </w:pPr>
      <w:r>
        <w:rPr>
          <w:rFonts w:hint="eastAsia" w:ascii="宋体" w:hAnsi="宋体" w:cs="宋体"/>
          <w:sz w:val="24"/>
        </w:rPr>
        <w:t>2.7“响应文件”</w:t>
      </w:r>
      <w:r>
        <w:rPr>
          <w:rFonts w:hint="eastAsia" w:ascii="宋体" w:hAnsi="宋体" w:cs="宋体"/>
          <w:spacing w:val="-6"/>
          <w:sz w:val="24"/>
        </w:rPr>
        <w:t>是指：供应商根据本磋商文件要求，编制包含资格证明、报价商务技术等所有内容的文件。</w:t>
      </w:r>
    </w:p>
    <w:p>
      <w:pPr>
        <w:spacing w:line="360" w:lineRule="auto"/>
        <w:ind w:firstLine="480" w:firstLineChars="200"/>
        <w:contextualSpacing/>
        <w:rPr>
          <w:rFonts w:ascii="宋体" w:hAnsi="宋体" w:cs="宋体"/>
          <w:sz w:val="24"/>
        </w:rPr>
      </w:pPr>
      <w:r>
        <w:rPr>
          <w:rFonts w:hint="eastAsia" w:ascii="宋体" w:hAnsi="宋体" w:cs="宋体"/>
          <w:sz w:val="24"/>
        </w:rPr>
        <w:t>2.8“实质性要求”是指磋商文件中已经指明不满足则响应文件按无效响应处理的条款，或者不能负偏离的条款，或者采购需求中带“▲”的条款。</w:t>
      </w:r>
    </w:p>
    <w:p>
      <w:pPr>
        <w:spacing w:line="360" w:lineRule="auto"/>
        <w:ind w:firstLine="480" w:firstLineChars="200"/>
        <w:contextualSpacing/>
        <w:rPr>
          <w:rFonts w:ascii="宋体" w:hAnsi="宋体" w:cs="宋体"/>
          <w:sz w:val="24"/>
        </w:rPr>
      </w:pPr>
      <w:r>
        <w:rPr>
          <w:rFonts w:hint="eastAsia" w:ascii="宋体" w:hAnsi="宋体" w:cs="宋体"/>
          <w:sz w:val="24"/>
        </w:rPr>
        <w:t>2.9“正偏离”，是指响应文件对磋商文件“采购需求”中有关条款作出的响应优于条款要求并有利于采购人的情形。</w:t>
      </w:r>
    </w:p>
    <w:p>
      <w:pPr>
        <w:spacing w:line="360" w:lineRule="auto"/>
        <w:ind w:firstLine="480" w:firstLineChars="200"/>
        <w:contextualSpacing/>
        <w:rPr>
          <w:rFonts w:ascii="宋体" w:hAnsi="宋体" w:cs="宋体"/>
          <w:sz w:val="24"/>
        </w:rPr>
      </w:pPr>
      <w:r>
        <w:rPr>
          <w:rFonts w:hint="eastAsia" w:ascii="宋体" w:hAnsi="宋体" w:cs="宋体"/>
          <w:sz w:val="24"/>
        </w:rPr>
        <w:t>2.10“负偏离”，是指响应文件对磋商文件“采购需求”中有关条款作出的响应不满足条款要求，导致采购人要求不能得到满足的情形。</w:t>
      </w:r>
    </w:p>
    <w:p>
      <w:pPr>
        <w:spacing w:line="360" w:lineRule="auto"/>
        <w:ind w:firstLine="480" w:firstLineChars="200"/>
        <w:contextualSpacing/>
        <w:rPr>
          <w:rFonts w:ascii="宋体" w:hAnsi="宋体" w:cs="宋体"/>
          <w:sz w:val="24"/>
        </w:rPr>
      </w:pPr>
      <w:r>
        <w:rPr>
          <w:rFonts w:hint="eastAsia" w:ascii="宋体" w:hAnsi="宋体" w:cs="宋体"/>
          <w:sz w:val="24"/>
        </w:rPr>
        <w:t>2.11“允许负偏离的条款”是指采购需求中的不属于“实质性要求”的条款。</w:t>
      </w:r>
    </w:p>
    <w:p>
      <w:pPr>
        <w:spacing w:line="360" w:lineRule="auto"/>
        <w:ind w:firstLine="480" w:firstLineChars="200"/>
        <w:contextualSpacing/>
        <w:rPr>
          <w:rFonts w:ascii="宋体" w:hAnsi="宋体" w:cs="宋体"/>
          <w:sz w:val="24"/>
        </w:rPr>
      </w:pPr>
      <w:r>
        <w:rPr>
          <w:rFonts w:hint="eastAsia" w:ascii="宋体" w:hAnsi="宋体" w:cs="宋体"/>
          <w:sz w:val="24"/>
        </w:rPr>
        <w:t>2.12“首次报价”是指供应商提交的首次响应文件中的报价。</w:t>
      </w:r>
    </w:p>
    <w:p>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pPr>
        <w:spacing w:line="360" w:lineRule="auto"/>
        <w:ind w:firstLine="480" w:firstLineChars="200"/>
        <w:rPr>
          <w:rFonts w:ascii="宋体" w:hAnsi="宋体" w:cs="宋体"/>
          <w:sz w:val="24"/>
        </w:rPr>
      </w:pPr>
      <w:r>
        <w:rPr>
          <w:rFonts w:hint="eastAsia" w:ascii="宋体" w:hAnsi="宋体" w:cs="宋体"/>
          <w:sz w:val="24"/>
        </w:rPr>
        <w:t>供应商的资格条件详见“供应商须知前附表”。</w:t>
      </w:r>
    </w:p>
    <w:p>
      <w:pPr>
        <w:spacing w:line="360" w:lineRule="auto"/>
        <w:ind w:firstLine="482" w:firstLineChars="200"/>
        <w:rPr>
          <w:rFonts w:ascii="宋体" w:hAnsi="宋体" w:cs="宋体"/>
          <w:b/>
          <w:bCs/>
          <w:sz w:val="24"/>
        </w:rPr>
      </w:pPr>
      <w:r>
        <w:rPr>
          <w:rFonts w:hint="eastAsia" w:ascii="宋体" w:hAnsi="宋体" w:cs="宋体"/>
          <w:b/>
          <w:bCs/>
          <w:sz w:val="24"/>
        </w:rPr>
        <w:t>4.</w:t>
      </w:r>
      <w:r>
        <w:rPr>
          <w:rFonts w:hint="eastAsia" w:hAnsi="宋体" w:cs="宋体"/>
          <w:b/>
          <w:sz w:val="24"/>
        </w:rPr>
        <w:t>竞争性磋商</w:t>
      </w:r>
      <w:r>
        <w:rPr>
          <w:rFonts w:hint="eastAsia" w:ascii="宋体" w:hAnsi="宋体" w:cs="宋体"/>
          <w:b/>
          <w:bCs/>
          <w:sz w:val="24"/>
        </w:rPr>
        <w:t>费用</w:t>
      </w:r>
    </w:p>
    <w:p>
      <w:pPr>
        <w:spacing w:line="360" w:lineRule="auto"/>
        <w:ind w:firstLine="480" w:firstLineChars="200"/>
        <w:rPr>
          <w:rFonts w:ascii="宋体" w:hAnsi="宋体" w:cs="宋体"/>
          <w:sz w:val="24"/>
        </w:rPr>
      </w:pPr>
      <w:r>
        <w:rPr>
          <w:rFonts w:hint="eastAsia" w:ascii="宋体" w:hAnsi="宋体" w:cs="宋体"/>
          <w:sz w:val="24"/>
        </w:rPr>
        <w:t>供应商应承担参与本次采购活动有关的所有费用，包括但不限于获取磋商文件、勘查现场、编制和提交响应文件、参加磋商与应答、签订合同等，不论</w:t>
      </w:r>
      <w:r>
        <w:rPr>
          <w:rFonts w:hint="eastAsia" w:hAnsi="宋体" w:cs="宋体"/>
          <w:sz w:val="24"/>
        </w:rPr>
        <w:t>竞争性磋商</w:t>
      </w:r>
      <w:r>
        <w:rPr>
          <w:rFonts w:hint="eastAsia" w:ascii="宋体" w:hAnsi="宋体" w:cs="宋体"/>
          <w:sz w:val="24"/>
        </w:rPr>
        <w:t>结果如何，均应自行承担。</w:t>
      </w:r>
    </w:p>
    <w:p>
      <w:pPr>
        <w:spacing w:line="360" w:lineRule="auto"/>
        <w:ind w:firstLine="482" w:firstLineChars="200"/>
        <w:rPr>
          <w:rFonts w:ascii="宋体" w:hAnsi="宋体" w:cs="宋体"/>
          <w:b/>
          <w:bCs/>
          <w:sz w:val="24"/>
        </w:rPr>
      </w:pPr>
      <w:r>
        <w:rPr>
          <w:rFonts w:hint="eastAsia" w:ascii="宋体" w:hAnsi="宋体" w:cs="宋体"/>
          <w:b/>
          <w:bCs/>
          <w:sz w:val="24"/>
        </w:rPr>
        <w:t>5.联合体参加竞争性磋商</w:t>
      </w:r>
    </w:p>
    <w:p>
      <w:pPr>
        <w:spacing w:line="360" w:lineRule="auto"/>
        <w:ind w:firstLine="480" w:firstLineChars="200"/>
        <w:rPr>
          <w:rFonts w:ascii="宋体" w:hAnsi="宋体" w:cs="宋体"/>
          <w:sz w:val="24"/>
        </w:rPr>
      </w:pPr>
      <w:r>
        <w:rPr>
          <w:rFonts w:hint="eastAsia" w:ascii="宋体" w:hAnsi="宋体" w:cs="宋体"/>
          <w:sz w:val="24"/>
        </w:rPr>
        <w:t>5.1本项目是否接受联合体参加竞争性磋商，详见“供应商须知前附表”。</w:t>
      </w:r>
    </w:p>
    <w:p>
      <w:pPr>
        <w:spacing w:line="360" w:lineRule="auto"/>
        <w:ind w:firstLine="480" w:firstLineChars="200"/>
        <w:rPr>
          <w:rFonts w:ascii="宋体" w:hAnsi="宋体" w:cs="宋体"/>
          <w:sz w:val="24"/>
        </w:rPr>
      </w:pPr>
      <w:r>
        <w:rPr>
          <w:rFonts w:hint="eastAsia" w:ascii="宋体" w:hAnsi="宋体" w:cs="宋体"/>
          <w:sz w:val="24"/>
        </w:rPr>
        <w:t>5.2如接受联合体参加</w:t>
      </w:r>
      <w:r>
        <w:rPr>
          <w:rFonts w:hint="eastAsia" w:hAnsi="宋体" w:cs="宋体"/>
          <w:sz w:val="24"/>
        </w:rPr>
        <w:t>竞争性磋商</w:t>
      </w:r>
      <w:r>
        <w:rPr>
          <w:rFonts w:hint="eastAsia" w:ascii="宋体" w:hAnsi="宋体" w:cs="宋体"/>
          <w:sz w:val="24"/>
        </w:rPr>
        <w:t>，相关要求详见“供应商须知前附表”。</w:t>
      </w:r>
    </w:p>
    <w:p>
      <w:pPr>
        <w:spacing w:line="360" w:lineRule="auto"/>
        <w:ind w:firstLine="480" w:firstLineChars="200"/>
        <w:rPr>
          <w:rFonts w:ascii="宋体" w:hAnsi="宋体" w:cs="宋体"/>
          <w:sz w:val="24"/>
        </w:rPr>
      </w:pPr>
      <w:r>
        <w:rPr>
          <w:rFonts w:hint="eastAsia" w:ascii="宋体" w:hAnsi="宋体" w:cs="宋体"/>
          <w:sz w:val="24"/>
        </w:rPr>
        <w:t>5.3</w:t>
      </w:r>
      <w:bookmarkStart w:id="26" w:name="_Hlk66782192"/>
      <w:r>
        <w:rPr>
          <w:rFonts w:hint="eastAsia" w:ascii="宋体" w:hAnsi="宋体" w:cs="宋体"/>
          <w:sz w:val="24"/>
        </w:rPr>
        <w:t>根据《政府采购促进中小企业发展管理办法》（财库〔2020〕46号）及《关于进一步加大政府采购支持中小企业力度的通知》（财库〔2022〕19号 ）调整对小微企业的价格评审优惠</w:t>
      </w:r>
      <w:r>
        <w:rPr>
          <w:rFonts w:hint="eastAsia" w:ascii="宋体" w:hAnsi="宋体" w:cs="宋体"/>
          <w:color w:val="000000" w:themeColor="text1"/>
          <w:sz w:val="24"/>
          <w14:textFill>
            <w14:solidFill>
              <w14:schemeClr w14:val="tx1"/>
            </w14:solidFill>
          </w14:textFill>
        </w:rPr>
        <w:t>幅度。货物服务采购项目给予小微企业的价格扣除优惠20%。</w:t>
      </w:r>
      <w:r>
        <w:rPr>
          <w:rFonts w:hint="eastAsia" w:ascii="宋体" w:hAnsi="宋体" w:cs="宋体"/>
          <w:sz w:val="24"/>
        </w:rPr>
        <w:t>大中型企业与小微企业组成联合体或者大中型企业向小微企业分包的，对于联合协议约定小微企业的合同份额占到合同总金额 30%以上的，评审优惠</w:t>
      </w:r>
      <w:r>
        <w:rPr>
          <w:rFonts w:ascii="宋体" w:hAnsi="宋体" w:cs="宋体"/>
          <w:sz w:val="24"/>
        </w:rPr>
        <w:t>6%</w:t>
      </w:r>
      <w:r>
        <w:rPr>
          <w:rFonts w:hint="eastAsia" w:ascii="宋体" w:hAnsi="宋体" w:cs="宋体"/>
          <w:sz w:val="24"/>
        </w:rPr>
        <w:t>，用扣除后的价格参加评审。</w:t>
      </w:r>
      <w:bookmarkEnd w:id="26"/>
    </w:p>
    <w:p>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pPr>
        <w:pStyle w:val="6"/>
        <w:keepNext w:val="0"/>
        <w:keepLines w:val="0"/>
        <w:spacing w:before="0" w:after="0" w:line="360" w:lineRule="auto"/>
        <w:ind w:left="420" w:leftChars="200"/>
        <w:rPr>
          <w:rFonts w:ascii="宋体" w:hAnsi="宋体" w:cs="宋体"/>
          <w:b w:val="0"/>
          <w:sz w:val="24"/>
          <w:szCs w:val="24"/>
        </w:rPr>
      </w:pPr>
      <w:bookmarkStart w:id="27" w:name="_Toc254970673"/>
      <w:bookmarkStart w:id="28" w:name="_Toc254970532"/>
      <w:r>
        <w:rPr>
          <w:rFonts w:hint="eastAsia" w:ascii="宋体" w:hAnsi="宋体" w:cs="宋体"/>
          <w:b w:val="0"/>
          <w:sz w:val="24"/>
          <w:szCs w:val="24"/>
        </w:rPr>
        <w:t>6.1本项目不允许转包。</w:t>
      </w:r>
    </w:p>
    <w:p>
      <w:pPr>
        <w:pStyle w:val="6"/>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6"/>
        <w:keepNext w:val="0"/>
        <w:keepLines w:val="0"/>
        <w:spacing w:before="0" w:after="0" w:line="360" w:lineRule="auto"/>
        <w:ind w:firstLine="360" w:firstLineChars="150"/>
        <w:rPr>
          <w:rFonts w:ascii="宋体" w:hAnsi="宋体" w:cs="宋体"/>
          <w:b w:val="0"/>
          <w:sz w:val="24"/>
          <w:szCs w:val="24"/>
        </w:rPr>
      </w:pPr>
      <w:r>
        <w:rPr>
          <w:rFonts w:hint="eastAsia" w:ascii="宋体" w:hAnsi="宋体" w:cs="宋体"/>
          <w:b w:val="0"/>
          <w:sz w:val="24"/>
          <w:szCs w:val="24"/>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cs="宋体"/>
          <w:b/>
          <w:bCs/>
          <w:sz w:val="24"/>
        </w:rPr>
      </w:pPr>
      <w:r>
        <w:rPr>
          <w:rFonts w:hint="eastAsia" w:ascii="宋体" w:hAnsi="宋体" w:cs="宋体"/>
          <w:b/>
          <w:bCs/>
          <w:sz w:val="24"/>
        </w:rPr>
        <w:t>7.特别说明</w:t>
      </w:r>
      <w:bookmarkEnd w:id="27"/>
      <w:bookmarkEnd w:id="28"/>
    </w:p>
    <w:p>
      <w:pPr>
        <w:spacing w:line="360" w:lineRule="auto"/>
        <w:ind w:firstLine="480" w:firstLineChars="200"/>
        <w:rPr>
          <w:rFonts w:ascii="宋体" w:hAnsi="宋体" w:cs="宋体"/>
          <w:sz w:val="24"/>
        </w:rPr>
      </w:pPr>
      <w:bookmarkStart w:id="29" w:name="_8.1提供相同品牌产品且通过资格审查、符合性审查的不同投标人参加同一合"/>
      <w:bookmarkEnd w:id="29"/>
      <w:r>
        <w:rPr>
          <w:rFonts w:hint="eastAsia" w:ascii="宋体" w:hAnsi="宋体" w:cs="宋体"/>
          <w:sz w:val="24"/>
        </w:rPr>
        <w:t>7.1</w:t>
      </w:r>
      <w:bookmarkStart w:id="30" w:name="_Hlk65832145"/>
      <w:r>
        <w:rPr>
          <w:rFonts w:hint="eastAsia" w:ascii="宋体" w:hAnsi="宋体" w:cs="宋体"/>
          <w:sz w:val="24"/>
        </w:rPr>
        <w:t>如果本磋商文件要求提供供应商或制造商的资格、信誉、荣誉、业绩与企业认证等材料的，资格、信誉、荣誉、业绩与企业认证等必须为供应商或者制造商所拥有或自身获得 。</w:t>
      </w:r>
    </w:p>
    <w:bookmarkEnd w:id="30"/>
    <w:p>
      <w:pPr>
        <w:spacing w:line="360" w:lineRule="auto"/>
        <w:ind w:firstLine="480" w:firstLineChars="200"/>
        <w:rPr>
          <w:rFonts w:ascii="宋体" w:hAnsi="宋体" w:cs="宋体"/>
          <w:sz w:val="24"/>
        </w:rPr>
      </w:pPr>
      <w:r>
        <w:rPr>
          <w:rFonts w:hint="eastAsia" w:ascii="宋体" w:hAnsi="宋体" w:cs="宋体"/>
          <w:sz w:val="24"/>
        </w:rPr>
        <w:t>7.2供应商应仔细阅读磋商文件的所有内容，按照磋商文件的要求提交响应文件，并对所提供的全部资料的真实性承担法律责任。</w:t>
      </w:r>
    </w:p>
    <w:p>
      <w:pPr>
        <w:spacing w:line="360" w:lineRule="auto"/>
        <w:ind w:firstLine="480" w:firstLineChars="200"/>
        <w:rPr>
          <w:rFonts w:ascii="宋体" w:hAnsi="宋体" w:cs="宋体"/>
          <w:sz w:val="24"/>
        </w:rPr>
      </w:pPr>
      <w:r>
        <w:rPr>
          <w:rFonts w:hint="eastAsia" w:ascii="宋体" w:hAnsi="宋体" w:cs="宋体"/>
          <w:sz w:val="24"/>
        </w:rPr>
        <w:t>7.3供应商在参与</w:t>
      </w:r>
      <w:r>
        <w:rPr>
          <w:rFonts w:hint="eastAsia" w:hAnsi="宋体" w:cs="宋体"/>
          <w:sz w:val="24"/>
        </w:rPr>
        <w:t>竞争性磋商</w:t>
      </w:r>
      <w:r>
        <w:rPr>
          <w:rFonts w:hint="eastAsia" w:ascii="宋体" w:hAnsi="宋体" w:cs="宋体"/>
          <w:sz w:val="24"/>
        </w:rPr>
        <w:t>活动中提供任何疑似虚假材料，将报监管部门查处；签订合同后发现的，成交供应商须依法赔偿采购人，且民事赔偿并不免除违法供应商的行政与刑事责任。</w:t>
      </w:r>
    </w:p>
    <w:p>
      <w:pPr>
        <w:spacing w:line="360" w:lineRule="auto"/>
        <w:ind w:firstLine="480" w:firstLineChars="200"/>
        <w:rPr>
          <w:rFonts w:ascii="宋体" w:hAnsi="宋体" w:cs="宋体"/>
          <w:sz w:val="24"/>
        </w:rPr>
      </w:pPr>
      <w:r>
        <w:rPr>
          <w:rFonts w:hint="eastAsia" w:ascii="宋体" w:hAnsi="宋体" w:cs="宋体"/>
          <w:sz w:val="24"/>
        </w:rPr>
        <w:t>7.4在政府采购活动中，采购人员及相关人员与供应商有下列利害关系之一的，应当回避：</w:t>
      </w:r>
    </w:p>
    <w:p>
      <w:pPr>
        <w:spacing w:line="360" w:lineRule="auto"/>
        <w:ind w:firstLine="480" w:firstLineChars="200"/>
        <w:rPr>
          <w:rFonts w:ascii="宋体" w:hAnsi="宋体" w:cs="宋体"/>
          <w:sz w:val="24"/>
        </w:rPr>
      </w:pPr>
      <w:r>
        <w:rPr>
          <w:rFonts w:hint="eastAsia" w:ascii="宋体" w:hAnsi="宋体" w:cs="宋体"/>
          <w:sz w:val="24"/>
        </w:rPr>
        <w:t>（1）参加采购活动前3年内与供应商存在劳动关系；</w:t>
      </w:r>
    </w:p>
    <w:p>
      <w:pPr>
        <w:spacing w:line="360" w:lineRule="auto"/>
        <w:ind w:firstLine="480" w:firstLineChars="200"/>
        <w:rPr>
          <w:rFonts w:ascii="宋体" w:hAnsi="宋体" w:cs="宋体"/>
          <w:sz w:val="24"/>
        </w:rPr>
      </w:pPr>
      <w:r>
        <w:rPr>
          <w:rFonts w:hint="eastAsia" w:ascii="宋体" w:hAnsi="宋体" w:cs="宋体"/>
          <w:sz w:val="24"/>
        </w:rPr>
        <w:t>（2）参加采购活动前3年内担任供应商的董事、监事；</w:t>
      </w:r>
    </w:p>
    <w:p>
      <w:pPr>
        <w:spacing w:line="360" w:lineRule="auto"/>
        <w:ind w:firstLine="480" w:firstLineChars="200"/>
        <w:rPr>
          <w:rFonts w:ascii="宋体" w:hAnsi="宋体" w:cs="宋体"/>
          <w:sz w:val="24"/>
        </w:rPr>
      </w:pPr>
      <w:r>
        <w:rPr>
          <w:rFonts w:hint="eastAsia" w:ascii="宋体" w:hAnsi="宋体" w:cs="宋体"/>
          <w:sz w:val="24"/>
        </w:rPr>
        <w:t>（3）参加采购活动前3年内是供应商的控股股东或者实际控制人；</w:t>
      </w:r>
    </w:p>
    <w:p>
      <w:pPr>
        <w:spacing w:line="360" w:lineRule="auto"/>
        <w:ind w:firstLine="480" w:firstLineChars="200"/>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pPr>
        <w:spacing w:line="360" w:lineRule="auto"/>
        <w:ind w:firstLine="480" w:firstLineChars="200"/>
        <w:rPr>
          <w:rFonts w:ascii="宋体" w:hAnsi="宋体" w:cs="宋体"/>
          <w:sz w:val="24"/>
        </w:rPr>
      </w:pPr>
      <w:r>
        <w:rPr>
          <w:rFonts w:hint="eastAsia" w:ascii="宋体" w:hAnsi="宋体" w:cs="宋体"/>
          <w:sz w:val="24"/>
        </w:rPr>
        <w:t>（5）与供应商有其他可能影响政府采购活动公平、公正进行的关系。</w:t>
      </w:r>
    </w:p>
    <w:p>
      <w:pPr>
        <w:spacing w:line="360" w:lineRule="auto"/>
        <w:ind w:firstLine="480" w:firstLineChars="200"/>
        <w:rPr>
          <w:rFonts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ascii="宋体" w:hAnsi="宋体" w:cs="宋体"/>
          <w:sz w:val="24"/>
        </w:rPr>
      </w:pPr>
      <w:r>
        <w:rPr>
          <w:rFonts w:hint="eastAsia" w:ascii="宋体" w:hAnsi="宋体" w:cs="宋体"/>
          <w:sz w:val="24"/>
        </w:rPr>
        <w:t>7.5有下列情形之一的视为供应商相互串通参与</w:t>
      </w:r>
      <w:r>
        <w:rPr>
          <w:rFonts w:hint="eastAsia" w:hAnsi="宋体" w:cs="宋体"/>
          <w:sz w:val="24"/>
        </w:rPr>
        <w:t>竞争性磋商</w:t>
      </w:r>
      <w:r>
        <w:rPr>
          <w:rFonts w:hint="eastAsia" w:ascii="宋体" w:hAnsi="宋体" w:cs="宋体"/>
          <w:sz w:val="24"/>
        </w:rPr>
        <w:t>，响应文件将被视为无效：</w:t>
      </w:r>
    </w:p>
    <w:p>
      <w:pPr>
        <w:spacing w:line="360" w:lineRule="auto"/>
        <w:ind w:firstLine="480" w:firstLineChars="200"/>
        <w:rPr>
          <w:rFonts w:ascii="宋体" w:hAnsi="宋体" w:cs="宋体"/>
          <w:sz w:val="24"/>
        </w:rPr>
      </w:pPr>
      <w:r>
        <w:rPr>
          <w:rFonts w:hint="eastAsia" w:ascii="宋体" w:hAnsi="宋体" w:cs="宋体"/>
          <w:sz w:val="24"/>
        </w:rPr>
        <w:t xml:space="preserve">（1）不同供应商的响应文件由同一单位或者个人编制； </w:t>
      </w:r>
    </w:p>
    <w:p>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w:t>
      </w:r>
      <w:r>
        <w:rPr>
          <w:rFonts w:hint="eastAsia" w:hAnsi="宋体" w:cs="宋体"/>
          <w:sz w:val="24"/>
        </w:rPr>
        <w:t>竞争性磋商</w:t>
      </w:r>
      <w:r>
        <w:rPr>
          <w:rFonts w:hint="eastAsia" w:ascii="宋体" w:hAnsi="宋体" w:cs="宋体"/>
          <w:sz w:val="24"/>
        </w:rPr>
        <w:t>事宜；</w:t>
      </w:r>
    </w:p>
    <w:p>
      <w:pPr>
        <w:spacing w:line="360" w:lineRule="auto"/>
        <w:ind w:firstLine="480" w:firstLineChars="200"/>
        <w:rPr>
          <w:rFonts w:ascii="宋体" w:hAnsi="宋体" w:cs="宋体"/>
          <w:sz w:val="24"/>
        </w:rPr>
      </w:pPr>
      <w:r>
        <w:rPr>
          <w:rFonts w:hint="eastAsia" w:ascii="宋体" w:hAnsi="宋体" w:cs="宋体"/>
          <w:sz w:val="24"/>
        </w:rPr>
        <w:t>（3）不同的供应商的响应文件载明的项目管理员为同一个人；</w:t>
      </w:r>
    </w:p>
    <w:p>
      <w:pPr>
        <w:spacing w:line="360" w:lineRule="auto"/>
        <w:ind w:firstLine="480" w:firstLineChars="200"/>
        <w:rPr>
          <w:rFonts w:ascii="宋体" w:hAnsi="宋体" w:cs="宋体"/>
          <w:sz w:val="24"/>
        </w:rPr>
      </w:pPr>
      <w:r>
        <w:rPr>
          <w:rFonts w:hint="eastAsia" w:ascii="宋体" w:hAnsi="宋体" w:cs="宋体"/>
          <w:sz w:val="24"/>
        </w:rPr>
        <w:t>（4）不同供应商的响应文件异常一致或者报价呈规律性差异；</w:t>
      </w:r>
    </w:p>
    <w:p>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pPr>
        <w:tabs>
          <w:tab w:val="left" w:pos="6931"/>
        </w:tabs>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（7）供应商之间协商报价等响应文件的实质性内容；</w:t>
      </w:r>
    </w:p>
    <w:p>
      <w:pPr>
        <w:spacing w:line="360" w:lineRule="auto"/>
        <w:ind w:firstLine="480" w:firstLineChars="200"/>
        <w:rPr>
          <w:rFonts w:ascii="宋体" w:hAnsi="宋体" w:cs="宋体"/>
          <w:sz w:val="24"/>
        </w:rPr>
      </w:pPr>
      <w:r>
        <w:rPr>
          <w:rFonts w:hint="eastAsia" w:ascii="宋体" w:hAnsi="宋体" w:cs="宋体"/>
          <w:sz w:val="24"/>
        </w:rPr>
        <w:t>（8）供应商之间约定成交供应商；</w:t>
      </w:r>
    </w:p>
    <w:p>
      <w:pPr>
        <w:spacing w:line="360" w:lineRule="auto"/>
        <w:ind w:firstLine="480" w:firstLineChars="200"/>
        <w:rPr>
          <w:rFonts w:ascii="宋体" w:hAnsi="宋体" w:cs="宋体"/>
          <w:sz w:val="24"/>
        </w:rPr>
      </w:pPr>
      <w:r>
        <w:rPr>
          <w:rFonts w:hint="eastAsia" w:ascii="宋体" w:hAnsi="宋体" w:cs="宋体"/>
          <w:sz w:val="24"/>
        </w:rPr>
        <w:t>（9）供应商之间约定部分供应商放弃参与竞争性磋商或者成交；</w:t>
      </w:r>
    </w:p>
    <w:p>
      <w:pPr>
        <w:spacing w:line="360" w:lineRule="auto"/>
        <w:ind w:firstLine="480" w:firstLineChars="200"/>
        <w:rPr>
          <w:rFonts w:ascii="宋体" w:hAnsi="宋体" w:cs="宋体"/>
          <w:sz w:val="24"/>
        </w:rPr>
      </w:pPr>
      <w:r>
        <w:rPr>
          <w:rFonts w:hint="eastAsia" w:ascii="宋体" w:hAnsi="宋体" w:cs="宋体"/>
          <w:sz w:val="24"/>
        </w:rPr>
        <w:t>（10）属于同一集团、协会、商会等组织成员的供应商按照该组织要求协同参与竞争性磋商；</w:t>
      </w:r>
    </w:p>
    <w:p>
      <w:pPr>
        <w:pStyle w:val="14"/>
        <w:ind w:firstLine="480" w:firstLineChars="200"/>
      </w:pPr>
      <w:r>
        <w:rPr>
          <w:rFonts w:hint="eastAsia" w:ascii="宋体" w:hAnsi="宋体" w:cs="宋体"/>
          <w:sz w:val="24"/>
        </w:rPr>
        <w:t>（11）供应商之间为谋取成交或者排斥特定供应商而采取的其他联合行动。</w:t>
      </w:r>
    </w:p>
    <w:p>
      <w:pPr>
        <w:spacing w:line="360" w:lineRule="auto"/>
        <w:ind w:firstLine="480" w:firstLineChars="200"/>
        <w:rPr>
          <w:rFonts w:ascii="宋体" w:hAnsi="宋体" w:cs="宋体"/>
          <w:sz w:val="24"/>
        </w:rPr>
      </w:pPr>
      <w:r>
        <w:rPr>
          <w:rFonts w:hint="eastAsia" w:ascii="宋体" w:hAnsi="宋体" w:cs="宋体"/>
          <w:sz w:val="24"/>
        </w:rPr>
        <w:t>7.6供应商有下列情形之一的，属于恶意串通行为，将报同级监督管理部门：</w:t>
      </w:r>
    </w:p>
    <w:p>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pPr>
        <w:spacing w:line="360" w:lineRule="auto"/>
        <w:ind w:firstLine="480" w:firstLineChars="200"/>
        <w:rPr>
          <w:rFonts w:ascii="宋体" w:hAnsi="宋体" w:cs="宋体"/>
          <w:sz w:val="24"/>
        </w:rPr>
      </w:pPr>
      <w:r>
        <w:rPr>
          <w:rFonts w:hint="eastAsia" w:ascii="宋体" w:hAnsi="宋体" w:cs="宋体"/>
          <w:sz w:val="24"/>
        </w:rPr>
        <w:t>（3）供应商之间协商报价、技术方案等响应文件或者响应文件的实质性内容；</w:t>
      </w:r>
    </w:p>
    <w:p>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（5）供应商之间事先约定一致抬高或者压低报价，或者在政府采购活动中事先约定轮流以高价位或者低价位成交，或者事先约定由某一特定供应商成交，然后再参加竞争性磋商；</w:t>
      </w:r>
    </w:p>
    <w:p>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pPr>
        <w:spacing w:line="360" w:lineRule="auto"/>
        <w:ind w:firstLine="480" w:firstLineChars="200"/>
        <w:rPr>
          <w:rFonts w:ascii="宋体" w:hAnsi="宋体" w:cs="宋体"/>
          <w:sz w:val="24"/>
        </w:rPr>
      </w:pPr>
      <w:r>
        <w:rPr>
          <w:rFonts w:hint="eastAsia" w:ascii="宋体" w:hAnsi="宋体" w:cs="宋体"/>
          <w:sz w:val="24"/>
        </w:rPr>
        <w:t>7.7竞争性磋商委托</w:t>
      </w:r>
    </w:p>
    <w:p>
      <w:pPr>
        <w:spacing w:line="360" w:lineRule="auto"/>
        <w:ind w:firstLine="480" w:firstLineChars="200"/>
        <w:rPr>
          <w:rFonts w:ascii="宋体" w:hAnsi="宋体" w:cs="宋体"/>
          <w:sz w:val="24"/>
        </w:rPr>
      </w:pPr>
      <w:r>
        <w:rPr>
          <w:rFonts w:hint="eastAsia" w:ascii="宋体" w:hAnsi="宋体" w:cs="宋体"/>
          <w:sz w:val="24"/>
        </w:rPr>
        <w:t>供应商代表参加竞争性磋商活动过程中必须携带个人有效身份证件。如供应商代表不是法定代表人，须持有授权委托书（按第五章要求格式填写）。</w:t>
      </w:r>
    </w:p>
    <w:p>
      <w:pPr>
        <w:pStyle w:val="14"/>
        <w:ind w:firstLine="420"/>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bookmarkStart w:id="31" w:name="_Toc254970534"/>
      <w:bookmarkStart w:id="32" w:name="_Toc254970675"/>
      <w:r>
        <w:rPr>
          <w:rFonts w:hint="eastAsia" w:ascii="宋体" w:hAnsi="宋体" w:cs="宋体"/>
          <w:b/>
          <w:bCs/>
          <w:sz w:val="24"/>
        </w:rPr>
        <w:t>二、磋商文件</w:t>
      </w:r>
      <w:bookmarkEnd w:id="31"/>
      <w:bookmarkEnd w:id="32"/>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pPr>
        <w:spacing w:line="360" w:lineRule="auto"/>
        <w:ind w:firstLine="480" w:firstLineChars="200"/>
        <w:jc w:val="left"/>
        <w:rPr>
          <w:rFonts w:ascii="宋体" w:hAnsi="宋体" w:cs="宋体"/>
          <w:sz w:val="24"/>
        </w:rPr>
      </w:pPr>
      <w:r>
        <w:rPr>
          <w:rFonts w:hint="eastAsia" w:ascii="宋体" w:hAnsi="宋体" w:cs="宋体"/>
          <w:sz w:val="24"/>
        </w:rPr>
        <w:t>（1）竞争性磋商公告；</w:t>
      </w:r>
    </w:p>
    <w:p>
      <w:pPr>
        <w:spacing w:line="360" w:lineRule="auto"/>
        <w:ind w:firstLine="480" w:firstLineChars="200"/>
        <w:jc w:val="left"/>
        <w:rPr>
          <w:rFonts w:ascii="宋体" w:hAnsi="宋体" w:cs="宋体"/>
          <w:sz w:val="24"/>
        </w:rPr>
      </w:pPr>
      <w:r>
        <w:rPr>
          <w:rFonts w:hint="eastAsia" w:ascii="宋体" w:hAnsi="宋体" w:cs="宋体"/>
          <w:sz w:val="24"/>
        </w:rPr>
        <w:t xml:space="preserve">（2）供应商须知； </w:t>
      </w:r>
    </w:p>
    <w:p>
      <w:pPr>
        <w:spacing w:line="360" w:lineRule="auto"/>
        <w:ind w:firstLine="480" w:firstLineChars="200"/>
        <w:jc w:val="left"/>
        <w:rPr>
          <w:rFonts w:ascii="宋体" w:hAnsi="宋体" w:cs="宋体"/>
          <w:sz w:val="24"/>
        </w:rPr>
      </w:pPr>
      <w:r>
        <w:rPr>
          <w:rFonts w:hint="eastAsia" w:ascii="宋体" w:hAnsi="宋体" w:cs="宋体"/>
          <w:sz w:val="24"/>
        </w:rPr>
        <w:t>（3）采购需求；</w:t>
      </w:r>
    </w:p>
    <w:p>
      <w:pPr>
        <w:spacing w:line="360" w:lineRule="auto"/>
        <w:ind w:firstLine="480" w:firstLineChars="200"/>
        <w:jc w:val="left"/>
        <w:rPr>
          <w:rFonts w:ascii="宋体" w:hAnsi="宋体" w:cs="宋体"/>
          <w:sz w:val="24"/>
        </w:rPr>
      </w:pPr>
      <w:r>
        <w:rPr>
          <w:rFonts w:hint="eastAsia" w:ascii="宋体" w:hAnsi="宋体" w:cs="宋体"/>
          <w:sz w:val="24"/>
        </w:rPr>
        <w:t>（4）评审程序、评审方法和评审标准；</w:t>
      </w:r>
    </w:p>
    <w:p>
      <w:pPr>
        <w:spacing w:line="360" w:lineRule="auto"/>
        <w:ind w:firstLine="480" w:firstLineChars="200"/>
        <w:jc w:val="left"/>
        <w:rPr>
          <w:rFonts w:ascii="宋体" w:hAnsi="宋体" w:cs="宋体"/>
          <w:sz w:val="24"/>
        </w:rPr>
      </w:pPr>
      <w:r>
        <w:rPr>
          <w:rFonts w:hint="eastAsia" w:ascii="宋体" w:hAnsi="宋体" w:cs="宋体"/>
          <w:sz w:val="24"/>
        </w:rPr>
        <w:t>（5）响应文件格式；</w:t>
      </w:r>
    </w:p>
    <w:p>
      <w:pPr>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sz w:val="24"/>
        </w:rPr>
        <w:t>拟签订的</w:t>
      </w:r>
      <w:r>
        <w:rPr>
          <w:rFonts w:hint="eastAsia" w:ascii="宋体" w:hAnsi="宋体" w:cs="宋体"/>
          <w:sz w:val="24"/>
        </w:rPr>
        <w:t>合同文本。</w:t>
      </w:r>
    </w:p>
    <w:p>
      <w:pPr>
        <w:spacing w:line="360" w:lineRule="auto"/>
        <w:ind w:firstLine="482" w:firstLineChars="200"/>
        <w:rPr>
          <w:rFonts w:ascii="宋体" w:hAnsi="宋体" w:cs="宋体"/>
          <w:b/>
          <w:bCs/>
          <w:sz w:val="24"/>
        </w:rPr>
      </w:pPr>
      <w:r>
        <w:rPr>
          <w:rFonts w:hint="eastAsia" w:ascii="宋体" w:hAnsi="宋体" w:cs="宋体"/>
          <w:b/>
          <w:bCs/>
          <w:sz w:val="24"/>
        </w:rPr>
        <w:t>9.供应商的询问</w:t>
      </w:r>
    </w:p>
    <w:p>
      <w:pPr>
        <w:spacing w:line="360" w:lineRule="auto"/>
        <w:ind w:firstLine="480" w:firstLineChars="200"/>
        <w:rPr>
          <w:rFonts w:ascii="宋体" w:hAnsi="宋体" w:cs="宋体"/>
          <w:sz w:val="24"/>
        </w:rPr>
      </w:pPr>
      <w:r>
        <w:rPr>
          <w:rFonts w:hint="eastAsia" w:ascii="宋体" w:hAnsi="宋体" w:cs="宋体"/>
          <w:sz w:val="24"/>
        </w:rPr>
        <w:t>供应商应认真阅读磋商文件的采购需求，如供应商对磋商文件有疑问的，如要求采购人做出澄清或者修改的，供应商尽可能在提交首次响应文件截止之日前，以纸质书面形式向采购人、采购代理机构提出，否则，由此产生的后果由供应商自行负责。</w:t>
      </w:r>
    </w:p>
    <w:p>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pPr>
        <w:spacing w:line="360" w:lineRule="auto"/>
        <w:ind w:firstLine="480" w:firstLineChars="200"/>
        <w:rPr>
          <w:rFonts w:ascii="宋体" w:hAnsi="宋体" w:cs="宋体"/>
          <w:sz w:val="24"/>
        </w:rPr>
      </w:pPr>
      <w:r>
        <w:rPr>
          <w:rFonts w:hint="eastAsia" w:ascii="宋体" w:hAnsi="宋体" w:cs="宋体"/>
          <w:sz w:val="24"/>
        </w:rPr>
        <w:t>10.1提交首次响应文件截止之日前，采购人或者采购代理机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之日至少5日前，在原公告发布媒体上发布更正公告；不足5日的，采购人、采购代理机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80" w:firstLineChars="200"/>
        <w:rPr>
          <w:rFonts w:ascii="宋体" w:hAnsi="宋体" w:cs="宋体"/>
          <w:sz w:val="24"/>
        </w:rPr>
      </w:pPr>
      <w:r>
        <w:rPr>
          <w:rFonts w:hint="eastAsia" w:ascii="宋体" w:hAnsi="宋体" w:cs="宋体"/>
          <w:sz w:val="24"/>
        </w:rPr>
        <w:t>10.2采购人和采购代理机构可以视采购具体情况，变更首次响应文件提交截止时间和开启时间，并在原公告发布媒体上发布更正公告。</w:t>
      </w:r>
    </w:p>
    <w:p>
      <w:pPr>
        <w:spacing w:line="360" w:lineRule="auto"/>
        <w:ind w:firstLine="480" w:firstLineChars="200"/>
        <w:rPr>
          <w:rFonts w:ascii="宋体" w:hAnsi="宋体" w:cs="宋体"/>
          <w:sz w:val="24"/>
        </w:rPr>
      </w:pPr>
      <w:r>
        <w:rPr>
          <w:rFonts w:hint="eastAsia" w:ascii="宋体" w:hAnsi="宋体" w:cs="宋体"/>
          <w:sz w:val="24"/>
        </w:rPr>
        <w:t>10.3磋商文件澄清、答复、修改、补充的内容为磋商文件的组成部分。</w:t>
      </w:r>
      <w:r>
        <w:rPr>
          <w:rFonts w:hint="eastAsia" w:ascii="宋体" w:hAnsi="宋体" w:cs="宋体"/>
          <w:b/>
          <w:sz w:val="24"/>
        </w:rPr>
        <w:t>当磋商文件与磋商文件的澄清、答复、修改、补充通知就同一内容的表述不一致时，以最后发出的文件为准。</w:t>
      </w:r>
    </w:p>
    <w:p>
      <w:pPr>
        <w:spacing w:line="360" w:lineRule="auto"/>
        <w:ind w:firstLine="482" w:firstLineChars="200"/>
        <w:rPr>
          <w:rFonts w:ascii="宋体" w:hAnsi="宋体" w:cs="宋体"/>
          <w:b/>
          <w:sz w:val="24"/>
        </w:rPr>
      </w:pPr>
      <w:r>
        <w:rPr>
          <w:rFonts w:hint="eastAsia" w:ascii="宋体" w:hAnsi="宋体" w:cs="宋体"/>
          <w:b/>
          <w:sz w:val="24"/>
        </w:rPr>
        <w:t>10.4响应文件未按磋商文件的澄清、修改后的内容编制的，其响应文件作无效响应处理。</w:t>
      </w:r>
    </w:p>
    <w:p>
      <w:pPr>
        <w:spacing w:line="360" w:lineRule="auto"/>
        <w:ind w:firstLine="482" w:firstLineChars="200"/>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三、响应文件的编制</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pPr>
        <w:spacing w:line="360" w:lineRule="auto"/>
        <w:ind w:firstLine="480" w:firstLineChars="200"/>
        <w:rPr>
          <w:rFonts w:ascii="宋体" w:hAnsi="宋体" w:cs="宋体"/>
          <w:sz w:val="24"/>
        </w:rPr>
      </w:pPr>
      <w:r>
        <w:rPr>
          <w:rFonts w:hint="eastAsia" w:ascii="宋体" w:hAnsi="宋体" w:cs="宋体"/>
          <w:sz w:val="24"/>
        </w:rPr>
        <w:t>供应商必须按照磋商文件的要求编制响应文件，并对其提交的响应文件的真实性、合法性承担法律责任。响应文件必须对磋商文件做出实质性响应。</w:t>
      </w:r>
    </w:p>
    <w:p>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pPr>
        <w:spacing w:line="360" w:lineRule="auto"/>
        <w:ind w:firstLine="480" w:firstLineChars="200"/>
        <w:rPr>
          <w:rFonts w:ascii="宋体" w:hAnsi="宋体" w:cs="宋体"/>
          <w:sz w:val="24"/>
        </w:rPr>
      </w:pPr>
      <w:r>
        <w:rPr>
          <w:rFonts w:hint="eastAsia" w:ascii="宋体" w:hAnsi="宋体" w:cs="宋体"/>
          <w:sz w:val="24"/>
        </w:rPr>
        <w:t>12.1响应文件由资格证明文件、报价商务服务文件两部分组成。</w:t>
      </w:r>
    </w:p>
    <w:p>
      <w:pPr>
        <w:spacing w:line="360" w:lineRule="auto"/>
        <w:ind w:left="900" w:leftChars="200" w:hanging="480" w:hangingChars="200"/>
        <w:rPr>
          <w:rFonts w:ascii="宋体" w:hAnsi="宋体" w:cs="宋体"/>
          <w:sz w:val="24"/>
        </w:rPr>
      </w:pPr>
      <w:r>
        <w:rPr>
          <w:rFonts w:hint="eastAsia" w:ascii="宋体" w:hAnsi="宋体" w:cs="宋体"/>
          <w:sz w:val="24"/>
        </w:rPr>
        <w:t>12.1.1资格证明文件：详见须知前附表</w:t>
      </w:r>
    </w:p>
    <w:p>
      <w:pPr>
        <w:spacing w:line="360" w:lineRule="auto"/>
        <w:ind w:left="900" w:leftChars="200" w:hanging="480" w:hangingChars="200"/>
        <w:rPr>
          <w:rFonts w:ascii="宋体" w:hAnsi="宋体" w:cs="宋体"/>
          <w:sz w:val="24"/>
        </w:rPr>
      </w:pPr>
      <w:r>
        <w:rPr>
          <w:rFonts w:hint="eastAsia" w:ascii="宋体" w:hAnsi="宋体" w:cs="宋体"/>
          <w:sz w:val="24"/>
        </w:rPr>
        <w:t>12.1.2报价商务服务文件：详见须知前附表</w:t>
      </w:r>
    </w:p>
    <w:p>
      <w:pPr>
        <w:spacing w:line="360" w:lineRule="auto"/>
        <w:ind w:firstLine="482" w:firstLineChars="200"/>
        <w:rPr>
          <w:rFonts w:ascii="宋体" w:hAnsi="宋体" w:cs="宋体"/>
          <w:b/>
          <w:bCs/>
          <w:sz w:val="24"/>
        </w:rPr>
      </w:pPr>
      <w:r>
        <w:rPr>
          <w:rFonts w:hint="eastAsia" w:ascii="宋体" w:hAnsi="宋体" w:cs="宋体"/>
          <w:b/>
          <w:bCs/>
          <w:sz w:val="24"/>
        </w:rPr>
        <w:t>13.计量单位</w:t>
      </w:r>
    </w:p>
    <w:p>
      <w:pPr>
        <w:spacing w:line="360" w:lineRule="auto"/>
        <w:ind w:firstLine="480" w:firstLineChars="200"/>
        <w:rPr>
          <w:rFonts w:ascii="宋体" w:hAnsi="宋体" w:cs="宋体"/>
          <w:sz w:val="24"/>
        </w:rPr>
      </w:pPr>
      <w:r>
        <w:rPr>
          <w:rFonts w:hint="eastAsia" w:ascii="宋体" w:hAnsi="宋体" w:cs="宋体"/>
          <w:sz w:val="24"/>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sz w:val="24"/>
        </w:rPr>
      </w:pPr>
      <w:r>
        <w:rPr>
          <w:rFonts w:hint="eastAsia" w:ascii="宋体" w:hAnsi="宋体" w:cs="宋体"/>
          <w:b/>
          <w:bCs/>
          <w:sz w:val="24"/>
        </w:rPr>
        <w:t>14.竞争性磋商的风险</w:t>
      </w:r>
    </w:p>
    <w:p>
      <w:pPr>
        <w:spacing w:line="360" w:lineRule="auto"/>
        <w:ind w:firstLine="480" w:firstLineChars="200"/>
        <w:rPr>
          <w:rFonts w:ascii="宋体" w:hAnsi="宋体" w:cs="宋体"/>
          <w:sz w:val="24"/>
        </w:rPr>
      </w:pPr>
      <w:r>
        <w:rPr>
          <w:rFonts w:hint="eastAsia" w:ascii="宋体" w:hAnsi="宋体" w:cs="宋体"/>
          <w:sz w:val="24"/>
        </w:rPr>
        <w:t>供应商没有按照磋商文件要求提供全部资料，或者供应商没有对磋商文件在各方面做出实质性响应可能导致其响应无效，是供应商应当考虑的风险。</w:t>
      </w:r>
    </w:p>
    <w:p>
      <w:pPr>
        <w:spacing w:line="360" w:lineRule="auto"/>
        <w:ind w:firstLine="482" w:firstLineChars="200"/>
        <w:rPr>
          <w:rFonts w:ascii="宋体" w:hAnsi="宋体" w:cs="宋体"/>
          <w:b/>
          <w:bCs/>
          <w:sz w:val="24"/>
        </w:rPr>
      </w:pPr>
      <w:r>
        <w:rPr>
          <w:rFonts w:hint="eastAsia" w:ascii="宋体" w:hAnsi="宋体" w:cs="宋体"/>
          <w:b/>
          <w:bCs/>
          <w:sz w:val="24"/>
        </w:rPr>
        <w:t>15.竞争性磋商报价</w:t>
      </w:r>
    </w:p>
    <w:p>
      <w:pPr>
        <w:tabs>
          <w:tab w:val="left" w:pos="2492"/>
        </w:tabs>
        <w:spacing w:line="360" w:lineRule="auto"/>
        <w:ind w:firstLine="480" w:firstLineChars="200"/>
        <w:rPr>
          <w:rFonts w:ascii="宋体" w:hAnsi="宋体" w:cs="宋体"/>
          <w:sz w:val="24"/>
        </w:rPr>
      </w:pPr>
      <w:r>
        <w:rPr>
          <w:rFonts w:hint="eastAsia" w:ascii="宋体" w:hAnsi="宋体" w:cs="宋体"/>
          <w:sz w:val="24"/>
        </w:rPr>
        <w:t>15.1竞争性磋商报价应按磋商文件中“竞争性磋商报价表”格式填写。</w:t>
      </w:r>
    </w:p>
    <w:p>
      <w:pPr>
        <w:tabs>
          <w:tab w:val="left" w:pos="2492"/>
        </w:tabs>
        <w:spacing w:line="360" w:lineRule="auto"/>
        <w:ind w:firstLine="480" w:firstLineChars="200"/>
        <w:rPr>
          <w:rFonts w:ascii="宋体" w:hAnsi="宋体" w:cs="宋体"/>
          <w:sz w:val="24"/>
        </w:rPr>
      </w:pPr>
      <w:r>
        <w:rPr>
          <w:rFonts w:hint="eastAsia" w:ascii="宋体" w:hAnsi="宋体" w:cs="宋体"/>
          <w:sz w:val="24"/>
        </w:rPr>
        <w:t>15.2竞争性磋商报价的内容见“供应商须知前附表”。</w:t>
      </w:r>
    </w:p>
    <w:p>
      <w:pPr>
        <w:spacing w:line="360" w:lineRule="auto"/>
        <w:ind w:left="426" w:leftChars="203"/>
        <w:rPr>
          <w:rFonts w:ascii="宋体" w:hAnsi="宋体" w:cs="宋体"/>
          <w:sz w:val="24"/>
        </w:rPr>
      </w:pPr>
      <w:r>
        <w:rPr>
          <w:rFonts w:hint="eastAsia" w:ascii="宋体" w:hAnsi="宋体" w:cs="宋体"/>
          <w:sz w:val="24"/>
        </w:rPr>
        <w:t>15.3竞争性磋商报价要求</w:t>
      </w:r>
    </w:p>
    <w:p>
      <w:pPr>
        <w:spacing w:line="360" w:lineRule="auto"/>
        <w:ind w:firstLine="482" w:firstLineChars="200"/>
        <w:rPr>
          <w:rFonts w:ascii="宋体" w:hAnsi="宋体" w:cs="宋体"/>
          <w:b/>
          <w:sz w:val="24"/>
        </w:rPr>
      </w:pPr>
      <w:r>
        <w:rPr>
          <w:rFonts w:hint="eastAsia" w:ascii="宋体" w:hAnsi="宋体" w:cs="宋体"/>
          <w:b/>
          <w:sz w:val="24"/>
        </w:rPr>
        <w:t>15.3.1供应商的竞争性磋商报价应符合以下要求，否则响应文件按无效响应处理：</w:t>
      </w:r>
    </w:p>
    <w:p>
      <w:pPr>
        <w:spacing w:line="360" w:lineRule="auto"/>
        <w:ind w:firstLine="480" w:firstLineChars="200"/>
        <w:rPr>
          <w:rFonts w:ascii="宋体" w:hAnsi="宋体" w:cs="宋体"/>
          <w:sz w:val="24"/>
        </w:rPr>
      </w:pPr>
      <w:r>
        <w:rPr>
          <w:rFonts w:hint="eastAsia" w:ascii="宋体" w:hAnsi="宋体" w:cs="宋体"/>
          <w:sz w:val="24"/>
        </w:rPr>
        <w:t>（1）供应商必须就“采购需求”中所竞标的每个分标的全部内容分别作完整唯一总价报价，不得存在漏项报价；</w:t>
      </w:r>
    </w:p>
    <w:p>
      <w:pPr>
        <w:spacing w:line="360" w:lineRule="auto"/>
        <w:ind w:firstLine="480" w:firstLineChars="200"/>
        <w:rPr>
          <w:rFonts w:ascii="宋体" w:hAnsi="宋体" w:cs="宋体"/>
          <w:sz w:val="24"/>
        </w:rPr>
      </w:pPr>
      <w:r>
        <w:rPr>
          <w:rFonts w:hint="eastAsia" w:ascii="宋体" w:hAnsi="宋体" w:cs="宋体"/>
          <w:sz w:val="24"/>
        </w:rPr>
        <w:t>（2）供应商必须就所竞标的分标的单项内容作唯一报价。</w:t>
      </w:r>
    </w:p>
    <w:p>
      <w:pPr>
        <w:spacing w:line="360" w:lineRule="auto"/>
        <w:ind w:firstLine="480" w:firstLineChars="200"/>
        <w:rPr>
          <w:rFonts w:ascii="宋体" w:hAnsi="宋体" w:cs="宋体"/>
          <w:sz w:val="24"/>
        </w:rPr>
      </w:pPr>
      <w:r>
        <w:rPr>
          <w:rFonts w:ascii="宋体" w:hAnsi="宋体" w:cs="宋体"/>
          <w:sz w:val="24"/>
        </w:rPr>
        <w:t>15.3.2</w:t>
      </w:r>
      <w:r>
        <w:rPr>
          <w:rFonts w:hint="eastAsia" w:ascii="宋体" w:hAnsi="宋体" w:cs="宋体"/>
          <w:sz w:val="24"/>
        </w:rPr>
        <w:t>竞争性磋商报价（包含首次报价、最后报价）超过所开展竞争性磋商分标规定的采购预算金额或者最高限价的，其响应文件将按无效响应处理。</w:t>
      </w:r>
      <w:bookmarkStart w:id="33" w:name="_Hlk42592874"/>
    </w:p>
    <w:p>
      <w:pPr>
        <w:spacing w:line="360" w:lineRule="auto"/>
        <w:ind w:firstLine="480" w:firstLineChars="200"/>
        <w:rPr>
          <w:rFonts w:ascii="宋体" w:hAnsi="宋体" w:cs="宋体"/>
          <w:sz w:val="24"/>
        </w:rPr>
      </w:pPr>
      <w:r>
        <w:rPr>
          <w:rFonts w:ascii="宋体" w:hAnsi="宋体" w:cs="宋体"/>
          <w:sz w:val="24"/>
        </w:rPr>
        <w:t>15.3.3</w:t>
      </w:r>
      <w:r>
        <w:rPr>
          <w:rFonts w:hint="eastAsia" w:ascii="宋体" w:hAnsi="宋体" w:cs="宋体"/>
          <w:sz w:val="24"/>
        </w:rPr>
        <w:t>竞争性磋商报价（包含首次报价、最后报价）超过分项采购预算金额或者最高限价的，其响应文件将按无效处理。</w:t>
      </w:r>
    </w:p>
    <w:bookmarkEnd w:id="33"/>
    <w:p>
      <w:pPr>
        <w:spacing w:line="360" w:lineRule="auto"/>
        <w:ind w:firstLine="482" w:firstLineChars="200"/>
        <w:rPr>
          <w:rFonts w:ascii="宋体" w:hAnsi="宋体" w:cs="宋体"/>
          <w:b/>
          <w:bCs/>
          <w:sz w:val="24"/>
        </w:rPr>
      </w:pPr>
      <w:r>
        <w:rPr>
          <w:rFonts w:hint="eastAsia" w:ascii="宋体" w:hAnsi="宋体" w:cs="宋体"/>
          <w:b/>
          <w:bCs/>
          <w:sz w:val="24"/>
        </w:rPr>
        <w:t>16.竞争性磋商有效期</w:t>
      </w:r>
    </w:p>
    <w:p>
      <w:pPr>
        <w:spacing w:line="360" w:lineRule="auto"/>
        <w:ind w:firstLine="480" w:firstLineChars="200"/>
        <w:rPr>
          <w:rFonts w:ascii="宋体" w:hAnsi="宋体" w:cs="宋体"/>
          <w:sz w:val="24"/>
        </w:rPr>
      </w:pPr>
      <w:r>
        <w:rPr>
          <w:rFonts w:hint="eastAsia" w:ascii="宋体" w:hAnsi="宋体" w:cs="宋体"/>
          <w:sz w:val="24"/>
        </w:rPr>
        <w:t>16.1竞争性磋商有效期是指为保证采购人有足够的时间在提交响应文件后完成评审、确定成交供应商、合同签订等工作而要求供应商提交的响应文件在一定时间内保持有效的期限。</w:t>
      </w:r>
    </w:p>
    <w:p>
      <w:pPr>
        <w:spacing w:line="360" w:lineRule="auto"/>
        <w:ind w:firstLine="480" w:firstLineChars="200"/>
        <w:rPr>
          <w:rFonts w:ascii="宋体" w:hAnsi="宋体" w:cs="宋体"/>
          <w:sz w:val="24"/>
        </w:rPr>
      </w:pPr>
      <w:r>
        <w:rPr>
          <w:rFonts w:hint="eastAsia" w:ascii="宋体" w:hAnsi="宋体" w:cs="宋体"/>
          <w:sz w:val="24"/>
        </w:rPr>
        <w:t>16.2 竞争性磋商有效期应由供应商按“供应商须知前附表”规定的期限作出响应。</w:t>
      </w:r>
    </w:p>
    <w:p>
      <w:pPr>
        <w:spacing w:line="360" w:lineRule="auto"/>
        <w:ind w:firstLine="480" w:firstLineChars="200"/>
        <w:rPr>
          <w:rFonts w:ascii="宋体" w:hAnsi="宋体" w:cs="宋体"/>
          <w:sz w:val="24"/>
        </w:rPr>
      </w:pPr>
      <w:r>
        <w:rPr>
          <w:rFonts w:hint="eastAsia" w:ascii="宋体" w:hAnsi="宋体" w:cs="宋体"/>
          <w:sz w:val="24"/>
        </w:rPr>
        <w:t>16.3供应商的响应文件在竞争性磋商有效期内均保持有效。</w:t>
      </w:r>
    </w:p>
    <w:p>
      <w:pPr>
        <w:spacing w:line="360" w:lineRule="auto"/>
        <w:ind w:firstLine="482" w:firstLineChars="200"/>
        <w:rPr>
          <w:rFonts w:ascii="宋体" w:hAnsi="宋体" w:cs="宋体"/>
          <w:b/>
          <w:bCs/>
          <w:sz w:val="24"/>
        </w:rPr>
      </w:pPr>
      <w:r>
        <w:rPr>
          <w:rFonts w:hint="eastAsia" w:ascii="宋体" w:hAnsi="宋体" w:cs="宋体"/>
          <w:b/>
          <w:bCs/>
          <w:sz w:val="24"/>
        </w:rPr>
        <w:t>17.磋商保证金</w:t>
      </w:r>
    </w:p>
    <w:p>
      <w:pPr>
        <w:spacing w:line="360" w:lineRule="auto"/>
        <w:ind w:left="420" w:leftChars="200"/>
        <w:rPr>
          <w:rFonts w:ascii="宋体" w:hAnsi="宋体" w:cs="宋体"/>
          <w:sz w:val="24"/>
        </w:rPr>
      </w:pPr>
      <w:r>
        <w:rPr>
          <w:rFonts w:hint="eastAsia" w:ascii="宋体" w:hAnsi="宋体" w:cs="宋体"/>
          <w:sz w:val="24"/>
        </w:rPr>
        <w:t>17.1供应商须按“供应商须知前附表”的规定提交磋商保证金。</w:t>
      </w:r>
    </w:p>
    <w:p>
      <w:pPr>
        <w:spacing w:line="360" w:lineRule="auto"/>
        <w:ind w:left="420" w:leftChars="200"/>
        <w:rPr>
          <w:rFonts w:ascii="宋体" w:hAnsi="宋体" w:cs="宋体"/>
          <w:sz w:val="24"/>
        </w:rPr>
      </w:pPr>
      <w:r>
        <w:rPr>
          <w:rFonts w:hint="eastAsia" w:ascii="宋体" w:hAnsi="宋体" w:cs="宋体"/>
          <w:sz w:val="24"/>
        </w:rPr>
        <w:t>17.2磋商保证金的退还</w:t>
      </w:r>
    </w:p>
    <w:p>
      <w:pPr>
        <w:spacing w:line="360" w:lineRule="auto"/>
        <w:ind w:firstLine="480" w:firstLineChars="200"/>
        <w:rPr>
          <w:rFonts w:ascii="宋体" w:hAnsi="宋体" w:cs="宋体"/>
          <w:sz w:val="24"/>
        </w:rPr>
      </w:pPr>
      <w:bookmarkStart w:id="34" w:name="_Hlk66782243"/>
      <w:r>
        <w:rPr>
          <w:rFonts w:hint="eastAsia" w:ascii="宋体" w:hAnsi="宋体" w:cs="宋体"/>
          <w:sz w:val="24"/>
        </w:rPr>
        <w:t>未</w:t>
      </w:r>
      <w:r>
        <w:rPr>
          <w:rFonts w:hint="eastAsia" w:ascii="宋体" w:hAnsi="宋体" w:cs="宋体"/>
          <w:spacing w:val="-6"/>
          <w:sz w:val="24"/>
        </w:rPr>
        <w:t>成交供应商的磋商保证金自成交通知书发出之日起4个工作日内退还；</w:t>
      </w:r>
      <w:r>
        <w:rPr>
          <w:rFonts w:hint="eastAsia" w:ascii="宋体" w:hAnsi="宋体" w:cs="宋体"/>
          <w:sz w:val="24"/>
        </w:rPr>
        <w:t>成交供应商的磋商保证金自签订合同之日起4个工作日内退还。</w:t>
      </w:r>
      <w:bookmarkEnd w:id="34"/>
      <w:r>
        <w:rPr>
          <w:rFonts w:hint="eastAsia" w:ascii="宋体" w:hAnsi="宋体" w:cs="宋体"/>
          <w:sz w:val="24"/>
        </w:rPr>
        <w:t xml:space="preserve"> </w:t>
      </w:r>
    </w:p>
    <w:p>
      <w:pPr>
        <w:spacing w:line="360" w:lineRule="auto"/>
        <w:ind w:left="420" w:leftChars="200"/>
        <w:rPr>
          <w:rFonts w:ascii="宋体" w:hAnsi="宋体" w:cs="宋体"/>
          <w:sz w:val="24"/>
        </w:rPr>
      </w:pPr>
      <w:r>
        <w:rPr>
          <w:rFonts w:hint="eastAsia" w:ascii="宋体" w:hAnsi="宋体" w:cs="宋体"/>
          <w:sz w:val="24"/>
        </w:rPr>
        <w:t>17.3磋商保证金不计息。</w:t>
      </w:r>
    </w:p>
    <w:p>
      <w:pPr>
        <w:spacing w:line="360" w:lineRule="auto"/>
        <w:ind w:left="420" w:leftChars="200"/>
        <w:rPr>
          <w:rFonts w:ascii="宋体" w:hAnsi="宋体" w:cs="宋体"/>
          <w:sz w:val="24"/>
        </w:rPr>
      </w:pPr>
      <w:r>
        <w:rPr>
          <w:rFonts w:hint="eastAsia" w:ascii="宋体" w:hAnsi="宋体" w:cs="宋体"/>
          <w:sz w:val="24"/>
        </w:rPr>
        <w:t xml:space="preserve">17.4供应商有下列情形之一的，磋商保证金将不予退还： </w:t>
      </w:r>
    </w:p>
    <w:p>
      <w:pPr>
        <w:spacing w:line="360" w:lineRule="auto"/>
        <w:ind w:left="420" w:leftChars="200"/>
        <w:rPr>
          <w:rFonts w:ascii="宋体" w:hAnsi="宋体" w:cs="宋体"/>
          <w:sz w:val="24"/>
        </w:rPr>
      </w:pPr>
      <w:r>
        <w:rPr>
          <w:rFonts w:hint="eastAsia" w:ascii="宋体" w:hAnsi="宋体" w:cs="宋体"/>
          <w:sz w:val="24"/>
        </w:rPr>
        <w:t>（1）供应商在提交首次响应文件截止时间后撤回响应文件的；</w:t>
      </w:r>
    </w:p>
    <w:p>
      <w:pPr>
        <w:spacing w:line="360" w:lineRule="auto"/>
        <w:ind w:left="420" w:leftChars="200"/>
        <w:rPr>
          <w:rFonts w:ascii="宋体" w:hAnsi="宋体" w:cs="宋体"/>
          <w:sz w:val="24"/>
        </w:rPr>
      </w:pPr>
      <w:r>
        <w:rPr>
          <w:rFonts w:hint="eastAsia" w:ascii="宋体" w:hAnsi="宋体" w:cs="宋体"/>
          <w:sz w:val="24"/>
        </w:rPr>
        <w:t>（2）未按规定提交履约保证金的；</w:t>
      </w:r>
    </w:p>
    <w:p>
      <w:pPr>
        <w:spacing w:line="360" w:lineRule="auto"/>
        <w:ind w:left="420" w:leftChars="200"/>
        <w:rPr>
          <w:rFonts w:ascii="宋体" w:hAnsi="宋体" w:cs="宋体"/>
          <w:sz w:val="24"/>
        </w:rPr>
      </w:pPr>
      <w:r>
        <w:rPr>
          <w:rFonts w:hint="eastAsia" w:ascii="宋体" w:hAnsi="宋体" w:cs="宋体"/>
          <w:sz w:val="24"/>
        </w:rPr>
        <w:t>（3）供应商在响应文件中提供虚假材料的；</w:t>
      </w:r>
    </w:p>
    <w:p>
      <w:pPr>
        <w:spacing w:line="360" w:lineRule="auto"/>
        <w:ind w:firstLine="420"/>
        <w:rPr>
          <w:rFonts w:ascii="宋体" w:hAnsi="宋体" w:cs="宋体"/>
          <w:sz w:val="24"/>
        </w:rPr>
      </w:pPr>
      <w:r>
        <w:rPr>
          <w:rFonts w:hint="eastAsia" w:ascii="宋体" w:hAnsi="宋体" w:cs="宋体"/>
          <w:sz w:val="24"/>
        </w:rPr>
        <w:t>（4）除因不可抗力或者磋商文件认可的情形以外，成交供应商不与采购人签订合同的；</w:t>
      </w:r>
    </w:p>
    <w:p>
      <w:pPr>
        <w:spacing w:line="360" w:lineRule="auto"/>
        <w:ind w:left="420" w:leftChars="200"/>
        <w:rPr>
          <w:rFonts w:ascii="宋体" w:hAnsi="宋体" w:cs="宋体"/>
          <w:sz w:val="24"/>
        </w:rPr>
      </w:pPr>
      <w:r>
        <w:rPr>
          <w:rFonts w:hint="eastAsia" w:ascii="宋体" w:hAnsi="宋体" w:cs="宋体"/>
          <w:sz w:val="24"/>
        </w:rPr>
        <w:t>（5）供应商与采购人、其他供应商或者采购代理机构恶意串通的；</w:t>
      </w:r>
    </w:p>
    <w:p>
      <w:pPr>
        <w:spacing w:line="360" w:lineRule="auto"/>
        <w:ind w:left="420" w:leftChars="200"/>
        <w:rPr>
          <w:rFonts w:ascii="宋体" w:hAnsi="宋体" w:cs="宋体"/>
          <w:sz w:val="24"/>
        </w:rPr>
      </w:pPr>
      <w:r>
        <w:rPr>
          <w:rFonts w:hint="eastAsia" w:ascii="宋体" w:hAnsi="宋体" w:cs="宋体"/>
          <w:sz w:val="24"/>
        </w:rPr>
        <w:t>（6）法律法规规定的其他情形。</w:t>
      </w:r>
    </w:p>
    <w:p>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pPr>
        <w:spacing w:line="360" w:lineRule="auto"/>
        <w:ind w:firstLine="480" w:firstLineChars="200"/>
        <w:rPr>
          <w:rFonts w:ascii="宋体" w:hAnsi="宋体" w:cs="宋体"/>
          <w:spacing w:val="-6"/>
          <w:sz w:val="24"/>
        </w:rPr>
      </w:pPr>
      <w:r>
        <w:rPr>
          <w:rFonts w:hint="eastAsia" w:ascii="宋体" w:hAnsi="宋体" w:cs="宋体"/>
          <w:sz w:val="24"/>
        </w:rPr>
        <w:t>18.1供应商应按本磋商文件规定的格式和顺序编制响应文件并标注页码，响应文件内容</w:t>
      </w:r>
      <w:r>
        <w:rPr>
          <w:rFonts w:hint="eastAsia" w:ascii="宋体" w:hAnsi="宋体" w:cs="宋体"/>
          <w:spacing w:val="-6"/>
          <w:sz w:val="24"/>
        </w:rPr>
        <w:t>不完整、编排混乱导致响应文件被误读、漏读或者查找不到相关内容的，</w:t>
      </w:r>
      <w:r>
        <w:rPr>
          <w:rFonts w:hint="eastAsia" w:ascii="宋体" w:hAnsi="宋体" w:cs="宋体"/>
          <w:sz w:val="24"/>
        </w:rPr>
        <w:t>由此引发的</w:t>
      </w:r>
      <w:r>
        <w:rPr>
          <w:rFonts w:hint="eastAsia" w:ascii="宋体" w:hAnsi="宋体" w:cs="宋体"/>
          <w:spacing w:val="-6"/>
          <w:sz w:val="24"/>
        </w:rPr>
        <w:t>后果由供应商承担。</w:t>
      </w:r>
    </w:p>
    <w:p>
      <w:pPr>
        <w:spacing w:line="360" w:lineRule="auto"/>
        <w:ind w:firstLine="480" w:firstLineChars="200"/>
        <w:rPr>
          <w:rFonts w:ascii="宋体" w:hAnsi="宋体" w:cs="宋体"/>
          <w:sz w:val="24"/>
        </w:rPr>
      </w:pPr>
      <w:r>
        <w:rPr>
          <w:rFonts w:hint="eastAsia" w:ascii="宋体" w:hAnsi="宋体" w:cs="宋体"/>
          <w:sz w:val="24"/>
        </w:rPr>
        <w:t>18.2响应文件应按资格证明文件、报价商务服务文件分别编制电子文件，</w:t>
      </w:r>
      <w:r>
        <w:rPr>
          <w:rFonts w:hint="eastAsia" w:ascii="宋体" w:hAnsi="宋体" w:cs="宋体"/>
          <w:sz w:val="24"/>
          <w:lang w:bidi="ar"/>
        </w:rPr>
        <w:t>并按广西政府采购云平台的要求编制、加密、上传。</w:t>
      </w:r>
    </w:p>
    <w:p>
      <w:pPr>
        <w:spacing w:line="360" w:lineRule="auto"/>
        <w:ind w:firstLine="480" w:firstLineChars="200"/>
        <w:rPr>
          <w:rFonts w:ascii="宋体" w:hAnsi="宋体" w:cs="宋体"/>
          <w:sz w:val="24"/>
        </w:rPr>
      </w:pPr>
      <w:r>
        <w:rPr>
          <w:rFonts w:hint="eastAsia" w:ascii="宋体" w:hAnsi="宋体" w:cs="宋体"/>
          <w:sz w:val="24"/>
        </w:rPr>
        <w:t>18.</w:t>
      </w:r>
      <w:bookmarkStart w:id="35" w:name="_Hlk65832699"/>
      <w:r>
        <w:rPr>
          <w:rFonts w:hint="eastAsia" w:ascii="宋体" w:hAnsi="宋体" w:cs="宋体"/>
          <w:sz w:val="24"/>
        </w:rPr>
        <w:t>3响应文件须由供应商在规定位置盖公章并签字</w:t>
      </w:r>
      <w:bookmarkStart w:id="36" w:name="_Hlk65832569"/>
      <w:r>
        <w:rPr>
          <w:rFonts w:hint="eastAsia" w:ascii="宋体" w:hAnsi="宋体" w:cs="宋体"/>
          <w:sz w:val="24"/>
        </w:rPr>
        <w:t>（具体以供应商须知前附表或响应文件格式规定为准）</w:t>
      </w:r>
      <w:bookmarkEnd w:id="35"/>
      <w:bookmarkEnd w:id="36"/>
      <w:r>
        <w:rPr>
          <w:rFonts w:hint="eastAsia" w:ascii="宋体" w:hAnsi="宋体" w:cs="宋体"/>
          <w:sz w:val="24"/>
        </w:rPr>
        <w:t>，否则其响应文件按无效响应处理。</w:t>
      </w:r>
    </w:p>
    <w:p>
      <w:pPr>
        <w:spacing w:line="360" w:lineRule="auto"/>
        <w:ind w:firstLine="480" w:firstLineChars="200"/>
        <w:rPr>
          <w:rFonts w:ascii="宋体" w:hAnsi="宋体" w:cs="宋体"/>
          <w:sz w:val="24"/>
        </w:rPr>
      </w:pPr>
      <w:r>
        <w:rPr>
          <w:rFonts w:hint="eastAsia" w:ascii="宋体" w:hAnsi="宋体" w:cs="宋体"/>
          <w:sz w:val="24"/>
        </w:rPr>
        <w:t>18.4响应文件中标注的供应商名称应与营业执照（事业单位法人证书、执业许可证、自然人身份证）及公章一致，否则其响应文件按无效响应处理。</w:t>
      </w:r>
    </w:p>
    <w:p>
      <w:pPr>
        <w:spacing w:line="360" w:lineRule="auto"/>
        <w:ind w:firstLine="480" w:firstLineChars="200"/>
        <w:rPr>
          <w:rFonts w:ascii="宋体" w:hAnsi="宋体" w:cs="宋体"/>
          <w:sz w:val="24"/>
        </w:rPr>
      </w:pPr>
      <w:r>
        <w:rPr>
          <w:rFonts w:hint="eastAsia" w:ascii="宋体" w:hAnsi="宋体" w:cs="宋体"/>
          <w:sz w:val="24"/>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482" w:firstLineChars="200"/>
        <w:rPr>
          <w:rFonts w:ascii="宋体" w:hAnsi="宋体" w:cs="宋体"/>
          <w:b/>
          <w:bCs/>
          <w:sz w:val="24"/>
        </w:rPr>
      </w:pPr>
      <w:r>
        <w:rPr>
          <w:rFonts w:hint="eastAsia" w:ascii="宋体" w:hAnsi="宋体" w:cs="宋体"/>
          <w:b/>
          <w:bCs/>
          <w:sz w:val="24"/>
        </w:rPr>
        <w:t>19.响应文件的加密、解密及电子备份响应文件</w:t>
      </w:r>
    </w:p>
    <w:p>
      <w:pPr>
        <w:spacing w:line="360" w:lineRule="auto"/>
        <w:ind w:firstLine="480" w:firstLineChars="200"/>
        <w:rPr>
          <w:rFonts w:ascii="宋体" w:hAnsi="宋体" w:cs="宋体"/>
          <w:sz w:val="24"/>
        </w:rPr>
      </w:pPr>
      <w:r>
        <w:rPr>
          <w:rFonts w:hint="eastAsia" w:ascii="宋体" w:hAnsi="宋体" w:cs="宋体"/>
          <w:sz w:val="24"/>
        </w:rPr>
        <w:t>19.1电子响应文件编制完成后，供应商应按广西政府采购云平台的要求进行加密，并在规定时间内解密，否则，由此产生的后果由供应商自行负责。</w:t>
      </w:r>
    </w:p>
    <w:p>
      <w:pPr>
        <w:spacing w:line="360" w:lineRule="auto"/>
        <w:ind w:firstLine="480" w:firstLineChars="200"/>
      </w:pPr>
      <w:r>
        <w:rPr>
          <w:rFonts w:ascii="宋体" w:hAnsi="宋体" w:cs="宋体"/>
          <w:sz w:val="24"/>
        </w:rPr>
        <w:t>19.2</w:t>
      </w:r>
      <w:r>
        <w:rPr>
          <w:rFonts w:hint="eastAsia" w:ascii="宋体" w:hAnsi="宋体" w:cs="宋体"/>
          <w:sz w:val="24"/>
        </w:rPr>
        <w:t>电子备份响应文件是指通过“广西政府采购云平台电子投标客户端”在线编制生成且后缀名为“</w:t>
      </w:r>
      <w:r>
        <w:rPr>
          <w:rFonts w:ascii="宋体" w:hAnsi="宋体" w:cs="宋体"/>
          <w:sz w:val="24"/>
        </w:rPr>
        <w:t>bfbs</w:t>
      </w:r>
      <w:r>
        <w:rPr>
          <w:rFonts w:hint="eastAsia" w:ascii="宋体" w:hAnsi="宋体" w:cs="宋体"/>
          <w:sz w:val="24"/>
        </w:rPr>
        <w:t>”的文件，是否接受电子备份响应文件详见在“供应商须知前附表”。</w:t>
      </w:r>
    </w:p>
    <w:p>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pPr>
        <w:spacing w:line="360" w:lineRule="auto"/>
        <w:ind w:firstLine="480" w:firstLineChars="200"/>
        <w:rPr>
          <w:rFonts w:ascii="宋体" w:hAnsi="宋体" w:cs="宋体"/>
          <w:sz w:val="24"/>
        </w:rPr>
      </w:pPr>
      <w:r>
        <w:rPr>
          <w:rFonts w:hint="eastAsia" w:ascii="宋体" w:hAnsi="宋体" w:cs="宋体"/>
          <w:sz w:val="24"/>
        </w:rPr>
        <w:t>20.1供应商必须在“供应商须知前附表”规定的时间和地点提交响应文件。</w:t>
      </w:r>
    </w:p>
    <w:p>
      <w:pPr>
        <w:widowControl/>
        <w:spacing w:line="360" w:lineRule="auto"/>
        <w:ind w:firstLine="480" w:firstLineChars="200"/>
        <w:rPr>
          <w:rFonts w:ascii="宋体" w:hAnsi="宋体" w:cs="宋体"/>
          <w:b/>
          <w:sz w:val="24"/>
          <w:lang w:bidi="ar"/>
        </w:rPr>
      </w:pPr>
      <w:r>
        <w:rPr>
          <w:rFonts w:hint="eastAsia" w:ascii="宋体" w:hAnsi="宋体" w:cs="宋体"/>
          <w:sz w:val="24"/>
        </w:rPr>
        <w:t>20.2</w:t>
      </w:r>
      <w:r>
        <w:rPr>
          <w:rFonts w:hint="eastAsia" w:ascii="宋体" w:hAnsi="宋体" w:cs="宋体"/>
          <w:sz w:val="24"/>
          <w:lang w:bidi="ar"/>
        </w:rPr>
        <w:t>本项目为全流程电子化政府采购项目，通过广西政府采购云平台（https://www.gcy.zfcg.gxzf.gov.cn/）实行在线电子</w:t>
      </w:r>
      <w:r>
        <w:rPr>
          <w:rFonts w:hint="eastAsia" w:ascii="宋体" w:hAnsi="宋体" w:cs="宋体"/>
          <w:sz w:val="24"/>
        </w:rPr>
        <w:t>竞争性磋商</w:t>
      </w:r>
      <w:r>
        <w:rPr>
          <w:rFonts w:hint="eastAsia" w:ascii="宋体" w:hAnsi="宋体" w:cs="宋体"/>
          <w:sz w:val="24"/>
          <w:lang w:bidi="ar"/>
        </w:rPr>
        <w:t>，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sz w:val="24"/>
          <w:lang w:bidi="ar"/>
        </w:rPr>
        <w:t>供应商在广西政府采购云平台提交电子版响应文件时，请填写参加远程开标活动经办人联系方式。</w:t>
      </w:r>
    </w:p>
    <w:p>
      <w:pPr>
        <w:pStyle w:val="6"/>
        <w:keepNext w:val="0"/>
        <w:keepLines w:val="0"/>
        <w:spacing w:before="0" w:after="0" w:line="360" w:lineRule="auto"/>
        <w:ind w:firstLine="480" w:firstLineChars="200"/>
        <w:jc w:val="left"/>
        <w:rPr>
          <w:rFonts w:ascii="宋体" w:hAnsi="宋体" w:cs="宋体"/>
          <w:b w:val="0"/>
          <w:sz w:val="24"/>
          <w:szCs w:val="24"/>
        </w:rPr>
      </w:pPr>
      <w:r>
        <w:rPr>
          <w:rFonts w:hint="eastAsia" w:ascii="宋体" w:hAnsi="宋体" w:cs="宋体"/>
          <w:b w:val="0"/>
          <w:sz w:val="24"/>
          <w:szCs w:val="24"/>
        </w:rPr>
        <w:t>20.3未在规定时间内上传或者未按广西政府采购云平台的要求编制、加密的电子响应文件，广西政府采购云平台将拒收。</w:t>
      </w:r>
    </w:p>
    <w:p>
      <w:pPr>
        <w:pStyle w:val="7"/>
        <w:spacing w:line="360" w:lineRule="auto"/>
        <w:rPr>
          <w:rFonts w:ascii="宋体" w:hAnsi="宋体" w:cs="宋体"/>
          <w:sz w:val="24"/>
          <w:szCs w:val="24"/>
        </w:rPr>
      </w:pPr>
      <w:r>
        <w:rPr>
          <w:rFonts w:hint="eastAsia" w:ascii="宋体" w:hAnsi="宋体" w:cs="宋体"/>
          <w:sz w:val="24"/>
          <w:szCs w:val="24"/>
        </w:rPr>
        <w:t>20.4电子响应文件提交方</w:t>
      </w:r>
      <w:r>
        <w:rPr>
          <w:rFonts w:hint="eastAsia" w:ascii="宋体" w:hAnsi="宋体" w:cs="宋体"/>
          <w:bCs/>
          <w:sz w:val="24"/>
          <w:szCs w:val="24"/>
        </w:rPr>
        <w:t>式见“竞争性磋商公告”</w:t>
      </w:r>
      <w:r>
        <w:rPr>
          <w:rFonts w:hint="eastAsia" w:ascii="宋体" w:hAnsi="宋体" w:cs="宋体"/>
          <w:sz w:val="24"/>
          <w:szCs w:val="24"/>
        </w:rPr>
        <w:t>中“四、响应文件提交”。</w:t>
      </w:r>
    </w:p>
    <w:p>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pPr>
        <w:spacing w:line="360" w:lineRule="auto"/>
        <w:ind w:firstLine="480" w:firstLineChars="200"/>
        <w:rPr>
          <w:rFonts w:ascii="宋体" w:hAnsi="宋体" w:cs="宋体"/>
          <w:bCs/>
          <w:sz w:val="24"/>
          <w:lang w:bidi="ar"/>
        </w:rPr>
      </w:pPr>
      <w:r>
        <w:rPr>
          <w:rFonts w:hint="eastAsia" w:ascii="宋体" w:hAnsi="宋体" w:cs="宋体"/>
          <w:bCs/>
          <w:sz w:val="24"/>
          <w:lang w:bidi="ar"/>
        </w:rPr>
        <w:t>21.1供应商应当在首次响应文件提交截止时间前完成电子响应文件的上传、提交，首次响应文件提交截止时间前可以补充、修改或者撤回响应文件。补充或者修改响应文件的，应当先行撤回原文件，补充、修改后重新上传、提交。首次响应文件提交截止时间前未完成上传、提交的，视为撤回响应文件。首次响应文件提交截止时间以后上传提交的响应文件，广西政府采购云平台将予以拒收。</w:t>
      </w:r>
    </w:p>
    <w:p>
      <w:pPr>
        <w:spacing w:line="360" w:lineRule="auto"/>
        <w:ind w:firstLine="482" w:firstLineChars="200"/>
        <w:rPr>
          <w:rFonts w:ascii="宋体" w:hAnsi="宋体" w:cs="宋体"/>
          <w:b/>
          <w:bCs/>
          <w:sz w:val="24"/>
        </w:rPr>
      </w:pPr>
      <w:bookmarkStart w:id="37" w:name="_Hlk45702405"/>
      <w:r>
        <w:rPr>
          <w:rFonts w:hint="eastAsia" w:ascii="宋体" w:hAnsi="宋体" w:cs="宋体"/>
          <w:b/>
          <w:bCs/>
          <w:sz w:val="24"/>
        </w:rPr>
        <w:t>22.首次响应文件的退回</w:t>
      </w:r>
    </w:p>
    <w:p>
      <w:pPr>
        <w:spacing w:line="360" w:lineRule="auto"/>
        <w:ind w:firstLine="480" w:firstLineChars="200"/>
        <w:rPr>
          <w:rFonts w:ascii="宋体" w:hAnsi="宋体" w:cs="宋体"/>
          <w:sz w:val="24"/>
        </w:rPr>
      </w:pPr>
      <w:r>
        <w:rPr>
          <w:rFonts w:hint="eastAsia" w:ascii="宋体" w:hAnsi="宋体" w:cs="宋体"/>
          <w:sz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pPr>
        <w:spacing w:line="360" w:lineRule="auto"/>
        <w:ind w:firstLine="482" w:firstLineChars="200"/>
        <w:rPr>
          <w:rFonts w:ascii="宋体" w:hAnsi="宋体" w:cs="宋体"/>
          <w:b/>
          <w:bCs/>
          <w:sz w:val="24"/>
        </w:rPr>
      </w:pPr>
      <w:r>
        <w:rPr>
          <w:rFonts w:hint="eastAsia" w:ascii="宋体" w:hAnsi="宋体" w:cs="宋体"/>
          <w:b/>
          <w:bCs/>
          <w:sz w:val="24"/>
        </w:rPr>
        <w:t>23.截止时间后的撤回</w:t>
      </w:r>
    </w:p>
    <w:p>
      <w:pPr>
        <w:spacing w:line="360" w:lineRule="auto"/>
        <w:ind w:firstLine="480" w:firstLineChars="200"/>
        <w:rPr>
          <w:rFonts w:ascii="宋体" w:hAnsi="宋体" w:cs="宋体"/>
          <w:sz w:val="24"/>
        </w:rPr>
      </w:pPr>
      <w:r>
        <w:rPr>
          <w:rFonts w:hint="eastAsia" w:ascii="宋体" w:hAnsi="宋体" w:cs="宋体"/>
          <w:sz w:val="24"/>
        </w:rPr>
        <w:t>23.1供应商在首次响应文件提交截止时间后书面通知采购人、采购代理机构书面撤回响应文件的，将根据本磋商文件《供应商须知正文》第17.4条的规定不予退还其磋商保证金。</w:t>
      </w:r>
    </w:p>
    <w:bookmarkEnd w:id="37"/>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四、评审及磋商</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24.磋商小组成立</w:t>
      </w:r>
    </w:p>
    <w:p>
      <w:pPr>
        <w:spacing w:line="360" w:lineRule="auto"/>
        <w:ind w:firstLine="480" w:firstLineChars="200"/>
        <w:rPr>
          <w:rFonts w:ascii="宋体" w:hAnsi="宋体" w:cs="宋体"/>
          <w:sz w:val="24"/>
        </w:rPr>
      </w:pPr>
      <w:r>
        <w:rPr>
          <w:rFonts w:hint="eastAsia" w:ascii="宋体" w:hAnsi="宋体" w:cs="宋体"/>
          <w:sz w:val="24"/>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80" w:firstLineChars="200"/>
        <w:rPr>
          <w:rFonts w:ascii="宋体" w:hAnsi="宋体" w:cs="宋体"/>
          <w:sz w:val="24"/>
        </w:rPr>
      </w:pPr>
      <w:r>
        <w:rPr>
          <w:rFonts w:hint="eastAsia" w:ascii="宋体" w:hAnsi="宋体" w:cs="宋体"/>
          <w:sz w:val="24"/>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pPr>
        <w:spacing w:line="360" w:lineRule="auto"/>
        <w:ind w:firstLine="480" w:firstLineChars="200"/>
        <w:rPr>
          <w:rFonts w:ascii="宋体" w:hAnsi="宋体" w:cs="宋体"/>
          <w:sz w:val="24"/>
        </w:rPr>
      </w:pPr>
      <w:r>
        <w:rPr>
          <w:rFonts w:hint="eastAsia" w:ascii="宋体" w:hAnsi="宋体" w:cs="宋体"/>
          <w:sz w:val="24"/>
        </w:rPr>
        <w:t>25.1首次响应文件由磋商小组或者采购代理机构在“供应商须知前附表”规定的时间开启。</w:t>
      </w:r>
    </w:p>
    <w:p>
      <w:pPr>
        <w:spacing w:line="360" w:lineRule="auto"/>
        <w:ind w:firstLine="480" w:firstLineChars="200"/>
        <w:rPr>
          <w:rFonts w:ascii="宋体" w:hAnsi="宋体" w:cs="宋体"/>
          <w:sz w:val="24"/>
        </w:rPr>
      </w:pPr>
      <w:r>
        <w:rPr>
          <w:rFonts w:hint="eastAsia" w:ascii="宋体" w:hAnsi="宋体" w:cs="宋体"/>
          <w:sz w:val="24"/>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 w:val="24"/>
        </w:rPr>
        <w:t>响应文件未按时解密的，</w:t>
      </w:r>
      <w:r>
        <w:rPr>
          <w:rFonts w:hint="eastAsia" w:ascii="宋体" w:hAnsi="宋体" w:cs="宋体"/>
          <w:b/>
          <w:sz w:val="24"/>
        </w:rPr>
        <w:t>视为响应</w:t>
      </w:r>
      <w:r>
        <w:rPr>
          <w:rFonts w:hint="eastAsia" w:ascii="宋体" w:hAnsi="宋体" w:cs="宋体"/>
          <w:b/>
          <w:bCs/>
          <w:sz w:val="24"/>
        </w:rPr>
        <w:t>文件无效。</w:t>
      </w:r>
      <w:r>
        <w:rPr>
          <w:rFonts w:hint="eastAsia" w:ascii="宋体" w:hAnsi="宋体" w:cs="宋体"/>
          <w:sz w:val="24"/>
        </w:rPr>
        <w:t>（解密异常情况处理：详见本章26.</w:t>
      </w:r>
      <w:r>
        <w:rPr>
          <w:rFonts w:ascii="宋体" w:hAnsi="宋体" w:cs="宋体"/>
          <w:sz w:val="24"/>
        </w:rPr>
        <w:t>3</w:t>
      </w:r>
      <w:r>
        <w:rPr>
          <w:rFonts w:hint="eastAsia" w:ascii="宋体" w:hAnsi="宋体" w:cs="宋体"/>
          <w:sz w:val="24"/>
        </w:rPr>
        <w:t>电子交易活动的中止。）</w:t>
      </w:r>
    </w:p>
    <w:p>
      <w:pPr>
        <w:spacing w:line="360" w:lineRule="auto"/>
        <w:ind w:firstLine="480" w:firstLineChars="200"/>
        <w:rPr>
          <w:rFonts w:ascii="宋体" w:hAnsi="宋体" w:cs="宋体"/>
          <w:sz w:val="24"/>
        </w:rPr>
      </w:pPr>
      <w:r>
        <w:rPr>
          <w:rFonts w:hint="eastAsia" w:ascii="宋体" w:hAnsi="宋体" w:cs="宋体"/>
          <w:sz w:val="24"/>
        </w:rPr>
        <w:t>25.3成功解密响应文件的供应商不足3家的，不得磋商。</w:t>
      </w:r>
    </w:p>
    <w:p>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pPr>
        <w:spacing w:line="360" w:lineRule="auto"/>
        <w:ind w:firstLine="480" w:firstLineChars="200"/>
        <w:rPr>
          <w:rFonts w:ascii="宋体" w:hAnsi="宋体" w:cs="宋体"/>
          <w:sz w:val="24"/>
        </w:rPr>
      </w:pPr>
      <w:r>
        <w:rPr>
          <w:rFonts w:hint="eastAsia" w:ascii="宋体" w:hAnsi="宋体" w:cs="宋体"/>
          <w:sz w:val="24"/>
        </w:rPr>
        <w:t>26.1磋商小组按照“第四章 评审程序、评审方法和评审标准”规定的方法、评审因素、标准和程序对响应文件进行评审。</w:t>
      </w:r>
    </w:p>
    <w:p>
      <w:pPr>
        <w:spacing w:line="360" w:lineRule="auto"/>
        <w:ind w:firstLine="480" w:firstLineChars="200"/>
      </w:pPr>
      <w:r>
        <w:rPr>
          <w:rFonts w:hint="eastAsia" w:ascii="宋体" w:hAnsi="宋体" w:cs="宋体"/>
          <w:sz w:val="24"/>
        </w:rPr>
        <w:t>26.</w:t>
      </w:r>
      <w:r>
        <w:rPr>
          <w:rFonts w:ascii="宋体" w:hAnsi="宋体" w:cs="宋体"/>
          <w:sz w:val="24"/>
        </w:rPr>
        <w:t>2</w:t>
      </w:r>
      <w:r>
        <w:rPr>
          <w:rFonts w:hint="eastAsia" w:ascii="宋体" w:hAnsi="宋体" w:cs="宋体"/>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80" w:firstLineChars="200"/>
        <w:rPr>
          <w:rFonts w:ascii="宋体" w:hAnsi="宋体" w:cs="宋体"/>
          <w:sz w:val="24"/>
        </w:rPr>
      </w:pPr>
      <w:r>
        <w:rPr>
          <w:rFonts w:hint="eastAsia" w:ascii="宋体" w:hAnsi="宋体" w:cs="宋体"/>
          <w:sz w:val="24"/>
        </w:rPr>
        <w:t>26.</w:t>
      </w:r>
      <w:r>
        <w:rPr>
          <w:rFonts w:ascii="宋体" w:hAnsi="宋体" w:cs="宋体"/>
          <w:sz w:val="24"/>
        </w:rPr>
        <w:t>3</w:t>
      </w:r>
      <w:r>
        <w:rPr>
          <w:rFonts w:hint="eastAsia" w:ascii="宋体" w:hAnsi="宋体" w:cs="宋体"/>
          <w:sz w:val="24"/>
        </w:rPr>
        <w:t>电子交易活动的中止。采购过程中出现以下情形，导致电子交易平台无法正常运行，或者无法保证电子交易的公平、公正和安全时，采购机构可中止电子交易活动：</w:t>
      </w:r>
    </w:p>
    <w:p>
      <w:pPr>
        <w:spacing w:line="360" w:lineRule="auto"/>
        <w:ind w:firstLine="480" w:firstLineChars="200"/>
        <w:rPr>
          <w:rFonts w:ascii="宋体" w:hAnsi="宋体" w:cs="宋体"/>
          <w:sz w:val="24"/>
        </w:rPr>
      </w:pPr>
      <w:r>
        <w:rPr>
          <w:rFonts w:hint="eastAsia" w:ascii="宋体" w:hAnsi="宋体" w:cs="宋体"/>
          <w:sz w:val="24"/>
        </w:rPr>
        <w:t xml:space="preserve">（1）电子交易平台发生故障而无法登录访问的； </w:t>
      </w:r>
    </w:p>
    <w:p>
      <w:pPr>
        <w:spacing w:line="360" w:lineRule="auto"/>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pPr>
        <w:spacing w:line="360" w:lineRule="auto"/>
        <w:ind w:firstLine="480" w:firstLineChars="200"/>
        <w:rPr>
          <w:rFonts w:ascii="宋体" w:hAnsi="宋体" w:cs="宋体"/>
          <w:sz w:val="24"/>
        </w:rPr>
      </w:pPr>
      <w:r>
        <w:rPr>
          <w:rFonts w:hint="eastAsia" w:ascii="宋体" w:hAnsi="宋体" w:cs="宋体"/>
          <w:sz w:val="24"/>
        </w:rPr>
        <w:t>（3）电子交易平台发现严重安全漏洞，有潜在泄密危险的；</w:t>
      </w:r>
    </w:p>
    <w:p>
      <w:pPr>
        <w:spacing w:line="360" w:lineRule="auto"/>
        <w:ind w:firstLine="480" w:firstLineChars="200"/>
        <w:rPr>
          <w:rFonts w:ascii="宋体" w:hAnsi="宋体" w:cs="宋体"/>
          <w:sz w:val="24"/>
        </w:rPr>
      </w:pPr>
      <w:r>
        <w:rPr>
          <w:rFonts w:hint="eastAsia" w:ascii="宋体" w:hAnsi="宋体" w:cs="宋体"/>
          <w:sz w:val="24"/>
        </w:rPr>
        <w:t xml:space="preserve">（4）病毒发作导致不能进行正常操作的； </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）其他无法保证电子交易的公平、公正和安全的情况。</w:t>
      </w:r>
    </w:p>
    <w:p>
      <w:pPr>
        <w:spacing w:line="360" w:lineRule="auto"/>
        <w:ind w:firstLine="480" w:firstLineChars="200"/>
        <w:rPr>
          <w:rFonts w:ascii="宋体" w:hAnsi="宋体" w:cs="宋体"/>
          <w:sz w:val="24"/>
        </w:rPr>
      </w:pPr>
      <w:r>
        <w:rPr>
          <w:rFonts w:hint="eastAsia" w:ascii="宋体" w:hAnsi="宋体" w:cs="宋体"/>
          <w:sz w:val="24"/>
        </w:rPr>
        <w:t>26.</w:t>
      </w:r>
      <w:r>
        <w:rPr>
          <w:rFonts w:ascii="宋体" w:hAnsi="宋体" w:cs="宋体"/>
          <w:sz w:val="24"/>
        </w:rPr>
        <w:t>4</w:t>
      </w:r>
      <w:r>
        <w:rPr>
          <w:rFonts w:hint="eastAsia" w:ascii="宋体" w:hAnsi="宋体" w:cs="宋体"/>
          <w:sz w:val="24"/>
        </w:rPr>
        <w:t>出现以上情形，不影响采购公平、公正性的，采购代理机构可以待上述情形消除后继续组织电子交易活动；影响或可能影响采购公平、公正性的，经采购代理机构确认后，应当重新采购。</w:t>
      </w:r>
    </w:p>
    <w:p>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pPr>
        <w:spacing w:line="360" w:lineRule="auto"/>
        <w:ind w:firstLine="480" w:firstLineChars="200"/>
        <w:rPr>
          <w:rFonts w:ascii="宋体" w:hAnsi="宋体" w:cs="宋体"/>
          <w:sz w:val="24"/>
        </w:rPr>
      </w:pPr>
      <w:r>
        <w:rPr>
          <w:rFonts w:hint="eastAsia" w:ascii="宋体" w:hAnsi="宋体" w:cs="宋体"/>
          <w:sz w:val="24"/>
        </w:rPr>
        <w:t>27.1</w:t>
      </w:r>
      <w:r>
        <w:rPr>
          <w:rFonts w:hint="eastAsia" w:ascii="宋体" w:hAnsi="宋体" w:cs="宋体"/>
          <w:kern w:val="0"/>
          <w:sz w:val="24"/>
        </w:rPr>
        <w:t xml:space="preserve"> </w:t>
      </w: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0" w:firstLineChars="200"/>
        <w:rPr>
          <w:rFonts w:ascii="宋体" w:hAnsi="宋体" w:cs="宋体"/>
          <w:sz w:val="24"/>
        </w:rPr>
      </w:pPr>
      <w:r>
        <w:rPr>
          <w:rFonts w:hint="eastAsia" w:ascii="宋体" w:hAnsi="宋体" w:cs="宋体"/>
          <w:sz w:val="24"/>
        </w:rPr>
        <w:t>27.2采购代理机构应当在</w:t>
      </w:r>
      <w:r>
        <w:rPr>
          <w:rFonts w:hint="eastAsia" w:ascii="宋体" w:hAnsi="宋体" w:cs="宋体"/>
          <w:kern w:val="0"/>
          <w:sz w:val="24"/>
        </w:rPr>
        <w:t>成交</w:t>
      </w:r>
      <w:r>
        <w:rPr>
          <w:rFonts w:hint="eastAsia" w:ascii="宋体" w:hAnsi="宋体" w:cs="宋体"/>
          <w:sz w:val="24"/>
        </w:rPr>
        <w:t>供应商确定后2个工作日内，在省级以上财政部门指定的媒体上公告成交结果，同时向成交供应商发出成交通知书。</w:t>
      </w:r>
      <w:r>
        <w:rPr>
          <w:rFonts w:hint="eastAsia" w:ascii="宋体" w:hAnsi="宋体" w:cs="宋体"/>
          <w:b/>
          <w:sz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sz w:val="24"/>
        </w:rPr>
        <w:t>排名第二的成交候选人因上述规定的同样原因被取消成交资格的，采购人可以确定排名第三的成交候选人为成交供应商，以此类推。以上信息查询记录及相关证据与磋商文件一并保存。</w:t>
      </w:r>
      <w:bookmarkStart w:id="38" w:name="_Hlk66782294"/>
      <w:r>
        <w:rPr>
          <w:rFonts w:hint="eastAsia" w:ascii="宋体" w:hAnsi="宋体" w:cs="宋体"/>
          <w:sz w:val="24"/>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38"/>
    </w:p>
    <w:p>
      <w:pPr>
        <w:spacing w:line="360" w:lineRule="auto"/>
        <w:ind w:firstLine="480" w:firstLineChars="200"/>
        <w:rPr>
          <w:rFonts w:ascii="宋体" w:hAnsi="宋体" w:cs="宋体"/>
          <w:sz w:val="24"/>
        </w:rPr>
      </w:pPr>
      <w:r>
        <w:rPr>
          <w:rFonts w:hint="eastAsia" w:ascii="宋体" w:hAnsi="宋体" w:cs="宋体"/>
          <w:sz w:val="24"/>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pStyle w:val="12"/>
        <w:spacing w:line="360" w:lineRule="auto"/>
        <w:ind w:firstLine="482" w:firstLineChars="200"/>
        <w:rPr>
          <w:b/>
        </w:rPr>
      </w:pPr>
      <w:r>
        <w:rPr>
          <w:rFonts w:hint="eastAsia" w:ascii="宋体" w:hAnsi="宋体" w:cs="宋体"/>
          <w:b/>
          <w:sz w:val="24"/>
        </w:rPr>
        <w:t>成交供应商拒绝与采购人签订合同的，其投标保证金不予退还，并上缴国库。给采购人造成损失，或（并）因此延误采购人教学科研计划的，须依据《中华人民共和国民法典》第五百条、《政府采购非招标采购方式管理办法（财政部令第</w:t>
      </w:r>
      <w:r>
        <w:rPr>
          <w:rFonts w:ascii="宋体" w:hAnsi="宋体" w:cs="宋体"/>
          <w:b/>
          <w:sz w:val="24"/>
        </w:rPr>
        <w:t>74号）》第二十二条、第五十四条规定承担赔偿损失等法律责任，采购人有权将成交供应商的失信行为报财政部门记入诚信档案，以示惩戒。</w:t>
      </w:r>
    </w:p>
    <w:p>
      <w:pPr>
        <w:spacing w:line="360" w:lineRule="auto"/>
        <w:ind w:firstLine="480" w:firstLineChars="200"/>
        <w:rPr>
          <w:rFonts w:ascii="宋体" w:hAnsi="宋体" w:cs="宋体"/>
          <w:sz w:val="24"/>
        </w:rPr>
      </w:pPr>
      <w:r>
        <w:rPr>
          <w:rFonts w:ascii="宋体" w:hAnsi="宋体" w:cs="宋体"/>
          <w:sz w:val="24"/>
        </w:rPr>
        <w:t>27.4</w:t>
      </w: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）除“第四章</w:t>
      </w:r>
      <w:r>
        <w:rPr>
          <w:rFonts w:ascii="宋体" w:hAnsi="宋体" w:cs="宋体"/>
          <w:sz w:val="24"/>
        </w:rPr>
        <w:t xml:space="preserve"> </w:t>
      </w:r>
      <w:r>
        <w:rPr>
          <w:rFonts w:hint="eastAsia" w:ascii="宋体" w:hAnsi="宋体" w:cs="宋体"/>
          <w:sz w:val="24"/>
        </w:rPr>
        <w:t>评审程序、评审方法和评审标准”第</w:t>
      </w:r>
      <w:r>
        <w:rPr>
          <w:rFonts w:ascii="宋体" w:hAnsi="宋体" w:cs="宋体"/>
          <w:sz w:val="24"/>
        </w:rPr>
        <w:t>4.3</w:t>
      </w:r>
      <w:r>
        <w:rPr>
          <w:rFonts w:hint="eastAsia" w:ascii="宋体" w:hAnsi="宋体" w:cs="宋体"/>
          <w:sz w:val="24"/>
        </w:rPr>
        <w:t>条规定的情形外，在采购过程中符合要求的供应商或者报价未超过采购预算的供应商不足</w:t>
      </w:r>
      <w:r>
        <w:rPr>
          <w:rFonts w:ascii="宋体" w:hAnsi="宋体" w:cs="宋体"/>
          <w:sz w:val="24"/>
        </w:rPr>
        <w:t>3</w:t>
      </w:r>
      <w:r>
        <w:rPr>
          <w:rFonts w:hint="eastAsia" w:ascii="宋体" w:hAnsi="宋体" w:cs="宋体"/>
          <w:sz w:val="24"/>
        </w:rPr>
        <w:t>家的。</w:t>
      </w:r>
    </w:p>
    <w:p>
      <w:pPr>
        <w:spacing w:line="360" w:lineRule="auto"/>
        <w:ind w:firstLine="480" w:firstLineChars="200"/>
        <w:rPr>
          <w:rFonts w:ascii="宋体" w:hAnsi="宋体" w:cs="宋体"/>
          <w:sz w:val="24"/>
        </w:rPr>
      </w:pPr>
      <w:r>
        <w:rPr>
          <w:rFonts w:ascii="宋体" w:hAnsi="宋体" w:cs="宋体"/>
          <w:sz w:val="24"/>
        </w:rPr>
        <w:t xml:space="preserve">27.5 </w:t>
      </w:r>
      <w:r>
        <w:rPr>
          <w:rFonts w:hint="eastAsia" w:ascii="宋体" w:hAnsi="宋体" w:cs="宋体"/>
          <w:sz w:val="24"/>
        </w:rPr>
        <w:t>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宋体" w:hAnsi="宋体" w:cs="宋体"/>
          <w:b/>
          <w:bCs/>
          <w:sz w:val="24"/>
        </w:rPr>
      </w:pPr>
      <w:r>
        <w:rPr>
          <w:rFonts w:hint="eastAsia" w:ascii="宋体" w:hAnsi="宋体" w:cs="宋体"/>
          <w:b/>
          <w:bCs/>
          <w:sz w:val="24"/>
        </w:rPr>
        <w:t>28.履约保证金</w:t>
      </w:r>
    </w:p>
    <w:p>
      <w:pPr>
        <w:spacing w:line="360" w:lineRule="auto"/>
        <w:ind w:firstLine="484" w:firstLineChars="202"/>
        <w:rPr>
          <w:rFonts w:ascii="宋体" w:hAnsi="宋体" w:cs="宋体"/>
          <w:sz w:val="24"/>
        </w:rPr>
      </w:pPr>
      <w:r>
        <w:rPr>
          <w:rFonts w:hint="eastAsia" w:ascii="宋体" w:hAnsi="宋体" w:cs="宋体"/>
          <w:sz w:val="24"/>
        </w:rPr>
        <w:t>28.1 履约保证金的金额、提交方式、退付的时间和条件详见 “供应商须知前附表”。</w:t>
      </w:r>
    </w:p>
    <w:p>
      <w:pPr>
        <w:spacing w:line="360" w:lineRule="auto"/>
        <w:ind w:firstLine="484" w:firstLineChars="202"/>
        <w:rPr>
          <w:rFonts w:ascii="宋体" w:hAnsi="宋体" w:cs="宋体"/>
          <w:sz w:val="24"/>
        </w:rPr>
      </w:pPr>
      <w:r>
        <w:rPr>
          <w:rFonts w:hint="eastAsia" w:ascii="宋体" w:hAnsi="宋体" w:cs="宋体"/>
          <w:sz w:val="24"/>
        </w:rPr>
        <w:t>28.2在履约保证金退还日期前，若成交供应商的开户名称、开户银行、帐号有变动的，请以书面形式通知履约保证金收取单位，否则由此产生的后果由成交供应商自行承担。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宋体" w:hAnsi="宋体" w:cs="宋体"/>
          <w:b/>
          <w:bCs/>
          <w:sz w:val="24"/>
        </w:rPr>
      </w:pPr>
      <w:r>
        <w:rPr>
          <w:rFonts w:hint="eastAsia" w:ascii="宋体" w:hAnsi="宋体" w:cs="宋体"/>
          <w:b/>
          <w:bCs/>
          <w:sz w:val="24"/>
        </w:rPr>
        <w:t>29.签订合同</w:t>
      </w:r>
    </w:p>
    <w:p>
      <w:pPr>
        <w:spacing w:line="360" w:lineRule="auto"/>
        <w:ind w:firstLine="484" w:firstLineChars="202"/>
        <w:rPr>
          <w:rFonts w:ascii="宋体" w:hAnsi="宋体" w:cs="宋体"/>
          <w:sz w:val="24"/>
        </w:rPr>
      </w:pPr>
      <w:r>
        <w:rPr>
          <w:rFonts w:hint="eastAsia" w:ascii="宋体" w:hAnsi="宋体" w:cs="宋体"/>
          <w:sz w:val="24"/>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pPr>
        <w:spacing w:line="360" w:lineRule="auto"/>
        <w:ind w:firstLine="484" w:firstLineChars="202"/>
        <w:rPr>
          <w:rFonts w:ascii="宋体" w:hAnsi="宋体" w:cs="宋体"/>
          <w:sz w:val="24"/>
        </w:rPr>
      </w:pPr>
      <w:r>
        <w:rPr>
          <w:rFonts w:hint="eastAsia" w:ascii="宋体" w:hAnsi="宋体" w:cs="宋体"/>
          <w:sz w:val="24"/>
        </w:rPr>
        <w:t>29.2签订合同时间：按成交通知书规定的时间与采购人签订政府采购合同（最长不能超过25日）。</w:t>
      </w:r>
    </w:p>
    <w:p>
      <w:pPr>
        <w:spacing w:line="360" w:lineRule="auto"/>
        <w:ind w:firstLine="487" w:firstLineChars="202"/>
        <w:rPr>
          <w:rFonts w:ascii="宋体" w:hAnsi="宋体" w:cs="宋体"/>
          <w:b/>
          <w:sz w:val="24"/>
        </w:rPr>
      </w:pPr>
      <w:r>
        <w:rPr>
          <w:rFonts w:ascii="宋体" w:hAnsi="宋体" w:cs="宋体"/>
          <w:b/>
          <w:sz w:val="24"/>
        </w:rPr>
        <w:t>29.3成交供应</w:t>
      </w:r>
      <w:r>
        <w:rPr>
          <w:rFonts w:hint="eastAsia" w:ascii="宋体" w:hAnsi="宋体" w:cs="宋体"/>
          <w:b/>
          <w:sz w:val="24"/>
        </w:rPr>
        <w:t>商拒绝与采购人签订合同的，按照本磋商文件之《供应商须知正文》第</w:t>
      </w:r>
      <w:r>
        <w:rPr>
          <w:rFonts w:ascii="宋体" w:hAnsi="宋体" w:cs="宋体"/>
          <w:b/>
          <w:sz w:val="24"/>
        </w:rPr>
        <w:t>27.3条的规定执行。</w:t>
      </w:r>
    </w:p>
    <w:p>
      <w:pPr>
        <w:spacing w:line="360" w:lineRule="auto"/>
        <w:ind w:firstLine="484" w:firstLineChars="202"/>
        <w:rPr>
          <w:rFonts w:ascii="宋体" w:hAnsi="宋体" w:cs="宋体"/>
          <w:sz w:val="24"/>
        </w:rPr>
      </w:pPr>
      <w:r>
        <w:rPr>
          <w:rFonts w:ascii="宋体" w:hAnsi="宋体" w:cs="宋体"/>
          <w:sz w:val="24"/>
        </w:rPr>
        <w:t>29.4</w:t>
      </w:r>
      <w:r>
        <w:rPr>
          <w:rFonts w:hint="eastAsia" w:ascii="宋体" w:hAnsi="宋体" w:cs="宋体"/>
          <w:sz w:val="24"/>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84" w:firstLineChars="202"/>
        <w:rPr>
          <w:rFonts w:ascii="宋体" w:hAnsi="宋体" w:cs="宋体"/>
          <w:sz w:val="24"/>
        </w:rPr>
      </w:pPr>
      <w:r>
        <w:rPr>
          <w:rFonts w:ascii="宋体" w:hAnsi="宋体" w:cs="宋体"/>
          <w:sz w:val="24"/>
        </w:rPr>
        <w:t>29.5</w:t>
      </w:r>
      <w:r>
        <w:rPr>
          <w:rFonts w:hint="eastAsia" w:ascii="宋体" w:hAnsi="宋体" w:cs="宋体"/>
          <w:sz w:val="24"/>
        </w:rPr>
        <w:t>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84" w:firstLineChars="202"/>
        <w:rPr>
          <w:rFonts w:ascii="宋体" w:hAnsi="宋体" w:cs="宋体"/>
          <w:sz w:val="24"/>
        </w:rPr>
      </w:pPr>
      <w:r>
        <w:rPr>
          <w:rFonts w:ascii="宋体" w:hAnsi="宋体" w:cs="宋体"/>
          <w:sz w:val="24"/>
        </w:rPr>
        <w:t>29.6</w:t>
      </w:r>
      <w:r>
        <w:rPr>
          <w:rFonts w:hint="eastAsia" w:ascii="宋体" w:hAnsi="宋体" w:cs="宋体"/>
          <w:sz w:val="24"/>
        </w:rPr>
        <w:t>如签订合同并生效后，供应商无故拒绝或延期，除按照合同条款处理外，将承担相应的法律责任。</w:t>
      </w:r>
    </w:p>
    <w:p>
      <w:pPr>
        <w:spacing w:line="360" w:lineRule="auto"/>
        <w:ind w:firstLine="484" w:firstLineChars="202"/>
        <w:rPr>
          <w:rFonts w:ascii="宋体" w:hAnsi="宋体" w:cs="宋体"/>
          <w:sz w:val="24"/>
        </w:rPr>
      </w:pPr>
      <w:r>
        <w:rPr>
          <w:rFonts w:ascii="宋体" w:hAnsi="宋体" w:cs="宋体"/>
          <w:sz w:val="24"/>
        </w:rPr>
        <w:t>29.7</w:t>
      </w:r>
      <w:r>
        <w:rPr>
          <w:rFonts w:hint="eastAsia" w:ascii="宋体" w:hAnsi="宋体" w:cs="宋体"/>
          <w:sz w:val="24"/>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sz w:val="24"/>
        </w:rPr>
        <w:t>10%</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pPr>
        <w:spacing w:line="360" w:lineRule="auto"/>
        <w:ind w:firstLine="480" w:firstLineChars="200"/>
        <w:rPr>
          <w:rFonts w:ascii="宋体" w:hAnsi="宋体" w:cs="宋体"/>
          <w:sz w:val="24"/>
        </w:rPr>
      </w:pPr>
      <w:r>
        <w:rPr>
          <w:rFonts w:hint="eastAsia" w:ascii="宋体" w:hAnsi="宋体" w:cs="宋体"/>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sz w:val="24"/>
        </w:rPr>
      </w:pPr>
      <w:r>
        <w:rPr>
          <w:rFonts w:hint="eastAsia" w:ascii="宋体" w:hAnsi="宋体" w:cs="宋体"/>
          <w:b/>
          <w:bCs/>
          <w:sz w:val="24"/>
        </w:rPr>
        <w:t>31.询问、质疑和投诉</w:t>
      </w:r>
    </w:p>
    <w:p>
      <w:pPr>
        <w:pStyle w:val="7"/>
        <w:spacing w:line="360" w:lineRule="auto"/>
        <w:rPr>
          <w:rFonts w:ascii="宋体" w:hAnsi="宋体" w:cs="宋体"/>
          <w:sz w:val="24"/>
          <w:szCs w:val="24"/>
        </w:rPr>
      </w:pPr>
      <w:r>
        <w:rPr>
          <w:rFonts w:hint="eastAsia" w:ascii="宋体" w:hAnsi="宋体" w:cs="宋体"/>
          <w:sz w:val="24"/>
          <w:szCs w:val="24"/>
        </w:rPr>
        <w:t>31.1供应商对政府采购活动事项有疑问的，可以向采购人、采购代理机构提出询问，采购人或者采购代理机构应当在3个工作日内对供应商依法提出的询问做出答复，但答复的内容不得涉及商业秘密。</w:t>
      </w:r>
    </w:p>
    <w:p>
      <w:pPr>
        <w:spacing w:line="360" w:lineRule="auto"/>
        <w:ind w:firstLine="480" w:firstLineChars="200"/>
        <w:rPr>
          <w:rFonts w:ascii="宋体" w:hAnsi="宋体" w:cs="宋体"/>
          <w:sz w:val="24"/>
        </w:rPr>
      </w:pPr>
      <w:r>
        <w:rPr>
          <w:rFonts w:hint="eastAsia" w:ascii="宋体" w:hAnsi="宋体" w:cs="宋体"/>
          <w:sz w:val="24"/>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pPr>
        <w:spacing w:line="360" w:lineRule="auto"/>
        <w:ind w:firstLine="480" w:firstLineChars="200"/>
        <w:rPr>
          <w:rFonts w:ascii="宋体" w:hAnsi="宋体" w:cs="宋体"/>
          <w:sz w:val="24"/>
        </w:rPr>
      </w:pPr>
      <w:r>
        <w:rPr>
          <w:rFonts w:hint="eastAsia" w:ascii="宋体" w:hAnsi="宋体" w:cs="宋体"/>
          <w:sz w:val="24"/>
        </w:rPr>
        <w:t>（1）对可以质疑的磋商文件提出质疑的，为收到磋商文件之日或者竞争性磋商公告期限届满之日；</w:t>
      </w:r>
    </w:p>
    <w:p>
      <w:pPr>
        <w:spacing w:line="360" w:lineRule="auto"/>
        <w:ind w:firstLine="480" w:firstLineChars="200"/>
        <w:rPr>
          <w:rFonts w:ascii="宋体" w:hAnsi="宋体" w:cs="宋体"/>
          <w:sz w:val="24"/>
        </w:rPr>
      </w:pPr>
      <w:r>
        <w:rPr>
          <w:rFonts w:hint="eastAsia" w:ascii="宋体" w:hAnsi="宋体" w:cs="宋体"/>
          <w:sz w:val="24"/>
        </w:rPr>
        <w:t>（2）对采购过程提出质疑的，为各采购程序环节结束之日；</w:t>
      </w:r>
    </w:p>
    <w:p>
      <w:pPr>
        <w:spacing w:line="360" w:lineRule="auto"/>
        <w:ind w:firstLine="480" w:firstLineChars="200"/>
        <w:rPr>
          <w:rFonts w:ascii="宋体" w:hAnsi="宋体" w:cs="宋体"/>
          <w:sz w:val="24"/>
        </w:rPr>
      </w:pPr>
      <w:r>
        <w:rPr>
          <w:rFonts w:hint="eastAsia" w:ascii="宋体" w:hAnsi="宋体" w:cs="宋体"/>
          <w:sz w:val="24"/>
        </w:rPr>
        <w:t>（3）对成交结果提出质疑的，为成交结果公告期限届满之日。</w:t>
      </w:r>
    </w:p>
    <w:p>
      <w:pPr>
        <w:spacing w:line="360" w:lineRule="auto"/>
        <w:ind w:firstLine="480" w:firstLineChars="200"/>
        <w:rPr>
          <w:rFonts w:ascii="宋体" w:hAnsi="宋体" w:cs="宋体"/>
          <w:sz w:val="24"/>
        </w:rPr>
      </w:pPr>
      <w:r>
        <w:rPr>
          <w:rFonts w:hint="eastAsia" w:ascii="宋体" w:hAnsi="宋体" w:cs="宋体"/>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80" w:firstLineChars="200"/>
        <w:rPr>
          <w:rFonts w:ascii="宋体" w:hAnsi="宋体" w:cs="宋体"/>
          <w:sz w:val="24"/>
        </w:rPr>
      </w:pPr>
      <w:r>
        <w:rPr>
          <w:rFonts w:hint="eastAsia" w:ascii="宋体" w:hAnsi="宋体" w:cs="宋体"/>
          <w:sz w:val="24"/>
        </w:rPr>
        <w:t>31.4供应商提出质疑应当提交质疑函和必要的证明材料，针对同一采购程序环节的质疑必须在法定质疑期内一次性提出。质疑函应当包括下列内容</w:t>
      </w:r>
      <w:r>
        <w:rPr>
          <w:rFonts w:hint="eastAsia" w:ascii="宋体" w:hAnsi="宋体" w:cs="宋体"/>
          <w:bCs/>
          <w:sz w:val="24"/>
        </w:rPr>
        <w:t>（质疑函格式后附）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（1）供应商的姓名或者名称、地址、邮编、联系人及联系电话；</w:t>
      </w:r>
    </w:p>
    <w:p>
      <w:pPr>
        <w:spacing w:line="360" w:lineRule="auto"/>
        <w:ind w:firstLine="480" w:firstLineChars="200"/>
        <w:rPr>
          <w:rFonts w:ascii="宋体" w:hAnsi="宋体" w:cs="宋体"/>
          <w:sz w:val="24"/>
        </w:rPr>
      </w:pPr>
      <w:r>
        <w:rPr>
          <w:rFonts w:hint="eastAsia" w:ascii="宋体" w:hAnsi="宋体" w:cs="宋体"/>
          <w:sz w:val="24"/>
        </w:rPr>
        <w:t>（2）质疑项目的名称、编号；</w:t>
      </w:r>
    </w:p>
    <w:p>
      <w:pPr>
        <w:spacing w:line="360" w:lineRule="auto"/>
        <w:ind w:firstLine="480" w:firstLineChars="200"/>
        <w:rPr>
          <w:rFonts w:ascii="宋体" w:hAnsi="宋体" w:cs="宋体"/>
          <w:sz w:val="24"/>
        </w:rPr>
      </w:pPr>
      <w:r>
        <w:rPr>
          <w:rFonts w:hint="eastAsia" w:ascii="宋体" w:hAnsi="宋体" w:cs="宋体"/>
          <w:sz w:val="24"/>
        </w:rPr>
        <w:t>（3）具体、明确的质疑事项和与质疑事项相关的请求；</w:t>
      </w:r>
    </w:p>
    <w:p>
      <w:pPr>
        <w:spacing w:line="360" w:lineRule="auto"/>
        <w:ind w:firstLine="480" w:firstLineChars="200"/>
        <w:rPr>
          <w:rFonts w:ascii="宋体" w:hAnsi="宋体" w:cs="宋体"/>
          <w:sz w:val="24"/>
        </w:rPr>
      </w:pPr>
      <w:r>
        <w:rPr>
          <w:rFonts w:hint="eastAsia" w:ascii="宋体" w:hAnsi="宋体" w:cs="宋体"/>
          <w:sz w:val="24"/>
        </w:rPr>
        <w:t>（4）事实依据；</w:t>
      </w:r>
    </w:p>
    <w:p>
      <w:pPr>
        <w:spacing w:line="360" w:lineRule="auto"/>
        <w:ind w:firstLine="480" w:firstLineChars="200"/>
        <w:rPr>
          <w:rFonts w:ascii="宋体" w:hAnsi="宋体" w:cs="宋体"/>
          <w:sz w:val="24"/>
        </w:rPr>
      </w:pPr>
      <w:r>
        <w:rPr>
          <w:rFonts w:hint="eastAsia" w:ascii="宋体" w:hAnsi="宋体" w:cs="宋体"/>
          <w:sz w:val="24"/>
        </w:rPr>
        <w:t>（5）必要的法律依据；</w:t>
      </w:r>
    </w:p>
    <w:p>
      <w:pPr>
        <w:spacing w:line="360" w:lineRule="auto"/>
        <w:ind w:firstLine="480" w:firstLineChars="200"/>
        <w:rPr>
          <w:rFonts w:ascii="宋体" w:hAnsi="宋体" w:cs="宋体"/>
          <w:sz w:val="24"/>
        </w:rPr>
      </w:pPr>
      <w:r>
        <w:rPr>
          <w:rFonts w:hint="eastAsia" w:ascii="宋体" w:hAnsi="宋体" w:cs="宋体"/>
          <w:sz w:val="24"/>
        </w:rPr>
        <w:t>（6）提出质疑的日期。</w:t>
      </w:r>
    </w:p>
    <w:p>
      <w:pPr>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供应商为自然人的，应当由本人签字；供应商为法人或者其他组织的，应当由法定代表人、主要负责人，或者其委托代理人签字或者盖章，并加盖公章。</w:t>
      </w:r>
    </w:p>
    <w:p>
      <w:pPr>
        <w:spacing w:line="360" w:lineRule="auto"/>
        <w:ind w:firstLine="480" w:firstLineChars="200"/>
        <w:rPr>
          <w:rFonts w:ascii="宋体" w:hAnsi="宋体" w:cs="宋体"/>
          <w:sz w:val="24"/>
        </w:rPr>
      </w:pPr>
      <w:r>
        <w:rPr>
          <w:rFonts w:hint="eastAsia" w:ascii="宋体" w:hAnsi="宋体" w:cs="宋体"/>
          <w:sz w:val="24"/>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80" w:firstLineChars="200"/>
        <w:rPr>
          <w:rFonts w:ascii="宋体" w:hAnsi="宋体" w:cs="宋体"/>
          <w:sz w:val="24"/>
        </w:rPr>
      </w:pPr>
      <w:r>
        <w:rPr>
          <w:rFonts w:hint="eastAsia" w:ascii="宋体" w:hAnsi="宋体" w:cs="宋体"/>
          <w:sz w:val="24"/>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80" w:firstLineChars="200"/>
        <w:rPr>
          <w:rFonts w:ascii="宋体" w:hAnsi="宋体" w:cs="宋体"/>
          <w:sz w:val="24"/>
        </w:rPr>
      </w:pPr>
      <w:r>
        <w:rPr>
          <w:rFonts w:hint="eastAsia" w:ascii="宋体" w:hAnsi="宋体" w:cs="宋体"/>
          <w:sz w:val="24"/>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80" w:firstLineChars="200"/>
        <w:rPr>
          <w:rFonts w:ascii="宋体" w:hAnsi="宋体" w:cs="宋体"/>
          <w:sz w:val="24"/>
        </w:rPr>
      </w:pPr>
      <w:r>
        <w:rPr>
          <w:rFonts w:hint="eastAsia" w:ascii="宋体" w:hAnsi="宋体" w:cs="宋体"/>
          <w:sz w:val="24"/>
        </w:rPr>
        <w:t>质疑答复导致成交结果改变的，采购人或者采购代理机构应当将有关情况书面报告本级财政部门。</w:t>
      </w:r>
    </w:p>
    <w:p>
      <w:pPr>
        <w:spacing w:line="360" w:lineRule="auto"/>
        <w:ind w:firstLine="480" w:firstLineChars="200"/>
        <w:rPr>
          <w:rFonts w:ascii="宋体" w:hAnsi="宋体" w:cs="宋体"/>
          <w:sz w:val="24"/>
        </w:rPr>
      </w:pPr>
      <w:r>
        <w:rPr>
          <w:rFonts w:hint="eastAsia" w:ascii="宋体" w:hAnsi="宋体" w:cs="宋体"/>
          <w:sz w:val="24"/>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sz w:val="24"/>
        </w:rPr>
      </w:pPr>
      <w:r>
        <w:rPr>
          <w:rFonts w:hint="eastAsia" w:ascii="宋体" w:hAnsi="宋体" w:cs="宋体"/>
          <w:b/>
          <w:bCs/>
          <w:sz w:val="24"/>
        </w:rPr>
        <w:t>32.其他内容</w:t>
      </w:r>
    </w:p>
    <w:p>
      <w:pPr>
        <w:tabs>
          <w:tab w:val="left" w:pos="2835"/>
        </w:tabs>
        <w:spacing w:line="360" w:lineRule="auto"/>
        <w:ind w:firstLine="480" w:firstLineChars="200"/>
        <w:rPr>
          <w:rFonts w:ascii="宋体" w:hAnsi="宋体" w:cs="宋体"/>
          <w:sz w:val="24"/>
        </w:rPr>
      </w:pPr>
      <w:r>
        <w:rPr>
          <w:rFonts w:hint="eastAsia" w:ascii="宋体" w:hAnsi="宋体" w:cs="宋体"/>
          <w:sz w:val="24"/>
        </w:rPr>
        <w:t>32.1代理服务费：代理服务收取标准及缴费账户详见“供应商须知前附表”，供应商为联合体的，可以由联合体中的一方或者多方共同交纳代理服务费。</w:t>
      </w:r>
    </w:p>
    <w:p>
      <w:pPr>
        <w:tabs>
          <w:tab w:val="left" w:pos="2835"/>
        </w:tabs>
        <w:spacing w:line="360" w:lineRule="auto"/>
        <w:ind w:firstLine="480" w:firstLineChars="200"/>
        <w:rPr>
          <w:rFonts w:ascii="宋体" w:hAnsi="宋体" w:cs="宋体"/>
          <w:sz w:val="24"/>
        </w:rPr>
      </w:pPr>
      <w:r>
        <w:rPr>
          <w:rFonts w:hint="eastAsia" w:ascii="宋体" w:hAnsi="宋体" w:cs="宋体"/>
          <w:sz w:val="24"/>
        </w:rPr>
        <w:t>32.2代理服务费收费计算标准：</w:t>
      </w:r>
    </w:p>
    <w:p>
      <w:pPr>
        <w:pStyle w:val="14"/>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sz w:val="24"/>
              </w:rPr>
            </w:pPr>
            <w:r>
              <w:rPr>
                <w:rFonts w:hint="eastAsia" w:ascii="宋体" w:hAnsi="宋体" w:cs="宋体"/>
                <w:sz w:val="24"/>
              </w:rPr>
              <w:t xml:space="preserve">               费率</w:t>
            </w:r>
          </w:p>
          <w:p>
            <w:pPr>
              <w:spacing w:line="360" w:lineRule="auto"/>
              <w:rPr>
                <w:rFonts w:ascii="宋体" w:hAnsi="宋体" w:cs="宋体"/>
                <w:sz w:val="24"/>
              </w:rPr>
            </w:pPr>
            <w:r>
              <w:rPr>
                <w:rFonts w:hint="eastAsia" w:ascii="宋体" w:hAnsi="宋体" w:cs="宋体"/>
                <w:sz w:val="24"/>
              </w:rPr>
              <w:t>金额（人民币）</w:t>
            </w:r>
          </w:p>
        </w:tc>
        <w:tc>
          <w:tcPr>
            <w:tcW w:w="1659" w:type="dxa"/>
            <w:vAlign w:val="center"/>
          </w:tcPr>
          <w:p>
            <w:pPr>
              <w:spacing w:line="360" w:lineRule="auto"/>
              <w:ind w:firstLine="120" w:firstLineChars="50"/>
              <w:jc w:val="center"/>
              <w:rPr>
                <w:rFonts w:ascii="宋体" w:hAnsi="宋体" w:cs="宋体"/>
                <w:sz w:val="24"/>
              </w:rPr>
            </w:pPr>
            <w:r>
              <w:rPr>
                <w:rFonts w:hint="eastAsia" w:ascii="宋体" w:hAnsi="宋体" w:cs="宋体"/>
                <w:sz w:val="24"/>
              </w:rPr>
              <w:t>货物类</w:t>
            </w:r>
          </w:p>
        </w:tc>
        <w:tc>
          <w:tcPr>
            <w:tcW w:w="1532" w:type="dxa"/>
            <w:vAlign w:val="center"/>
          </w:tcPr>
          <w:p>
            <w:pPr>
              <w:spacing w:line="360" w:lineRule="auto"/>
              <w:jc w:val="center"/>
              <w:rPr>
                <w:rFonts w:ascii="宋体" w:hAnsi="宋体" w:cs="宋体"/>
                <w:sz w:val="24"/>
              </w:rPr>
            </w:pPr>
            <w:r>
              <w:rPr>
                <w:rFonts w:hint="eastAsia" w:ascii="宋体" w:hAnsi="宋体" w:cs="宋体"/>
                <w:sz w:val="24"/>
              </w:rPr>
              <w:t>服务类</w:t>
            </w:r>
          </w:p>
        </w:tc>
        <w:tc>
          <w:tcPr>
            <w:tcW w:w="1546" w:type="dxa"/>
            <w:vAlign w:val="center"/>
          </w:tcPr>
          <w:p>
            <w:pPr>
              <w:spacing w:line="360" w:lineRule="auto"/>
              <w:jc w:val="center"/>
              <w:rPr>
                <w:rFonts w:ascii="宋体" w:hAnsi="宋体" w:cs="宋体"/>
                <w:sz w:val="24"/>
              </w:rPr>
            </w:pPr>
            <w:r>
              <w:rPr>
                <w:rFonts w:hint="eastAsia" w:ascii="宋体" w:hAnsi="宋体" w:cs="宋体"/>
                <w:sz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 w:val="24"/>
              </w:rPr>
            </w:pPr>
            <w:r>
              <w:rPr>
                <w:rFonts w:hint="eastAsia" w:ascii="宋体" w:hAnsi="宋体" w:cs="宋体"/>
                <w:sz w:val="24"/>
              </w:rPr>
              <w:t>100万元以下</w:t>
            </w:r>
          </w:p>
        </w:tc>
        <w:tc>
          <w:tcPr>
            <w:tcW w:w="1659" w:type="dxa"/>
          </w:tcPr>
          <w:p>
            <w:pPr>
              <w:spacing w:line="360" w:lineRule="auto"/>
              <w:rPr>
                <w:rFonts w:ascii="宋体" w:hAnsi="宋体" w:cs="宋体"/>
                <w:sz w:val="24"/>
              </w:rPr>
            </w:pPr>
            <w:r>
              <w:rPr>
                <w:rFonts w:hint="eastAsia" w:ascii="宋体" w:hAnsi="宋体" w:cs="宋体"/>
                <w:kern w:val="0"/>
                <w:sz w:val="24"/>
              </w:rPr>
              <w:t xml:space="preserve">  1.5%                </w:t>
            </w:r>
          </w:p>
        </w:tc>
        <w:tc>
          <w:tcPr>
            <w:tcW w:w="1532" w:type="dxa"/>
          </w:tcPr>
          <w:p>
            <w:pPr>
              <w:spacing w:line="360" w:lineRule="auto"/>
              <w:ind w:firstLine="240" w:firstLineChars="100"/>
              <w:rPr>
                <w:rFonts w:ascii="宋体" w:hAnsi="宋体" w:cs="宋体"/>
                <w:sz w:val="24"/>
              </w:rPr>
            </w:pPr>
            <w:r>
              <w:rPr>
                <w:rFonts w:hint="eastAsia" w:ascii="宋体" w:hAnsi="宋体" w:cs="宋体"/>
                <w:kern w:val="0"/>
                <w:sz w:val="24"/>
              </w:rPr>
              <w:t>1.5%</w:t>
            </w:r>
          </w:p>
        </w:tc>
        <w:tc>
          <w:tcPr>
            <w:tcW w:w="1546" w:type="dxa"/>
          </w:tcPr>
          <w:p>
            <w:pPr>
              <w:spacing w:line="360" w:lineRule="auto"/>
              <w:ind w:firstLine="240" w:firstLineChars="100"/>
              <w:rPr>
                <w:rFonts w:ascii="宋体" w:hAnsi="宋体" w:cs="宋体"/>
                <w:sz w:val="24"/>
              </w:rPr>
            </w:pPr>
            <w:r>
              <w:rPr>
                <w:rFonts w:hint="eastAsia" w:ascii="宋体" w:hAnsi="宋体" w:cs="宋体"/>
                <w:kern w:val="0"/>
                <w:sz w:val="24"/>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 w:val="24"/>
              </w:rPr>
            </w:pPr>
            <w:r>
              <w:rPr>
                <w:rFonts w:hint="eastAsia" w:ascii="宋体" w:hAnsi="宋体" w:cs="宋体"/>
                <w:sz w:val="24"/>
              </w:rPr>
              <w:t>100～500万元</w:t>
            </w:r>
          </w:p>
        </w:tc>
        <w:tc>
          <w:tcPr>
            <w:tcW w:w="1659" w:type="dxa"/>
          </w:tcPr>
          <w:p>
            <w:pPr>
              <w:spacing w:line="360" w:lineRule="auto"/>
              <w:ind w:firstLine="240" w:firstLineChars="100"/>
              <w:rPr>
                <w:rFonts w:ascii="宋体" w:hAnsi="宋体" w:cs="宋体"/>
                <w:sz w:val="24"/>
              </w:rPr>
            </w:pPr>
            <w:r>
              <w:rPr>
                <w:rFonts w:hint="eastAsia" w:ascii="宋体" w:hAnsi="宋体" w:cs="宋体"/>
                <w:kern w:val="0"/>
                <w:sz w:val="24"/>
              </w:rPr>
              <w:t xml:space="preserve">1.1%                 </w:t>
            </w:r>
          </w:p>
        </w:tc>
        <w:tc>
          <w:tcPr>
            <w:tcW w:w="1532" w:type="dxa"/>
          </w:tcPr>
          <w:p>
            <w:pPr>
              <w:spacing w:line="360" w:lineRule="auto"/>
              <w:ind w:firstLine="240" w:firstLineChars="100"/>
              <w:rPr>
                <w:rFonts w:ascii="宋体" w:hAnsi="宋体" w:cs="宋体"/>
                <w:sz w:val="24"/>
              </w:rPr>
            </w:pPr>
            <w:r>
              <w:rPr>
                <w:rFonts w:hint="eastAsia" w:ascii="宋体" w:hAnsi="宋体" w:cs="宋体"/>
                <w:kern w:val="0"/>
                <w:sz w:val="24"/>
              </w:rPr>
              <w:t>0.8%</w:t>
            </w:r>
          </w:p>
        </w:tc>
        <w:tc>
          <w:tcPr>
            <w:tcW w:w="1546" w:type="dxa"/>
          </w:tcPr>
          <w:p>
            <w:pPr>
              <w:spacing w:line="360" w:lineRule="auto"/>
              <w:ind w:firstLine="240" w:firstLineChars="100"/>
              <w:rPr>
                <w:rFonts w:ascii="宋体" w:hAnsi="宋体" w:cs="宋体"/>
                <w:sz w:val="24"/>
              </w:rPr>
            </w:pPr>
            <w:r>
              <w:rPr>
                <w:rFonts w:hint="eastAsia" w:ascii="宋体" w:hAnsi="宋体" w:cs="宋体"/>
                <w:kern w:val="0"/>
                <w:sz w:val="24"/>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 w:val="24"/>
              </w:rPr>
            </w:pPr>
            <w:r>
              <w:rPr>
                <w:rFonts w:hint="eastAsia" w:ascii="宋体" w:hAnsi="宋体" w:cs="宋体"/>
                <w:sz w:val="24"/>
              </w:rPr>
              <w:t>500～1000万元</w:t>
            </w:r>
          </w:p>
        </w:tc>
        <w:tc>
          <w:tcPr>
            <w:tcW w:w="1659" w:type="dxa"/>
          </w:tcPr>
          <w:p>
            <w:pPr>
              <w:spacing w:line="360" w:lineRule="auto"/>
              <w:rPr>
                <w:rFonts w:ascii="宋体" w:hAnsi="宋体" w:cs="宋体"/>
                <w:sz w:val="24"/>
              </w:rPr>
            </w:pPr>
            <w:r>
              <w:rPr>
                <w:rFonts w:hint="eastAsia" w:ascii="宋体" w:hAnsi="宋体" w:cs="宋体"/>
                <w:kern w:val="0"/>
                <w:sz w:val="24"/>
              </w:rPr>
              <w:t xml:space="preserve">  0.8%                </w:t>
            </w:r>
          </w:p>
        </w:tc>
        <w:tc>
          <w:tcPr>
            <w:tcW w:w="1532" w:type="dxa"/>
          </w:tcPr>
          <w:p>
            <w:pPr>
              <w:spacing w:line="360" w:lineRule="auto"/>
              <w:ind w:firstLine="240" w:firstLineChars="100"/>
              <w:rPr>
                <w:rFonts w:ascii="宋体" w:hAnsi="宋体" w:cs="宋体"/>
                <w:sz w:val="24"/>
              </w:rPr>
            </w:pPr>
            <w:r>
              <w:rPr>
                <w:rFonts w:hint="eastAsia" w:ascii="宋体" w:hAnsi="宋体" w:cs="宋体"/>
                <w:kern w:val="0"/>
                <w:sz w:val="24"/>
              </w:rPr>
              <w:t>0.45%</w:t>
            </w:r>
          </w:p>
        </w:tc>
        <w:tc>
          <w:tcPr>
            <w:tcW w:w="1546" w:type="dxa"/>
          </w:tcPr>
          <w:p>
            <w:pPr>
              <w:spacing w:line="360" w:lineRule="auto"/>
              <w:ind w:firstLine="240" w:firstLineChars="100"/>
              <w:rPr>
                <w:rFonts w:ascii="宋体" w:hAnsi="宋体" w:cs="宋体"/>
                <w:sz w:val="24"/>
              </w:rPr>
            </w:pPr>
            <w:r>
              <w:rPr>
                <w:rFonts w:hint="eastAsia" w:ascii="宋体" w:hAnsi="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 w:val="24"/>
              </w:rPr>
            </w:pPr>
            <w:r>
              <w:rPr>
                <w:rFonts w:hint="eastAsia" w:ascii="宋体" w:hAnsi="宋体" w:cs="宋体"/>
                <w:sz w:val="24"/>
              </w:rPr>
              <w:t>1000～5000万元</w:t>
            </w:r>
          </w:p>
        </w:tc>
        <w:tc>
          <w:tcPr>
            <w:tcW w:w="1659" w:type="dxa"/>
          </w:tcPr>
          <w:p>
            <w:pPr>
              <w:spacing w:line="360" w:lineRule="auto"/>
              <w:ind w:firstLine="240" w:firstLineChars="100"/>
              <w:rPr>
                <w:rFonts w:ascii="宋体" w:hAnsi="宋体" w:cs="宋体"/>
                <w:sz w:val="24"/>
              </w:rPr>
            </w:pPr>
            <w:r>
              <w:rPr>
                <w:rFonts w:hint="eastAsia" w:ascii="宋体" w:hAnsi="宋体" w:cs="宋体"/>
                <w:kern w:val="0"/>
                <w:sz w:val="24"/>
              </w:rPr>
              <w:t xml:space="preserve">0.5%                </w:t>
            </w:r>
          </w:p>
        </w:tc>
        <w:tc>
          <w:tcPr>
            <w:tcW w:w="1532" w:type="dxa"/>
          </w:tcPr>
          <w:p>
            <w:pPr>
              <w:spacing w:line="360" w:lineRule="auto"/>
              <w:ind w:firstLine="240" w:firstLineChars="100"/>
              <w:rPr>
                <w:rFonts w:ascii="宋体" w:hAnsi="宋体" w:cs="宋体"/>
                <w:sz w:val="24"/>
              </w:rPr>
            </w:pPr>
            <w:r>
              <w:rPr>
                <w:rFonts w:hint="eastAsia" w:ascii="宋体" w:hAnsi="宋体" w:cs="宋体"/>
                <w:kern w:val="0"/>
                <w:sz w:val="24"/>
              </w:rPr>
              <w:t>0.25%</w:t>
            </w:r>
          </w:p>
        </w:tc>
        <w:tc>
          <w:tcPr>
            <w:tcW w:w="1546" w:type="dxa"/>
          </w:tcPr>
          <w:p>
            <w:pPr>
              <w:spacing w:line="360" w:lineRule="auto"/>
              <w:ind w:firstLine="240" w:firstLineChars="100"/>
              <w:rPr>
                <w:rFonts w:ascii="宋体" w:hAnsi="宋体" w:cs="宋体"/>
                <w:sz w:val="24"/>
              </w:rPr>
            </w:pPr>
            <w:r>
              <w:rPr>
                <w:rFonts w:hint="eastAsia" w:ascii="宋体" w:hAnsi="宋体" w:cs="宋体"/>
                <w:kern w:val="0"/>
                <w:sz w:val="24"/>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 w:val="24"/>
              </w:rPr>
            </w:pPr>
            <w:r>
              <w:rPr>
                <w:rFonts w:hint="eastAsia" w:ascii="宋体" w:hAnsi="宋体" w:cs="宋体"/>
                <w:sz w:val="24"/>
              </w:rPr>
              <w:t>5000万元～1亿元</w:t>
            </w:r>
          </w:p>
        </w:tc>
        <w:tc>
          <w:tcPr>
            <w:tcW w:w="1659" w:type="dxa"/>
          </w:tcPr>
          <w:p>
            <w:pPr>
              <w:spacing w:line="360" w:lineRule="auto"/>
              <w:ind w:firstLine="240" w:firstLineChars="100"/>
              <w:rPr>
                <w:rFonts w:ascii="宋体" w:hAnsi="宋体" w:cs="宋体"/>
                <w:sz w:val="24"/>
              </w:rPr>
            </w:pPr>
            <w:r>
              <w:rPr>
                <w:rFonts w:hint="eastAsia" w:ascii="宋体" w:hAnsi="宋体" w:cs="宋体"/>
                <w:kern w:val="0"/>
                <w:sz w:val="24"/>
              </w:rPr>
              <w:t xml:space="preserve">0.25%                 </w:t>
            </w:r>
          </w:p>
        </w:tc>
        <w:tc>
          <w:tcPr>
            <w:tcW w:w="1532" w:type="dxa"/>
          </w:tcPr>
          <w:p>
            <w:pPr>
              <w:spacing w:line="360" w:lineRule="auto"/>
              <w:ind w:firstLine="240" w:firstLineChars="100"/>
              <w:rPr>
                <w:rFonts w:ascii="宋体" w:hAnsi="宋体" w:cs="宋体"/>
                <w:sz w:val="24"/>
              </w:rPr>
            </w:pPr>
            <w:r>
              <w:rPr>
                <w:rFonts w:hint="eastAsia" w:ascii="宋体" w:hAnsi="宋体" w:cs="宋体"/>
                <w:kern w:val="0"/>
                <w:sz w:val="24"/>
              </w:rPr>
              <w:t>0.1%</w:t>
            </w:r>
          </w:p>
        </w:tc>
        <w:tc>
          <w:tcPr>
            <w:tcW w:w="1546" w:type="dxa"/>
          </w:tcPr>
          <w:p>
            <w:pPr>
              <w:spacing w:line="360" w:lineRule="auto"/>
              <w:ind w:firstLine="240" w:firstLineChars="100"/>
              <w:rPr>
                <w:rFonts w:ascii="宋体" w:hAnsi="宋体" w:cs="宋体"/>
                <w:sz w:val="24"/>
              </w:rPr>
            </w:pPr>
            <w:r>
              <w:rPr>
                <w:rFonts w:hint="eastAsia" w:ascii="宋体" w:hAnsi="宋体" w:cs="宋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 w:val="24"/>
              </w:rPr>
            </w:pPr>
            <w:r>
              <w:rPr>
                <w:rFonts w:hint="eastAsia" w:ascii="宋体" w:hAnsi="宋体" w:cs="宋体"/>
                <w:sz w:val="24"/>
              </w:rPr>
              <w:t>1～5亿元</w:t>
            </w:r>
          </w:p>
        </w:tc>
        <w:tc>
          <w:tcPr>
            <w:tcW w:w="1659" w:type="dxa"/>
          </w:tcPr>
          <w:p>
            <w:pPr>
              <w:spacing w:line="360" w:lineRule="auto"/>
              <w:ind w:firstLine="240" w:firstLineChars="100"/>
              <w:rPr>
                <w:rFonts w:ascii="宋体" w:hAnsi="宋体" w:cs="宋体"/>
                <w:sz w:val="24"/>
              </w:rPr>
            </w:pPr>
            <w:r>
              <w:rPr>
                <w:rFonts w:hint="eastAsia" w:ascii="宋体" w:hAnsi="宋体" w:cs="宋体"/>
                <w:sz w:val="24"/>
              </w:rPr>
              <w:t>0.05%</w:t>
            </w:r>
          </w:p>
        </w:tc>
        <w:tc>
          <w:tcPr>
            <w:tcW w:w="1532" w:type="dxa"/>
          </w:tcPr>
          <w:p>
            <w:pPr>
              <w:spacing w:line="360" w:lineRule="auto"/>
              <w:rPr>
                <w:rFonts w:ascii="宋体" w:hAnsi="宋体" w:cs="宋体"/>
                <w:sz w:val="24"/>
              </w:rPr>
            </w:pPr>
            <w:r>
              <w:rPr>
                <w:rFonts w:hint="eastAsia" w:ascii="宋体" w:hAnsi="宋体" w:cs="宋体"/>
                <w:sz w:val="24"/>
              </w:rPr>
              <w:t xml:space="preserve">  0.05%</w:t>
            </w:r>
          </w:p>
        </w:tc>
        <w:tc>
          <w:tcPr>
            <w:tcW w:w="1546" w:type="dxa"/>
          </w:tcPr>
          <w:p>
            <w:pPr>
              <w:spacing w:line="360" w:lineRule="auto"/>
              <w:rPr>
                <w:rFonts w:ascii="宋体" w:hAnsi="宋体" w:cs="宋体"/>
                <w:sz w:val="24"/>
              </w:rPr>
            </w:pPr>
            <w:r>
              <w:rPr>
                <w:rFonts w:hint="eastAsia" w:ascii="宋体" w:hAnsi="宋体" w:cs="宋体"/>
                <w:sz w:val="24"/>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 w:val="24"/>
              </w:rPr>
            </w:pPr>
            <w:r>
              <w:rPr>
                <w:rFonts w:hint="eastAsia" w:ascii="宋体" w:hAnsi="宋体" w:cs="宋体"/>
                <w:sz w:val="24"/>
              </w:rPr>
              <w:t>5～10亿元</w:t>
            </w:r>
          </w:p>
        </w:tc>
        <w:tc>
          <w:tcPr>
            <w:tcW w:w="1659" w:type="dxa"/>
          </w:tcPr>
          <w:p>
            <w:pPr>
              <w:spacing w:line="360" w:lineRule="auto"/>
              <w:ind w:firstLine="120" w:firstLineChars="50"/>
              <w:rPr>
                <w:rFonts w:ascii="宋体" w:hAnsi="宋体" w:cs="宋体"/>
                <w:sz w:val="24"/>
              </w:rPr>
            </w:pPr>
            <w:r>
              <w:rPr>
                <w:rFonts w:hint="eastAsia" w:ascii="宋体" w:hAnsi="宋体" w:cs="宋体"/>
                <w:sz w:val="24"/>
              </w:rPr>
              <w:t>0.035%</w:t>
            </w:r>
          </w:p>
        </w:tc>
        <w:tc>
          <w:tcPr>
            <w:tcW w:w="1532" w:type="dxa"/>
          </w:tcPr>
          <w:p>
            <w:pPr>
              <w:spacing w:line="360" w:lineRule="auto"/>
              <w:rPr>
                <w:rFonts w:ascii="宋体" w:hAnsi="宋体" w:cs="宋体"/>
                <w:sz w:val="24"/>
              </w:rPr>
            </w:pPr>
            <w:r>
              <w:rPr>
                <w:rFonts w:hint="eastAsia" w:ascii="宋体" w:hAnsi="宋体" w:cs="宋体"/>
                <w:sz w:val="24"/>
              </w:rPr>
              <w:t xml:space="preserve">  0.035%</w:t>
            </w:r>
          </w:p>
        </w:tc>
        <w:tc>
          <w:tcPr>
            <w:tcW w:w="1546" w:type="dxa"/>
          </w:tcPr>
          <w:p>
            <w:pPr>
              <w:spacing w:line="360" w:lineRule="auto"/>
              <w:ind w:firstLine="120" w:firstLineChars="50"/>
              <w:rPr>
                <w:rFonts w:ascii="宋体" w:hAnsi="宋体" w:cs="宋体"/>
                <w:sz w:val="24"/>
              </w:rPr>
            </w:pPr>
            <w:r>
              <w:rPr>
                <w:rFonts w:hint="eastAsia" w:ascii="宋体" w:hAnsi="宋体" w:cs="宋体"/>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sz w:val="24"/>
              </w:rPr>
            </w:pPr>
            <w:r>
              <w:rPr>
                <w:rFonts w:hint="eastAsia" w:ascii="宋体" w:hAnsi="宋体" w:cs="宋体"/>
                <w:sz w:val="24"/>
              </w:rPr>
              <w:t>10～50亿元</w:t>
            </w:r>
          </w:p>
        </w:tc>
        <w:tc>
          <w:tcPr>
            <w:tcW w:w="1659" w:type="dxa"/>
          </w:tcPr>
          <w:p>
            <w:pPr>
              <w:spacing w:line="360" w:lineRule="auto"/>
              <w:ind w:firstLine="120" w:firstLineChars="50"/>
              <w:rPr>
                <w:rFonts w:ascii="宋体" w:hAnsi="宋体" w:cs="宋体"/>
                <w:sz w:val="24"/>
              </w:rPr>
            </w:pPr>
            <w:r>
              <w:rPr>
                <w:rFonts w:hint="eastAsia" w:ascii="宋体" w:hAnsi="宋体" w:cs="宋体"/>
                <w:sz w:val="24"/>
              </w:rPr>
              <w:t>0.008%</w:t>
            </w:r>
          </w:p>
        </w:tc>
        <w:tc>
          <w:tcPr>
            <w:tcW w:w="1532" w:type="dxa"/>
          </w:tcPr>
          <w:p>
            <w:pPr>
              <w:spacing w:line="360" w:lineRule="auto"/>
              <w:ind w:firstLine="240" w:firstLineChars="100"/>
              <w:rPr>
                <w:rFonts w:ascii="宋体" w:hAnsi="宋体" w:cs="宋体"/>
                <w:sz w:val="24"/>
              </w:rPr>
            </w:pPr>
            <w:r>
              <w:rPr>
                <w:rFonts w:hint="eastAsia" w:ascii="宋体" w:hAnsi="宋体" w:cs="宋体"/>
                <w:sz w:val="24"/>
              </w:rPr>
              <w:t>0.008%</w:t>
            </w:r>
          </w:p>
        </w:tc>
        <w:tc>
          <w:tcPr>
            <w:tcW w:w="1546" w:type="dxa"/>
          </w:tcPr>
          <w:p>
            <w:pPr>
              <w:spacing w:line="360" w:lineRule="auto"/>
              <w:ind w:firstLine="120" w:firstLineChars="50"/>
              <w:rPr>
                <w:rFonts w:ascii="宋体" w:hAnsi="宋体" w:cs="宋体"/>
                <w:sz w:val="24"/>
              </w:rPr>
            </w:pPr>
            <w:r>
              <w:rPr>
                <w:rFonts w:hint="eastAsia" w:ascii="宋体" w:hAnsi="宋体" w:cs="宋体"/>
                <w:sz w:val="24"/>
              </w:rPr>
              <w:t>0.008%</w:t>
            </w:r>
          </w:p>
        </w:tc>
      </w:tr>
    </w:tbl>
    <w:p>
      <w:pPr>
        <w:spacing w:line="360" w:lineRule="auto"/>
        <w:ind w:firstLine="482" w:firstLineChars="200"/>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1）按本表费率计算的收费标准为采购代理的收费价格；</w:t>
      </w:r>
    </w:p>
    <w:p>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2）采购代理收费按差额定率累进法计算。</w:t>
      </w:r>
    </w:p>
    <w:p>
      <w:pPr>
        <w:spacing w:line="360" w:lineRule="auto"/>
        <w:ind w:firstLine="482" w:firstLineChars="200"/>
        <w:rPr>
          <w:rFonts w:ascii="宋体" w:hAnsi="宋体" w:cs="宋体"/>
          <w:b/>
          <w:sz w:val="24"/>
        </w:rPr>
      </w:pPr>
      <w:r>
        <w:rPr>
          <w:rFonts w:ascii="宋体" w:hAnsi="宋体" w:cs="宋体"/>
          <w:b/>
          <w:sz w:val="24"/>
        </w:rPr>
        <w:t xml:space="preserve">32.3 </w:t>
      </w:r>
      <w:r>
        <w:rPr>
          <w:rFonts w:hint="eastAsia" w:ascii="宋体" w:hAnsi="宋体" w:cs="宋体"/>
          <w:b/>
          <w:sz w:val="24"/>
        </w:rPr>
        <w:t>代理服务费交纳银行帐号信息</w:t>
      </w:r>
    </w:p>
    <w:p>
      <w:pPr>
        <w:pStyle w:val="18"/>
        <w:spacing w:line="360" w:lineRule="auto"/>
        <w:ind w:firstLine="480" w:firstLineChars="200"/>
        <w:textAlignment w:val="center"/>
        <w:rPr>
          <w:rFonts w:hAnsi="宋体" w:cs="宋体"/>
          <w:kern w:val="2"/>
          <w:sz w:val="24"/>
          <w:szCs w:val="24"/>
        </w:rPr>
      </w:pPr>
      <w:r>
        <w:rPr>
          <w:rFonts w:hint="eastAsia" w:hAnsi="宋体" w:cs="宋体"/>
          <w:kern w:val="2"/>
          <w:sz w:val="24"/>
          <w:szCs w:val="24"/>
        </w:rPr>
        <w:t>开户名称：广西科联招标中心有限公司</w:t>
      </w:r>
    </w:p>
    <w:p>
      <w:pPr>
        <w:pStyle w:val="18"/>
        <w:spacing w:line="360" w:lineRule="auto"/>
        <w:ind w:firstLine="480" w:firstLineChars="200"/>
        <w:textAlignment w:val="center"/>
        <w:rPr>
          <w:rFonts w:hAnsi="宋体" w:cs="宋体"/>
          <w:kern w:val="2"/>
          <w:sz w:val="24"/>
          <w:szCs w:val="24"/>
        </w:rPr>
      </w:pPr>
      <w:r>
        <w:rPr>
          <w:rFonts w:hint="eastAsia" w:hAnsi="宋体" w:cs="宋体"/>
          <w:kern w:val="2"/>
          <w:sz w:val="24"/>
          <w:szCs w:val="24"/>
        </w:rPr>
        <w:t>开户银行：中国工商银行南宁市高新科技支行</w:t>
      </w:r>
    </w:p>
    <w:p>
      <w:pPr>
        <w:pStyle w:val="18"/>
        <w:spacing w:line="360" w:lineRule="auto"/>
        <w:ind w:firstLine="480" w:firstLineChars="200"/>
        <w:textAlignment w:val="center"/>
        <w:rPr>
          <w:rFonts w:hAnsi="宋体" w:cs="宋体"/>
          <w:sz w:val="24"/>
        </w:rPr>
      </w:pPr>
      <w:r>
        <w:rPr>
          <w:rFonts w:hint="eastAsia" w:hAnsi="宋体" w:cs="宋体"/>
          <w:kern w:val="2"/>
          <w:sz w:val="24"/>
          <w:szCs w:val="24"/>
        </w:rPr>
        <w:t>账    号：2102 1112 2930 0032 105</w:t>
      </w:r>
    </w:p>
    <w:p>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pPr>
        <w:pStyle w:val="18"/>
        <w:spacing w:line="360" w:lineRule="auto"/>
        <w:ind w:firstLine="480" w:firstLineChars="200"/>
        <w:textAlignment w:val="center"/>
        <w:rPr>
          <w:rFonts w:hAnsi="宋体" w:cs="宋体"/>
          <w:kern w:val="2"/>
          <w:sz w:val="24"/>
          <w:szCs w:val="24"/>
        </w:rPr>
      </w:pPr>
      <w:r>
        <w:rPr>
          <w:rFonts w:hint="eastAsia" w:hAnsi="宋体" w:cs="宋体"/>
          <w:kern w:val="2"/>
          <w:sz w:val="24"/>
          <w:szCs w:val="24"/>
        </w:rPr>
        <w:t>33.1本磋商文件解释规则详见“供应商须知前附表”。</w:t>
      </w:r>
    </w:p>
    <w:p>
      <w:pPr>
        <w:pStyle w:val="18"/>
        <w:spacing w:line="360" w:lineRule="auto"/>
        <w:ind w:firstLine="480" w:firstLineChars="200"/>
        <w:textAlignment w:val="center"/>
        <w:rPr>
          <w:rFonts w:hAnsi="宋体" w:cs="宋体"/>
          <w:kern w:val="2"/>
          <w:sz w:val="24"/>
          <w:szCs w:val="24"/>
        </w:rPr>
      </w:pPr>
      <w:r>
        <w:rPr>
          <w:rFonts w:hint="eastAsia" w:hAnsi="宋体" w:cs="宋体"/>
          <w:kern w:val="2"/>
          <w:sz w:val="24"/>
          <w:szCs w:val="24"/>
        </w:rPr>
        <w:t>33.2 其他事项详见“供应商须知前附表”。</w:t>
      </w:r>
    </w:p>
    <w:p>
      <w:pPr>
        <w:pStyle w:val="18"/>
        <w:spacing w:line="360" w:lineRule="auto"/>
        <w:ind w:firstLine="480" w:firstLineChars="200"/>
        <w:textAlignment w:val="center"/>
        <w:rPr>
          <w:rFonts w:hAnsi="宋体" w:cs="宋体"/>
          <w:kern w:val="2"/>
          <w:sz w:val="24"/>
          <w:szCs w:val="24"/>
        </w:rPr>
      </w:pPr>
      <w:r>
        <w:rPr>
          <w:rFonts w:hint="eastAsia" w:hAnsi="宋体" w:cs="宋体"/>
          <w:kern w:val="2"/>
          <w:sz w:val="24"/>
          <w:szCs w:val="24"/>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8"/>
        <w:spacing w:line="360" w:lineRule="auto"/>
        <w:ind w:firstLine="480" w:firstLineChars="200"/>
        <w:contextualSpacing/>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pPr>
        <w:pStyle w:val="18"/>
        <w:spacing w:line="360" w:lineRule="auto"/>
        <w:ind w:firstLine="480" w:firstLineChars="200"/>
        <w:contextualSpacing/>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pPr>
        <w:pStyle w:val="18"/>
        <w:spacing w:line="360" w:lineRule="auto"/>
        <w:ind w:firstLine="480" w:firstLineChars="200"/>
        <w:contextualSpacing/>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pPr>
        <w:pStyle w:val="18"/>
        <w:spacing w:line="360" w:lineRule="auto"/>
        <w:ind w:firstLine="480" w:firstLineChars="200"/>
        <w:textAlignment w:val="center"/>
        <w:rPr>
          <w:rFonts w:hAnsi="宋体" w:cs="宋体"/>
          <w:kern w:val="2"/>
          <w:sz w:val="24"/>
          <w:szCs w:val="24"/>
        </w:rPr>
      </w:pPr>
      <w:r>
        <w:rPr>
          <w:rFonts w:hint="eastAsia" w:hAnsi="宋体" w:cs="宋体"/>
          <w:kern w:val="2"/>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pStyle w:val="18"/>
        <w:spacing w:line="360" w:lineRule="auto"/>
        <w:ind w:firstLine="480" w:firstLineChars="200"/>
        <w:textAlignment w:val="center"/>
        <w:rPr>
          <w:rFonts w:hAnsi="宋体" w:cs="宋体"/>
          <w:b/>
          <w:sz w:val="32"/>
          <w:szCs w:val="32"/>
        </w:rPr>
      </w:pPr>
      <w:r>
        <w:rPr>
          <w:rFonts w:hint="eastAsia" w:hAnsi="宋体" w:cs="宋体"/>
          <w:kern w:val="2"/>
          <w:sz w:val="24"/>
          <w:szCs w:val="24"/>
        </w:rPr>
        <w:t>依据本磋商文件规定享受扶持政策获得政府采购合同的，小微企业不得将合同分包给大中型企业，中型企业不得将合同分包给大型企业。</w:t>
      </w:r>
    </w:p>
    <w:p>
      <w:pPr>
        <w:pStyle w:val="18"/>
        <w:snapToGrid w:val="0"/>
        <w:spacing w:before="120" w:after="120" w:line="360" w:lineRule="auto"/>
        <w:jc w:val="center"/>
        <w:rPr>
          <w:rFonts w:hAnsi="宋体" w:cs="宋体"/>
          <w:b/>
          <w:bCs/>
          <w:sz w:val="44"/>
          <w:szCs w:val="44"/>
        </w:rPr>
      </w:pPr>
      <w:bookmarkStart w:id="39" w:name="_Toc74323458"/>
      <w:r>
        <w:rPr>
          <w:rFonts w:hint="eastAsia" w:hAnsi="宋体" w:cs="宋体"/>
        </w:rPr>
        <w:br w:type="page"/>
      </w:r>
      <w:r>
        <w:rPr>
          <w:rFonts w:hint="eastAsia" w:hAnsi="宋体" w:cs="宋体"/>
          <w:b/>
          <w:bCs/>
          <w:sz w:val="44"/>
          <w:szCs w:val="44"/>
        </w:rPr>
        <w:t>第三章</w:t>
      </w:r>
      <w:r>
        <w:rPr>
          <w:rFonts w:hAnsi="宋体" w:cs="宋体"/>
          <w:b/>
          <w:bCs/>
          <w:sz w:val="44"/>
          <w:szCs w:val="44"/>
        </w:rPr>
        <w:t xml:space="preserve"> </w:t>
      </w:r>
      <w:r>
        <w:rPr>
          <w:rFonts w:hint="eastAsia" w:hAnsi="宋体" w:cs="宋体"/>
          <w:b/>
          <w:bCs/>
          <w:sz w:val="44"/>
          <w:szCs w:val="44"/>
        </w:rPr>
        <w:t>采购需求</w:t>
      </w:r>
      <w:bookmarkEnd w:id="39"/>
    </w:p>
    <w:p>
      <w:pPr>
        <w:spacing w:line="440" w:lineRule="exact"/>
        <w:jc w:val="center"/>
        <w:rPr>
          <w:rFonts w:ascii="宋体" w:hAnsi="宋体" w:cs="宋体"/>
          <w:b/>
          <w:sz w:val="32"/>
          <w:szCs w:val="32"/>
        </w:rPr>
      </w:pPr>
    </w:p>
    <w:p>
      <w:pPr>
        <w:spacing w:line="360" w:lineRule="auto"/>
        <w:jc w:val="left"/>
        <w:rPr>
          <w:rFonts w:ascii="宋体" w:hAnsi="宋体" w:cs="宋体"/>
          <w:sz w:val="24"/>
        </w:rPr>
      </w:pPr>
      <w:r>
        <w:rPr>
          <w:rFonts w:hint="eastAsia" w:ascii="宋体" w:hAnsi="宋体" w:cs="宋体"/>
          <w:sz w:val="24"/>
        </w:rPr>
        <w:t>说明：</w:t>
      </w:r>
    </w:p>
    <w:p>
      <w:pPr>
        <w:spacing w:line="360" w:lineRule="auto"/>
        <w:ind w:firstLine="480" w:firstLineChars="200"/>
        <w:jc w:val="left"/>
        <w:rPr>
          <w:rFonts w:ascii="宋体" w:hAnsi="宋体" w:cs="宋体"/>
          <w:sz w:val="24"/>
        </w:rPr>
      </w:pPr>
      <w:r>
        <w:rPr>
          <w:rFonts w:hint="eastAsia" w:ascii="宋体" w:hAnsi="宋体" w:cs="宋体"/>
          <w:sz w:val="24"/>
        </w:rPr>
        <w:t>1.为落实政府采购政策需满足的要求:</w:t>
      </w:r>
    </w:p>
    <w:p>
      <w:pPr>
        <w:spacing w:line="360" w:lineRule="auto"/>
        <w:ind w:firstLine="480" w:firstLineChars="200"/>
        <w:jc w:val="left"/>
        <w:rPr>
          <w:rFonts w:ascii="宋体" w:hAnsi="宋体" w:cs="宋体"/>
          <w:sz w:val="24"/>
        </w:rPr>
      </w:pPr>
      <w:r>
        <w:rPr>
          <w:rFonts w:hint="eastAsia" w:ascii="宋体" w:hAnsi="宋体" w:cs="宋体"/>
          <w:sz w:val="24"/>
        </w:rPr>
        <w:t>本竞争性磋商采购文件所称中小企业必须符合《政府采购促进中小企业发展管理办法》（财库〔2020〕46号）的规定。</w:t>
      </w:r>
    </w:p>
    <w:p>
      <w:pPr>
        <w:spacing w:line="360" w:lineRule="auto"/>
        <w:ind w:firstLine="484" w:firstLineChars="202"/>
        <w:jc w:val="left"/>
        <w:rPr>
          <w:rFonts w:ascii="宋体" w:hAnsi="宋体" w:cs="宋体"/>
          <w:sz w:val="24"/>
        </w:rPr>
      </w:pPr>
      <w:r>
        <w:rPr>
          <w:rFonts w:ascii="宋体" w:hAnsi="宋体" w:cs="宋体"/>
          <w:sz w:val="24"/>
        </w:rPr>
        <w:t>2</w:t>
      </w:r>
      <w:r>
        <w:rPr>
          <w:rFonts w:hint="eastAsia" w:ascii="宋体" w:hAnsi="宋体" w:cs="宋体"/>
          <w:sz w:val="24"/>
        </w:rPr>
        <w:t>.供应商应根据自身实际情况如实响应磋商文件，不得仅将磋商文件内容简单复制粘贴作为竞争性磋商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pPr>
        <w:spacing w:line="360" w:lineRule="auto"/>
        <w:ind w:firstLine="484" w:firstLineChars="202"/>
        <w:jc w:val="left"/>
        <w:rPr>
          <w:rFonts w:ascii="宋体" w:hAnsi="宋体" w:cs="宋体"/>
          <w:sz w:val="24"/>
        </w:rPr>
      </w:pPr>
      <w:r>
        <w:rPr>
          <w:rFonts w:ascii="宋体" w:hAnsi="宋体" w:cs="宋体"/>
          <w:sz w:val="24"/>
        </w:rPr>
        <w:t>3</w:t>
      </w:r>
      <w:r>
        <w:rPr>
          <w:rFonts w:hint="eastAsia" w:ascii="宋体" w:hAnsi="宋体" w:cs="宋体"/>
          <w:sz w:val="24"/>
        </w:rPr>
        <w:t>.供应商必须自行为其参加竞争性磋商的产品侵犯他人的知识产权或者专利成果的行为承担相应法律责任。</w:t>
      </w:r>
    </w:p>
    <w:p>
      <w:pPr>
        <w:spacing w:line="360" w:lineRule="auto"/>
        <w:ind w:left="-10" w:leftChars="-5" w:right="2" w:rightChars="1" w:firstLine="480" w:firstLineChars="200"/>
        <w:rPr>
          <w:color w:val="000000" w:themeColor="text1"/>
          <w14:textFill>
            <w14:solidFill>
              <w14:schemeClr w14:val="tx1"/>
            </w14:solidFill>
          </w14:textFill>
        </w:rPr>
      </w:pPr>
      <w:r>
        <w:rPr>
          <w:rFonts w:hint="eastAsia"/>
          <w:bCs/>
          <w:sz w:val="24"/>
        </w:rPr>
        <w:t>“</w:t>
      </w:r>
      <w:r>
        <w:rPr>
          <w:bCs/>
          <w:sz w:val="24"/>
        </w:rPr>
        <w:t>实质性要求</w:t>
      </w:r>
      <w:r>
        <w:rPr>
          <w:rFonts w:hint="eastAsia"/>
          <w:bCs/>
          <w:sz w:val="24"/>
        </w:rPr>
        <w:t>”</w:t>
      </w:r>
      <w:r>
        <w:rPr>
          <w:bCs/>
          <w:sz w:val="24"/>
        </w:rPr>
        <w:t>是指</w:t>
      </w:r>
      <w:r>
        <w:rPr>
          <w:rFonts w:hint="eastAsia"/>
          <w:bCs/>
          <w:sz w:val="24"/>
        </w:rPr>
        <w:t>采购文件</w:t>
      </w:r>
      <w:r>
        <w:rPr>
          <w:bCs/>
          <w:color w:val="000000" w:themeColor="text1"/>
          <w:sz w:val="24"/>
          <w14:textFill>
            <w14:solidFill>
              <w14:schemeClr w14:val="tx1"/>
            </w14:solidFill>
          </w14:textFill>
        </w:rPr>
        <w:t>中已经指明不满足则</w:t>
      </w:r>
      <w:r>
        <w:rPr>
          <w:rFonts w:hint="eastAsia" w:ascii="宋体" w:hAnsi="宋体" w:cs="宋体"/>
          <w:color w:val="000000" w:themeColor="text1"/>
          <w:sz w:val="24"/>
          <w14:textFill>
            <w14:solidFill>
              <w14:schemeClr w14:val="tx1"/>
            </w14:solidFill>
          </w14:textFill>
        </w:rPr>
        <w:t>竞争性磋商</w:t>
      </w:r>
      <w:r>
        <w:rPr>
          <w:bCs/>
          <w:color w:val="000000" w:themeColor="text1"/>
          <w:sz w:val="24"/>
          <w14:textFill>
            <w14:solidFill>
              <w14:schemeClr w14:val="tx1"/>
            </w14:solidFill>
          </w14:textFill>
        </w:rPr>
        <w:t>无效的条款，或者不能负偏离的条款，或者采购需求中带</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的条款。</w:t>
      </w:r>
      <w:r>
        <w:rPr>
          <w:rFonts w:hint="eastAsia"/>
          <w:bCs/>
          <w:color w:val="000000" w:themeColor="text1"/>
          <w:sz w:val="24"/>
          <w14:textFill>
            <w14:solidFill>
              <w14:schemeClr w14:val="tx1"/>
            </w14:solidFill>
          </w14:textFill>
        </w:rPr>
        <w:t>未标注“</w:t>
      </w:r>
      <w:r>
        <w:rPr>
          <w:rFonts w:hint="eastAsia" w:ascii="Segoe UI Symbol" w:hAnsi="Segoe UI Symbol" w:cs="Segoe UI Symbol"/>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”号的非实质性条款要求可允许</w:t>
      </w:r>
      <w:r>
        <w:rPr>
          <w:rFonts w:hint="eastAsia"/>
          <w:bCs/>
          <w:color w:val="000000" w:themeColor="text1"/>
          <w:sz w:val="24"/>
          <w:u w:val="single"/>
          <w14:textFill>
            <w14:solidFill>
              <w14:schemeClr w14:val="tx1"/>
            </w14:solidFill>
          </w14:textFill>
        </w:rPr>
        <w:t>0</w:t>
      </w:r>
      <w:r>
        <w:rPr>
          <w:rFonts w:hint="eastAsia"/>
          <w:bCs/>
          <w:color w:val="000000" w:themeColor="text1"/>
          <w:sz w:val="24"/>
          <w14:textFill>
            <w14:solidFill>
              <w14:schemeClr w14:val="tx1"/>
            </w14:solidFill>
          </w14:textFill>
        </w:rPr>
        <w:t>项负偏离，有负偏离的</w:t>
      </w:r>
      <w:r>
        <w:rPr>
          <w:rFonts w:hint="eastAsia" w:ascii="宋体" w:hAnsi="宋体" w:cs="宋体"/>
          <w:color w:val="000000" w:themeColor="text1"/>
          <w:sz w:val="24"/>
          <w14:textFill>
            <w14:solidFill>
              <w14:schemeClr w14:val="tx1"/>
            </w14:solidFill>
          </w14:textFill>
        </w:rPr>
        <w:t>竞争性磋商</w:t>
      </w:r>
      <w:r>
        <w:rPr>
          <w:rFonts w:hint="eastAsia"/>
          <w:bCs/>
          <w:color w:val="000000" w:themeColor="text1"/>
          <w:sz w:val="24"/>
          <w14:textFill>
            <w14:solidFill>
              <w14:schemeClr w14:val="tx1"/>
            </w14:solidFill>
          </w14:textFill>
        </w:rPr>
        <w:t>无效。</w:t>
      </w:r>
    </w:p>
    <w:p>
      <w:pPr>
        <w:spacing w:line="360" w:lineRule="auto"/>
        <w:ind w:left="-10" w:leftChars="-5" w:right="2" w:righ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采购预算：详见采购公告</w:t>
      </w:r>
    </w:p>
    <w:p>
      <w:pPr>
        <w:spacing w:line="360" w:lineRule="auto"/>
        <w:ind w:left="-10" w:leftChars="-5" w:right="2" w:rightChars="1"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中小企业划分标准所属行业名称：其他未列明行业</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1230"/>
        <w:gridCol w:w="764"/>
        <w:gridCol w:w="5281"/>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0" w:type="dxa"/>
            <w:vAlign w:val="center"/>
          </w:tcPr>
          <w:p>
            <w:pPr>
              <w:tabs>
                <w:tab w:val="left" w:pos="180"/>
                <w:tab w:val="left" w:pos="1620"/>
              </w:tabs>
              <w:jc w:val="center"/>
              <w:rPr>
                <w:rFonts w:ascii="宋体" w:hAnsi="宋体" w:cs="宋体"/>
                <w:sz w:val="24"/>
              </w:rPr>
            </w:pPr>
            <w:r>
              <w:rPr>
                <w:rFonts w:hint="eastAsia" w:ascii="宋体" w:hAnsi="宋体" w:cs="宋体"/>
                <w:b/>
                <w:bCs/>
                <w:sz w:val="24"/>
              </w:rPr>
              <w:t>序号</w:t>
            </w:r>
          </w:p>
        </w:tc>
        <w:tc>
          <w:tcPr>
            <w:tcW w:w="1230" w:type="dxa"/>
            <w:vAlign w:val="center"/>
          </w:tcPr>
          <w:p>
            <w:pPr>
              <w:tabs>
                <w:tab w:val="left" w:pos="180"/>
                <w:tab w:val="left" w:pos="1620"/>
              </w:tabs>
              <w:jc w:val="center"/>
              <w:rPr>
                <w:rFonts w:ascii="宋体" w:hAnsi="宋体" w:cs="宋体"/>
                <w:sz w:val="24"/>
              </w:rPr>
            </w:pPr>
            <w:r>
              <w:rPr>
                <w:rFonts w:hint="eastAsia" w:ascii="宋体" w:hAnsi="宋体" w:cs="宋体"/>
                <w:b/>
                <w:bCs/>
                <w:sz w:val="24"/>
              </w:rPr>
              <w:t>标的名称</w:t>
            </w:r>
          </w:p>
        </w:tc>
        <w:tc>
          <w:tcPr>
            <w:tcW w:w="764" w:type="dxa"/>
            <w:vAlign w:val="center"/>
          </w:tcPr>
          <w:p>
            <w:pPr>
              <w:tabs>
                <w:tab w:val="left" w:pos="180"/>
                <w:tab w:val="left" w:pos="1620"/>
              </w:tabs>
              <w:jc w:val="center"/>
              <w:rPr>
                <w:rFonts w:ascii="宋体" w:hAnsi="宋体" w:cs="宋体"/>
                <w:sz w:val="24"/>
              </w:rPr>
            </w:pPr>
            <w:r>
              <w:rPr>
                <w:rFonts w:hint="eastAsia" w:ascii="宋体" w:hAnsi="宋体" w:cs="宋体"/>
                <w:b/>
                <w:bCs/>
                <w:sz w:val="24"/>
              </w:rPr>
              <w:t>数量及单位</w:t>
            </w:r>
          </w:p>
        </w:tc>
        <w:tc>
          <w:tcPr>
            <w:tcW w:w="5281" w:type="dxa"/>
            <w:vAlign w:val="center"/>
          </w:tcPr>
          <w:p>
            <w:pPr>
              <w:tabs>
                <w:tab w:val="left" w:pos="180"/>
                <w:tab w:val="left" w:pos="1620"/>
              </w:tabs>
              <w:jc w:val="center"/>
              <w:rPr>
                <w:rFonts w:ascii="宋体" w:hAnsi="宋体" w:cs="宋体"/>
                <w:b/>
                <w:sz w:val="24"/>
              </w:rPr>
            </w:pPr>
            <w:r>
              <w:rPr>
                <w:rFonts w:hint="eastAsia" w:ascii="宋体" w:hAnsi="宋体" w:cs="宋体"/>
                <w:b/>
                <w:bCs/>
                <w:sz w:val="24"/>
              </w:rPr>
              <w:t>服务要求</w:t>
            </w:r>
          </w:p>
        </w:tc>
        <w:tc>
          <w:tcPr>
            <w:tcW w:w="1245" w:type="dxa"/>
            <w:vAlign w:val="center"/>
          </w:tcPr>
          <w:p>
            <w:pPr>
              <w:tabs>
                <w:tab w:val="left" w:pos="180"/>
                <w:tab w:val="left" w:pos="1620"/>
              </w:tabs>
              <w:jc w:val="center"/>
              <w:rPr>
                <w:rFonts w:ascii="宋体" w:hAnsi="宋体" w:cs="宋体"/>
                <w:b/>
                <w:sz w:val="24"/>
              </w:rPr>
            </w:pPr>
            <w:r>
              <w:rPr>
                <w:rFonts w:hint="eastAsia" w:ascii="宋体" w:hAnsi="宋体" w:cs="宋体"/>
                <w:b/>
                <w:bCs/>
                <w:sz w:val="24"/>
              </w:rPr>
              <w:t>预算合计（万元</w:t>
            </w:r>
            <w:r>
              <w:rPr>
                <w:rFonts w:ascii="宋体" w:hAnsi="宋体" w:cs="宋体"/>
                <w:b/>
                <w:bCs/>
                <w:sz w:val="24"/>
              </w:rPr>
              <w:t>/人民币</w:t>
            </w:r>
            <w:r>
              <w:rPr>
                <w:rFonts w:hint="eastAsia" w:ascii="宋体" w:hAnsi="宋体" w:cs="宋体"/>
                <w:b/>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630" w:type="dxa"/>
            <w:vAlign w:val="center"/>
          </w:tcPr>
          <w:p>
            <w:pPr>
              <w:tabs>
                <w:tab w:val="left" w:pos="180"/>
                <w:tab w:val="left" w:pos="1620"/>
              </w:tabs>
              <w:spacing w:line="360" w:lineRule="auto"/>
              <w:jc w:val="center"/>
              <w:rPr>
                <w:rFonts w:ascii="宋体" w:hAnsi="宋体" w:cs="宋体"/>
                <w:sz w:val="24"/>
              </w:rPr>
            </w:pPr>
            <w:r>
              <w:rPr>
                <w:rFonts w:hint="eastAsia" w:ascii="宋体" w:hAnsi="宋体" w:cs="宋体"/>
                <w:sz w:val="24"/>
              </w:rPr>
              <w:t>1</w:t>
            </w:r>
          </w:p>
        </w:tc>
        <w:tc>
          <w:tcPr>
            <w:tcW w:w="1230" w:type="dxa"/>
            <w:vAlign w:val="center"/>
          </w:tcPr>
          <w:p>
            <w:pPr>
              <w:spacing w:line="400" w:lineRule="exact"/>
              <w:jc w:val="center"/>
            </w:pPr>
            <w:bookmarkStart w:id="40" w:name="OLE_LINK2"/>
            <w:r>
              <w:rPr>
                <w:rFonts w:hint="eastAsia" w:ascii="宋体" w:hAnsi="宋体" w:cs="新宋体"/>
                <w:szCs w:val="21"/>
              </w:rPr>
              <w:t>广西大学实验室通排风系统维保服务项目</w:t>
            </w:r>
            <w:bookmarkEnd w:id="40"/>
          </w:p>
        </w:tc>
        <w:tc>
          <w:tcPr>
            <w:tcW w:w="764" w:type="dxa"/>
            <w:vAlign w:val="center"/>
          </w:tcPr>
          <w:p>
            <w:pPr>
              <w:widowControl/>
              <w:snapToGrid w:val="0"/>
              <w:spacing w:line="360" w:lineRule="auto"/>
            </w:pPr>
            <w:r>
              <w:rPr>
                <w:rFonts w:hint="eastAsia"/>
              </w:rPr>
              <w:t>1项</w:t>
            </w:r>
          </w:p>
        </w:tc>
        <w:tc>
          <w:tcPr>
            <w:tcW w:w="5281" w:type="dxa"/>
          </w:tcPr>
          <w:p>
            <w:pPr>
              <w:spacing w:line="400" w:lineRule="exact"/>
              <w:rPr>
                <w:rFonts w:ascii="宋体" w:hAnsi="宋体"/>
                <w:szCs w:val="21"/>
              </w:rPr>
            </w:pPr>
            <w:r>
              <w:rPr>
                <w:rFonts w:hint="eastAsia" w:ascii="宋体" w:hAnsi="宋体"/>
                <w:b/>
                <w:bCs/>
                <w:szCs w:val="21"/>
              </w:rPr>
              <w:t>一、服务内容</w:t>
            </w:r>
          </w:p>
          <w:p>
            <w:pPr>
              <w:spacing w:line="400" w:lineRule="exact"/>
              <w:rPr>
                <w:rFonts w:ascii="宋体" w:hAnsi="宋体"/>
                <w:szCs w:val="21"/>
              </w:rPr>
            </w:pPr>
            <w:r>
              <w:rPr>
                <w:rFonts w:hint="eastAsia" w:ascii="宋体" w:hAnsi="宋体"/>
                <w:szCs w:val="21"/>
              </w:rPr>
              <w:t>本次维保方案涉及广西大学化工学院1号楼、化工学院3号楼、物理学院、资环材学院、医学院综合楼、医学院生物医药、医学院脑神经中心、海洋学院、生科院等9个用户实验室内的通排风系统、实验室家具及附属系统的维修保养工作（详见附件 表1-4）。</w:t>
            </w:r>
          </w:p>
          <w:p>
            <w:pPr>
              <w:spacing w:line="400" w:lineRule="exact"/>
              <w:rPr>
                <w:b/>
                <w:bCs/>
              </w:rPr>
            </w:pPr>
            <w:r>
              <w:rPr>
                <w:rFonts w:hint="eastAsia" w:ascii="宋体" w:hAnsi="宋体"/>
                <w:b/>
                <w:bCs/>
                <w:szCs w:val="21"/>
              </w:rPr>
              <w:t>二、服务要求</w:t>
            </w:r>
          </w:p>
          <w:p>
            <w:pPr>
              <w:spacing w:line="400" w:lineRule="exact"/>
              <w:rPr>
                <w:rFonts w:ascii="宋体" w:hAnsi="宋体"/>
                <w:b/>
                <w:bCs/>
                <w:szCs w:val="21"/>
              </w:rPr>
            </w:pPr>
            <w:r>
              <w:rPr>
                <w:rFonts w:hint="eastAsia" w:cs="宋体"/>
                <w:b/>
                <w:bCs/>
                <w:lang w:bidi="ar"/>
              </w:rPr>
              <w:t>（一）</w:t>
            </w:r>
            <w:r>
              <w:rPr>
                <w:rFonts w:hint="eastAsia" w:ascii="宋体" w:hAnsi="宋体"/>
                <w:b/>
                <w:bCs/>
                <w:szCs w:val="21"/>
              </w:rPr>
              <w:t>执行标准（以下标准规范如有更新替代，按最新的执行）</w:t>
            </w:r>
          </w:p>
          <w:p>
            <w:pPr>
              <w:spacing w:line="400" w:lineRule="exact"/>
              <w:rPr>
                <w:rFonts w:ascii="宋体" w:hAnsi="宋体"/>
                <w:szCs w:val="21"/>
              </w:rPr>
            </w:pPr>
            <w:r>
              <w:rPr>
                <w:rFonts w:hint="eastAsia" w:ascii="宋体" w:hAnsi="宋体"/>
                <w:szCs w:val="21"/>
              </w:rPr>
              <w:t>1.《大气污染物综合排放标准》 GB16297-1996；</w:t>
            </w:r>
          </w:p>
          <w:p>
            <w:pPr>
              <w:spacing w:line="400" w:lineRule="exact"/>
              <w:rPr>
                <w:rFonts w:ascii="宋体" w:hAnsi="宋体"/>
                <w:szCs w:val="21"/>
              </w:rPr>
            </w:pPr>
            <w:r>
              <w:rPr>
                <w:rFonts w:hint="eastAsia" w:ascii="宋体" w:hAnsi="宋体"/>
                <w:szCs w:val="21"/>
              </w:rPr>
              <w:t>2.《风机、压缩机、泵安装工程施工及验收规范》 GB 50275-2010；</w:t>
            </w:r>
          </w:p>
          <w:p>
            <w:pPr>
              <w:spacing w:line="400" w:lineRule="exact"/>
              <w:rPr>
                <w:rFonts w:ascii="宋体" w:hAnsi="宋体"/>
                <w:szCs w:val="21"/>
              </w:rPr>
            </w:pPr>
            <w:r>
              <w:rPr>
                <w:rFonts w:hint="eastAsia" w:ascii="宋体" w:hAnsi="宋体"/>
                <w:szCs w:val="21"/>
              </w:rPr>
              <w:t>3.《通风机噪声限值》 JB/T 8690-2014；</w:t>
            </w:r>
          </w:p>
          <w:p>
            <w:pPr>
              <w:spacing w:line="400" w:lineRule="exact"/>
              <w:rPr>
                <w:rFonts w:ascii="宋体" w:hAnsi="宋体"/>
                <w:szCs w:val="21"/>
              </w:rPr>
            </w:pPr>
            <w:r>
              <w:rPr>
                <w:rFonts w:hint="eastAsia" w:ascii="宋体" w:hAnsi="宋体"/>
                <w:szCs w:val="21"/>
              </w:rPr>
              <w:t>4.《通风与空调工程施工质量验收规范》 GB 50243-2016；</w:t>
            </w:r>
          </w:p>
          <w:p>
            <w:pPr>
              <w:spacing w:line="400" w:lineRule="exact"/>
              <w:rPr>
                <w:rFonts w:ascii="宋体" w:hAnsi="宋体"/>
                <w:szCs w:val="21"/>
              </w:rPr>
            </w:pPr>
            <w:r>
              <w:rPr>
                <w:rFonts w:hint="eastAsia" w:ascii="宋体" w:hAnsi="宋体"/>
                <w:szCs w:val="21"/>
              </w:rPr>
              <w:t>5.《工业建筑供暖通风与空气调节设计规范》GB 50019-2015；</w:t>
            </w:r>
          </w:p>
          <w:p>
            <w:pPr>
              <w:spacing w:line="400" w:lineRule="exact"/>
              <w:rPr>
                <w:rFonts w:ascii="宋体" w:hAnsi="宋体"/>
                <w:szCs w:val="21"/>
              </w:rPr>
            </w:pPr>
            <w:r>
              <w:rPr>
                <w:rFonts w:hint="eastAsia" w:ascii="宋体" w:hAnsi="宋体"/>
                <w:szCs w:val="21"/>
              </w:rPr>
              <w:t>6.《实验室变风量排风柜》 JG/T222－2007；</w:t>
            </w:r>
          </w:p>
          <w:p>
            <w:pPr>
              <w:spacing w:line="400" w:lineRule="exact"/>
              <w:rPr>
                <w:rFonts w:ascii="宋体" w:hAnsi="宋体"/>
                <w:szCs w:val="21"/>
              </w:rPr>
            </w:pPr>
            <w:r>
              <w:rPr>
                <w:rFonts w:hint="eastAsia" w:ascii="宋体" w:hAnsi="宋体"/>
                <w:szCs w:val="21"/>
              </w:rPr>
              <w:t>7.《特种气体系统工程技术标准》 GB50646-2020；</w:t>
            </w:r>
          </w:p>
          <w:p>
            <w:pPr>
              <w:spacing w:line="400" w:lineRule="exact"/>
              <w:rPr>
                <w:rFonts w:ascii="宋体" w:hAnsi="宋体"/>
                <w:szCs w:val="21"/>
              </w:rPr>
            </w:pPr>
            <w:r>
              <w:rPr>
                <w:rFonts w:hint="eastAsia" w:ascii="宋体" w:hAnsi="宋体"/>
                <w:szCs w:val="21"/>
              </w:rPr>
              <w:t>8.《通用用电设备配电设计规范》 GB50055-2011；</w:t>
            </w:r>
          </w:p>
          <w:p>
            <w:pPr>
              <w:spacing w:line="400" w:lineRule="exact"/>
              <w:rPr>
                <w:rFonts w:ascii="宋体" w:hAnsi="宋体"/>
                <w:szCs w:val="21"/>
              </w:rPr>
            </w:pPr>
            <w:r>
              <w:rPr>
                <w:rFonts w:hint="eastAsia" w:ascii="宋体" w:hAnsi="宋体"/>
                <w:szCs w:val="21"/>
              </w:rPr>
              <w:t>9.《国家电气设备安全技术规范》 GB19517-2023；</w:t>
            </w:r>
          </w:p>
          <w:p>
            <w:pPr>
              <w:spacing w:line="400" w:lineRule="exact"/>
              <w:rPr>
                <w:rFonts w:ascii="宋体" w:hAnsi="宋体"/>
                <w:szCs w:val="21"/>
                <w:highlight w:val="yellow"/>
              </w:rPr>
            </w:pPr>
            <w:r>
              <w:rPr>
                <w:rFonts w:hint="eastAsia" w:ascii="宋体" w:hAnsi="宋体"/>
                <w:szCs w:val="21"/>
              </w:rPr>
              <w:t>10.《实验室家具通用技术条件》GB/T 24820-2024。</w:t>
            </w:r>
          </w:p>
          <w:p>
            <w:pPr>
              <w:spacing w:line="400" w:lineRule="exact"/>
              <w:rPr>
                <w:rFonts w:ascii="宋体" w:hAnsi="宋体" w:cs="Calibri"/>
                <w:b/>
                <w:bCs/>
                <w:szCs w:val="21"/>
              </w:rPr>
            </w:pPr>
            <w:r>
              <w:rPr>
                <w:rFonts w:hint="eastAsia" w:ascii="宋体" w:hAnsi="宋体" w:cs="Calibri"/>
                <w:b/>
                <w:bCs/>
                <w:szCs w:val="21"/>
              </w:rPr>
              <w:t>（二）服务要求</w:t>
            </w:r>
          </w:p>
          <w:p>
            <w:pPr>
              <w:spacing w:line="400" w:lineRule="exact"/>
              <w:rPr>
                <w:rFonts w:ascii="宋体" w:hAnsi="宋体" w:cs="Calibri"/>
                <w:szCs w:val="21"/>
              </w:rPr>
            </w:pPr>
            <w:r>
              <w:rPr>
                <w:rFonts w:hint="eastAsia" w:ascii="宋体" w:hAnsi="宋体" w:cs="Calibri"/>
                <w:szCs w:val="21"/>
              </w:rPr>
              <w:t xml:space="preserve">1.总体要求：本次维保方案采用驻点式全方位维保。   </w:t>
            </w:r>
          </w:p>
          <w:p>
            <w:pPr>
              <w:spacing w:line="400" w:lineRule="exact"/>
              <w:rPr>
                <w:rFonts w:ascii="宋体" w:hAnsi="宋体" w:cs="Calibri"/>
                <w:szCs w:val="21"/>
              </w:rPr>
            </w:pPr>
            <w:r>
              <w:rPr>
                <w:rFonts w:hint="eastAsia" w:ascii="宋体" w:hAnsi="宋体" w:cs="Calibri"/>
                <w:szCs w:val="21"/>
              </w:rPr>
              <w:t>(1)维保人员服从学校管理，接受学校下达的工作指令，配合完成设备管理相关的工作</w:t>
            </w:r>
            <w:r>
              <w:rPr>
                <w:rStyle w:val="34"/>
                <w:rFonts w:hint="eastAsia"/>
              </w:rPr>
              <w:t>，并</w:t>
            </w:r>
            <w:r>
              <w:rPr>
                <w:rFonts w:hint="eastAsia"/>
              </w:rPr>
              <w:t>遵守学校规章制度</w:t>
            </w:r>
            <w:r>
              <w:rPr>
                <w:rFonts w:hint="eastAsia" w:ascii="宋体" w:hAnsi="宋体" w:cs="Calibri"/>
                <w:szCs w:val="21"/>
              </w:rPr>
              <w:t>。</w:t>
            </w:r>
          </w:p>
          <w:p>
            <w:pPr>
              <w:spacing w:line="400" w:lineRule="exact"/>
              <w:rPr>
                <w:rFonts w:ascii="宋体" w:hAnsi="宋体" w:cs="Calibri"/>
                <w:szCs w:val="21"/>
              </w:rPr>
            </w:pPr>
            <w:r>
              <w:rPr>
                <w:rFonts w:hint="eastAsia" w:ascii="宋体" w:hAnsi="宋体" w:cs="Calibri"/>
                <w:szCs w:val="21"/>
              </w:rPr>
              <w:t>(2)每日有计划地进行设备巡检工作，检查设备运行状态、调整设备运行参数，保障实验室通排风及其附属系统正常运行；发现设备故障隐患并处理，并填写巡检记录。</w:t>
            </w:r>
          </w:p>
          <w:p>
            <w:pPr>
              <w:spacing w:line="400" w:lineRule="exact"/>
              <w:rPr>
                <w:rFonts w:ascii="宋体" w:hAnsi="宋体" w:cs="Calibri"/>
                <w:szCs w:val="21"/>
              </w:rPr>
            </w:pPr>
            <w:r>
              <w:rPr>
                <w:rFonts w:hint="eastAsia" w:ascii="宋体" w:hAnsi="宋体" w:cs="Calibri"/>
                <w:szCs w:val="21"/>
              </w:rPr>
              <w:t>(3)根据设备使用情况制定维护保养计划，按周期对设备进行维护保养，确保实验室通排风设备长周期稳定运行。</w:t>
            </w:r>
          </w:p>
          <w:p>
            <w:pPr>
              <w:spacing w:line="400" w:lineRule="exact"/>
              <w:rPr>
                <w:rFonts w:ascii="宋体" w:hAnsi="宋体" w:cs="Calibri"/>
                <w:szCs w:val="21"/>
              </w:rPr>
            </w:pPr>
            <w:r>
              <w:rPr>
                <w:rFonts w:hint="eastAsia" w:ascii="宋体" w:hAnsi="宋体" w:cs="Calibri"/>
                <w:szCs w:val="21"/>
              </w:rPr>
              <w:t>(4)建立故障报修机制，接到故障报修后以最快的速度赶往现场进行检查处理，工作日小于1个小时内到达现场开始检修，节假日小于2个小时内到达现场开始检修。对一般故障要求2个小时内排除，对较大故障（设备专用配件损坏）要求在承诺时间内完成。</w:t>
            </w:r>
          </w:p>
          <w:p>
            <w:pPr>
              <w:spacing w:line="400" w:lineRule="exact"/>
              <w:rPr>
                <w:rFonts w:ascii="宋体" w:hAnsi="宋体" w:cs="Calibri"/>
                <w:szCs w:val="21"/>
              </w:rPr>
            </w:pPr>
            <w:r>
              <w:rPr>
                <w:rFonts w:hint="eastAsia" w:ascii="宋体" w:hAnsi="宋体" w:cs="Calibri"/>
                <w:szCs w:val="21"/>
              </w:rPr>
              <w:t>(5)定期（每月）统计耗材和备件的使用情况并提报采购计划。</w:t>
            </w:r>
          </w:p>
          <w:p>
            <w:pPr>
              <w:spacing w:line="400" w:lineRule="exact"/>
              <w:rPr>
                <w:rFonts w:ascii="宋体" w:hAnsi="宋体"/>
                <w:szCs w:val="21"/>
              </w:rPr>
            </w:pPr>
            <w:r>
              <w:rPr>
                <w:rFonts w:hint="eastAsia" w:ascii="宋体" w:hAnsi="宋体"/>
                <w:szCs w:val="21"/>
              </w:rPr>
              <w:t>(6)免费提供维保服务管理，采用专用维保软件，具备记录、统计、分析维保里的巡检、设备维修、故障报修、服务评价等内容。</w:t>
            </w:r>
          </w:p>
          <w:p>
            <w:pPr>
              <w:spacing w:line="400" w:lineRule="exact"/>
              <w:rPr>
                <w:rFonts w:ascii="宋体" w:hAnsi="宋体"/>
                <w:szCs w:val="21"/>
              </w:rPr>
            </w:pPr>
            <w:r>
              <w:rPr>
                <w:rFonts w:hint="eastAsia" w:ascii="宋体" w:hAnsi="宋体"/>
                <w:szCs w:val="21"/>
              </w:rPr>
              <w:t>(7)周一到周五常规安排不少于2人巡检、不少于1人机动（用户有紧急维修和其他特殊事项）。周六、周日常规安排特殊维修及紧急维修等事项。</w:t>
            </w:r>
          </w:p>
          <w:p>
            <w:pPr>
              <w:spacing w:line="400" w:lineRule="exact"/>
              <w:rPr>
                <w:rFonts w:ascii="宋体" w:hAnsi="宋体"/>
                <w:szCs w:val="21"/>
              </w:rPr>
            </w:pPr>
            <w:r>
              <w:rPr>
                <w:rFonts w:hint="eastAsia" w:ascii="宋体" w:hAnsi="宋体"/>
                <w:szCs w:val="21"/>
              </w:rPr>
              <w:t>2.服务人员配置及工作时间</w:t>
            </w:r>
          </w:p>
          <w:p>
            <w:pPr>
              <w:spacing w:line="400" w:lineRule="exact"/>
              <w:rPr>
                <w:rFonts w:ascii="宋体" w:hAnsi="宋体"/>
                <w:szCs w:val="21"/>
              </w:rPr>
            </w:pPr>
            <w:r>
              <w:rPr>
                <w:rFonts w:hint="eastAsia" w:ascii="宋体" w:hAnsi="宋体"/>
                <w:szCs w:val="21"/>
              </w:rPr>
              <w:t>(1)人员配置：维保人员不少于3人，根据实际工作量，如不满足需要则须临时增加人员。</w:t>
            </w:r>
          </w:p>
          <w:p>
            <w:pPr>
              <w:spacing w:line="400" w:lineRule="exact"/>
              <w:rPr>
                <w:rFonts w:ascii="宋体" w:hAnsi="宋体"/>
                <w:szCs w:val="21"/>
              </w:rPr>
            </w:pPr>
            <w:r>
              <w:rPr>
                <w:rFonts w:hint="eastAsia" w:ascii="宋体" w:hAnsi="宋体"/>
                <w:szCs w:val="21"/>
              </w:rPr>
              <w:t>(2)工作时间：周一到周五工作时间为上午08：00-12：00，下午14：00-18：00。周六或周日采用轮休制，每人每周休息一天。</w:t>
            </w:r>
          </w:p>
          <w:p>
            <w:pPr>
              <w:spacing w:line="400" w:lineRule="exact"/>
              <w:rPr>
                <w:rFonts w:ascii="宋体" w:hAnsi="宋体"/>
                <w:szCs w:val="21"/>
              </w:rPr>
            </w:pPr>
            <w:r>
              <w:rPr>
                <w:rFonts w:hint="eastAsia" w:ascii="宋体" w:hAnsi="宋体"/>
                <w:szCs w:val="21"/>
              </w:rPr>
              <w:t>3.定期巡检要求</w:t>
            </w:r>
          </w:p>
          <w:p>
            <w:pPr>
              <w:spacing w:line="400" w:lineRule="exact"/>
              <w:rPr>
                <w:rFonts w:ascii="宋体" w:hAnsi="宋体"/>
                <w:szCs w:val="21"/>
              </w:rPr>
            </w:pPr>
            <w:r>
              <w:rPr>
                <w:rFonts w:hint="eastAsia" w:ascii="宋体" w:hAnsi="宋体"/>
                <w:szCs w:val="21"/>
              </w:rPr>
              <w:t>(1)每栋楼每周巡检不少于1次。</w:t>
            </w:r>
          </w:p>
          <w:p>
            <w:pPr>
              <w:spacing w:line="400" w:lineRule="exact"/>
              <w:rPr>
                <w:rFonts w:ascii="宋体" w:hAnsi="宋体"/>
                <w:szCs w:val="21"/>
              </w:rPr>
            </w:pPr>
            <w:r>
              <w:rPr>
                <w:rFonts w:hint="eastAsia" w:ascii="宋体" w:hAnsi="宋体"/>
                <w:szCs w:val="21"/>
              </w:rPr>
              <w:t>(2)巡检流程：维保人员→实验室管理人员报到→楼顶及室外设备→实验室房间→填写记录表格→实验室管理人员签字确认。</w:t>
            </w:r>
          </w:p>
          <w:p>
            <w:pPr>
              <w:spacing w:line="400" w:lineRule="exact"/>
              <w:rPr>
                <w:rFonts w:ascii="宋体" w:hAnsi="宋体"/>
                <w:szCs w:val="21"/>
              </w:rPr>
            </w:pPr>
            <w:r>
              <w:rPr>
                <w:rFonts w:hint="eastAsia" w:ascii="宋体" w:hAnsi="宋体"/>
                <w:szCs w:val="21"/>
              </w:rPr>
              <w:t>(3)巡检内容：按时检修定点线路检修巡检；认真做好巡检记录；发现问题及时处理，如需停机及时上报，获得批准后方可处理；巡检完成后填写巡检记录表(三联单，其中一联每月5号前送国实处存档)。</w:t>
            </w:r>
          </w:p>
          <w:p>
            <w:pPr>
              <w:spacing w:line="400" w:lineRule="exact"/>
              <w:rPr>
                <w:rFonts w:ascii="宋体" w:hAnsi="宋体"/>
                <w:szCs w:val="21"/>
              </w:rPr>
            </w:pPr>
            <w:r>
              <w:rPr>
                <w:rFonts w:hint="eastAsia" w:ascii="宋体" w:hAnsi="宋体"/>
                <w:szCs w:val="21"/>
              </w:rPr>
              <w:t>(4)巡检时间：工作时间及流程需要实时记录(打卡机或二维码或APP小程序)</w:t>
            </w:r>
          </w:p>
          <w:p>
            <w:pPr>
              <w:spacing w:line="400" w:lineRule="exact"/>
              <w:rPr>
                <w:rFonts w:ascii="宋体" w:hAnsi="宋体"/>
                <w:szCs w:val="21"/>
              </w:rPr>
            </w:pPr>
            <w:r>
              <w:rPr>
                <w:rFonts w:hint="eastAsia" w:ascii="宋体" w:hAnsi="宋体"/>
                <w:szCs w:val="21"/>
              </w:rPr>
              <w:t>4.主要设备保养及维护</w:t>
            </w:r>
          </w:p>
          <w:p>
            <w:pPr>
              <w:spacing w:line="400" w:lineRule="exact"/>
              <w:rPr>
                <w:rFonts w:ascii="宋体" w:hAnsi="宋体"/>
                <w:szCs w:val="21"/>
              </w:rPr>
            </w:pPr>
            <w:r>
              <w:rPr>
                <w:rFonts w:hint="eastAsia" w:ascii="宋体" w:hAnsi="宋体"/>
                <w:szCs w:val="21"/>
              </w:rPr>
              <w:t>(1)主要设备范围：排风机、废气处理设备、新风机组、洁净机组等。</w:t>
            </w:r>
          </w:p>
          <w:p>
            <w:pPr>
              <w:spacing w:line="400" w:lineRule="exact"/>
              <w:rPr>
                <w:rFonts w:ascii="宋体" w:hAnsi="宋体"/>
                <w:szCs w:val="21"/>
              </w:rPr>
            </w:pPr>
            <w:r>
              <w:rPr>
                <w:rFonts w:hint="eastAsia" w:ascii="宋体" w:hAnsi="宋体"/>
                <w:szCs w:val="21"/>
              </w:rPr>
              <w:t>(2)按照设备的产品说明书要求制定保养及维护计划。保养流程：维保人员→实验室管理人员报到→保养设备→填写记录表格→实验室管理人员签字确认。</w:t>
            </w:r>
          </w:p>
          <w:p>
            <w:pPr>
              <w:spacing w:line="400" w:lineRule="exact"/>
              <w:rPr>
                <w:rFonts w:ascii="宋体" w:hAnsi="宋体"/>
                <w:szCs w:val="21"/>
              </w:rPr>
            </w:pPr>
            <w:r>
              <w:rPr>
                <w:rFonts w:hint="eastAsia" w:ascii="宋体" w:hAnsi="宋体"/>
                <w:szCs w:val="21"/>
              </w:rPr>
              <w:t>(3)每台设备要有独立保养及维护记录本，每次的维保要登记在册。</w:t>
            </w:r>
          </w:p>
          <w:p>
            <w:pPr>
              <w:spacing w:line="400" w:lineRule="exact"/>
              <w:rPr>
                <w:rFonts w:ascii="宋体" w:hAnsi="宋体"/>
                <w:szCs w:val="21"/>
              </w:rPr>
            </w:pPr>
            <w:r>
              <w:rPr>
                <w:rFonts w:hint="eastAsia" w:ascii="宋体" w:hAnsi="宋体"/>
                <w:szCs w:val="21"/>
              </w:rPr>
              <w:t>5.故障报修</w:t>
            </w:r>
          </w:p>
          <w:p>
            <w:pPr>
              <w:spacing w:line="400" w:lineRule="exact"/>
              <w:rPr>
                <w:rFonts w:ascii="宋体" w:hAnsi="宋体"/>
                <w:szCs w:val="21"/>
              </w:rPr>
            </w:pPr>
            <w:r>
              <w:rPr>
                <w:rFonts w:hint="eastAsia" w:ascii="宋体" w:hAnsi="宋体"/>
                <w:szCs w:val="21"/>
              </w:rPr>
              <w:t>(1)巡检或实验使用人员发现设备出现故障时，立即进行报修。可以通过专门的维护热线、报修邮箱等渠道进行报修。</w:t>
            </w:r>
          </w:p>
          <w:p>
            <w:pPr>
              <w:spacing w:line="400" w:lineRule="exact"/>
              <w:rPr>
                <w:rFonts w:ascii="宋体" w:hAnsi="宋体"/>
                <w:szCs w:val="21"/>
              </w:rPr>
            </w:pPr>
            <w:r>
              <w:rPr>
                <w:rFonts w:hint="eastAsia" w:ascii="宋体" w:hAnsi="宋体"/>
                <w:szCs w:val="21"/>
              </w:rPr>
              <w:t>(2)工单管理：建立工单管理系统，记录报修信息。及时分配工单，跟踪处理进度。建立设备维修历史记录，方便后续分析。</w:t>
            </w:r>
          </w:p>
          <w:p>
            <w:pPr>
              <w:spacing w:line="400" w:lineRule="exact"/>
              <w:rPr>
                <w:rFonts w:ascii="宋体" w:hAnsi="宋体"/>
                <w:szCs w:val="21"/>
              </w:rPr>
            </w:pPr>
            <w:r>
              <w:rPr>
                <w:rFonts w:hint="eastAsia" w:ascii="宋体" w:hAnsi="宋体"/>
                <w:szCs w:val="21"/>
              </w:rPr>
              <w:t>(3)报修流程：设备出现故障时，维保人员及时向实验室管理人员报告，填写设备故障报修单→维保项目经理下达该设备检修任务→维保经理安排检查检修→检修完成→设备主管进行验收→合格后签字，不合格返回重修→检修完成验收合格后填写仪器设备检修记录。</w:t>
            </w:r>
          </w:p>
          <w:p>
            <w:pPr>
              <w:spacing w:line="400" w:lineRule="exact"/>
              <w:rPr>
                <w:rFonts w:ascii="宋体" w:hAnsi="宋体"/>
                <w:szCs w:val="21"/>
              </w:rPr>
            </w:pPr>
            <w:r>
              <w:rPr>
                <w:rFonts w:hint="eastAsia" w:ascii="宋体" w:hAnsi="宋体"/>
                <w:szCs w:val="21"/>
              </w:rPr>
              <w:t>(4)维修过程如需要的配件没有在“表3   维保运行耗材、维修配件、备品备件清单”内或数量超出则由使用单位提出购买申请，报设备管理处审批采购。清单里备品备件内容要求按实结算，维保服务期没有使用的配件</w:t>
            </w:r>
            <w:r>
              <w:rPr>
                <w:rFonts w:hint="eastAsia" w:ascii="宋体" w:hAnsi="宋体"/>
                <w:szCs w:val="22"/>
                <w:lang w:bidi="ar"/>
              </w:rPr>
              <w:t>归属供应商。</w:t>
            </w:r>
          </w:p>
          <w:p>
            <w:pPr>
              <w:spacing w:line="400" w:lineRule="exact"/>
              <w:rPr>
                <w:rFonts w:ascii="宋体" w:hAnsi="宋体"/>
                <w:szCs w:val="21"/>
              </w:rPr>
            </w:pPr>
            <w:r>
              <w:rPr>
                <w:rFonts w:hint="eastAsia" w:ascii="宋体" w:hAnsi="宋体"/>
                <w:szCs w:val="21"/>
              </w:rPr>
              <w:t>(5)故障报修单采用三联单，其中一联每月/季统计送国实处存档。</w:t>
            </w:r>
          </w:p>
          <w:p>
            <w:pPr>
              <w:spacing w:line="400" w:lineRule="exact"/>
              <w:rPr>
                <w:rFonts w:ascii="宋体" w:hAnsi="宋体" w:cs="Calibri"/>
                <w:b/>
                <w:bCs/>
                <w:szCs w:val="21"/>
              </w:rPr>
            </w:pPr>
            <w:r>
              <w:rPr>
                <w:rFonts w:hint="eastAsia" w:ascii="宋体" w:hAnsi="宋体" w:cs="Calibri"/>
                <w:b/>
                <w:bCs/>
                <w:szCs w:val="21"/>
              </w:rPr>
              <w:t>（三）维保技术指标（以下标准规范如有更新替代，按最新的执行）</w:t>
            </w:r>
          </w:p>
          <w:p>
            <w:pPr>
              <w:spacing w:line="400" w:lineRule="exact"/>
              <w:rPr>
                <w:rFonts w:ascii="宋体" w:hAnsi="宋体"/>
                <w:szCs w:val="21"/>
              </w:rPr>
            </w:pPr>
            <w:r>
              <w:rPr>
                <w:rFonts w:hint="eastAsia" w:ascii="宋体" w:hAnsi="宋体"/>
                <w:szCs w:val="21"/>
              </w:rPr>
              <w:t>1.活性炭碘吸附值：≥800mg/g（在供货时提供国家认可的第三方检测机构出具的供应商提供的活性炭的碘吸附值检测报告)。</w:t>
            </w:r>
          </w:p>
          <w:p>
            <w:pPr>
              <w:spacing w:line="400" w:lineRule="exact"/>
              <w:rPr>
                <w:rFonts w:ascii="宋体" w:hAnsi="宋体"/>
                <w:szCs w:val="21"/>
              </w:rPr>
            </w:pPr>
            <w:r>
              <w:rPr>
                <w:rFonts w:hint="eastAsia" w:ascii="宋体" w:hAnsi="宋体"/>
                <w:szCs w:val="21"/>
              </w:rPr>
              <w:t>2.尾气指标：在响应文件中承诺成交后提供服务结束前一月内按采购人要求提供国家认可的第三方检测机构出具的以下指标的检测报告。</w:t>
            </w:r>
          </w:p>
          <w:p>
            <w:pPr>
              <w:spacing w:line="400" w:lineRule="exact"/>
              <w:rPr>
                <w:rFonts w:ascii="宋体" w:hAnsi="宋体"/>
                <w:szCs w:val="21"/>
              </w:rPr>
            </w:pPr>
            <w:r>
              <w:rPr>
                <w:rFonts w:hint="eastAsia" w:ascii="宋体" w:hAnsi="宋体"/>
                <w:szCs w:val="21"/>
              </w:rPr>
              <w:t>(1)低浓度颗粒物经检测达标（依据《大气污染物综合排放标准》（GB16297-1996DB32/4041-2021）表1中标准）</w:t>
            </w:r>
          </w:p>
          <w:p>
            <w:pPr>
              <w:spacing w:line="400" w:lineRule="exact"/>
              <w:rPr>
                <w:rFonts w:ascii="宋体" w:hAnsi="宋体"/>
                <w:szCs w:val="21"/>
              </w:rPr>
            </w:pPr>
            <w:r>
              <w:rPr>
                <w:rFonts w:hint="eastAsia" w:ascii="宋体" w:hAnsi="宋体"/>
                <w:szCs w:val="21"/>
              </w:rPr>
              <w:t>(2)非甲烷总烃经检测达标（依据《大气污染物综合排放标准》（GB16297-1996）表2中标准）</w:t>
            </w:r>
          </w:p>
          <w:p>
            <w:pPr>
              <w:spacing w:line="400" w:lineRule="exact"/>
              <w:rPr>
                <w:rFonts w:ascii="宋体" w:hAnsi="宋体"/>
                <w:szCs w:val="21"/>
              </w:rPr>
            </w:pPr>
            <w:r>
              <w:rPr>
                <w:rFonts w:hint="eastAsia" w:ascii="宋体" w:hAnsi="宋体"/>
                <w:szCs w:val="21"/>
              </w:rPr>
              <w:t>(3)苯经检测达标（依据《大气污染物综合排放标准》（GB16297-1996）表2中标准）；</w:t>
            </w:r>
          </w:p>
          <w:p>
            <w:pPr>
              <w:spacing w:line="400" w:lineRule="exact"/>
              <w:rPr>
                <w:rFonts w:ascii="宋体" w:hAnsi="宋体"/>
                <w:szCs w:val="21"/>
              </w:rPr>
            </w:pPr>
            <w:r>
              <w:rPr>
                <w:rFonts w:hint="eastAsia" w:ascii="宋体" w:hAnsi="宋体"/>
                <w:szCs w:val="21"/>
              </w:rPr>
              <w:t>(4)甲苯经检测达标（依据《大气污染物综合排放标准》（GB16297-1996）表2中标准）；</w:t>
            </w:r>
          </w:p>
          <w:p>
            <w:pPr>
              <w:spacing w:line="400" w:lineRule="exact"/>
              <w:rPr>
                <w:rFonts w:ascii="宋体" w:hAnsi="宋体"/>
                <w:szCs w:val="21"/>
              </w:rPr>
            </w:pPr>
            <w:r>
              <w:rPr>
                <w:rFonts w:hint="eastAsia" w:ascii="宋体" w:hAnsi="宋体"/>
                <w:szCs w:val="21"/>
              </w:rPr>
              <w:t>(5)二甲苯*经检测达标（依据《大气污染物综合排放标准》（GB16297-1996）表2中标准）；</w:t>
            </w:r>
          </w:p>
          <w:p>
            <w:pPr>
              <w:spacing w:line="400" w:lineRule="exact"/>
              <w:rPr>
                <w:rFonts w:ascii="宋体" w:hAnsi="宋体"/>
                <w:szCs w:val="21"/>
              </w:rPr>
            </w:pPr>
            <w:r>
              <w:rPr>
                <w:rFonts w:hint="eastAsia" w:ascii="宋体" w:hAnsi="宋体"/>
                <w:szCs w:val="21"/>
              </w:rPr>
              <w:t>(6)氮氧化物经检测达标（依据《大气污染物综合排放标准》（GB16297-1996）表2中标准）；</w:t>
            </w:r>
          </w:p>
          <w:p>
            <w:pPr>
              <w:spacing w:line="400" w:lineRule="exact"/>
              <w:rPr>
                <w:rFonts w:ascii="宋体" w:hAnsi="宋体"/>
                <w:szCs w:val="21"/>
              </w:rPr>
            </w:pPr>
            <w:r>
              <w:rPr>
                <w:rFonts w:hint="eastAsia" w:ascii="宋体" w:hAnsi="宋体"/>
                <w:szCs w:val="21"/>
              </w:rPr>
              <w:t>(7)硫酸雾经检测达标（依据《大气污染物综合排放标准》（GB16297-1996）表2中标准）；</w:t>
            </w:r>
          </w:p>
          <w:p>
            <w:pPr>
              <w:spacing w:line="400" w:lineRule="exact"/>
              <w:rPr>
                <w:rFonts w:ascii="宋体" w:hAnsi="宋体"/>
                <w:szCs w:val="21"/>
              </w:rPr>
            </w:pPr>
            <w:r>
              <w:rPr>
                <w:rFonts w:hint="eastAsia" w:ascii="宋体" w:hAnsi="宋体"/>
                <w:szCs w:val="21"/>
              </w:rPr>
              <w:t>(8)丙烯醛经检测达标（依据《大气污染物综合排放标准》（GB16297-1996）表2中标准）；</w:t>
            </w:r>
          </w:p>
          <w:p>
            <w:pPr>
              <w:spacing w:line="400" w:lineRule="exact"/>
              <w:rPr>
                <w:rFonts w:ascii="宋体" w:hAnsi="宋体"/>
                <w:szCs w:val="21"/>
              </w:rPr>
            </w:pPr>
            <w:r>
              <w:rPr>
                <w:rFonts w:hint="eastAsia" w:ascii="宋体" w:hAnsi="宋体"/>
                <w:szCs w:val="21"/>
              </w:rPr>
              <w:t>(9)苯并[a]芘经检测达标（依据《大气污染物综合排放标准》（GB16297-1996）表2中标准）；</w:t>
            </w:r>
          </w:p>
          <w:p>
            <w:pPr>
              <w:spacing w:line="400" w:lineRule="exact"/>
              <w:rPr>
                <w:rFonts w:ascii="宋体" w:hAnsi="宋体"/>
                <w:szCs w:val="21"/>
              </w:rPr>
            </w:pPr>
            <w:r>
              <w:rPr>
                <w:rFonts w:hint="eastAsia" w:ascii="宋体" w:hAnsi="宋体"/>
                <w:szCs w:val="21"/>
              </w:rPr>
              <w:t>(10)苯乙烯经检测达标（依据《恶臭污染物排放标准》（GB14554-93）表2中标准）；</w:t>
            </w:r>
          </w:p>
          <w:p>
            <w:pPr>
              <w:spacing w:line="400" w:lineRule="exact"/>
            </w:pPr>
            <w:r>
              <w:rPr>
                <w:rFonts w:hint="eastAsia" w:ascii="宋体" w:hAnsi="宋体"/>
                <w:szCs w:val="21"/>
              </w:rPr>
              <w:t>(11)臭气（臭气浓度）经检测达标（依据《恶臭污染物排放标准》（GB14554-93）表2中标准）。</w:t>
            </w:r>
          </w:p>
        </w:tc>
        <w:tc>
          <w:tcPr>
            <w:tcW w:w="1245" w:type="dxa"/>
            <w:vAlign w:val="center"/>
          </w:tcPr>
          <w:p>
            <w:pPr>
              <w:widowControl/>
              <w:spacing w:line="360" w:lineRule="auto"/>
              <w:jc w:val="center"/>
              <w:textAlignment w:val="center"/>
              <w:rPr>
                <w:rFonts w:ascii="宋体" w:hAnsi="宋体" w:cs="宋体"/>
                <w:b/>
                <w:bCs/>
                <w:sz w:val="24"/>
              </w:rPr>
            </w:pPr>
            <w:r>
              <w:rPr>
                <w:rFonts w:hint="eastAsia" w:ascii="宋体" w:hAnsi="宋体" w:cs="宋体"/>
                <w:b/>
                <w:bCs/>
                <w:sz w:val="24"/>
              </w:rPr>
              <w:t>219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5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sz w:val="24"/>
              </w:rPr>
            </w:pPr>
            <w:r>
              <w:rPr>
                <w:rFonts w:hint="eastAsia" w:ascii="宋体" w:hAnsi="宋体" w:cs="宋体"/>
                <w:b/>
                <w:sz w:val="24"/>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合同签订时间</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自成交通知书发出之日起</w:t>
            </w:r>
            <w:r>
              <w:rPr>
                <w:rFonts w:ascii="宋体" w:hAnsi="宋体" w:cs="宋体"/>
                <w:szCs w:val="21"/>
              </w:rPr>
              <w:t>2</w:t>
            </w:r>
            <w:r>
              <w:rPr>
                <w:rFonts w:hint="eastAsia" w:ascii="宋体" w:hAnsi="宋体" w:cs="宋体"/>
                <w:szCs w:val="21"/>
              </w:rPr>
              <w:t>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sz w:val="24"/>
              </w:rPr>
              <w:t>服务期限及服务及地点</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1.服务期限：自合同约定之日起1年</w:t>
            </w:r>
          </w:p>
          <w:p>
            <w:pPr>
              <w:spacing w:line="420" w:lineRule="exact"/>
              <w:ind w:firstLine="420" w:firstLineChars="200"/>
              <w:rPr>
                <w:rFonts w:ascii="宋体" w:hAnsi="宋体" w:cs="宋体"/>
                <w:szCs w:val="21"/>
              </w:rPr>
            </w:pPr>
            <w:r>
              <w:rPr>
                <w:rFonts w:hint="eastAsia" w:ascii="宋体" w:hAnsi="宋体" w:cs="宋体"/>
                <w:szCs w:val="21"/>
              </w:rPr>
              <w:t>2.服务地点：南宁市采购人指定地点。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860" w:type="dxa"/>
            <w:gridSpan w:val="2"/>
            <w:tcBorders>
              <w:top w:val="single" w:color="auto" w:sz="4" w:space="0"/>
              <w:left w:val="single" w:color="auto" w:sz="4" w:space="0"/>
              <w:bottom w:val="single" w:color="auto" w:sz="4" w:space="0"/>
              <w:right w:val="single" w:color="auto" w:sz="4" w:space="0"/>
            </w:tcBorders>
            <w:vAlign w:val="center"/>
          </w:tcPr>
          <w:p>
            <w:pPr>
              <w:pStyle w:val="71"/>
              <w:spacing w:line="360" w:lineRule="auto"/>
              <w:ind w:firstLine="0" w:firstLineChars="0"/>
              <w:jc w:val="center"/>
              <w:rPr>
                <w:rFonts w:ascii="宋体" w:hAnsi="宋体" w:cs="宋体"/>
                <w:b/>
                <w:sz w:val="24"/>
              </w:rPr>
            </w:pPr>
            <w:r>
              <w:rPr>
                <w:rFonts w:hint="eastAsia" w:ascii="宋体" w:hAnsi="宋体" w:cs="宋体"/>
                <w:sz w:val="24"/>
              </w:rPr>
              <w:t>付款方式</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（1）本项目无预付款。</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（2）维保服务款：分三次付款。</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第一次：服务期满4个月，成交供应商向采购人提交维保工作请款申请、维保服务记录表及发票，采购人根据考核结果在20个工作日内支付合同额30%。</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第二次：服务期满8个月，成交供应商向采购人提交维保工作请款申请、维保服务记录表及发票，采购人根据考核结果在</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个工作日内支付合同额30%。</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次：服务期满12个月，甲方对中标人的维保情况进行考核，年度得分≥总分*90%，不扣合同金额（备品备件内容按照实际使用数量结算）。年度得分＜总分*90%，按比例扣除合同金额（备品备件内容按照实际使用数量结算）。实际应付款=合同款的40%－备品备件实际使用差额（备品备件清单数量与实际使用数量间的差额）-考核评分应扣除的合同金额(详见附件 表5)。在项目通过验收后，采购人才支付实际应付款。</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服务款项以银行转账方式支付。支付时，成交供应商须提交合同复印件、开具正式有效的等额增值税普通发票、加盖单位公章。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0" w:type="dxa"/>
            <w:gridSpan w:val="2"/>
            <w:tcBorders>
              <w:top w:val="single" w:color="auto" w:sz="4" w:space="0"/>
              <w:left w:val="single" w:color="auto" w:sz="4" w:space="0"/>
              <w:bottom w:val="single" w:color="auto" w:sz="4" w:space="0"/>
              <w:right w:val="single" w:color="auto" w:sz="4" w:space="0"/>
            </w:tcBorders>
            <w:vAlign w:val="center"/>
          </w:tcPr>
          <w:p>
            <w:pPr>
              <w:pStyle w:val="14"/>
              <w:rPr>
                <w:rFonts w:ascii="宋体" w:hAnsi="宋体" w:cs="宋体"/>
                <w:sz w:val="24"/>
              </w:rPr>
            </w:pPr>
            <w:r>
              <w:rPr>
                <w:rFonts w:hint="eastAsia" w:ascii="宋体" w:hAnsi="宋体" w:cs="宋体"/>
                <w:sz w:val="24"/>
              </w:rPr>
              <w:t>验收要求</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1.服务评价：定期检查设备操作运行情况，定期检查设备操作运行情况，定期保养设备，及时消除故障，确保各系统设备高效率运行。</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系统校准和性能验证：系统里各设备的校准频率、性能验证频率和维护频率应根据设备的类型、以往的性能情况以及相应的法规要求来确定。不正常设备应立即停用，并进行维修、校准和性能验证，确保其性能符合要求后方可恢复使用。</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环保要求：本项目签订合同后第六个月内及服务期满前一个月内，成交供应商必须分别提供具有国家检验检测认证资质的第三方检测机构出具的排放检测报告原件，检测报告由成交供应商委托且采购人认可的有资质的第三方检测机构对本维保项目其中1套排风系统进行检测（检测指标依据维保技术指标），注明委托项目（本维保项目）的名称、委托方、受托方、检测内容、检测结论等明确信息，检测报告作为本项目验收和尾款的依据。如检测结果不合格则成交供应商需限期整改，重新检测合格后方可通过验收。</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维保记录管理：提交巡检、设备定期维护保养、故障报修、耗材/备品备件使用记录表（需要各使用部门签字盖章）要有详细记录维修和保养的内容、日期以及负责人员。维修记录应存档，便于日后查询和设备管理。记录内容满足本项目的服务要求。如维保记录有错漏则成交供应商应修正补漏，直至维保记录符合要求方可通过验收。</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成交供应商在服务成果验收时由采购单位对照采购文件的服务参数全面核对检验，对所有要求出具的证明文件的原件进行核查，如不符合采购文件的服务需求以及提供虚假承诺的，按相关规定作违约处理，成交供应商承担所有责任和费用，采购人保留进一步追究责任的权利；</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6.采购标的需执行国家标准、行业标准、地方标准或者其他标准、规范，如有最新的按最新的执行；</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7.采购人预验收及履约验收时，采购人和成交供应商共同对本项目中所有需要维保的设备进行检查，所有设备均在正常状态并可正常使用方可通过验收。</w:t>
            </w:r>
          </w:p>
          <w:p>
            <w:pPr>
              <w:spacing w:line="420" w:lineRule="exact"/>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8.预验收及履约验收不通过的，根据采购人意见进行整改，直到验收通过为止，期间产生的相关费用由成交供应商承担。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0" w:type="dxa"/>
            <w:gridSpan w:val="2"/>
            <w:tcBorders>
              <w:top w:val="single" w:color="auto" w:sz="4" w:space="0"/>
              <w:left w:val="single" w:color="auto" w:sz="4" w:space="0"/>
              <w:bottom w:val="single" w:color="auto" w:sz="4" w:space="0"/>
              <w:right w:val="single" w:color="auto" w:sz="4" w:space="0"/>
            </w:tcBorders>
            <w:vAlign w:val="center"/>
          </w:tcPr>
          <w:p>
            <w:pPr>
              <w:pStyle w:val="71"/>
              <w:spacing w:line="360" w:lineRule="auto"/>
              <w:ind w:firstLine="0" w:firstLineChars="0"/>
              <w:jc w:val="center"/>
              <w:rPr>
                <w:rFonts w:ascii="宋体" w:hAnsi="宋体" w:cs="宋体"/>
                <w:b/>
                <w:bCs/>
                <w:sz w:val="24"/>
              </w:rPr>
            </w:pPr>
            <w:r>
              <w:rPr>
                <w:rFonts w:hint="eastAsia" w:ascii="宋体" w:hAnsi="宋体" w:cs="宋体"/>
                <w:sz w:val="24"/>
              </w:rPr>
              <w:t>报价要求</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竞争性磋商报价包括但不限于满足本次响应全部采购需求所应提供的服务，以及伴随的货物和工程（如有）的价格；包含1）产品部件（“表3  维保运行耗材、维修配件、备品备件清单”所列耗材、配件、</w:t>
            </w:r>
            <w:r>
              <w:rPr>
                <w:rFonts w:hint="eastAsia" w:ascii="宋体" w:hAnsi="宋体" w:cs="宋体"/>
                <w:color w:val="000000" w:themeColor="text1"/>
                <w:sz w:val="24"/>
                <w14:textFill>
                  <w14:solidFill>
                    <w14:schemeClr w14:val="tx1"/>
                  </w14:solidFill>
                </w14:textFill>
              </w:rPr>
              <w:t>备品备件</w:t>
            </w:r>
            <w:r>
              <w:rPr>
                <w:rFonts w:hint="eastAsia" w:ascii="宋体" w:hAnsi="宋体" w:cs="宋体"/>
                <w:color w:val="000000" w:themeColor="text1"/>
                <w:szCs w:val="21"/>
                <w14:textFill>
                  <w14:solidFill>
                    <w14:schemeClr w14:val="tx1"/>
                  </w14:solidFill>
                </w14:textFill>
              </w:rPr>
              <w:t>）和维保服务的价格；2）成交供应商专用工具、维保人员人工费用、保险、交通费、伙食费、调试、技术支持、管理服务成本、检测、预验收及履约验收、税费及其他所有成本费用的总和。税费因政策等原因发生变化的，由成交供应商承担。合同履行过程中，采购人不再支付合同以外的其他费用。（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0" w:type="dxa"/>
            <w:gridSpan w:val="2"/>
            <w:tcBorders>
              <w:top w:val="single" w:color="auto" w:sz="4" w:space="0"/>
              <w:left w:val="single" w:color="auto" w:sz="4" w:space="0"/>
              <w:bottom w:val="single" w:color="auto" w:sz="4" w:space="0"/>
              <w:right w:val="single" w:color="auto" w:sz="4" w:space="0"/>
            </w:tcBorders>
            <w:vAlign w:val="center"/>
          </w:tcPr>
          <w:p>
            <w:pPr>
              <w:pStyle w:val="71"/>
              <w:spacing w:line="360" w:lineRule="auto"/>
              <w:ind w:firstLine="0" w:firstLineChars="0"/>
              <w:jc w:val="center"/>
              <w:rPr>
                <w:rFonts w:ascii="宋体" w:hAnsi="宋体" w:cs="宋体"/>
                <w:sz w:val="24"/>
              </w:rPr>
            </w:pPr>
            <w:r>
              <w:rPr>
                <w:rFonts w:hint="eastAsia" w:ascii="宋体" w:hAnsi="宋体" w:cs="宋体"/>
                <w:sz w:val="24"/>
              </w:rPr>
              <w:t>履约保证金的收取与退付</w:t>
            </w:r>
          </w:p>
        </w:tc>
        <w:tc>
          <w:tcPr>
            <w:tcW w:w="729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1.履约保证金金额：履约保证金为合同金额的5%（成交供应商为中小微企业的，履约保证金为合同金额的2%。以响应文件中提交的中小企业声明函为依据）；签订合同时交至指定账户。</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2.履约保证金递交方式：银行转账、保函等非现金方式。由成交供应商在签订合同时按规定的金额直接缴入以下采购人账户或将保函原件交付采购人。 </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统一社会信用代码：124500004985009929</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户名：广西大学   </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开户行：中国银行广西南宁市西大支行（行号：104611010324）</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账号：618 457 484 938 </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地址：广西壮族自治区南宁市大学东路100号  </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电话：0771-3232888</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缴纳履约保证金注明：“项目名称+项目编号”履约保证金。</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履约保证金退付方式、时间及条件：成交供应商若不能完全履行合同，履约保证金不予退还；成交供应商若完全履行合同，服务验收合格后，成交供应商凭履约保证金退付意见书到采购人财务部门办理无息退还手续。</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4.备注：</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履约保证金必须足额缴纳，或出具的保函额度必须足额且保函有效期不能低于合同履行期限（即签订采购合同之日起至履行完合同约定的权利及义务之日止），否则视为无效履约保证金。</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（2）采用保函的，必须为无条件的保函，否则视为无效履约保证金。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现场踏勘</w:t>
            </w:r>
          </w:p>
        </w:tc>
        <w:tc>
          <w:tcPr>
            <w:tcW w:w="7290" w:type="dxa"/>
            <w:gridSpan w:val="3"/>
            <w:tcBorders>
              <w:top w:val="single" w:color="auto" w:sz="4" w:space="0"/>
              <w:left w:val="single" w:color="auto" w:sz="4" w:space="0"/>
              <w:bottom w:val="single" w:color="auto" w:sz="4" w:space="0"/>
              <w:right w:val="single" w:color="auto" w:sz="4" w:space="0"/>
            </w:tcBorders>
          </w:tcPr>
          <w:p>
            <w:pPr>
              <w:spacing w:line="420" w:lineRule="exact"/>
              <w:ind w:firstLine="420" w:firstLineChars="200"/>
              <w:rPr>
                <w:rFonts w:ascii="宋体" w:hAnsi="宋体" w:cs="宋体"/>
                <w:color w:val="000000" w:themeColor="text1"/>
                <w:szCs w:val="21"/>
                <w14:textFill>
                  <w14:solidFill>
                    <w14:schemeClr w14:val="tx1"/>
                  </w14:solidFill>
                </w14:textFill>
              </w:rPr>
            </w:pPr>
            <w:bookmarkStart w:id="41" w:name="OLE_LINK5"/>
            <w:r>
              <w:rPr>
                <w:rFonts w:hint="eastAsia" w:ascii="宋体" w:hAnsi="宋体" w:cs="宋体"/>
                <w:color w:val="000000" w:themeColor="text1"/>
                <w:szCs w:val="21"/>
                <w14:textFill>
                  <w14:solidFill>
                    <w14:schemeClr w14:val="tx1"/>
                  </w14:solidFill>
                </w14:textFill>
              </w:rPr>
              <w:t>供应商可在2025年</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日以前自行考察，采购人不统一组织踏勘。 </w:t>
            </w:r>
          </w:p>
          <w:p>
            <w:pPr>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供应商仅限步行入校。需提前通过“平安西大”微信公众号申请入校。预约流程：登录“平安西大”微信公众号→校门管理→行人预约。请至少提前24小时预约。</w:t>
            </w:r>
            <w:bookmarkEnd w:id="41"/>
          </w:p>
        </w:tc>
      </w:tr>
    </w:tbl>
    <w:p>
      <w:pPr>
        <w:spacing w:line="428" w:lineRule="exact"/>
        <w:rPr>
          <w:rFonts w:ascii="微软雅黑" w:hAnsi="微软雅黑" w:eastAsia="微软雅黑" w:cs="微软雅黑"/>
          <w:sz w:val="30"/>
          <w:szCs w:val="30"/>
        </w:rPr>
      </w:pPr>
      <w:r>
        <w:rPr>
          <w:rFonts w:hint="eastAsia" w:hAnsi="宋体" w:cs="宋体"/>
          <w:bCs/>
          <w:sz w:val="24"/>
          <w:u w:val="single"/>
        </w:rPr>
        <w:br w:type="page"/>
      </w:r>
      <w:bookmarkStart w:id="42" w:name="_Toc74323459"/>
      <w:r>
        <w:rPr>
          <w:rFonts w:hint="eastAsia" w:ascii="微软雅黑" w:hAnsi="微软雅黑" w:eastAsia="微软雅黑" w:cs="微软雅黑"/>
          <w:sz w:val="30"/>
          <w:szCs w:val="30"/>
        </w:rPr>
        <w:t>附件：</w:t>
      </w:r>
    </w:p>
    <w:p>
      <w:pPr>
        <w:pStyle w:val="18"/>
        <w:jc w:val="center"/>
        <w:rPr>
          <w:rFonts w:hAnsi="宋体" w:cs="宋体"/>
          <w:b/>
          <w:bCs/>
          <w:kern w:val="2"/>
          <w:sz w:val="28"/>
          <w:szCs w:val="28"/>
        </w:rPr>
      </w:pPr>
      <w:r>
        <w:rPr>
          <w:rFonts w:hint="eastAsia" w:hAnsi="宋体" w:cs="宋体"/>
          <w:b/>
          <w:bCs/>
          <w:kern w:val="2"/>
          <w:sz w:val="28"/>
          <w:szCs w:val="28"/>
        </w:rPr>
        <w:t>表1   维保主要设备清单</w:t>
      </w:r>
    </w:p>
    <w:tbl>
      <w:tblPr>
        <w:tblStyle w:val="29"/>
        <w:tblW w:w="10053" w:type="dxa"/>
        <w:jc w:val="center"/>
        <w:tblLayout w:type="fixed"/>
        <w:tblCellMar>
          <w:top w:w="0" w:type="dxa"/>
          <w:left w:w="108" w:type="dxa"/>
          <w:bottom w:w="0" w:type="dxa"/>
          <w:right w:w="108" w:type="dxa"/>
        </w:tblCellMar>
      </w:tblPr>
      <w:tblGrid>
        <w:gridCol w:w="439"/>
        <w:gridCol w:w="1288"/>
        <w:gridCol w:w="644"/>
        <w:gridCol w:w="633"/>
        <w:gridCol w:w="652"/>
        <w:gridCol w:w="574"/>
        <w:gridCol w:w="618"/>
        <w:gridCol w:w="618"/>
        <w:gridCol w:w="589"/>
        <w:gridCol w:w="589"/>
        <w:gridCol w:w="708"/>
        <w:gridCol w:w="693"/>
        <w:gridCol w:w="471"/>
        <w:gridCol w:w="529"/>
        <w:gridCol w:w="431"/>
        <w:gridCol w:w="577"/>
      </w:tblGrid>
      <w:tr>
        <w:tblPrEx>
          <w:tblCellMar>
            <w:top w:w="0" w:type="dxa"/>
            <w:left w:w="108" w:type="dxa"/>
            <w:bottom w:w="0" w:type="dxa"/>
            <w:right w:w="108" w:type="dxa"/>
          </w:tblCellMar>
        </w:tblPrEx>
        <w:trPr>
          <w:trHeight w:val="255" w:hRule="atLeast"/>
          <w:jc w:val="center"/>
        </w:trPr>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使用部门</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边台（米）</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中央台（米）</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水槽</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万向罩</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排风药品柜</w:t>
            </w:r>
          </w:p>
        </w:tc>
        <w:tc>
          <w:tcPr>
            <w:tcW w:w="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顶式排风罩</w:t>
            </w:r>
          </w:p>
        </w:tc>
        <w:tc>
          <w:tcPr>
            <w:tcW w:w="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排风机</w:t>
            </w:r>
          </w:p>
        </w:tc>
        <w:tc>
          <w:tcPr>
            <w:tcW w:w="283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尾气设备（套）</w:t>
            </w:r>
          </w:p>
        </w:tc>
        <w:tc>
          <w:tcPr>
            <w:tcW w:w="5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制冷机组</w:t>
            </w:r>
          </w:p>
        </w:tc>
      </w:tr>
      <w:tr>
        <w:tblPrEx>
          <w:tblCellMar>
            <w:top w:w="0" w:type="dxa"/>
            <w:left w:w="108" w:type="dxa"/>
            <w:bottom w:w="0" w:type="dxa"/>
            <w:right w:w="108" w:type="dxa"/>
          </w:tblCellMar>
        </w:tblPrEx>
        <w:trPr>
          <w:trHeight w:val="1079" w:hRule="atLeast"/>
          <w:jc w:val="center"/>
        </w:trPr>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活性炭箱(顶式)</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活性炭箱(楼顶)</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喷淋塔</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干式混合</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湿式混合</w:t>
            </w:r>
          </w:p>
        </w:tc>
        <w:tc>
          <w:tcPr>
            <w:tcW w:w="57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468"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化工学院1号楼</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656</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455</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492</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195</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108" w:type="dxa"/>
            <w:bottom w:w="0" w:type="dxa"/>
            <w:right w:w="108" w:type="dxa"/>
          </w:tblCellMar>
        </w:tblPrEx>
        <w:trPr>
          <w:trHeight w:val="468"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化工学院3号楼</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384</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263</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121</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127</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321"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物理学院</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260</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108" w:type="dxa"/>
            <w:bottom w:w="0" w:type="dxa"/>
            <w:right w:w="108" w:type="dxa"/>
          </w:tblCellMar>
        </w:tblPrEx>
        <w:trPr>
          <w:trHeight w:val="390"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资环材学院</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1786</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392</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129</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244</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87</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468"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医学院综合楼</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377</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242</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r>
      <w:tr>
        <w:tblPrEx>
          <w:tblCellMar>
            <w:top w:w="0" w:type="dxa"/>
            <w:left w:w="108" w:type="dxa"/>
            <w:bottom w:w="0" w:type="dxa"/>
            <w:right w:w="108" w:type="dxa"/>
          </w:tblCellMar>
        </w:tblPrEx>
        <w:trPr>
          <w:trHeight w:val="468"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医学院生物医药</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89"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医学院脑神经中心</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108" w:type="dxa"/>
            <w:bottom w:w="0" w:type="dxa"/>
            <w:right w:w="108" w:type="dxa"/>
          </w:tblCellMar>
        </w:tblPrEx>
        <w:trPr>
          <w:trHeight w:val="329"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海洋学院</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0" w:type="dxa"/>
            <w:left w:w="108" w:type="dxa"/>
            <w:bottom w:w="0" w:type="dxa"/>
            <w:right w:w="108" w:type="dxa"/>
          </w:tblCellMar>
        </w:tblPrEx>
        <w:trPr>
          <w:trHeight w:val="355"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生科院</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bl>
    <w:p>
      <w:pPr>
        <w:pStyle w:val="18"/>
        <w:jc w:val="center"/>
        <w:rPr>
          <w:rFonts w:hAnsi="宋体" w:cs="宋体"/>
          <w:b/>
          <w:bCs/>
          <w:kern w:val="2"/>
          <w:sz w:val="28"/>
          <w:szCs w:val="28"/>
        </w:rPr>
      </w:pPr>
      <w:r>
        <w:rPr>
          <w:rFonts w:hint="eastAsia" w:hAnsi="宋体" w:cs="宋体"/>
          <w:b/>
          <w:bCs/>
          <w:kern w:val="2"/>
          <w:sz w:val="28"/>
          <w:szCs w:val="28"/>
        </w:rPr>
        <w:t>表2   维保人工服务清单</w:t>
      </w:r>
    </w:p>
    <w:tbl>
      <w:tblPr>
        <w:tblStyle w:val="29"/>
        <w:tblW w:w="10045" w:type="dxa"/>
        <w:jc w:val="center"/>
        <w:tblLayout w:type="fixed"/>
        <w:tblCellMar>
          <w:top w:w="0" w:type="dxa"/>
          <w:left w:w="108" w:type="dxa"/>
          <w:bottom w:w="0" w:type="dxa"/>
          <w:right w:w="108" w:type="dxa"/>
        </w:tblCellMar>
      </w:tblPr>
      <w:tblGrid>
        <w:gridCol w:w="680"/>
        <w:gridCol w:w="1541"/>
        <w:gridCol w:w="6396"/>
        <w:gridCol w:w="685"/>
        <w:gridCol w:w="743"/>
      </w:tblGrid>
      <w:tr>
        <w:tblPrEx>
          <w:tblCellMar>
            <w:top w:w="0" w:type="dxa"/>
            <w:left w:w="108" w:type="dxa"/>
            <w:bottom w:w="0" w:type="dxa"/>
            <w:right w:w="108" w:type="dxa"/>
          </w:tblCellMar>
        </w:tblPrEx>
        <w:trPr>
          <w:trHeight w:val="25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序号</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学院</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项目特征描述</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单位</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r>
      <w:tr>
        <w:tblPrEx>
          <w:tblCellMar>
            <w:top w:w="0" w:type="dxa"/>
            <w:left w:w="108" w:type="dxa"/>
            <w:bottom w:w="0" w:type="dxa"/>
            <w:right w:w="108" w:type="dxa"/>
          </w:tblCellMar>
        </w:tblPrEx>
        <w:trPr>
          <w:trHeight w:val="540"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化工院1号楼</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6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化工院3号楼</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1.维保范围：排风设备、控制设备、气路系统、实验室家具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6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物理学院</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6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资环材学院</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6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医学院综合楼</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6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医学院生物医药</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6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医学院脑神经中心</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6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海洋学院</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CellMar>
            <w:top w:w="0" w:type="dxa"/>
            <w:left w:w="108" w:type="dxa"/>
            <w:bottom w:w="0" w:type="dxa"/>
            <w:right w:w="108" w:type="dxa"/>
          </w:tblCellMar>
        </w:tblPrEx>
        <w:trPr>
          <w:trHeight w:val="268"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生科院</w:t>
            </w:r>
          </w:p>
        </w:tc>
        <w:tc>
          <w:tcPr>
            <w:tcW w:w="639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1.维保范围：排风设备、控制系统</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bl>
    <w:p>
      <w:pPr>
        <w:pStyle w:val="18"/>
        <w:jc w:val="center"/>
        <w:rPr>
          <w:rFonts w:hAnsi="宋体" w:cs="宋体"/>
          <w:b/>
          <w:bCs/>
          <w:kern w:val="2"/>
          <w:sz w:val="28"/>
          <w:szCs w:val="28"/>
        </w:rPr>
      </w:pPr>
      <w:r>
        <w:rPr>
          <w:rFonts w:hint="eastAsia" w:hAnsi="宋体" w:cs="宋体"/>
          <w:b/>
          <w:bCs/>
          <w:kern w:val="2"/>
          <w:sz w:val="28"/>
          <w:szCs w:val="28"/>
        </w:rPr>
        <w:br w:type="page"/>
      </w:r>
      <w:r>
        <w:rPr>
          <w:rFonts w:hint="eastAsia" w:hAnsi="宋体" w:cs="宋体"/>
          <w:b/>
          <w:bCs/>
          <w:kern w:val="2"/>
          <w:sz w:val="28"/>
          <w:szCs w:val="28"/>
        </w:rPr>
        <w:t>表3   维保运行耗材、维修配件、备品备件清单</w:t>
      </w:r>
    </w:p>
    <w:tbl>
      <w:tblPr>
        <w:tblStyle w:val="29"/>
        <w:tblW w:w="10592" w:type="dxa"/>
        <w:jc w:val="center"/>
        <w:tblLayout w:type="fixed"/>
        <w:tblCellMar>
          <w:top w:w="0" w:type="dxa"/>
          <w:left w:w="108" w:type="dxa"/>
          <w:bottom w:w="0" w:type="dxa"/>
          <w:right w:w="108" w:type="dxa"/>
        </w:tblCellMar>
      </w:tblPr>
      <w:tblGrid>
        <w:gridCol w:w="662"/>
        <w:gridCol w:w="829"/>
        <w:gridCol w:w="732"/>
        <w:gridCol w:w="1295"/>
        <w:gridCol w:w="4884"/>
        <w:gridCol w:w="750"/>
        <w:gridCol w:w="652"/>
        <w:gridCol w:w="788"/>
      </w:tblGrid>
      <w:tr>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学院</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类别</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141"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化工院1号楼</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排风系统(风机26台)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雨帽</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2.参数配置：现场损坏需更换,2-4系统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1.规格型号：与现场匹配/3kw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1.规格型号：与现场匹配/5.5kw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1.规格型号：与现场匹配/7.5kw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排风系统(废气设备-卧式喷淋塔26台)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加药泵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2.参数配置：补充或更换(单套1年补充约0.5m³)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2.参数配置：单套1年消耗用量约80kg计算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四氟管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1.规格型号：Φ12*8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2.参数配置：含保温棉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新风系统(风冷涡旋式热泵机组4台)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四通阀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1.规格型号：与现场匹配/130KW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电子膨胀阀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单向阀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相序保护器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开关电源</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环境温度传感器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1.规格型号：与现场匹配/10k</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压缩机保护模块</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控制柜散热风扇</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2.参数配置：现场损坏1套需更换,剩余作为备品件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2.参数配置：现场损坏5套需更换,剩余作为备品件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2.参数配置：现场损坏8套需更换,剩余作为备品件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化工院3号楼</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排风系统(风机27台)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2.参数配置：每个风机需求2条,其中15台风机有皮带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2.参数配置：每套风机(有皮带)1个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1.规格型号：与现场匹配/2.2kw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1.规格型号：与现场匹配/4kw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1.规格型号：与现场匹配/11kw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排风系统(废气设备-活性炭箱21台和湿式设备3套)</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加药泵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液位计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2.参数配置：补充或更换(单套1年补充约0.5m³)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2.参数配置：用于湿式设备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UV灯管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电磁阀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风速仪</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VOC传感器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散热风扇</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除雾板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有机吸收液</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2.参数配置：单套1年消耗用量约80kg计算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2.参数配置：单套1年消耗用量约80kg计算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蜂窝活性炭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2.参数配置：块状,碘值≥800,包含运输、搬运、安装、旧炭搬运到学校指定位置,更换的旧炭为危废由学校统一处理。每套设备1年更换1次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颗粒活性炭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2.参数配置：颗粒状,碘值≥800,包含运输、搬运、安装、旧炭搬运到学校指定位置,更换的旧炭为危废由学校统一处理。每套设备1年更换2次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4240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2.参数配置：现场损坏1套需更换,剩余作为备品件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2.参数配置：现场损坏1套需更换,剩余作为备品件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风阀控制屏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2.参数配置：现场损坏1套需更换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2.参数配置：现场损坏1套需更换,剩余作为备品件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2.参数配置：现场损坏1套需更换,剩余作为备品件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物理学院</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排风系统(风机19台)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2.参数配置：其中6台风机更换18条,其中10台风机更换20条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2.参数配置：每套风机(有皮带)1个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1.规格型号：与现场匹配/15kw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排风系统(废气设备喷淋塔7台和1套活性炭箱和卧式喷淋塔4台)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加药泵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2.参数配置：补充或更换(单套1年补充约0.5m³)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四氟管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1.规格型号：Φ12*8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2.参数配置：含保温棉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2.参数配置：单套1年消耗用量约80kg计算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颗粒活性炭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2.参数配置：颗粒状,碘值≥800,包含运输、搬运、安装、旧炭搬运到学校指定位置,更换的旧炭为危废由学校统一处理。每套设备1年更换2次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新风系统(洁净组合式新风空调机组3台和高效风冷螺杆热泵机组1台和冷冻水泵1台和空气处理机组1台和风冷冷水机组1台)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1.规格型号：287*592*46mm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1.规格型号：287*287*46mm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1.规格型号：592*490*46mm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1.规格型号：490*490*46mm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1.规格型号：287*490*46mm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1.规格型号：592*592*46mm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1.规格型号：287*287*381mm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1.规格型号：490*490*381mm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1.规格型号：287*490*381mm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1.规格型号：287*592*381mm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1.规格型号：592*490*381mm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1.规格型号：592*592*381mm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亚高效过滤器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1.规格型号：287*287*292mm/2V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2.参数配置：与现场匹配，12个月更换一次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1.规格型号：625*625*90mm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1.规格型号：484*484*90mm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2.参数配置：用于机组里更换皮带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PTC电加热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1.型号：3KW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平衡罐</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气液分离器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储液器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1.型号：8kg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温度传感器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热力膨胀阀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干燥过滤器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开关电动蝶阀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照明灯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2.参数配置：现场损坏4套需更换,剩余作为备品件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资环材院</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排风系统(风机17台)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2.参数配置：其中9台风机更换27条,其中8台风机更换16条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1.规格型号：15KW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2.参数配置：每套风机(有皮带)1个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管道漏水修复</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2.参数配置：708实验室有2处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处</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排风系统(废气设备-卧式喷淋塔1台和干式混合设备11台和活性炭箱5台)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化学处理模块</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1.规格型号：600*300*45mm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2.参数配置：单套设备一年更换2次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活性炭处理模块</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1.规格型号：600*300*45mm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2.参数配置：单套设备一年更换2次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设备出口软接</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2.参数配置：补充或更换(单套1年补充约0.5m³)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液位浮球开关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2.参数配置：单套1年消耗用量约80kg计算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喷淋塔漏水维修</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2.参数配置：更换活接密封圈和视窗密封条，液下泵出口添加过滤器、水管增加阀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颗粒活性炭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2.参数配置：颗粒状,碘值≥800,包含运输、搬运、安装、旧炭搬运到学校指定位置,更换的旧炭为危废由学校统一处理。每套设备1年更换2次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控制柜开关电源</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排风静压控制器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风阀控制屏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7寸控制屏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2.参数配置：现场损坏28套需更换,剩余作为备品件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医学院综合楼</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排风系统(风机4台)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2.参数配置：每个风机需求2条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排风系统(顶式活性炭箱76台和一体除臭设备机4套)</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空气过滤器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1.规格型号：287*592*292mm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2.参数配置：包含运输、搬运、安装、旧炭搬运到学校指定位置,更换的旧炭为危废由学校统一处理。单套1年更换2次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UV灯管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防腐静音型排风机</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2.参数配置：电机功率：0.37KW/220V，机外静压：250Pa,维保时间内根据现场损坏情况更换,无损坏时作为备品备件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新风系统(风冷式热泵机组5台和恒温恒湿组合式净化空气处理机组7台和冷冻水泵4台)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1.规格型号：290*595*46mm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1.规格型号：493*595*46mm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1.规格型号：493*493*46mm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1.规格型号：290*493*46mm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1.规格型号：595*595*46mm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1.规格型号：490*490*381mm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1.规格型号：287*490*381mm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1.规格型号：490*592*381mm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1.规格型号：287*592*381mm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1.规格型号：592*592*381mm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1.规格型号：320*320*93mm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1.规格型号：420*420*93mm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1.规格型号：525*635*93mm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1.规格型号：635*765*93mm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2.参数配置：用于恒温恒湿组合式净化空气处理机组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1.型号：与现场匹配/15kg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1.型号：与现场匹配/65kg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水泵密封圈</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水泵轴承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电子膨胀阀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单向阀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相序保护器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开关电源</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 xml:space="preserve">1.规格型号：与现场匹配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环境温度传感器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1.规格型号：与现场匹配/10k</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医学院生物医药楼</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排风系统(风机1台)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2.参数配置：风机需求3条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2.参数配置：每套风机(有皮带)1个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排风系统(干式混合1台)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化学处理模块</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2.参数配置：单套设备一年更换2次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活性炭处理模块</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2.参数配置：单套设备一年更换2次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新风系统（风冷直膨式净化机组1台和冷库机组1台）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1.规格型号：290*595*46mm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1.规格型号：287*592*381mm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1.规格型号：375*375*90mm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1.规格型号：570*570*90mm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2.参数配置：用于恒温恒湿组合式净化空气处理机组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PTC电加热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1.型号：与现场匹配/3KW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中间继电器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1.型号：与现场匹配/24V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卡乐手操器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卡乐加湿器排水底座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医学院脑神经中心</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排风系统(风机2台和活性炭箱1台)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2.参数配置：每个风机需求2条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2.参数配置：每套风机(有皮带)1个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颗粒活性炭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2.参数配置：颗粒状,碘值≥800,包含运输、搬运、安装、旧炭搬运到学校指定位置,更换的旧炭为危废由学校统一处理。单套1年更换2次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新风系统（组合式空气处理机组）维修</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压缩机</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1.规格型号：与现场匹配/VP292KSE-TEP-522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2.参数配置：1号双系统进水，2号机1号系统进水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四通阀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1.规格型号：与现场匹配/130KW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2.参数配置：1号双系统进水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壳管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2.参数配置：1号双系统进水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壳管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2.参数配置：2号机1号系统进水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电子膨胀阀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2.参数配置：原厂配套/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平衡罐</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2.参数配置：1号双系统进水，2号机1号系统进水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储液罐</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2.参数配置：1号双系统进水，2号机1号系统进水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气液分离器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2.参数配置：1号双系统进水，2号机1号系统进水</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制冷剂</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1.规格型号：与现场匹配，R410/10g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2.参数配置：1号双系统进水，2号机1号系统进水，3号机和4号机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空调检漏</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1.规格型号：查漏、补漏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2.参数配置：3号机1号系统，4号机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压缩机保护模块</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2.参数配置：3号机2号系统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辅材</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1.规格型号：氧气、氮气、乙炔、焊条等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变频电机</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1.规格型号：与现场匹配/5.5KW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2.参数配置：3号机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中间继电器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1.规格型号：与现场匹配/24V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2.参数配置：4号号机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变频器维修</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2.参数配置：1号双系统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空调维修费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2.参数配置：模块机更换及维修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新风系统（组合式空气处理机组11台和模块式风冷热泵机组1台和冷冻水泵1台）保养</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1.规格型号：290*595*46mm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1.规格型号：493*595*46mm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1.规格型号：493*493*46mm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1.规格型号：290*493*46mm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1.规格型号：595*595*46mm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2.参数配置：与现场匹配，3个月更换一次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1.规格型号：490*490*381mm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1.规格型号：287*490*381mm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1.规格型号：287*592*381mm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1.规格型号：592*592*381mm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2.参数配置：与现场匹配，6个月更换一次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1.规格型号：320*320*90mm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1.规格型号：484*484*90mm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1.规格型号：610*610*90mm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2.参数配置：与现场匹配，2-3年更换一次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2.参数配置：用于恒温恒湿组合式净化空气处理机组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PTC电加热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1.规格型号：45kg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中间继电器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紫外灯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2.参数配置：104-3、104-5、317-1、317-4、317-8各1套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镇流器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2.参数配置：用于净化室紫外灯维保时间内根据现场损坏情况更换,无损坏时作为备品备件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预约定时器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2.参数配置：用于净化室紫外灯维保时间内根据现场损坏情况更换,无损坏时作为备品备件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海洋学院</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排风系统(风机3台)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2.参数配置：每个风机需求2条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2.参数配置：每套风机(有皮带)1个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排风系统(废气设备-卧式喷淋塔2台和活性炭箱1台)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2.参数配置：补充或更换(单套1年补充约0.5m³)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2.参数配置：单套1年消耗用量约80kg计算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四氟管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1.规格型号：Φ12*8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2.参数配置：含保温棉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密封圈</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4"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蜂窝活性炭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2.参数配置：块状,碘值≥800,包含运输、搬运、安装、旧炭搬运到学校指定位置,更换的旧炭为危废由学校统一处理。单套1年更换2次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控制柜散热风扇</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2.参数配置：维保时间内根据现场实际使用,无损坏时作为备品备件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2.参数配置：维保时间内根据现场损坏情况更换,无损坏时作为备品备件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r>
      <w:tr>
        <w:tblPrEx>
          <w:tblCellMar>
            <w:top w:w="0" w:type="dxa"/>
            <w:left w:w="108" w:type="dxa"/>
            <w:bottom w:w="0" w:type="dxa"/>
            <w:right w:w="108" w:type="dxa"/>
          </w:tblCellMar>
        </w:tblPrEx>
        <w:trPr>
          <w:trHeight w:val="141"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生科院</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排风系统(风机1台)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2.参数配置：每个风机需求2条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2.参数配置：每套风机(有皮带)1个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2.参数配置：每半年更换一次,单套消耗用量约2升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279"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排风系统(废气设备-湿式混合设备1台)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蜂窝活性炭</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2.参数配置：块状,碘值≥800,包含运输、搬运、安装、旧炭搬运到学校指定位置,更换的旧炭为危废由学校统一处理。单套1年更换1次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0.648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2.参数配置：补充或更换(单套1年补充约0.5m³)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液位计</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风速仪</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除雾板</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电子压差表</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控制柜铰链</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2.参数配置：现场损坏需要更换</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r>
      <w:tr>
        <w:tblPrEx>
          <w:tblCellMar>
            <w:top w:w="0" w:type="dxa"/>
            <w:left w:w="108" w:type="dxa"/>
            <w:bottom w:w="0" w:type="dxa"/>
            <w:right w:w="108" w:type="dxa"/>
          </w:tblCellMar>
        </w:tblPrEx>
        <w:trPr>
          <w:trHeight w:val="141"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2.参数配置：单套1年消耗用量约80kg计算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r>
        <w:tblPrEx>
          <w:tblCellMar>
            <w:top w:w="0" w:type="dxa"/>
            <w:left w:w="108" w:type="dxa"/>
            <w:bottom w:w="0" w:type="dxa"/>
            <w:right w:w="108" w:type="dxa"/>
          </w:tblCellMar>
        </w:tblPrEx>
        <w:trPr>
          <w:trHeight w:val="143"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有机吸收液</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1.规格型号：与现场匹配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2.参数配置：单套1年消耗用量约80kg计算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r>
    </w:tbl>
    <w:p>
      <w:pPr>
        <w:rPr>
          <w:rFonts w:ascii="Calibri" w:hAnsi="Calibri"/>
          <w:color w:val="000000" w:themeColor="text1"/>
          <w:szCs w:val="21"/>
          <w:lang w:bidi="ar"/>
          <w14:textFill>
            <w14:solidFill>
              <w14:schemeClr w14:val="tx1"/>
            </w14:solidFill>
          </w14:textFill>
        </w:rPr>
      </w:pPr>
      <w:r>
        <w:rPr>
          <w:rFonts w:hint="eastAsia" w:ascii="Calibri" w:hAnsi="Calibri"/>
          <w:color w:val="000000" w:themeColor="text1"/>
          <w:szCs w:val="22"/>
          <w:lang w:bidi="ar"/>
          <w14:textFill>
            <w14:solidFill>
              <w14:schemeClr w14:val="tx1"/>
            </w14:solidFill>
          </w14:textFill>
        </w:rPr>
        <w:t>说</w:t>
      </w:r>
      <w:r>
        <w:rPr>
          <w:rFonts w:hint="eastAsia" w:ascii="Calibri" w:hAnsi="Calibri"/>
          <w:color w:val="000000" w:themeColor="text1"/>
          <w:szCs w:val="21"/>
          <w:lang w:bidi="ar"/>
          <w14:textFill>
            <w14:solidFill>
              <w14:schemeClr w14:val="tx1"/>
            </w14:solidFill>
          </w14:textFill>
        </w:rPr>
        <w:t>明：</w:t>
      </w:r>
    </w:p>
    <w:p>
      <w:pP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1.耗材：维保过程中需要使用的，按照文件要求时间更换。</w:t>
      </w:r>
    </w:p>
    <w:p>
      <w:pP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2.维修:目前现场已损坏，开始维保后须第一时间维修好。</w:t>
      </w:r>
    </w:p>
    <w:p>
      <w:pP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3.备品备件：整个项目容易损坏需要更换的配件。维保时间内发生了需要更换的直接更换，最终按实结算，如没有更换配件不结算，配件归属供应商。</w:t>
      </w:r>
    </w:p>
    <w:p>
      <w:pPr>
        <w:pStyle w:val="2"/>
      </w:pPr>
    </w:p>
    <w:p>
      <w:pPr>
        <w:spacing w:line="360" w:lineRule="auto"/>
        <w:jc w:val="center"/>
        <w:rPr>
          <w:rFonts w:ascii="宋体" w:hAnsi="宋体" w:cs="宋体"/>
          <w:b/>
          <w:bCs/>
          <w:sz w:val="28"/>
          <w:szCs w:val="28"/>
        </w:rPr>
      </w:pPr>
      <w:r>
        <w:rPr>
          <w:rFonts w:hint="eastAsia" w:ascii="宋体" w:hAnsi="宋体" w:cs="宋体"/>
          <w:b/>
          <w:bCs/>
          <w:sz w:val="28"/>
          <w:szCs w:val="28"/>
        </w:rPr>
        <w:t>表4 维保工作范围及内容</w:t>
      </w:r>
    </w:p>
    <w:tbl>
      <w:tblPr>
        <w:tblStyle w:val="2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639"/>
        <w:gridCol w:w="690"/>
        <w:gridCol w:w="780"/>
        <w:gridCol w:w="4752"/>
        <w:gridCol w:w="86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56" w:type="dxa"/>
            <w:gridSpan w:val="3"/>
            <w:vAlign w:val="center"/>
          </w:tcPr>
          <w:p>
            <w:pPr>
              <w:spacing w:line="276" w:lineRule="auto"/>
              <w:jc w:val="center"/>
              <w:rPr>
                <w:rFonts w:ascii="宋体" w:hAnsi="宋体" w:cs="宋体"/>
                <w:b/>
                <w:szCs w:val="21"/>
              </w:rPr>
            </w:pPr>
            <w:r>
              <w:rPr>
                <w:rFonts w:hint="eastAsia" w:ascii="宋体" w:hAnsi="宋体" w:cs="宋体"/>
                <w:b/>
                <w:szCs w:val="21"/>
                <w:lang w:bidi="ar"/>
              </w:rPr>
              <w:t>维护工作范围</w:t>
            </w:r>
          </w:p>
        </w:tc>
        <w:tc>
          <w:tcPr>
            <w:tcW w:w="7519" w:type="dxa"/>
            <w:gridSpan w:val="4"/>
            <w:vAlign w:val="center"/>
          </w:tcPr>
          <w:p>
            <w:pPr>
              <w:spacing w:line="276" w:lineRule="auto"/>
              <w:jc w:val="center"/>
              <w:rPr>
                <w:rFonts w:ascii="宋体" w:hAnsi="宋体" w:cs="宋体"/>
                <w:b/>
                <w:szCs w:val="21"/>
              </w:rPr>
            </w:pPr>
            <w:r>
              <w:rPr>
                <w:rFonts w:hint="eastAsia" w:ascii="宋体" w:hAnsi="宋体" w:cs="宋体"/>
                <w:b/>
                <w:szCs w:val="21"/>
                <w:lang w:bidi="ar"/>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56" w:type="dxa"/>
            <w:gridSpan w:val="3"/>
            <w:vAlign w:val="center"/>
          </w:tcPr>
          <w:p>
            <w:pPr>
              <w:spacing w:line="276" w:lineRule="auto"/>
              <w:jc w:val="center"/>
              <w:rPr>
                <w:rFonts w:ascii="宋体" w:hAnsi="宋体" w:cs="宋体"/>
                <w:bCs/>
                <w:szCs w:val="21"/>
              </w:rPr>
            </w:pPr>
            <w:r>
              <w:rPr>
                <w:rFonts w:hint="eastAsia" w:ascii="宋体" w:hAnsi="宋体" w:cs="宋体"/>
                <w:bCs/>
                <w:szCs w:val="21"/>
                <w:lang w:bidi="ar"/>
              </w:rPr>
              <w:t>实验室专业家具、通风柜、试剂柜等</w:t>
            </w:r>
          </w:p>
        </w:tc>
        <w:tc>
          <w:tcPr>
            <w:tcW w:w="7519" w:type="dxa"/>
            <w:gridSpan w:val="4"/>
            <w:vAlign w:val="center"/>
          </w:tcPr>
          <w:p>
            <w:pPr>
              <w:spacing w:line="276" w:lineRule="auto"/>
              <w:rPr>
                <w:rFonts w:ascii="宋体" w:hAnsi="宋体" w:cs="宋体"/>
                <w:bCs/>
                <w:szCs w:val="21"/>
              </w:rPr>
            </w:pPr>
            <w:r>
              <w:rPr>
                <w:rFonts w:hint="eastAsia" w:ascii="宋体" w:hAnsi="宋体" w:cs="宋体"/>
                <w:bCs/>
                <w:szCs w:val="21"/>
                <w:lang w:bidi="ar"/>
              </w:rPr>
              <w:t>定期检查检修试验室家具、通风柜、万向抽气罩、试剂柜等保证功能完好正常使用，排风量和面风速达到设计要求；负责试验台上电源插座、水池上下水检修，负责室内总电源空开箱以后电路维修、试验台水池自带的上下水检修，定期检查更换通风柜照明灯管，但不负责室内照明灯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56" w:type="dxa"/>
            <w:gridSpan w:val="3"/>
            <w:vAlign w:val="center"/>
          </w:tcPr>
          <w:p>
            <w:pPr>
              <w:spacing w:line="276" w:lineRule="auto"/>
              <w:jc w:val="center"/>
              <w:rPr>
                <w:rFonts w:ascii="宋体" w:hAnsi="宋体" w:cs="宋体"/>
                <w:bCs/>
                <w:szCs w:val="21"/>
              </w:rPr>
            </w:pPr>
            <w:r>
              <w:rPr>
                <w:rFonts w:hint="eastAsia" w:ascii="宋体" w:hAnsi="宋体" w:cs="宋体"/>
                <w:bCs/>
                <w:szCs w:val="21"/>
                <w:lang w:bidi="ar"/>
              </w:rPr>
              <w:t>新风系统</w:t>
            </w:r>
          </w:p>
        </w:tc>
        <w:tc>
          <w:tcPr>
            <w:tcW w:w="7519" w:type="dxa"/>
            <w:gridSpan w:val="4"/>
            <w:vAlign w:val="center"/>
          </w:tcPr>
          <w:p>
            <w:pPr>
              <w:spacing w:line="276" w:lineRule="auto"/>
              <w:rPr>
                <w:rFonts w:ascii="宋体" w:hAnsi="宋体" w:cs="宋体"/>
                <w:bCs/>
                <w:szCs w:val="21"/>
              </w:rPr>
            </w:pPr>
            <w:r>
              <w:rPr>
                <w:rFonts w:hint="eastAsia" w:ascii="宋体" w:hAnsi="宋体" w:cs="宋体"/>
                <w:bCs/>
                <w:szCs w:val="21"/>
                <w:lang w:bidi="ar"/>
              </w:rPr>
              <w:t>定期维护保养新风机械、电气及控制部分，定期清洗或更换滤网、润滑轴承，更换传动皮带，保证设备功能正常使用，运行状态良好，温湿度调节达到设计允许的范围。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56" w:type="dxa"/>
            <w:gridSpan w:val="3"/>
            <w:vAlign w:val="center"/>
          </w:tcPr>
          <w:p>
            <w:pPr>
              <w:spacing w:line="276" w:lineRule="auto"/>
              <w:jc w:val="center"/>
              <w:rPr>
                <w:rFonts w:ascii="宋体" w:hAnsi="宋体" w:cs="宋体"/>
                <w:bCs/>
                <w:szCs w:val="21"/>
              </w:rPr>
            </w:pPr>
            <w:r>
              <w:rPr>
                <w:rFonts w:hint="eastAsia" w:ascii="宋体" w:hAnsi="宋体" w:cs="宋体"/>
                <w:bCs/>
                <w:szCs w:val="21"/>
                <w:lang w:bidi="ar"/>
              </w:rPr>
              <w:t>排风系统</w:t>
            </w:r>
          </w:p>
        </w:tc>
        <w:tc>
          <w:tcPr>
            <w:tcW w:w="7519" w:type="dxa"/>
            <w:gridSpan w:val="4"/>
            <w:vAlign w:val="center"/>
          </w:tcPr>
          <w:p>
            <w:pPr>
              <w:spacing w:line="276" w:lineRule="auto"/>
              <w:rPr>
                <w:rFonts w:ascii="宋体" w:hAnsi="宋体" w:cs="宋体"/>
                <w:bCs/>
                <w:szCs w:val="21"/>
              </w:rPr>
            </w:pPr>
            <w:r>
              <w:rPr>
                <w:rFonts w:hint="eastAsia" w:ascii="宋体" w:hAnsi="宋体" w:cs="宋体"/>
                <w:bCs/>
                <w:szCs w:val="21"/>
                <w:lang w:bidi="ar"/>
              </w:rPr>
              <w:t>定期维护保养排风机机械、电气及控制部分，润滑轴承，更换传动皮带，保证设备功能正常使用，运行状态良好，排风风量达到设计的状态。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056" w:type="dxa"/>
            <w:gridSpan w:val="3"/>
            <w:vAlign w:val="center"/>
          </w:tcPr>
          <w:p>
            <w:pPr>
              <w:spacing w:line="276" w:lineRule="auto"/>
              <w:jc w:val="center"/>
              <w:rPr>
                <w:rFonts w:ascii="宋体" w:hAnsi="宋体" w:cs="宋体"/>
                <w:bCs/>
                <w:szCs w:val="21"/>
              </w:rPr>
            </w:pPr>
            <w:r>
              <w:rPr>
                <w:rFonts w:hint="eastAsia" w:ascii="宋体" w:hAnsi="宋体" w:cs="宋体"/>
                <w:bCs/>
                <w:szCs w:val="21"/>
                <w:lang w:bidi="ar"/>
              </w:rPr>
              <w:t>废气处理系统</w:t>
            </w:r>
          </w:p>
        </w:tc>
        <w:tc>
          <w:tcPr>
            <w:tcW w:w="7519" w:type="dxa"/>
            <w:gridSpan w:val="4"/>
            <w:vAlign w:val="center"/>
          </w:tcPr>
          <w:p>
            <w:pPr>
              <w:spacing w:line="276" w:lineRule="auto"/>
              <w:rPr>
                <w:rFonts w:ascii="宋体" w:hAnsi="宋体" w:cs="宋体"/>
                <w:bCs/>
                <w:szCs w:val="21"/>
              </w:rPr>
            </w:pPr>
            <w:r>
              <w:rPr>
                <w:rFonts w:hint="eastAsia" w:ascii="宋体" w:hAnsi="宋体" w:cs="宋体"/>
                <w:bCs/>
                <w:szCs w:val="21"/>
                <w:lang w:bidi="ar"/>
              </w:rPr>
              <w:t>定期维护，按期检查清洗更换吸附剂等耗材，保证废气处理效果达到要求。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56" w:type="dxa"/>
            <w:gridSpan w:val="3"/>
            <w:vAlign w:val="center"/>
          </w:tcPr>
          <w:p>
            <w:pPr>
              <w:spacing w:line="276" w:lineRule="auto"/>
              <w:jc w:val="center"/>
              <w:rPr>
                <w:rFonts w:ascii="宋体" w:hAnsi="宋体" w:cs="宋体"/>
                <w:bCs/>
                <w:szCs w:val="21"/>
              </w:rPr>
            </w:pPr>
            <w:r>
              <w:rPr>
                <w:rFonts w:hint="eastAsia" w:ascii="宋体" w:hAnsi="宋体" w:cs="宋体"/>
                <w:bCs/>
                <w:szCs w:val="21"/>
                <w:lang w:bidi="ar"/>
              </w:rPr>
              <w:t>变风量控制系统</w:t>
            </w:r>
          </w:p>
        </w:tc>
        <w:tc>
          <w:tcPr>
            <w:tcW w:w="7519" w:type="dxa"/>
            <w:gridSpan w:val="4"/>
            <w:vAlign w:val="center"/>
          </w:tcPr>
          <w:p>
            <w:pPr>
              <w:spacing w:line="276" w:lineRule="auto"/>
              <w:rPr>
                <w:rFonts w:ascii="宋体" w:hAnsi="宋体" w:cs="宋体"/>
                <w:bCs/>
                <w:szCs w:val="21"/>
              </w:rPr>
            </w:pPr>
            <w:r>
              <w:rPr>
                <w:rFonts w:hint="eastAsia" w:ascii="宋体" w:hAnsi="宋体" w:cs="宋体"/>
                <w:bCs/>
                <w:szCs w:val="21"/>
                <w:lang w:bidi="ar"/>
              </w:rPr>
              <w:t>定期检查检修文丘里风阀、通风柜控制器、门高传感器、风压温湿度传感器、维护变频器，保证系统正常运行，实验室保持微负压状态。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056" w:type="dxa"/>
            <w:gridSpan w:val="3"/>
            <w:vAlign w:val="center"/>
          </w:tcPr>
          <w:p>
            <w:pPr>
              <w:spacing w:line="276" w:lineRule="auto"/>
              <w:jc w:val="center"/>
              <w:rPr>
                <w:rFonts w:ascii="宋体" w:hAnsi="宋体" w:cs="宋体"/>
                <w:bCs/>
                <w:szCs w:val="21"/>
              </w:rPr>
            </w:pPr>
            <w:r>
              <w:rPr>
                <w:rFonts w:hint="eastAsia" w:ascii="宋体" w:hAnsi="宋体" w:cs="宋体"/>
                <w:bCs/>
                <w:szCs w:val="21"/>
                <w:lang w:bidi="ar"/>
              </w:rPr>
              <w:t>气体输送系统</w:t>
            </w:r>
          </w:p>
        </w:tc>
        <w:tc>
          <w:tcPr>
            <w:tcW w:w="7519" w:type="dxa"/>
            <w:gridSpan w:val="4"/>
            <w:vAlign w:val="center"/>
          </w:tcPr>
          <w:p>
            <w:pPr>
              <w:spacing w:line="276" w:lineRule="auto"/>
              <w:rPr>
                <w:rFonts w:ascii="宋体" w:hAnsi="宋体" w:cs="宋体"/>
                <w:bCs/>
                <w:szCs w:val="21"/>
              </w:rPr>
            </w:pPr>
            <w:r>
              <w:rPr>
                <w:rFonts w:hint="eastAsia" w:ascii="宋体" w:hAnsi="宋体" w:cs="宋体"/>
                <w:bCs/>
                <w:szCs w:val="21"/>
                <w:lang w:bidi="ar"/>
              </w:rPr>
              <w:t>定期检查自动切换系统、二级减压阀、球阀、压力表等，定期试漏检查。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056" w:type="dxa"/>
            <w:gridSpan w:val="3"/>
            <w:vAlign w:val="center"/>
          </w:tcPr>
          <w:p>
            <w:pPr>
              <w:spacing w:line="276" w:lineRule="auto"/>
              <w:jc w:val="center"/>
              <w:rPr>
                <w:rFonts w:ascii="宋体" w:hAnsi="宋体" w:cs="宋体"/>
                <w:bCs/>
                <w:szCs w:val="21"/>
              </w:rPr>
            </w:pPr>
            <w:r>
              <w:rPr>
                <w:rFonts w:hint="eastAsia" w:ascii="宋体" w:hAnsi="宋体" w:cs="宋体"/>
                <w:bCs/>
                <w:szCs w:val="21"/>
                <w:lang w:bidi="ar"/>
              </w:rPr>
              <w:t>大型螺杆冷水机组</w:t>
            </w:r>
          </w:p>
        </w:tc>
        <w:tc>
          <w:tcPr>
            <w:tcW w:w="7519" w:type="dxa"/>
            <w:gridSpan w:val="4"/>
            <w:vAlign w:val="center"/>
          </w:tcPr>
          <w:p>
            <w:pPr>
              <w:spacing w:line="276" w:lineRule="auto"/>
              <w:rPr>
                <w:rFonts w:ascii="宋体" w:hAnsi="宋体" w:cs="宋体"/>
                <w:bCs/>
                <w:szCs w:val="21"/>
              </w:rPr>
            </w:pPr>
            <w:r>
              <w:rPr>
                <w:rFonts w:hint="eastAsia" w:ascii="宋体" w:hAnsi="宋体" w:cs="宋体"/>
                <w:bCs/>
                <w:szCs w:val="21"/>
                <w:lang w:bidi="ar"/>
              </w:rPr>
              <w:t>定期检查压缩机、水泵、风扇，清洗散热器，换季时检查添加制冷剂压力保证设备制冷制热效率；及时检查补充循环水量。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27" w:type="dxa"/>
            <w:noWrap/>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类别</w:t>
            </w:r>
          </w:p>
        </w:tc>
        <w:tc>
          <w:tcPr>
            <w:tcW w:w="639" w:type="dxa"/>
            <w:noWrap/>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序号</w:t>
            </w:r>
          </w:p>
        </w:tc>
        <w:tc>
          <w:tcPr>
            <w:tcW w:w="1470" w:type="dxa"/>
            <w:gridSpan w:val="2"/>
            <w:noWrap/>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设备名称</w:t>
            </w:r>
          </w:p>
        </w:tc>
        <w:tc>
          <w:tcPr>
            <w:tcW w:w="4752" w:type="dxa"/>
            <w:noWrap/>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维保服务项目</w:t>
            </w:r>
          </w:p>
        </w:tc>
        <w:tc>
          <w:tcPr>
            <w:tcW w:w="862" w:type="dxa"/>
            <w:noWrap/>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方法</w:t>
            </w:r>
          </w:p>
        </w:tc>
        <w:tc>
          <w:tcPr>
            <w:tcW w:w="1125" w:type="dxa"/>
          </w:tcPr>
          <w:p>
            <w:pPr>
              <w:widowControl/>
              <w:spacing w:line="276" w:lineRule="auto"/>
              <w:jc w:val="center"/>
              <w:rPr>
                <w:rFonts w:ascii="宋体" w:hAnsi="宋体" w:cs="宋体"/>
                <w:b/>
                <w:bCs/>
                <w:kern w:val="0"/>
                <w:szCs w:val="21"/>
              </w:rPr>
            </w:pPr>
            <w:r>
              <w:rPr>
                <w:rFonts w:hint="eastAsia" w:ascii="宋体" w:hAnsi="宋体" w:cs="宋体"/>
                <w:b/>
                <w:bCs/>
                <w:kern w:val="0"/>
                <w:szCs w:val="21"/>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7"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szCs w:val="21"/>
              </w:rPr>
              <w:t>一、通排风及新风空调定期维护</w:t>
            </w: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新风风机盘管</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检查风机工作状态，加油</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每周1次/周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bCs/>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检查空调滤网</w:t>
            </w:r>
          </w:p>
        </w:tc>
        <w:tc>
          <w:tcPr>
            <w:tcW w:w="862" w:type="dxa"/>
            <w:vMerge w:val="continue"/>
            <w:noWrap/>
            <w:vAlign w:val="center"/>
          </w:tcPr>
          <w:p>
            <w:pPr>
              <w:widowControl/>
              <w:spacing w:line="276" w:lineRule="auto"/>
              <w:jc w:val="center"/>
              <w:rPr>
                <w:rFonts w:ascii="宋体" w:hAnsi="宋体" w:cs="宋体"/>
                <w:szCs w:val="21"/>
              </w:rPr>
            </w:pPr>
          </w:p>
        </w:tc>
        <w:tc>
          <w:tcPr>
            <w:tcW w:w="1125" w:type="dxa"/>
            <w:vMerge w:val="continue"/>
          </w:tcPr>
          <w:p>
            <w:pPr>
              <w:widowControl/>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bCs/>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检查控制阀工作是否正常</w:t>
            </w:r>
          </w:p>
        </w:tc>
        <w:tc>
          <w:tcPr>
            <w:tcW w:w="862" w:type="dxa"/>
            <w:vMerge w:val="continue"/>
            <w:noWrap/>
            <w:vAlign w:val="center"/>
          </w:tcPr>
          <w:p>
            <w:pPr>
              <w:widowControl/>
              <w:spacing w:line="276" w:lineRule="auto"/>
              <w:jc w:val="center"/>
              <w:rPr>
                <w:rFonts w:ascii="宋体" w:hAnsi="宋体" w:cs="宋体"/>
                <w:szCs w:val="21"/>
              </w:rPr>
            </w:pPr>
          </w:p>
        </w:tc>
        <w:tc>
          <w:tcPr>
            <w:tcW w:w="1125" w:type="dxa"/>
            <w:vMerge w:val="continue"/>
          </w:tcPr>
          <w:p>
            <w:pPr>
              <w:widowControl/>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bCs/>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检查排水是否流畅</w:t>
            </w:r>
          </w:p>
        </w:tc>
        <w:tc>
          <w:tcPr>
            <w:tcW w:w="862" w:type="dxa"/>
            <w:vMerge w:val="continue"/>
            <w:noWrap/>
            <w:vAlign w:val="center"/>
          </w:tcPr>
          <w:p>
            <w:pPr>
              <w:widowControl/>
              <w:spacing w:line="276" w:lineRule="auto"/>
              <w:jc w:val="center"/>
              <w:rPr>
                <w:rFonts w:ascii="宋体" w:hAnsi="宋体" w:cs="宋体"/>
                <w:szCs w:val="21"/>
              </w:rPr>
            </w:pPr>
          </w:p>
        </w:tc>
        <w:tc>
          <w:tcPr>
            <w:tcW w:w="1125" w:type="dxa"/>
            <w:vMerge w:val="continue"/>
          </w:tcPr>
          <w:p>
            <w:pPr>
              <w:widowControl/>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bCs/>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检查控制电路是否正常</w:t>
            </w:r>
          </w:p>
        </w:tc>
        <w:tc>
          <w:tcPr>
            <w:tcW w:w="862" w:type="dxa"/>
            <w:vMerge w:val="continue"/>
            <w:noWrap/>
            <w:vAlign w:val="center"/>
          </w:tcPr>
          <w:p>
            <w:pPr>
              <w:widowControl/>
              <w:spacing w:line="276" w:lineRule="auto"/>
              <w:jc w:val="center"/>
              <w:rPr>
                <w:rFonts w:ascii="宋体" w:hAnsi="宋体" w:cs="宋体"/>
                <w:szCs w:val="21"/>
              </w:rPr>
            </w:pPr>
          </w:p>
        </w:tc>
        <w:tc>
          <w:tcPr>
            <w:tcW w:w="1125" w:type="dxa"/>
            <w:vMerge w:val="continue"/>
          </w:tcPr>
          <w:p>
            <w:pPr>
              <w:widowControl/>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2</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通风柜排风文丘里阀或蝶阀</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检查阀门有无物理损坏及连接异常</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检查阀门电源是否正常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检查阀门及阀门附近的压缩空气有无漏气现象</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检查阀门气动执行器是否有损坏</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检查阀门电磁阀是否正常充放气</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检查接线是否正常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检查阀门是否动作正常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检查阀门命令反馈信号是否正常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检查阀门命令反馈信号是否一致</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3</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通风柜监控器</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检查监控器有无物理损坏及安装异常</w:t>
            </w:r>
          </w:p>
        </w:tc>
        <w:tc>
          <w:tcPr>
            <w:tcW w:w="862"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szCs w:val="21"/>
              </w:rPr>
              <w:t>检查</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检查排风压差报警功能</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检查阀门动作报警功能</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检查强制排风功能</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检查报警静音功能</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4</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通风柜调节门传感器</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检查传感器有无物理损坏及安装异常</w:t>
            </w:r>
          </w:p>
        </w:tc>
        <w:tc>
          <w:tcPr>
            <w:tcW w:w="862"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检查</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检查调节门动作是否顺畅</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检查调节门动作时信号是否连续正常改变</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5</w:t>
            </w:r>
          </w:p>
        </w:tc>
        <w:tc>
          <w:tcPr>
            <w:tcW w:w="1470" w:type="dxa"/>
            <w:gridSpan w:val="2"/>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通风柜面风速检查</w:t>
            </w: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检查通风柜面风速是否在正常范围内</w:t>
            </w:r>
          </w:p>
        </w:tc>
        <w:tc>
          <w:tcPr>
            <w:tcW w:w="862"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检查</w:t>
            </w: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6</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双稳态排气罩阀门</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检查阀门有无物理损坏及连接异常</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检查阀门电源是否正常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检查阀门及阀门附近的压缩空气有无漏气现象</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检查阀门气动执行器是否有损坏</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检查阀门电磁阀是否正常充放气</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检查接线是否正常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检查电源是否正常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检查阀门是否动作正常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检查阀门量位反馈是否正常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检查阀门压差是否正常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7</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变风量补风文丘里阀</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检查阀门有无物理损坏及连接异常</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检查阀门电源是否正常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检查阀门及阀门附近的压缩空气有无漏气现象</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检查阀门气动执行器是否有损坏</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检查阀门电磁阀是否正常充放气</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检查接线是否正常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检查电源是否正常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检查阀门是否动作正常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检查阀门量位反馈是否正常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检查阀门压差是否正常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8</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药品柜定风量排风阀门</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检查阀门有无物理损坏及连接异常</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检查定风量设定位置是否保持正确</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检查阀门压差是否正常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9</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房间定风量送风阀门</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检查阀门有无物理损坏及连接异常</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检查定风量设定位置是否保持正确</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检查阀门压差是否正常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10</w:t>
            </w:r>
          </w:p>
        </w:tc>
        <w:tc>
          <w:tcPr>
            <w:tcW w:w="1470" w:type="dxa"/>
            <w:gridSpan w:val="2"/>
            <w:vMerge w:val="restart"/>
            <w:vAlign w:val="center"/>
          </w:tcPr>
          <w:p>
            <w:pPr>
              <w:widowControl/>
              <w:spacing w:line="276" w:lineRule="auto"/>
              <w:jc w:val="center"/>
              <w:rPr>
                <w:rFonts w:ascii="宋体" w:hAnsi="宋体" w:cs="宋体"/>
                <w:kern w:val="0"/>
                <w:szCs w:val="21"/>
              </w:rPr>
            </w:pPr>
            <w:r>
              <w:rPr>
                <w:rFonts w:hint="eastAsia" w:ascii="宋体" w:hAnsi="宋体" w:cs="宋体"/>
                <w:kern w:val="0"/>
                <w:szCs w:val="21"/>
              </w:rPr>
              <w:t>房间补风控制器检查</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检查补风控制箱有无物理损坏及连接异常</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检查补风控制器220VAC电源是否正确</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检查补风控制器各电源供出点的±15VDC电源是否正常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检查补风控制器接线是否正常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11</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系统送风机变频控制检查</w:t>
            </w: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检查DDC控制箱有无物理损坏及连接异常</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检查DDC电源是否正常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检查DDC工作是否正常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检查气流开关动作是否正常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检查末端压力传感器是否正常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12</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系统送风机变频控制检查</w:t>
            </w: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检查DDC控制箱有无物理损坏及连接异常</w:t>
            </w:r>
          </w:p>
        </w:tc>
        <w:tc>
          <w:tcPr>
            <w:tcW w:w="862" w:type="dxa"/>
            <w:vMerge w:val="restart"/>
            <w:noWrap/>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检查DDC电源是否正常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检查DDC工作是否正常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检查气流开关动作是否正常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检查末端压力传感器是否正常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检查风机启动是否正常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检查常备风机切换控制是否正常</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13</w:t>
            </w:r>
          </w:p>
        </w:tc>
        <w:tc>
          <w:tcPr>
            <w:tcW w:w="1470" w:type="dxa"/>
            <w:gridSpan w:val="2"/>
            <w:vMerge w:val="restart"/>
            <w:vAlign w:val="center"/>
          </w:tcPr>
          <w:p>
            <w:pPr>
              <w:widowControl/>
              <w:spacing w:line="276" w:lineRule="auto"/>
              <w:jc w:val="center"/>
              <w:rPr>
                <w:rFonts w:ascii="宋体" w:hAnsi="宋体" w:cs="宋体"/>
                <w:kern w:val="0"/>
                <w:szCs w:val="21"/>
              </w:rPr>
            </w:pPr>
            <w:r>
              <w:rPr>
                <w:rFonts w:hint="eastAsia" w:ascii="宋体" w:hAnsi="宋体" w:cs="宋体"/>
                <w:kern w:val="0"/>
                <w:szCs w:val="21"/>
              </w:rPr>
              <w:t>新风或洁净系统</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更换初效滤网</w:t>
            </w:r>
          </w:p>
        </w:tc>
        <w:tc>
          <w:tcPr>
            <w:tcW w:w="862" w:type="dxa"/>
            <w:vMerge w:val="restart"/>
            <w:vAlign w:val="center"/>
          </w:tcPr>
          <w:p>
            <w:pPr>
              <w:widowControl/>
              <w:spacing w:line="276" w:lineRule="auto"/>
              <w:jc w:val="left"/>
              <w:rPr>
                <w:rFonts w:ascii="宋体" w:hAnsi="宋体" w:cs="宋体"/>
                <w:szCs w:val="21"/>
              </w:rPr>
            </w:pPr>
            <w:r>
              <w:rPr>
                <w:rFonts w:hint="eastAsia" w:ascii="宋体" w:hAnsi="宋体" w:cs="宋体"/>
                <w:szCs w:val="21"/>
              </w:rPr>
              <w:t>更换</w:t>
            </w:r>
          </w:p>
        </w:tc>
        <w:tc>
          <w:tcPr>
            <w:tcW w:w="1125" w:type="dxa"/>
            <w:vAlign w:val="center"/>
          </w:tcPr>
          <w:p>
            <w:pPr>
              <w:widowControl/>
              <w:spacing w:line="276" w:lineRule="auto"/>
              <w:jc w:val="center"/>
              <w:rPr>
                <w:rFonts w:ascii="宋体" w:hAnsi="宋体" w:cs="宋体"/>
                <w:szCs w:val="21"/>
              </w:rPr>
            </w:pPr>
            <w:r>
              <w:rPr>
                <w:rFonts w:hint="eastAsia" w:ascii="宋体" w:hAnsi="宋体" w:cs="宋体"/>
                <w:kern w:val="0"/>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更换中效滤网</w:t>
            </w:r>
          </w:p>
        </w:tc>
        <w:tc>
          <w:tcPr>
            <w:tcW w:w="862" w:type="dxa"/>
            <w:vMerge w:val="continue"/>
            <w:vAlign w:val="center"/>
          </w:tcPr>
          <w:p>
            <w:pPr>
              <w:widowControl/>
              <w:spacing w:line="276" w:lineRule="auto"/>
              <w:jc w:val="left"/>
              <w:rPr>
                <w:rFonts w:ascii="宋体" w:hAnsi="宋体" w:cs="宋体"/>
                <w:szCs w:val="21"/>
              </w:rPr>
            </w:pPr>
          </w:p>
        </w:tc>
        <w:tc>
          <w:tcPr>
            <w:tcW w:w="1125" w:type="dxa"/>
            <w:vAlign w:val="center"/>
          </w:tcPr>
          <w:p>
            <w:pPr>
              <w:widowControl/>
              <w:spacing w:line="276" w:lineRule="auto"/>
              <w:jc w:val="center"/>
              <w:rPr>
                <w:rFonts w:ascii="宋体" w:hAnsi="宋体" w:cs="宋体"/>
                <w:szCs w:val="21"/>
              </w:rPr>
            </w:pPr>
            <w:r>
              <w:rPr>
                <w:rFonts w:hint="eastAsia" w:ascii="宋体" w:hAnsi="宋体" w:cs="宋体"/>
                <w:kern w:val="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更换高效滤网</w:t>
            </w:r>
          </w:p>
        </w:tc>
        <w:tc>
          <w:tcPr>
            <w:tcW w:w="862" w:type="dxa"/>
            <w:vMerge w:val="continue"/>
            <w:vAlign w:val="center"/>
          </w:tcPr>
          <w:p>
            <w:pPr>
              <w:widowControl/>
              <w:spacing w:line="276" w:lineRule="auto"/>
              <w:jc w:val="left"/>
              <w:rPr>
                <w:rFonts w:ascii="宋体" w:hAnsi="宋体" w:cs="宋体"/>
                <w:szCs w:val="21"/>
              </w:rPr>
            </w:pPr>
          </w:p>
        </w:tc>
        <w:tc>
          <w:tcPr>
            <w:tcW w:w="1125" w:type="dxa"/>
            <w:vAlign w:val="center"/>
          </w:tcPr>
          <w:p>
            <w:pPr>
              <w:widowControl/>
              <w:spacing w:line="276" w:lineRule="auto"/>
              <w:jc w:val="center"/>
              <w:rPr>
                <w:rFonts w:ascii="宋体" w:hAnsi="宋体" w:cs="宋体"/>
                <w:szCs w:val="21"/>
              </w:rPr>
            </w:pPr>
            <w:r>
              <w:rPr>
                <w:rFonts w:hint="eastAsia" w:ascii="宋体" w:hAnsi="宋体" w:cs="宋体"/>
                <w:szCs w:val="21"/>
              </w:rPr>
              <w:t>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检查清理初效滤网</w:t>
            </w:r>
          </w:p>
        </w:tc>
        <w:tc>
          <w:tcPr>
            <w:tcW w:w="862" w:type="dxa"/>
            <w:vMerge w:val="restart"/>
            <w:vAlign w:val="center"/>
          </w:tcPr>
          <w:p>
            <w:pPr>
              <w:widowControl/>
              <w:spacing w:line="276" w:lineRule="auto"/>
              <w:jc w:val="left"/>
              <w:rPr>
                <w:rFonts w:ascii="宋体" w:hAnsi="宋体" w:cs="宋体"/>
                <w:kern w:val="0"/>
                <w:szCs w:val="21"/>
              </w:rPr>
            </w:pPr>
            <w:r>
              <w:rPr>
                <w:rFonts w:hint="eastAsia" w:ascii="宋体" w:hAnsi="宋体" w:cs="宋体"/>
                <w:szCs w:val="21"/>
              </w:rPr>
              <w:t>检查、清理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检查洁净风机工作状态、风机加油</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检查洁净室风阀工作状态</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检查洁净室风淋风机工作状态</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restart"/>
            <w:noWrap/>
            <w:vAlign w:val="center"/>
          </w:tcPr>
          <w:p>
            <w:pPr>
              <w:widowControl/>
              <w:tabs>
                <w:tab w:val="left" w:pos="218"/>
              </w:tabs>
              <w:spacing w:line="276" w:lineRule="auto"/>
              <w:jc w:val="left"/>
              <w:rPr>
                <w:rFonts w:ascii="宋体" w:hAnsi="宋体" w:cs="宋体"/>
                <w:kern w:val="0"/>
                <w:szCs w:val="21"/>
              </w:rPr>
            </w:pPr>
            <w:r>
              <w:rPr>
                <w:rFonts w:hint="eastAsia" w:ascii="宋体" w:hAnsi="宋体" w:cs="宋体"/>
                <w:szCs w:val="21"/>
              </w:rPr>
              <w:t>二、气体管道系统定期维护保养</w:t>
            </w: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低压报警系统</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检查低压报警系统各按钮是否正常</w:t>
            </w:r>
          </w:p>
        </w:tc>
        <w:tc>
          <w:tcPr>
            <w:tcW w:w="862" w:type="dxa"/>
            <w:vMerge w:val="restart"/>
            <w:noWrap/>
            <w:vAlign w:val="center"/>
          </w:tcPr>
          <w:p>
            <w:pPr>
              <w:widowControl/>
              <w:spacing w:line="276" w:lineRule="auto"/>
              <w:jc w:val="left"/>
              <w:rPr>
                <w:rFonts w:ascii="宋体" w:hAnsi="宋体" w:cs="宋体"/>
                <w:szCs w:val="21"/>
              </w:rPr>
            </w:pPr>
            <w:r>
              <w:rPr>
                <w:rFonts w:hint="eastAsia" w:ascii="宋体" w:hAnsi="宋体" w:cs="宋体"/>
                <w:szCs w:val="21"/>
              </w:rPr>
              <w:t>检查、</w:t>
            </w:r>
          </w:p>
          <w:p>
            <w:pPr>
              <w:widowControl/>
              <w:spacing w:line="276" w:lineRule="auto"/>
              <w:jc w:val="left"/>
              <w:rPr>
                <w:rFonts w:ascii="宋体" w:hAnsi="宋体" w:cs="宋体"/>
                <w:kern w:val="0"/>
                <w:szCs w:val="21"/>
              </w:rPr>
            </w:pPr>
            <w:r>
              <w:rPr>
                <w:rFonts w:hint="eastAsia" w:ascii="宋体" w:hAnsi="宋体" w:cs="宋体"/>
                <w:szCs w:val="21"/>
              </w:rPr>
              <w:t>清理</w:t>
            </w:r>
          </w:p>
        </w:tc>
        <w:tc>
          <w:tcPr>
            <w:tcW w:w="1125" w:type="dxa"/>
            <w:vMerge w:val="restart"/>
            <w:vAlign w:val="center"/>
          </w:tcPr>
          <w:p>
            <w:pPr>
              <w:widowControl/>
              <w:spacing w:line="276" w:lineRule="auto"/>
              <w:jc w:val="center"/>
              <w:rPr>
                <w:rFonts w:ascii="宋体" w:hAnsi="宋体" w:cs="宋体"/>
                <w:kern w:val="0"/>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低压报警系统除尘</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报警系统灵敏度是否正常</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2</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自动切换系统</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检查系统各阀门是否正常</w:t>
            </w:r>
          </w:p>
        </w:tc>
        <w:tc>
          <w:tcPr>
            <w:tcW w:w="862" w:type="dxa"/>
            <w:vMerge w:val="restart"/>
            <w:noWrap/>
            <w:vAlign w:val="center"/>
          </w:tcPr>
          <w:p>
            <w:pPr>
              <w:widowControl/>
              <w:spacing w:line="276" w:lineRule="auto"/>
              <w:jc w:val="left"/>
              <w:rPr>
                <w:rFonts w:ascii="宋体" w:hAnsi="宋体" w:cs="宋体"/>
                <w:szCs w:val="21"/>
              </w:rPr>
            </w:pPr>
            <w:r>
              <w:rPr>
                <w:rFonts w:hint="eastAsia" w:ascii="宋体" w:hAnsi="宋体" w:cs="宋体"/>
                <w:szCs w:val="21"/>
              </w:rPr>
              <w:t>检查、</w:t>
            </w:r>
          </w:p>
          <w:p>
            <w:pPr>
              <w:widowControl/>
              <w:spacing w:line="276" w:lineRule="auto"/>
              <w:jc w:val="left"/>
              <w:rPr>
                <w:rFonts w:ascii="宋体" w:hAnsi="宋体" w:cs="宋体"/>
                <w:kern w:val="0"/>
                <w:szCs w:val="21"/>
              </w:rPr>
            </w:pPr>
            <w:r>
              <w:rPr>
                <w:rFonts w:hint="eastAsia" w:ascii="宋体" w:hAnsi="宋体" w:cs="宋体"/>
                <w:szCs w:val="21"/>
              </w:rPr>
              <w:t>清理</w:t>
            </w:r>
          </w:p>
        </w:tc>
        <w:tc>
          <w:tcPr>
            <w:tcW w:w="1125" w:type="dxa"/>
            <w:vMerge w:val="restart"/>
            <w:vAlign w:val="center"/>
          </w:tcPr>
          <w:p>
            <w:pPr>
              <w:widowControl/>
              <w:spacing w:line="276" w:lineRule="auto"/>
              <w:jc w:val="center"/>
              <w:rPr>
                <w:rFonts w:ascii="宋体" w:hAnsi="宋体" w:cs="宋体"/>
                <w:kern w:val="0"/>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检查系统探头灵敏度是否正常</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检查系统压力表显示是否正常</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钢瓶接头是否有损坏</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高压螺旋是否有物理损坏</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3</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压力表</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检查压力表有无物理损坏及连接异常</w:t>
            </w:r>
          </w:p>
        </w:tc>
        <w:tc>
          <w:tcPr>
            <w:tcW w:w="862" w:type="dxa"/>
            <w:vMerge w:val="restart"/>
            <w:noWrap/>
            <w:vAlign w:val="center"/>
          </w:tcPr>
          <w:p>
            <w:pPr>
              <w:widowControl/>
              <w:spacing w:line="276" w:lineRule="auto"/>
              <w:jc w:val="left"/>
              <w:rPr>
                <w:rFonts w:ascii="宋体" w:hAnsi="宋体" w:cs="宋体"/>
                <w:szCs w:val="21"/>
              </w:rPr>
            </w:pPr>
            <w:r>
              <w:rPr>
                <w:rFonts w:hint="eastAsia" w:ascii="宋体" w:hAnsi="宋体" w:cs="宋体"/>
                <w:szCs w:val="21"/>
              </w:rPr>
              <w:t>检查、</w:t>
            </w:r>
          </w:p>
          <w:p>
            <w:pPr>
              <w:widowControl/>
              <w:spacing w:line="276" w:lineRule="auto"/>
              <w:jc w:val="left"/>
              <w:rPr>
                <w:rFonts w:ascii="宋体" w:hAnsi="宋体" w:cs="宋体"/>
                <w:kern w:val="0"/>
                <w:szCs w:val="21"/>
              </w:rPr>
            </w:pPr>
            <w:r>
              <w:rPr>
                <w:rFonts w:hint="eastAsia" w:ascii="宋体" w:hAnsi="宋体" w:cs="宋体"/>
                <w:szCs w:val="21"/>
              </w:rPr>
              <w:t>清理</w:t>
            </w:r>
          </w:p>
        </w:tc>
        <w:tc>
          <w:tcPr>
            <w:tcW w:w="1125" w:type="dxa"/>
            <w:vMerge w:val="restart"/>
            <w:vAlign w:val="center"/>
          </w:tcPr>
          <w:p>
            <w:pPr>
              <w:widowControl/>
              <w:spacing w:line="276" w:lineRule="auto"/>
              <w:jc w:val="center"/>
              <w:rPr>
                <w:rFonts w:ascii="宋体" w:hAnsi="宋体" w:cs="宋体"/>
                <w:kern w:val="0"/>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检查压力表指针显示是否正常</w:t>
            </w:r>
          </w:p>
        </w:tc>
        <w:tc>
          <w:tcPr>
            <w:tcW w:w="862" w:type="dxa"/>
            <w:vMerge w:val="continue"/>
            <w:vAlign w:val="center"/>
          </w:tcPr>
          <w:p>
            <w:pPr>
              <w:spacing w:line="276" w:lineRule="auto"/>
              <w:jc w:val="left"/>
              <w:rPr>
                <w:rFonts w:ascii="宋体" w:hAnsi="宋体" w:cs="宋体"/>
                <w:kern w:val="0"/>
                <w:szCs w:val="21"/>
              </w:rPr>
            </w:pPr>
          </w:p>
        </w:tc>
        <w:tc>
          <w:tcPr>
            <w:tcW w:w="1125" w:type="dxa"/>
            <w:vMerge w:val="continue"/>
            <w:vAlign w:val="center"/>
          </w:tcPr>
          <w:p>
            <w:pPr>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检查压力表连接是否有松动</w:t>
            </w:r>
          </w:p>
        </w:tc>
        <w:tc>
          <w:tcPr>
            <w:tcW w:w="862" w:type="dxa"/>
            <w:vMerge w:val="restart"/>
            <w:vAlign w:val="center"/>
          </w:tcPr>
          <w:p>
            <w:pPr>
              <w:widowControl/>
              <w:spacing w:line="276" w:lineRule="auto"/>
              <w:jc w:val="left"/>
              <w:rPr>
                <w:rFonts w:ascii="宋体" w:hAnsi="宋体" w:cs="宋体"/>
                <w:szCs w:val="21"/>
              </w:rPr>
            </w:pPr>
            <w:r>
              <w:rPr>
                <w:rFonts w:hint="eastAsia" w:ascii="宋体" w:hAnsi="宋体" w:cs="宋体"/>
                <w:szCs w:val="21"/>
              </w:rPr>
              <w:t>检查、</w:t>
            </w:r>
          </w:p>
          <w:p>
            <w:pPr>
              <w:widowControl/>
              <w:spacing w:line="276" w:lineRule="auto"/>
              <w:jc w:val="left"/>
              <w:rPr>
                <w:rFonts w:ascii="宋体" w:hAnsi="宋体" w:cs="宋体"/>
                <w:kern w:val="0"/>
                <w:szCs w:val="21"/>
              </w:rPr>
            </w:pPr>
            <w:r>
              <w:rPr>
                <w:rFonts w:hint="eastAsia" w:ascii="宋体" w:hAnsi="宋体" w:cs="宋体"/>
                <w:szCs w:val="21"/>
              </w:rPr>
              <w:t>清理</w:t>
            </w:r>
          </w:p>
        </w:tc>
        <w:tc>
          <w:tcPr>
            <w:tcW w:w="1125" w:type="dxa"/>
            <w:vMerge w:val="restart"/>
            <w:vAlign w:val="center"/>
          </w:tcPr>
          <w:p>
            <w:pPr>
              <w:widowControl/>
              <w:spacing w:line="276" w:lineRule="auto"/>
              <w:jc w:val="center"/>
              <w:rPr>
                <w:rFonts w:ascii="宋体" w:hAnsi="宋体" w:cs="宋体"/>
                <w:kern w:val="0"/>
                <w:szCs w:val="21"/>
              </w:rPr>
            </w:pPr>
            <w:r>
              <w:rPr>
                <w:rFonts w:hint="eastAsia" w:ascii="宋体" w:hAnsi="宋体" w:cs="宋体"/>
                <w:kern w:val="0"/>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4</w:t>
            </w:r>
          </w:p>
        </w:tc>
        <w:tc>
          <w:tcPr>
            <w:tcW w:w="1470" w:type="dxa"/>
            <w:gridSpan w:val="2"/>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球阀</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检查球阀有无松动、物理损坏及安装异常</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7" w:type="dxa"/>
            <w:vMerge w:val="continue"/>
            <w:noWrap/>
            <w:vAlign w:val="center"/>
          </w:tcPr>
          <w:p>
            <w:pPr>
              <w:spacing w:line="276" w:lineRule="auto"/>
              <w:jc w:val="center"/>
              <w:rPr>
                <w:rFonts w:ascii="宋体" w:hAnsi="宋体" w:cs="宋体"/>
                <w:kern w:val="0"/>
                <w:szCs w:val="21"/>
              </w:rPr>
            </w:pPr>
          </w:p>
        </w:tc>
        <w:tc>
          <w:tcPr>
            <w:tcW w:w="639" w:type="dxa"/>
            <w:noWrap/>
            <w:vAlign w:val="center"/>
          </w:tcPr>
          <w:p>
            <w:pPr>
              <w:spacing w:line="276" w:lineRule="auto"/>
              <w:jc w:val="center"/>
              <w:rPr>
                <w:rFonts w:ascii="宋体" w:hAnsi="宋体" w:cs="宋体"/>
                <w:kern w:val="0"/>
                <w:szCs w:val="21"/>
              </w:rPr>
            </w:pPr>
            <w:r>
              <w:rPr>
                <w:rFonts w:hint="eastAsia" w:ascii="宋体" w:hAnsi="宋体" w:cs="宋体"/>
                <w:kern w:val="0"/>
                <w:szCs w:val="21"/>
              </w:rPr>
              <w:t>5</w:t>
            </w:r>
          </w:p>
        </w:tc>
        <w:tc>
          <w:tcPr>
            <w:tcW w:w="1470" w:type="dxa"/>
            <w:gridSpan w:val="2"/>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各接头检查</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检查各接头有松动、无物理损坏及安装异常</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6</w:t>
            </w:r>
          </w:p>
        </w:tc>
        <w:tc>
          <w:tcPr>
            <w:tcW w:w="1470" w:type="dxa"/>
            <w:gridSpan w:val="2"/>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管线固定夹</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检查固定夹有无松动、物理损坏及异常</w:t>
            </w:r>
          </w:p>
        </w:tc>
        <w:tc>
          <w:tcPr>
            <w:tcW w:w="862" w:type="dxa"/>
            <w:noWrap/>
            <w:vAlign w:val="center"/>
          </w:tcPr>
          <w:p>
            <w:pPr>
              <w:widowControl/>
              <w:spacing w:line="276" w:lineRule="auto"/>
              <w:jc w:val="left"/>
              <w:rPr>
                <w:rFonts w:ascii="宋体" w:hAnsi="宋体" w:cs="宋体"/>
                <w:szCs w:val="21"/>
              </w:rPr>
            </w:pPr>
            <w:r>
              <w:rPr>
                <w:rFonts w:hint="eastAsia" w:ascii="宋体" w:hAnsi="宋体" w:cs="宋体"/>
                <w:szCs w:val="21"/>
              </w:rPr>
              <w:t>检查、</w:t>
            </w:r>
          </w:p>
          <w:p>
            <w:pPr>
              <w:widowControl/>
              <w:spacing w:line="276" w:lineRule="auto"/>
              <w:jc w:val="left"/>
              <w:rPr>
                <w:rFonts w:ascii="宋体" w:hAnsi="宋体" w:cs="宋体"/>
                <w:kern w:val="0"/>
                <w:szCs w:val="21"/>
              </w:rPr>
            </w:pPr>
            <w:r>
              <w:rPr>
                <w:rFonts w:hint="eastAsia" w:ascii="宋体" w:hAnsi="宋体" w:cs="宋体"/>
                <w:szCs w:val="21"/>
              </w:rPr>
              <w:t>清理</w:t>
            </w:r>
          </w:p>
        </w:tc>
        <w:tc>
          <w:tcPr>
            <w:tcW w:w="1125" w:type="dxa"/>
            <w:vAlign w:val="center"/>
          </w:tcPr>
          <w:p>
            <w:pPr>
              <w:widowControl/>
              <w:spacing w:line="276" w:lineRule="auto"/>
              <w:jc w:val="center"/>
              <w:rPr>
                <w:rFonts w:ascii="宋体" w:hAnsi="宋体" w:cs="宋体"/>
                <w:kern w:val="0"/>
                <w:szCs w:val="21"/>
              </w:rPr>
            </w:pPr>
            <w:r>
              <w:rPr>
                <w:rFonts w:hint="eastAsia" w:ascii="宋体" w:hAnsi="宋体" w:cs="宋体"/>
                <w:kern w:val="0"/>
                <w:szCs w:val="21"/>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szCs w:val="21"/>
              </w:rPr>
              <w:t>三、实验室家具定期维护保养</w:t>
            </w: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试验台</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检查试验台柜门开关是否灵活，铰链是否松动。</w:t>
            </w:r>
          </w:p>
        </w:tc>
        <w:tc>
          <w:tcPr>
            <w:tcW w:w="862" w:type="dxa"/>
            <w:vMerge w:val="restart"/>
            <w:noWrap/>
            <w:vAlign w:val="center"/>
          </w:tcPr>
          <w:p>
            <w:pPr>
              <w:widowControl/>
              <w:spacing w:line="276" w:lineRule="auto"/>
              <w:jc w:val="left"/>
              <w:rPr>
                <w:rFonts w:ascii="宋体" w:hAnsi="宋体" w:cs="宋体"/>
                <w:szCs w:val="21"/>
              </w:rPr>
            </w:pPr>
            <w:r>
              <w:rPr>
                <w:rFonts w:hint="eastAsia" w:ascii="宋体" w:hAnsi="宋体" w:cs="宋体"/>
                <w:szCs w:val="21"/>
              </w:rPr>
              <w:t>检查、</w:t>
            </w:r>
          </w:p>
          <w:p>
            <w:pPr>
              <w:spacing w:line="276" w:lineRule="auto"/>
              <w:jc w:val="left"/>
              <w:rPr>
                <w:rFonts w:ascii="宋体" w:hAnsi="宋体" w:cs="宋体"/>
                <w:kern w:val="0"/>
                <w:szCs w:val="21"/>
              </w:rPr>
            </w:pPr>
            <w:r>
              <w:rPr>
                <w:rFonts w:hint="eastAsia" w:ascii="宋体" w:hAnsi="宋体" w:cs="宋体"/>
                <w:szCs w:val="21"/>
              </w:rPr>
              <w:t>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noWrap/>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检查地脚螺丝是否稳固牢靠，有无松动。</w:t>
            </w:r>
          </w:p>
        </w:tc>
        <w:tc>
          <w:tcPr>
            <w:tcW w:w="862" w:type="dxa"/>
            <w:vMerge w:val="continue"/>
            <w:noWrap/>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检查试验台电源插座有无损坏。</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检查试验台供气球阀有无漏气现象。</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检查试验台台面有无松动现象。</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vAlign w:val="center"/>
          </w:tcPr>
          <w:p>
            <w:pPr>
              <w:widowControl/>
              <w:spacing w:line="276"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2</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万向抽气罩</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检查万向节转动是否灵活。</w:t>
            </w:r>
          </w:p>
        </w:tc>
        <w:tc>
          <w:tcPr>
            <w:tcW w:w="862" w:type="dxa"/>
            <w:vMerge w:val="restart"/>
            <w:noWrap/>
            <w:vAlign w:val="center"/>
          </w:tcPr>
          <w:p>
            <w:pPr>
              <w:widowControl/>
              <w:spacing w:line="276" w:lineRule="auto"/>
              <w:jc w:val="left"/>
              <w:rPr>
                <w:rFonts w:ascii="宋体" w:hAnsi="宋体" w:cs="宋体"/>
                <w:szCs w:val="21"/>
              </w:rPr>
            </w:pPr>
            <w:r>
              <w:rPr>
                <w:rFonts w:hint="eastAsia" w:ascii="宋体" w:hAnsi="宋体" w:cs="宋体"/>
                <w:szCs w:val="21"/>
              </w:rPr>
              <w:t>检查、</w:t>
            </w:r>
          </w:p>
          <w:p>
            <w:pPr>
              <w:widowControl/>
              <w:spacing w:line="276" w:lineRule="auto"/>
              <w:jc w:val="left"/>
              <w:rPr>
                <w:rFonts w:ascii="宋体" w:hAnsi="宋体" w:cs="宋体"/>
                <w:kern w:val="0"/>
                <w:szCs w:val="21"/>
              </w:rPr>
            </w:pPr>
            <w:r>
              <w:rPr>
                <w:rFonts w:hint="eastAsia" w:ascii="宋体" w:hAnsi="宋体" w:cs="宋体"/>
                <w:szCs w:val="21"/>
              </w:rPr>
              <w:t>清理</w:t>
            </w:r>
          </w:p>
        </w:tc>
        <w:tc>
          <w:tcPr>
            <w:tcW w:w="1125" w:type="dxa"/>
            <w:vMerge w:val="restart"/>
            <w:vAlign w:val="center"/>
          </w:tcPr>
          <w:p>
            <w:pPr>
              <w:widowControl/>
              <w:spacing w:line="276" w:lineRule="auto"/>
              <w:jc w:val="center"/>
              <w:rPr>
                <w:rFonts w:ascii="宋体" w:hAnsi="宋体" w:cs="宋体"/>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检查风量阀开关是否好用。</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left"/>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检查抽气罩固定是否牢靠。</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3</w:t>
            </w:r>
          </w:p>
        </w:tc>
        <w:tc>
          <w:tcPr>
            <w:tcW w:w="1470" w:type="dxa"/>
            <w:gridSpan w:val="2"/>
            <w:vMerge w:val="restart"/>
            <w:vAlign w:val="center"/>
          </w:tcPr>
          <w:p>
            <w:pPr>
              <w:widowControl/>
              <w:spacing w:line="276" w:lineRule="auto"/>
              <w:jc w:val="center"/>
              <w:rPr>
                <w:rFonts w:ascii="宋体" w:hAnsi="宋体" w:cs="宋体"/>
                <w:kern w:val="0"/>
                <w:szCs w:val="21"/>
              </w:rPr>
            </w:pPr>
            <w:r>
              <w:rPr>
                <w:rFonts w:hint="eastAsia" w:ascii="宋体" w:hAnsi="宋体" w:cs="宋体"/>
                <w:kern w:val="0"/>
                <w:szCs w:val="21"/>
              </w:rPr>
              <w:t>洗眼器、紧急喷淋装置</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检查洗眼器、紧急喷淋装置控制阀是否灵活好用，有无漏水</w:t>
            </w:r>
          </w:p>
        </w:tc>
        <w:tc>
          <w:tcPr>
            <w:tcW w:w="862" w:type="dxa"/>
            <w:vMerge w:val="restart"/>
            <w:vAlign w:val="center"/>
          </w:tcPr>
          <w:p>
            <w:pPr>
              <w:widowControl/>
              <w:spacing w:line="276" w:lineRule="auto"/>
              <w:jc w:val="left"/>
              <w:rPr>
                <w:rFonts w:ascii="宋体" w:hAnsi="宋体" w:cs="宋体"/>
                <w:szCs w:val="21"/>
              </w:rPr>
            </w:pPr>
            <w:r>
              <w:rPr>
                <w:rFonts w:hint="eastAsia" w:ascii="宋体" w:hAnsi="宋体" w:cs="宋体"/>
                <w:szCs w:val="21"/>
              </w:rPr>
              <w:t>检查、</w:t>
            </w:r>
          </w:p>
          <w:p>
            <w:pPr>
              <w:widowControl/>
              <w:spacing w:line="276" w:lineRule="auto"/>
              <w:jc w:val="left"/>
              <w:rPr>
                <w:rFonts w:ascii="宋体" w:hAnsi="宋体" w:cs="宋体"/>
                <w:kern w:val="0"/>
                <w:szCs w:val="21"/>
              </w:rPr>
            </w:pPr>
            <w:r>
              <w:rPr>
                <w:rFonts w:hint="eastAsia" w:ascii="宋体" w:hAnsi="宋体" w:cs="宋体"/>
                <w:szCs w:val="21"/>
              </w:rPr>
              <w:t>清理</w:t>
            </w:r>
          </w:p>
        </w:tc>
        <w:tc>
          <w:tcPr>
            <w:tcW w:w="1125" w:type="dxa"/>
            <w:vMerge w:val="restart"/>
            <w:vAlign w:val="center"/>
          </w:tcPr>
          <w:p>
            <w:pPr>
              <w:widowControl/>
              <w:spacing w:line="276" w:lineRule="auto"/>
              <w:jc w:val="center"/>
              <w:rPr>
                <w:rFonts w:ascii="宋体" w:hAnsi="宋体" w:cs="宋体"/>
                <w:kern w:val="0"/>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vMerge w:val="continue"/>
            <w:noWrap/>
            <w:vAlign w:val="center"/>
          </w:tcPr>
          <w:p>
            <w:pPr>
              <w:widowControl/>
              <w:spacing w:line="276" w:lineRule="auto"/>
              <w:jc w:val="center"/>
              <w:rPr>
                <w:rFonts w:ascii="宋体" w:hAnsi="宋体" w:cs="宋体"/>
                <w:kern w:val="0"/>
                <w:szCs w:val="21"/>
              </w:rPr>
            </w:pP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检查下水是否畅通</w:t>
            </w:r>
          </w:p>
        </w:tc>
        <w:tc>
          <w:tcPr>
            <w:tcW w:w="862" w:type="dxa"/>
            <w:vMerge w:val="continue"/>
            <w:vAlign w:val="center"/>
          </w:tcPr>
          <w:p>
            <w:pPr>
              <w:widowControl/>
              <w:spacing w:line="276" w:lineRule="auto"/>
              <w:jc w:val="left"/>
              <w:rPr>
                <w:rFonts w:ascii="宋体" w:hAnsi="宋体" w:cs="宋体"/>
                <w:kern w:val="0"/>
                <w:szCs w:val="21"/>
              </w:rPr>
            </w:pPr>
          </w:p>
        </w:tc>
        <w:tc>
          <w:tcPr>
            <w:tcW w:w="1125" w:type="dxa"/>
            <w:vMerge w:val="continue"/>
          </w:tcPr>
          <w:p>
            <w:pPr>
              <w:widowControl/>
              <w:spacing w:line="276"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727" w:type="dxa"/>
            <w:vMerge w:val="restart"/>
            <w:noWrap/>
            <w:vAlign w:val="center"/>
          </w:tcPr>
          <w:p>
            <w:pPr>
              <w:pStyle w:val="4"/>
              <w:spacing w:line="276" w:lineRule="auto"/>
              <w:rPr>
                <w:rFonts w:ascii="宋体" w:hAnsi="宋体" w:cs="宋体"/>
                <w:b w:val="0"/>
                <w:bCs w:val="0"/>
                <w:sz w:val="21"/>
                <w:szCs w:val="21"/>
              </w:rPr>
            </w:pPr>
            <w:r>
              <w:rPr>
                <w:rFonts w:hint="eastAsia" w:ascii="宋体" w:hAnsi="宋体" w:cs="宋体"/>
                <w:b w:val="0"/>
                <w:bCs w:val="0"/>
                <w:sz w:val="21"/>
                <w:szCs w:val="21"/>
              </w:rPr>
              <w:t>四、废气处理系统定期维护保养</w:t>
            </w:r>
          </w:p>
          <w:p>
            <w:pPr>
              <w:widowControl/>
              <w:spacing w:line="276" w:lineRule="auto"/>
              <w:jc w:val="center"/>
              <w:rPr>
                <w:rFonts w:ascii="宋体" w:hAnsi="宋体" w:cs="宋体"/>
                <w:b/>
                <w:bCs/>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p>
        </w:tc>
        <w:tc>
          <w:tcPr>
            <w:tcW w:w="1470" w:type="dxa"/>
            <w:gridSpan w:val="2"/>
            <w:vMerge w:val="restart"/>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干式混合处理设备</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szCs w:val="21"/>
              </w:rPr>
              <w:t>仪器仪表的定期巡检</w:t>
            </w:r>
          </w:p>
        </w:tc>
        <w:tc>
          <w:tcPr>
            <w:tcW w:w="862" w:type="dxa"/>
            <w:noWrap/>
            <w:vAlign w:val="center"/>
          </w:tcPr>
          <w:p>
            <w:pPr>
              <w:widowControl/>
              <w:spacing w:line="276" w:lineRule="auto"/>
              <w:jc w:val="center"/>
              <w:rPr>
                <w:rFonts w:ascii="宋体" w:hAnsi="宋体" w:cs="宋体"/>
                <w:szCs w:val="21"/>
              </w:rPr>
            </w:pPr>
            <w:r>
              <w:rPr>
                <w:rFonts w:hint="eastAsia" w:ascii="宋体" w:hAnsi="宋体" w:cs="宋体"/>
                <w:szCs w:val="21"/>
              </w:rPr>
              <w:t>检查</w:t>
            </w:r>
          </w:p>
        </w:tc>
        <w:tc>
          <w:tcPr>
            <w:tcW w:w="1125" w:type="dxa"/>
          </w:tcPr>
          <w:p>
            <w:pPr>
              <w:widowControl/>
              <w:spacing w:line="276" w:lineRule="auto"/>
              <w:jc w:val="center"/>
              <w:rPr>
                <w:rFonts w:ascii="宋体" w:hAnsi="宋体" w:cs="宋体"/>
                <w:kern w:val="0"/>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2</w:t>
            </w: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滤网</w:t>
            </w:r>
            <w:r>
              <w:rPr>
                <w:rFonts w:hint="eastAsia" w:ascii="宋体" w:hAnsi="宋体" w:cs="宋体"/>
                <w:szCs w:val="21"/>
              </w:rPr>
              <w:t>定期保养、清洗</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清洗</w:t>
            </w:r>
          </w:p>
        </w:tc>
        <w:tc>
          <w:tcPr>
            <w:tcW w:w="1125" w:type="dxa"/>
          </w:tcPr>
          <w:p>
            <w:pPr>
              <w:widowControl/>
              <w:spacing w:line="276" w:lineRule="auto"/>
              <w:jc w:val="center"/>
              <w:rPr>
                <w:rFonts w:ascii="宋体" w:hAnsi="宋体" w:cs="宋体"/>
                <w:kern w:val="0"/>
                <w:szCs w:val="21"/>
              </w:rPr>
            </w:pPr>
            <w:r>
              <w:rPr>
                <w:rFonts w:hint="eastAsia" w:ascii="宋体" w:hAnsi="宋体" w:cs="宋体"/>
                <w:szCs w:val="21"/>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3</w:t>
            </w: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化学处理模块更换，更换的物品为危废由学校统一处理</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更换</w:t>
            </w:r>
          </w:p>
        </w:tc>
        <w:tc>
          <w:tcPr>
            <w:tcW w:w="1125" w:type="dxa"/>
          </w:tcPr>
          <w:p>
            <w:pPr>
              <w:widowControl/>
              <w:spacing w:line="276" w:lineRule="auto"/>
              <w:jc w:val="center"/>
              <w:rPr>
                <w:rFonts w:ascii="宋体" w:hAnsi="宋体" w:cs="宋体"/>
                <w:kern w:val="0"/>
                <w:szCs w:val="21"/>
              </w:rPr>
            </w:pPr>
            <w:r>
              <w:rPr>
                <w:rFonts w:hint="eastAsia" w:ascii="宋体" w:hAnsi="宋体" w:cs="宋体"/>
                <w:kern w:val="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4</w:t>
            </w:r>
          </w:p>
        </w:tc>
        <w:tc>
          <w:tcPr>
            <w:tcW w:w="1470" w:type="dxa"/>
            <w:gridSpan w:val="2"/>
            <w:vMerge w:val="restart"/>
            <w:vAlign w:val="center"/>
          </w:tcPr>
          <w:p>
            <w:pPr>
              <w:widowControl/>
              <w:spacing w:line="276" w:lineRule="auto"/>
              <w:jc w:val="center"/>
              <w:rPr>
                <w:rFonts w:ascii="宋体" w:hAnsi="宋体" w:cs="宋体"/>
                <w:kern w:val="0"/>
                <w:szCs w:val="21"/>
              </w:rPr>
            </w:pPr>
            <w:r>
              <w:rPr>
                <w:rFonts w:hint="eastAsia" w:ascii="宋体" w:hAnsi="宋体" w:cs="宋体"/>
                <w:kern w:val="0"/>
                <w:szCs w:val="21"/>
              </w:rPr>
              <w:t>立式或卧式喷淋塔处理设备</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szCs w:val="21"/>
              </w:rPr>
              <w:t>仪器仪表、泵、</w:t>
            </w:r>
            <w:r>
              <w:rPr>
                <w:rFonts w:hint="eastAsia" w:ascii="宋体" w:hAnsi="宋体" w:cs="宋体"/>
                <w:kern w:val="0"/>
                <w:szCs w:val="21"/>
              </w:rPr>
              <w:t>加液罐</w:t>
            </w:r>
            <w:r>
              <w:rPr>
                <w:rFonts w:hint="eastAsia" w:ascii="宋体" w:hAnsi="宋体" w:cs="宋体"/>
                <w:szCs w:val="21"/>
              </w:rPr>
              <w:t>的定期巡检</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检查</w:t>
            </w:r>
          </w:p>
        </w:tc>
        <w:tc>
          <w:tcPr>
            <w:tcW w:w="1125" w:type="dxa"/>
          </w:tcPr>
          <w:p>
            <w:pPr>
              <w:widowControl/>
              <w:spacing w:line="276" w:lineRule="auto"/>
              <w:jc w:val="center"/>
              <w:rPr>
                <w:rFonts w:ascii="宋体" w:hAnsi="宋体" w:cs="宋体"/>
                <w:kern w:val="0"/>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5</w:t>
            </w: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鲍尔球、喷头</w:t>
            </w:r>
            <w:r>
              <w:rPr>
                <w:rFonts w:hint="eastAsia" w:ascii="宋体" w:hAnsi="宋体" w:cs="宋体"/>
                <w:szCs w:val="21"/>
              </w:rPr>
              <w:t>定期保养、清洗</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清洗</w:t>
            </w:r>
          </w:p>
        </w:tc>
        <w:tc>
          <w:tcPr>
            <w:tcW w:w="1125" w:type="dxa"/>
          </w:tcPr>
          <w:p>
            <w:pPr>
              <w:widowControl/>
              <w:spacing w:line="276" w:lineRule="auto"/>
              <w:jc w:val="center"/>
              <w:rPr>
                <w:rFonts w:ascii="宋体" w:hAnsi="宋体" w:cs="宋体"/>
                <w:kern w:val="0"/>
                <w:szCs w:val="21"/>
              </w:rPr>
            </w:pPr>
            <w:r>
              <w:rPr>
                <w:rFonts w:hint="eastAsia" w:ascii="宋体" w:hAnsi="宋体" w:cs="宋体"/>
                <w:szCs w:val="21"/>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6</w:t>
            </w: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吸收液添加补充</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更换</w:t>
            </w:r>
          </w:p>
        </w:tc>
        <w:tc>
          <w:tcPr>
            <w:tcW w:w="1125" w:type="dxa"/>
          </w:tcPr>
          <w:p>
            <w:pPr>
              <w:widowControl/>
              <w:spacing w:line="276" w:lineRule="auto"/>
              <w:jc w:val="center"/>
              <w:rPr>
                <w:rFonts w:ascii="宋体" w:hAnsi="宋体" w:cs="宋体"/>
                <w:kern w:val="0"/>
                <w:szCs w:val="21"/>
              </w:rPr>
            </w:pPr>
            <w:r>
              <w:rPr>
                <w:rFonts w:hint="eastAsia" w:ascii="宋体" w:hAnsi="宋体" w:cs="宋体"/>
                <w:kern w:val="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7</w:t>
            </w:r>
          </w:p>
        </w:tc>
        <w:tc>
          <w:tcPr>
            <w:tcW w:w="1470" w:type="dxa"/>
            <w:gridSpan w:val="2"/>
            <w:vMerge w:val="restart"/>
            <w:vAlign w:val="center"/>
          </w:tcPr>
          <w:p>
            <w:pPr>
              <w:widowControl/>
              <w:spacing w:line="276" w:lineRule="auto"/>
              <w:jc w:val="center"/>
              <w:rPr>
                <w:rFonts w:ascii="宋体" w:hAnsi="宋体" w:cs="宋体"/>
                <w:kern w:val="0"/>
                <w:szCs w:val="21"/>
              </w:rPr>
            </w:pPr>
            <w:r>
              <w:rPr>
                <w:rFonts w:hint="eastAsia" w:ascii="宋体" w:hAnsi="宋体" w:cs="宋体"/>
                <w:kern w:val="0"/>
                <w:szCs w:val="21"/>
              </w:rPr>
              <w:t>湿式混合设备处理设备</w:t>
            </w: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szCs w:val="21"/>
              </w:rPr>
              <w:t>仪器仪表、泵、</w:t>
            </w:r>
            <w:r>
              <w:rPr>
                <w:rFonts w:hint="eastAsia" w:ascii="宋体" w:hAnsi="宋体" w:cs="宋体"/>
                <w:kern w:val="0"/>
                <w:szCs w:val="21"/>
              </w:rPr>
              <w:t>加液罐</w:t>
            </w:r>
            <w:r>
              <w:rPr>
                <w:rFonts w:hint="eastAsia" w:ascii="宋体" w:hAnsi="宋体" w:cs="宋体"/>
                <w:szCs w:val="21"/>
              </w:rPr>
              <w:t>的定期巡检</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检查</w:t>
            </w:r>
          </w:p>
        </w:tc>
        <w:tc>
          <w:tcPr>
            <w:tcW w:w="1125" w:type="dxa"/>
          </w:tcPr>
          <w:p>
            <w:pPr>
              <w:widowControl/>
              <w:spacing w:line="276" w:lineRule="auto"/>
              <w:jc w:val="center"/>
              <w:rPr>
                <w:rFonts w:ascii="宋体" w:hAnsi="宋体" w:cs="宋体"/>
                <w:kern w:val="0"/>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8</w:t>
            </w: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鲍尔球、喷头、滤网</w:t>
            </w:r>
            <w:r>
              <w:rPr>
                <w:rFonts w:hint="eastAsia" w:ascii="宋体" w:hAnsi="宋体" w:cs="宋体"/>
                <w:szCs w:val="21"/>
              </w:rPr>
              <w:t>定期保养、清洗</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清洗</w:t>
            </w:r>
          </w:p>
        </w:tc>
        <w:tc>
          <w:tcPr>
            <w:tcW w:w="1125" w:type="dxa"/>
          </w:tcPr>
          <w:p>
            <w:pPr>
              <w:widowControl/>
              <w:spacing w:line="276" w:lineRule="auto"/>
              <w:jc w:val="center"/>
              <w:rPr>
                <w:rFonts w:ascii="宋体" w:hAnsi="宋体" w:cs="宋体"/>
                <w:kern w:val="0"/>
                <w:szCs w:val="21"/>
              </w:rPr>
            </w:pPr>
            <w:r>
              <w:rPr>
                <w:rFonts w:hint="eastAsia" w:ascii="宋体" w:hAnsi="宋体" w:cs="宋体"/>
                <w:szCs w:val="21"/>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9</w:t>
            </w: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蜂窝活性炭更换，更换的物品为危废由学校统一处理</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更换</w:t>
            </w:r>
          </w:p>
        </w:tc>
        <w:tc>
          <w:tcPr>
            <w:tcW w:w="1125" w:type="dxa"/>
          </w:tcPr>
          <w:p>
            <w:pPr>
              <w:widowControl/>
              <w:spacing w:line="276" w:lineRule="auto"/>
              <w:jc w:val="center"/>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10</w:t>
            </w: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jc w:val="left"/>
              <w:rPr>
                <w:rFonts w:ascii="宋体" w:hAnsi="宋体" w:cs="宋体"/>
                <w:kern w:val="0"/>
                <w:szCs w:val="21"/>
              </w:rPr>
            </w:pPr>
            <w:r>
              <w:rPr>
                <w:rFonts w:hint="eastAsia" w:ascii="宋体" w:hAnsi="宋体" w:cs="宋体"/>
                <w:kern w:val="0"/>
                <w:szCs w:val="21"/>
              </w:rPr>
              <w:t>吸收液添加补充</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更换</w:t>
            </w:r>
          </w:p>
        </w:tc>
        <w:tc>
          <w:tcPr>
            <w:tcW w:w="1125" w:type="dxa"/>
          </w:tcPr>
          <w:p>
            <w:pPr>
              <w:widowControl/>
              <w:spacing w:line="276" w:lineRule="auto"/>
              <w:jc w:val="center"/>
              <w:rPr>
                <w:rFonts w:ascii="宋体" w:hAnsi="宋体" w:cs="宋体"/>
                <w:kern w:val="0"/>
                <w:szCs w:val="21"/>
              </w:rPr>
            </w:pPr>
            <w:r>
              <w:rPr>
                <w:rFonts w:hint="eastAsia" w:ascii="宋体" w:hAnsi="宋体" w:cs="宋体"/>
                <w:kern w:val="0"/>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11</w:t>
            </w:r>
          </w:p>
        </w:tc>
        <w:tc>
          <w:tcPr>
            <w:tcW w:w="1470" w:type="dxa"/>
            <w:gridSpan w:val="2"/>
            <w:vMerge w:val="restart"/>
            <w:vAlign w:val="center"/>
          </w:tcPr>
          <w:p>
            <w:pPr>
              <w:widowControl/>
              <w:spacing w:line="276" w:lineRule="auto"/>
              <w:jc w:val="center"/>
              <w:rPr>
                <w:rFonts w:ascii="宋体" w:hAnsi="宋体" w:cs="宋体"/>
                <w:kern w:val="0"/>
                <w:szCs w:val="21"/>
              </w:rPr>
            </w:pPr>
            <w:r>
              <w:rPr>
                <w:rFonts w:hint="eastAsia" w:ascii="宋体" w:hAnsi="宋体" w:cs="宋体"/>
                <w:kern w:val="0"/>
                <w:szCs w:val="21"/>
              </w:rPr>
              <w:t>活性炭箱</w:t>
            </w:r>
          </w:p>
        </w:tc>
        <w:tc>
          <w:tcPr>
            <w:tcW w:w="4752" w:type="dxa"/>
            <w:noWrap/>
            <w:vAlign w:val="center"/>
          </w:tcPr>
          <w:p>
            <w:pPr>
              <w:widowControl/>
              <w:spacing w:line="276" w:lineRule="auto"/>
              <w:rPr>
                <w:rFonts w:ascii="宋体" w:hAnsi="宋体" w:cs="宋体"/>
                <w:kern w:val="0"/>
                <w:szCs w:val="21"/>
              </w:rPr>
            </w:pPr>
            <w:r>
              <w:rPr>
                <w:rFonts w:hint="eastAsia" w:ascii="宋体" w:hAnsi="宋体" w:cs="宋体"/>
                <w:szCs w:val="21"/>
              </w:rPr>
              <w:t>设备的定期巡检</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检查</w:t>
            </w:r>
          </w:p>
        </w:tc>
        <w:tc>
          <w:tcPr>
            <w:tcW w:w="1125" w:type="dxa"/>
          </w:tcPr>
          <w:p>
            <w:pPr>
              <w:widowControl/>
              <w:spacing w:line="276" w:lineRule="auto"/>
              <w:jc w:val="center"/>
              <w:rPr>
                <w:rFonts w:ascii="宋体" w:hAnsi="宋体" w:cs="宋体"/>
                <w:kern w:val="0"/>
                <w:szCs w:val="21"/>
              </w:rPr>
            </w:pPr>
            <w:r>
              <w:rPr>
                <w:rFonts w:hint="eastAsia" w:ascii="宋体" w:hAnsi="宋体" w:cs="宋体"/>
                <w:szCs w:val="21"/>
              </w:rPr>
              <w:t>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7" w:type="dxa"/>
            <w:vMerge w:val="continue"/>
            <w:noWrap/>
            <w:vAlign w:val="center"/>
          </w:tcPr>
          <w:p>
            <w:pPr>
              <w:widowControl/>
              <w:spacing w:line="276" w:lineRule="auto"/>
              <w:jc w:val="center"/>
              <w:rPr>
                <w:rFonts w:ascii="宋体" w:hAnsi="宋体" w:cs="宋体"/>
                <w:kern w:val="0"/>
                <w:szCs w:val="21"/>
              </w:rPr>
            </w:pPr>
          </w:p>
        </w:tc>
        <w:tc>
          <w:tcPr>
            <w:tcW w:w="639" w:type="dxa"/>
            <w:noWrap/>
            <w:vAlign w:val="center"/>
          </w:tcPr>
          <w:p>
            <w:pPr>
              <w:widowControl/>
              <w:spacing w:line="276" w:lineRule="auto"/>
              <w:jc w:val="center"/>
              <w:rPr>
                <w:rFonts w:ascii="宋体" w:hAnsi="宋体" w:cs="宋体"/>
                <w:kern w:val="0"/>
                <w:szCs w:val="21"/>
              </w:rPr>
            </w:pPr>
            <w:r>
              <w:rPr>
                <w:rFonts w:hint="eastAsia" w:ascii="宋体" w:hAnsi="宋体" w:cs="宋体"/>
                <w:kern w:val="0"/>
                <w:szCs w:val="21"/>
              </w:rPr>
              <w:t>12</w:t>
            </w:r>
          </w:p>
        </w:tc>
        <w:tc>
          <w:tcPr>
            <w:tcW w:w="1470" w:type="dxa"/>
            <w:gridSpan w:val="2"/>
            <w:vMerge w:val="continue"/>
            <w:vAlign w:val="center"/>
          </w:tcPr>
          <w:p>
            <w:pPr>
              <w:widowControl/>
              <w:spacing w:line="276" w:lineRule="auto"/>
              <w:jc w:val="center"/>
              <w:rPr>
                <w:rFonts w:ascii="宋体" w:hAnsi="宋体" w:cs="宋体"/>
                <w:kern w:val="0"/>
                <w:szCs w:val="21"/>
              </w:rPr>
            </w:pPr>
          </w:p>
        </w:tc>
        <w:tc>
          <w:tcPr>
            <w:tcW w:w="4752" w:type="dxa"/>
            <w:noWrap/>
            <w:vAlign w:val="center"/>
          </w:tcPr>
          <w:p>
            <w:pPr>
              <w:widowControl/>
              <w:spacing w:line="276" w:lineRule="auto"/>
              <w:rPr>
                <w:rFonts w:ascii="宋体" w:hAnsi="宋体" w:cs="宋体"/>
                <w:kern w:val="0"/>
                <w:szCs w:val="21"/>
              </w:rPr>
            </w:pPr>
            <w:r>
              <w:rPr>
                <w:rFonts w:hint="eastAsia" w:ascii="宋体" w:hAnsi="宋体" w:cs="宋体"/>
                <w:kern w:val="0"/>
                <w:szCs w:val="21"/>
              </w:rPr>
              <w:t>颗粒活性炭更换，更换的物品为危废由学校统一处理</w:t>
            </w:r>
          </w:p>
        </w:tc>
        <w:tc>
          <w:tcPr>
            <w:tcW w:w="862" w:type="dxa"/>
            <w:vAlign w:val="center"/>
          </w:tcPr>
          <w:p>
            <w:pPr>
              <w:widowControl/>
              <w:spacing w:line="276" w:lineRule="auto"/>
              <w:jc w:val="center"/>
              <w:rPr>
                <w:rFonts w:ascii="宋体" w:hAnsi="宋体" w:cs="宋体"/>
                <w:szCs w:val="21"/>
              </w:rPr>
            </w:pPr>
            <w:r>
              <w:rPr>
                <w:rFonts w:hint="eastAsia" w:ascii="宋体" w:hAnsi="宋体" w:cs="宋体"/>
                <w:szCs w:val="21"/>
              </w:rPr>
              <w:t>更换</w:t>
            </w:r>
          </w:p>
        </w:tc>
        <w:tc>
          <w:tcPr>
            <w:tcW w:w="1125" w:type="dxa"/>
          </w:tcPr>
          <w:p>
            <w:pPr>
              <w:widowControl/>
              <w:spacing w:line="276" w:lineRule="auto"/>
              <w:jc w:val="center"/>
              <w:rPr>
                <w:rFonts w:ascii="宋体" w:hAnsi="宋体" w:cs="宋体"/>
                <w:kern w:val="0"/>
                <w:szCs w:val="21"/>
              </w:rPr>
            </w:pPr>
            <w:r>
              <w:rPr>
                <w:rFonts w:hint="eastAsia" w:ascii="宋体" w:hAnsi="宋体" w:cs="宋体"/>
                <w:kern w:val="0"/>
                <w:szCs w:val="21"/>
              </w:rPr>
              <w:t>半年</w:t>
            </w:r>
          </w:p>
        </w:tc>
      </w:tr>
    </w:tbl>
    <w:p>
      <w:pPr>
        <w:spacing w:line="428" w:lineRule="exact"/>
        <w:rPr>
          <w:rFonts w:ascii="Arial Unicode MS" w:hAnsi="Arial Unicode MS" w:eastAsia="Arial Unicode MS" w:cs="Arial Unicode MS"/>
          <w:sz w:val="17"/>
          <w:szCs w:val="17"/>
        </w:rPr>
      </w:pPr>
    </w:p>
    <w:p>
      <w:pPr>
        <w:spacing w:line="360" w:lineRule="auto"/>
        <w:jc w:val="center"/>
        <w:rPr>
          <w:rFonts w:ascii="宋体" w:hAnsi="宋体" w:cs="宋体"/>
          <w:b/>
          <w:bCs/>
          <w:sz w:val="28"/>
          <w:szCs w:val="28"/>
        </w:rPr>
      </w:pPr>
      <w:r>
        <w:rPr>
          <w:rFonts w:hint="eastAsia" w:ascii="宋体" w:hAnsi="宋体" w:cs="宋体"/>
          <w:b/>
          <w:bCs/>
          <w:sz w:val="28"/>
          <w:szCs w:val="28"/>
        </w:rPr>
        <w:t>表5  维保服务质量季度考核表</w:t>
      </w:r>
    </w:p>
    <w:tbl>
      <w:tblPr>
        <w:tblStyle w:val="29"/>
        <w:tblW w:w="9698" w:type="dxa"/>
        <w:jc w:val="center"/>
        <w:tblLayout w:type="fixed"/>
        <w:tblCellMar>
          <w:top w:w="0" w:type="dxa"/>
          <w:left w:w="10" w:type="dxa"/>
          <w:bottom w:w="0" w:type="dxa"/>
          <w:right w:w="10" w:type="dxa"/>
        </w:tblCellMar>
      </w:tblPr>
      <w:tblGrid>
        <w:gridCol w:w="1240"/>
        <w:gridCol w:w="3240"/>
        <w:gridCol w:w="1660"/>
        <w:gridCol w:w="984"/>
        <w:gridCol w:w="778"/>
        <w:gridCol w:w="740"/>
        <w:gridCol w:w="1056"/>
      </w:tblGrid>
      <w:tr>
        <w:tblPrEx>
          <w:tblCellMar>
            <w:top w:w="0" w:type="dxa"/>
            <w:left w:w="10" w:type="dxa"/>
            <w:bottom w:w="0" w:type="dxa"/>
            <w:right w:w="10" w:type="dxa"/>
          </w:tblCellMar>
        </w:tblPrEx>
        <w:trPr>
          <w:trHeight w:val="64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408" w:lineRule="exact"/>
              <w:jc w:val="center"/>
              <w:rPr>
                <w:rFonts w:ascii="宋体" w:hAnsi="宋体" w:cs="notosansmonocjksc"/>
                <w:szCs w:val="21"/>
              </w:rPr>
            </w:pPr>
            <w:r>
              <w:rPr>
                <w:rFonts w:ascii="宋体" w:hAnsi="宋体" w:cs="notosansmonocjksc"/>
                <w:szCs w:val="21"/>
              </w:rPr>
              <w:t>维保单位</w:t>
            </w:r>
          </w:p>
        </w:tc>
        <w:tc>
          <w:tcPr>
            <w:tcW w:w="32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notosansmonocjksc"/>
                <w:szCs w:val="21"/>
              </w:rPr>
            </w:pPr>
            <w:r>
              <w:rPr>
                <w:rFonts w:ascii="宋体" w:hAnsi="宋体" w:cs="notosansmonocjksc"/>
                <w:szCs w:val="21"/>
              </w:rPr>
              <w:t>院方考核人</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notosansmonocjksc"/>
                <w:szCs w:val="21"/>
              </w:rPr>
            </w:pPr>
            <w:r>
              <w:rPr>
                <w:rFonts w:ascii="宋体" w:hAnsi="宋体" w:cs="notosansmonocjksc"/>
                <w:szCs w:val="21"/>
              </w:rPr>
              <w:t>考核</w:t>
            </w:r>
          </w:p>
          <w:p>
            <w:pPr>
              <w:spacing w:line="320" w:lineRule="exact"/>
              <w:jc w:val="center"/>
              <w:rPr>
                <w:rFonts w:ascii="宋体" w:hAnsi="宋体" w:cs="notosansmonocjksc"/>
                <w:szCs w:val="21"/>
              </w:rPr>
            </w:pPr>
            <w:r>
              <w:rPr>
                <w:rFonts w:ascii="宋体" w:hAnsi="宋体" w:cs="notosansmonocjksc"/>
                <w:szCs w:val="21"/>
              </w:rPr>
              <w:t>日期</w:t>
            </w:r>
          </w:p>
        </w:tc>
        <w:tc>
          <w:tcPr>
            <w:tcW w:w="1796" w:type="dxa"/>
            <w:gridSpan w:val="2"/>
            <w:tcBorders>
              <w:top w:val="single" w:color="000000" w:sz="4" w:space="0"/>
              <w:left w:val="single" w:color="000000" w:sz="4" w:space="0"/>
              <w:bottom w:val="single" w:color="000000" w:sz="4" w:space="0"/>
              <w:right w:val="single" w:color="000000" w:sz="4" w:space="0"/>
            </w:tcBorders>
            <w:vAlign w:val="center"/>
          </w:tcPr>
          <w:p>
            <w:pPr>
              <w:spacing w:line="408" w:lineRule="exact"/>
              <w:ind w:firstLine="1040"/>
              <w:jc w:val="left"/>
              <w:rPr>
                <w:rFonts w:ascii="宋体" w:hAnsi="宋体" w:cs="notosansmonocjksc"/>
                <w:szCs w:val="21"/>
              </w:rPr>
            </w:pPr>
            <w:r>
              <w:rPr>
                <w:rFonts w:ascii="宋体" w:hAnsi="宋体" w:cs="notosansmonocjksc"/>
                <w:szCs w:val="21"/>
              </w:rPr>
              <w:t>月   日</w:t>
            </w:r>
          </w:p>
        </w:tc>
      </w:tr>
      <w:tr>
        <w:tblPrEx>
          <w:tblCellMar>
            <w:top w:w="0" w:type="dxa"/>
            <w:left w:w="10" w:type="dxa"/>
            <w:bottom w:w="0" w:type="dxa"/>
            <w:right w:w="10" w:type="dxa"/>
          </w:tblCellMar>
        </w:tblPrEx>
        <w:trPr>
          <w:trHeight w:val="64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408" w:lineRule="exact"/>
              <w:jc w:val="center"/>
              <w:rPr>
                <w:rFonts w:ascii="宋体" w:hAnsi="宋体" w:cs="notosansmonocjksc"/>
                <w:szCs w:val="21"/>
              </w:rPr>
            </w:pPr>
            <w:r>
              <w:rPr>
                <w:rFonts w:ascii="宋体" w:hAnsi="宋体" w:cs="notosansmonocjksc"/>
                <w:szCs w:val="21"/>
              </w:rPr>
              <w:t>项</w:t>
            </w:r>
            <w:r>
              <w:rPr>
                <w:rFonts w:ascii="宋体" w:hAnsi="宋体" w:cs="notosansmonocjksc"/>
                <w:szCs w:val="21"/>
              </w:rPr>
              <w:tab/>
            </w:r>
            <w:r>
              <w:rPr>
                <w:rFonts w:ascii="宋体" w:hAnsi="宋体" w:cs="notosansmonocjksc"/>
                <w:szCs w:val="21"/>
              </w:rPr>
              <w:t>目</w:t>
            </w:r>
          </w:p>
        </w:tc>
        <w:tc>
          <w:tcPr>
            <w:tcW w:w="4900"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notosansmonocjksc"/>
                <w:szCs w:val="21"/>
              </w:rPr>
            </w:pPr>
            <w:r>
              <w:rPr>
                <w:rFonts w:ascii="宋体" w:hAnsi="宋体" w:cs="notosansmonocjksc"/>
                <w:szCs w:val="21"/>
              </w:rPr>
              <w:t>考核内容</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notosansmonocjksc"/>
                <w:szCs w:val="21"/>
              </w:rPr>
            </w:pPr>
            <w:r>
              <w:rPr>
                <w:rFonts w:ascii="宋体" w:hAnsi="宋体" w:cs="notosansmonocjksc"/>
                <w:szCs w:val="21"/>
              </w:rPr>
              <w:t>检查及</w:t>
            </w:r>
          </w:p>
          <w:p>
            <w:pPr>
              <w:spacing w:line="260" w:lineRule="exact"/>
              <w:jc w:val="center"/>
              <w:rPr>
                <w:rFonts w:ascii="宋体" w:hAnsi="宋体" w:cs="notosansmonocjksc"/>
                <w:szCs w:val="21"/>
              </w:rPr>
            </w:pPr>
            <w:r>
              <w:rPr>
                <w:rFonts w:ascii="宋体" w:hAnsi="宋体" w:cs="notosansmonocjksc"/>
                <w:szCs w:val="21"/>
              </w:rPr>
              <w:t>扣分情况</w:t>
            </w: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notosansmonocjksc"/>
                <w:szCs w:val="21"/>
              </w:rPr>
            </w:pPr>
            <w:r>
              <w:rPr>
                <w:rFonts w:ascii="宋体" w:hAnsi="宋体" w:cs="notosansmonocjksc"/>
                <w:szCs w:val="21"/>
              </w:rPr>
              <w:t>分</w:t>
            </w:r>
          </w:p>
          <w:p>
            <w:pPr>
              <w:spacing w:line="260" w:lineRule="exact"/>
              <w:jc w:val="center"/>
              <w:rPr>
                <w:rFonts w:ascii="宋体" w:hAnsi="宋体" w:cs="notosansmonocjksc"/>
                <w:szCs w:val="21"/>
              </w:rPr>
            </w:pPr>
            <w:r>
              <w:rPr>
                <w:rFonts w:ascii="宋体" w:hAnsi="宋体" w:cs="notosansmonocjksc"/>
                <w:szCs w:val="21"/>
              </w:rPr>
              <w:t>值</w:t>
            </w:r>
          </w:p>
        </w:tc>
        <w:tc>
          <w:tcPr>
            <w:tcW w:w="740" w:type="dxa"/>
            <w:tcBorders>
              <w:top w:val="single" w:color="000000" w:sz="4" w:space="0"/>
              <w:left w:val="single" w:color="000000" w:sz="4" w:space="0"/>
              <w:bottom w:val="single" w:color="000000" w:sz="4" w:space="0"/>
              <w:right w:val="single" w:color="000000" w:sz="4" w:space="0"/>
            </w:tcBorders>
            <w:vAlign w:val="center"/>
          </w:tcPr>
          <w:p>
            <w:pPr>
              <w:spacing w:line="408" w:lineRule="exact"/>
              <w:jc w:val="center"/>
              <w:rPr>
                <w:rFonts w:ascii="宋体" w:hAnsi="宋体" w:cs="notosansmonocjksc"/>
                <w:szCs w:val="21"/>
              </w:rPr>
            </w:pPr>
            <w:r>
              <w:rPr>
                <w:rFonts w:ascii="宋体" w:hAnsi="宋体" w:cs="notosansmonocjksc"/>
                <w:szCs w:val="21"/>
              </w:rPr>
              <w:t>评分</w:t>
            </w: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8" w:lineRule="exact"/>
              <w:jc w:val="center"/>
              <w:rPr>
                <w:rFonts w:ascii="宋体" w:hAnsi="宋体" w:cs="notosansmonocjksc"/>
                <w:szCs w:val="21"/>
              </w:rPr>
            </w:pPr>
            <w:r>
              <w:rPr>
                <w:rFonts w:ascii="宋体" w:hAnsi="宋体" w:cs="notosansmonocjksc"/>
                <w:szCs w:val="21"/>
              </w:rPr>
              <w:t>总分</w:t>
            </w:r>
          </w:p>
        </w:tc>
      </w:tr>
      <w:tr>
        <w:tblPrEx>
          <w:tblCellMar>
            <w:top w:w="0" w:type="dxa"/>
            <w:left w:w="10" w:type="dxa"/>
            <w:bottom w:w="0" w:type="dxa"/>
            <w:right w:w="10" w:type="dxa"/>
          </w:tblCellMar>
        </w:tblPrEx>
        <w:trPr>
          <w:trHeight w:val="86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cs="notosansmonocjksc"/>
                <w:szCs w:val="21"/>
              </w:rPr>
            </w:pPr>
            <w:r>
              <w:rPr>
                <w:rFonts w:ascii="宋体" w:hAnsi="宋体" w:cs="notosansmonocjksc"/>
                <w:szCs w:val="21"/>
              </w:rPr>
              <w:t>工作总结</w:t>
            </w:r>
          </w:p>
        </w:tc>
        <w:tc>
          <w:tcPr>
            <w:tcW w:w="4900"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hAnsi="宋体" w:cs="notosansmonocjksc"/>
                <w:szCs w:val="21"/>
              </w:rPr>
            </w:pPr>
            <w:r>
              <w:rPr>
                <w:rFonts w:ascii="宋体" w:hAnsi="宋体" w:cs="notosansmonocjksc"/>
                <w:szCs w:val="21"/>
              </w:rPr>
              <w:t>不按规定</w:t>
            </w:r>
            <w:r>
              <w:rPr>
                <w:rFonts w:hint="eastAsia" w:ascii="宋体" w:hAnsi="宋体" w:cs="notosansmonocjksc"/>
                <w:szCs w:val="21"/>
              </w:rPr>
              <w:t>时间</w:t>
            </w:r>
            <w:r>
              <w:rPr>
                <w:rFonts w:ascii="宋体" w:hAnsi="宋体" w:cs="notosansmonocjksc"/>
                <w:szCs w:val="21"/>
              </w:rPr>
              <w:t>提交</w:t>
            </w:r>
            <w:r>
              <w:rPr>
                <w:rFonts w:hint="eastAsia" w:ascii="宋体" w:hAnsi="宋体"/>
                <w:szCs w:val="21"/>
              </w:rPr>
              <w:t>巡检</w:t>
            </w:r>
            <w:r>
              <w:rPr>
                <w:rFonts w:ascii="宋体" w:hAnsi="宋体" w:cs="notosansmonocjksc"/>
                <w:szCs w:val="21"/>
              </w:rPr>
              <w:t>记录表</w:t>
            </w:r>
            <w:r>
              <w:rPr>
                <w:rFonts w:hint="eastAsia" w:ascii="宋体" w:hAnsi="宋体" w:cs="notosansmonocjksc"/>
                <w:szCs w:val="21"/>
              </w:rPr>
              <w:t>出现一次</w:t>
            </w:r>
            <w:r>
              <w:rPr>
                <w:rFonts w:ascii="宋体" w:hAnsi="宋体" w:cs="notosansmonocjksc"/>
                <w:szCs w:val="21"/>
              </w:rPr>
              <w:t>扣2分，每次更换配件未做记录填写更换配件信息扣2分，每次</w:t>
            </w:r>
            <w:r>
              <w:rPr>
                <w:rFonts w:hint="eastAsia" w:ascii="宋体" w:hAnsi="宋体" w:cs="notosansmonocjksc"/>
                <w:szCs w:val="21"/>
              </w:rPr>
              <w:t>故障报修未做记录信息</w:t>
            </w:r>
            <w:r>
              <w:rPr>
                <w:rFonts w:ascii="宋体" w:hAnsi="宋体" w:cs="notosansmonocjksc"/>
                <w:szCs w:val="21"/>
              </w:rPr>
              <w:t>扣2分</w:t>
            </w:r>
            <w:r>
              <w:rPr>
                <w:rFonts w:hint="eastAsia" w:ascii="宋体" w:hAnsi="宋体" w:cs="notosansmonocjksc"/>
                <w:szCs w:val="21"/>
              </w:rPr>
              <w:t>，</w:t>
            </w:r>
            <w:r>
              <w:rPr>
                <w:rFonts w:ascii="宋体" w:hAnsi="宋体" w:cs="notosansmonocjksc"/>
                <w:szCs w:val="21"/>
              </w:rPr>
              <w:t>每次</w:t>
            </w:r>
            <w:r>
              <w:rPr>
                <w:rFonts w:hint="eastAsia" w:ascii="宋体" w:hAnsi="宋体"/>
                <w:szCs w:val="21"/>
              </w:rPr>
              <w:t>保养及维护记录未做记录信息扣2分。</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notosansmonocjksc"/>
                <w:szCs w:val="21"/>
              </w:rPr>
            </w:pPr>
            <w:r>
              <w:rPr>
                <w:rFonts w:ascii="宋体" w:hAnsi="宋体" w:cs="notosansmonocjksc"/>
                <w:szCs w:val="21"/>
              </w:rPr>
              <w:t>10</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notosansmonocjksc"/>
                <w:szCs w:val="21"/>
              </w:rPr>
            </w:pPr>
          </w:p>
        </w:tc>
      </w:tr>
      <w:tr>
        <w:tblPrEx>
          <w:tblCellMar>
            <w:top w:w="0" w:type="dxa"/>
            <w:left w:w="10" w:type="dxa"/>
            <w:bottom w:w="0" w:type="dxa"/>
            <w:right w:w="10" w:type="dxa"/>
          </w:tblCellMar>
        </w:tblPrEx>
        <w:trPr>
          <w:trHeight w:val="51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notosansmonocjksc"/>
                <w:szCs w:val="21"/>
              </w:rPr>
            </w:pPr>
            <w:r>
              <w:rPr>
                <w:rFonts w:ascii="宋体" w:hAnsi="宋体" w:cs="notosansmonocjksc"/>
                <w:szCs w:val="21"/>
              </w:rPr>
              <w:t>及时率</w:t>
            </w:r>
          </w:p>
        </w:tc>
        <w:tc>
          <w:tcPr>
            <w:tcW w:w="490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hAnsi="宋体" w:cs="notosansmonocjksc"/>
                <w:szCs w:val="21"/>
              </w:rPr>
            </w:pPr>
            <w:r>
              <w:rPr>
                <w:rFonts w:ascii="宋体" w:hAnsi="宋体" w:cs="notosansmonocjksc"/>
                <w:szCs w:val="21"/>
              </w:rPr>
              <w:t>在接到故障报修后，不按合同规定的时间</w:t>
            </w:r>
            <w:r>
              <w:rPr>
                <w:rFonts w:hint="eastAsia" w:ascii="宋体" w:hAnsi="宋体" w:cs="notosansmonocjksc"/>
                <w:szCs w:val="21"/>
              </w:rPr>
              <w:t>（即响应文件中承诺的服务人员到达现场时间）</w:t>
            </w:r>
            <w:r>
              <w:rPr>
                <w:rFonts w:ascii="宋体" w:hAnsi="宋体" w:cs="notosansmonocjksc"/>
                <w:szCs w:val="21"/>
              </w:rPr>
              <w:t>内（</w:t>
            </w:r>
            <w:r>
              <w:rPr>
                <w:rFonts w:hint="eastAsia" w:ascii="宋体" w:hAnsi="宋体" w:cs="notosansmonocjksc"/>
                <w:szCs w:val="21"/>
              </w:rPr>
              <w:t>**</w:t>
            </w:r>
            <w:r>
              <w:rPr>
                <w:rFonts w:ascii="宋体" w:hAnsi="宋体" w:cs="notosansmonocjksc"/>
                <w:szCs w:val="21"/>
              </w:rPr>
              <w:t>分钟）到场每出现一次扣2分，</w:t>
            </w:r>
            <w:r>
              <w:rPr>
                <w:rFonts w:hint="eastAsia" w:ascii="宋体" w:hAnsi="宋体" w:cs="notosansmonocjksc"/>
                <w:szCs w:val="21"/>
              </w:rPr>
              <w:t>当天</w:t>
            </w:r>
            <w:r>
              <w:rPr>
                <w:rFonts w:ascii="宋体" w:hAnsi="宋体" w:cs="notosansmonocjksc"/>
                <w:szCs w:val="21"/>
              </w:rPr>
              <w:t>不到场每出现一次扣10分。</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notosansmonocjksc"/>
                <w:szCs w:val="21"/>
              </w:rPr>
            </w:pPr>
            <w:r>
              <w:rPr>
                <w:rFonts w:ascii="宋体" w:hAnsi="宋体" w:cs="notosansmonocjksc"/>
                <w:szCs w:val="21"/>
              </w:rPr>
              <w:t>20</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cs="notosansmonocjksc"/>
                <w:szCs w:val="21"/>
              </w:rPr>
            </w:pPr>
          </w:p>
        </w:tc>
      </w:tr>
      <w:tr>
        <w:tblPrEx>
          <w:tblCellMar>
            <w:top w:w="0" w:type="dxa"/>
            <w:left w:w="10" w:type="dxa"/>
            <w:bottom w:w="0" w:type="dxa"/>
            <w:right w:w="10" w:type="dxa"/>
          </w:tblCellMar>
        </w:tblPrEx>
        <w:trPr>
          <w:trHeight w:val="625" w:hRule="atLeast"/>
          <w:jc w:val="center"/>
        </w:trPr>
        <w:tc>
          <w:tcPr>
            <w:tcW w:w="1240" w:type="dxa"/>
            <w:tcBorders>
              <w:top w:val="single" w:color="000000" w:sz="4" w:space="0"/>
              <w:left w:val="single" w:color="000000" w:sz="4" w:space="0"/>
              <w:bottom w:val="single" w:color="000000" w:sz="4" w:space="0"/>
              <w:right w:val="single" w:color="000000" w:sz="4" w:space="0"/>
            </w:tcBorders>
          </w:tcPr>
          <w:p>
            <w:pPr>
              <w:spacing w:before="300" w:line="300" w:lineRule="exact"/>
              <w:jc w:val="center"/>
              <w:rPr>
                <w:rFonts w:ascii="宋体" w:hAnsi="宋体" w:cs="notosansmonocjksc"/>
                <w:szCs w:val="21"/>
              </w:rPr>
            </w:pPr>
            <w:r>
              <w:rPr>
                <w:rFonts w:ascii="宋体" w:hAnsi="宋体" w:cs="notosansmonocjksc"/>
                <w:szCs w:val="21"/>
              </w:rPr>
              <w:t>故障处理</w:t>
            </w:r>
          </w:p>
          <w:p>
            <w:pPr>
              <w:spacing w:line="300" w:lineRule="exact"/>
              <w:jc w:val="center"/>
              <w:rPr>
                <w:rFonts w:ascii="宋体" w:hAnsi="宋体" w:cs="notosansmonocjksc"/>
                <w:szCs w:val="21"/>
              </w:rPr>
            </w:pPr>
            <w:r>
              <w:rPr>
                <w:rFonts w:ascii="宋体" w:hAnsi="宋体" w:cs="notosansmonocjksc"/>
                <w:szCs w:val="21"/>
              </w:rPr>
              <w:t>情况</w:t>
            </w:r>
          </w:p>
        </w:tc>
        <w:tc>
          <w:tcPr>
            <w:tcW w:w="4900"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cs="notosansmonocjksc"/>
                <w:szCs w:val="21"/>
              </w:rPr>
            </w:pPr>
            <w:r>
              <w:rPr>
                <w:rFonts w:ascii="宋体" w:hAnsi="宋体" w:cs="notosansmonocjksc"/>
                <w:szCs w:val="21"/>
              </w:rPr>
              <w:t>1、对一般故障不在规定时间（2个小时）内排除出现一次扣2分；2、对较大故障（设备专用配件损坏）不在承诺时间内完成每发生一次扣5分。</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notosansmonocjksc"/>
                <w:szCs w:val="21"/>
              </w:rPr>
            </w:pPr>
            <w:r>
              <w:rPr>
                <w:rFonts w:ascii="宋体" w:hAnsi="宋体" w:cs="notosansmonocjksc"/>
                <w:szCs w:val="21"/>
              </w:rPr>
              <w:t>20</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cs="notosansmonocjksc"/>
                <w:szCs w:val="21"/>
              </w:rPr>
            </w:pPr>
          </w:p>
        </w:tc>
      </w:tr>
      <w:tr>
        <w:tblPrEx>
          <w:tblCellMar>
            <w:top w:w="0" w:type="dxa"/>
            <w:left w:w="10" w:type="dxa"/>
            <w:bottom w:w="0" w:type="dxa"/>
            <w:right w:w="10" w:type="dxa"/>
          </w:tblCellMar>
        </w:tblPrEx>
        <w:trPr>
          <w:trHeight w:val="152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408" w:lineRule="exact"/>
              <w:jc w:val="center"/>
              <w:rPr>
                <w:rFonts w:ascii="宋体" w:hAnsi="宋体" w:cs="notosansmonocjksc"/>
                <w:szCs w:val="21"/>
              </w:rPr>
            </w:pPr>
            <w:r>
              <w:rPr>
                <w:rFonts w:ascii="宋体" w:hAnsi="宋体" w:cs="notosansmonocjksc"/>
                <w:szCs w:val="21"/>
              </w:rPr>
              <w:t>维护保养</w:t>
            </w:r>
          </w:p>
        </w:tc>
        <w:tc>
          <w:tcPr>
            <w:tcW w:w="4900"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ind w:firstLine="14"/>
              <w:jc w:val="left"/>
              <w:rPr>
                <w:rFonts w:ascii="宋体" w:hAnsi="宋体" w:cs="notosansmonocjksc"/>
                <w:szCs w:val="21"/>
              </w:rPr>
            </w:pPr>
            <w:r>
              <w:rPr>
                <w:rFonts w:ascii="宋体" w:hAnsi="宋体" w:cs="notosansmonocjksc"/>
                <w:szCs w:val="21"/>
              </w:rPr>
              <w:t>1、</w:t>
            </w:r>
            <w:r>
              <w:rPr>
                <w:rFonts w:hint="eastAsia" w:ascii="宋体" w:hAnsi="宋体" w:cs="notosansmonocjksc"/>
                <w:szCs w:val="21"/>
              </w:rPr>
              <w:t>按照招标文件要求进行</w:t>
            </w:r>
            <w:r>
              <w:rPr>
                <w:rFonts w:ascii="宋体" w:hAnsi="宋体" w:cs="notosansmonocjksc"/>
                <w:szCs w:val="21"/>
              </w:rPr>
              <w:t>清洁保养，不按要求进行保养扣4分；2、</w:t>
            </w:r>
            <w:r>
              <w:rPr>
                <w:rFonts w:hint="eastAsia" w:ascii="宋体" w:hAnsi="宋体" w:cs="notosansmonocjksc"/>
                <w:szCs w:val="21"/>
              </w:rPr>
              <w:t>工作时间迟到或早退超过30分钟以上</w:t>
            </w:r>
            <w:r>
              <w:rPr>
                <w:rFonts w:ascii="宋体" w:hAnsi="宋体" w:cs="notosansmonocjksc"/>
                <w:szCs w:val="21"/>
              </w:rPr>
              <w:t>每出现一次扣2分；3、按合同约定的维保项目达不到标准，每发现1处扣 2分；4、每次维保工作完成后，不及时清理、复原工作现场每发生一次扣2分；5、维保人员</w:t>
            </w:r>
            <w:r>
              <w:rPr>
                <w:rFonts w:hint="eastAsia" w:ascii="宋体" w:hAnsi="宋体" w:cs="notosansmonocjksc"/>
                <w:szCs w:val="21"/>
              </w:rPr>
              <w:t>不按合同约定提供服务或违反学校、学院的相关规章制度且</w:t>
            </w:r>
            <w:r>
              <w:rPr>
                <w:rFonts w:ascii="宋体" w:hAnsi="宋体" w:cs="notosansmonocjksc"/>
                <w:szCs w:val="21"/>
              </w:rPr>
              <w:t>不服从院方人员管理</w:t>
            </w:r>
            <w:r>
              <w:rPr>
                <w:rFonts w:hint="eastAsia" w:ascii="宋体" w:hAnsi="宋体" w:cs="notosansmonocjksc"/>
                <w:szCs w:val="21"/>
              </w:rPr>
              <w:t>的</w:t>
            </w:r>
            <w:r>
              <w:rPr>
                <w:rFonts w:ascii="宋体" w:hAnsi="宋体" w:cs="notosansmonocjksc"/>
                <w:szCs w:val="21"/>
              </w:rPr>
              <w:t>每人次扣2分。</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notosansmonocjksc"/>
                <w:szCs w:val="21"/>
              </w:rPr>
            </w:pPr>
            <w:r>
              <w:rPr>
                <w:rFonts w:ascii="宋体" w:hAnsi="宋体" w:cs="notosansmonocjksc"/>
                <w:szCs w:val="21"/>
              </w:rPr>
              <w:t>20</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cs="notosansmonocjksc"/>
                <w:szCs w:val="21"/>
              </w:rPr>
            </w:pPr>
          </w:p>
        </w:tc>
      </w:tr>
      <w:tr>
        <w:tblPrEx>
          <w:tblCellMar>
            <w:top w:w="0" w:type="dxa"/>
            <w:left w:w="10" w:type="dxa"/>
            <w:bottom w:w="0" w:type="dxa"/>
            <w:right w:w="10" w:type="dxa"/>
          </w:tblCellMar>
        </w:tblPrEx>
        <w:trPr>
          <w:trHeight w:val="465"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408" w:lineRule="exact"/>
              <w:jc w:val="center"/>
              <w:rPr>
                <w:rFonts w:ascii="宋体" w:hAnsi="宋体" w:cs="notosansmonocjksc"/>
                <w:szCs w:val="21"/>
              </w:rPr>
            </w:pPr>
            <w:r>
              <w:rPr>
                <w:rFonts w:ascii="宋体" w:hAnsi="宋体" w:cs="notosansmonocjksc"/>
                <w:szCs w:val="21"/>
              </w:rPr>
              <w:t>环境卫生</w:t>
            </w:r>
          </w:p>
        </w:tc>
        <w:tc>
          <w:tcPr>
            <w:tcW w:w="4900"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hAnsi="宋体" w:cs="notosansmonocjksc"/>
                <w:szCs w:val="21"/>
              </w:rPr>
            </w:pPr>
            <w:r>
              <w:rPr>
                <w:rFonts w:hint="eastAsia" w:ascii="宋体" w:hAnsi="宋体" w:cs="notosansmonocjksc"/>
                <w:szCs w:val="21"/>
              </w:rPr>
              <w:t>维保现场工作后</w:t>
            </w:r>
            <w:r>
              <w:rPr>
                <w:rFonts w:ascii="宋体" w:hAnsi="宋体" w:cs="notosansmonocjksc"/>
                <w:szCs w:val="21"/>
              </w:rPr>
              <w:t>每发现一处</w:t>
            </w:r>
            <w:r>
              <w:rPr>
                <w:rFonts w:hint="eastAsia" w:ascii="宋体" w:hAnsi="宋体" w:cs="notosansmonocjksc"/>
                <w:szCs w:val="21"/>
              </w:rPr>
              <w:t>维保工作遗留的</w:t>
            </w:r>
            <w:r>
              <w:rPr>
                <w:rFonts w:ascii="宋体" w:hAnsi="宋体" w:cs="notosansmonocjksc"/>
                <w:szCs w:val="21"/>
              </w:rPr>
              <w:t>杂物扣2分。</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notosansmonocjksc"/>
                <w:szCs w:val="21"/>
              </w:rPr>
            </w:pPr>
            <w:r>
              <w:rPr>
                <w:rFonts w:ascii="宋体" w:hAnsi="宋体" w:cs="notosansmonocjksc"/>
                <w:szCs w:val="21"/>
              </w:rPr>
              <w:t>10</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r>
      <w:tr>
        <w:tblPrEx>
          <w:tblCellMar>
            <w:top w:w="0" w:type="dxa"/>
            <w:left w:w="10" w:type="dxa"/>
            <w:bottom w:w="0" w:type="dxa"/>
            <w:right w:w="10" w:type="dxa"/>
          </w:tblCellMar>
        </w:tblPrEx>
        <w:trPr>
          <w:trHeight w:val="47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cs="notosansmonocjksc"/>
                <w:szCs w:val="21"/>
              </w:rPr>
            </w:pPr>
            <w:r>
              <w:rPr>
                <w:rFonts w:ascii="宋体" w:hAnsi="宋体" w:cs="notosansmonocjksc"/>
                <w:szCs w:val="21"/>
              </w:rPr>
              <w:t>安全文明施工</w:t>
            </w:r>
          </w:p>
        </w:tc>
        <w:tc>
          <w:tcPr>
            <w:tcW w:w="4900"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jc w:val="left"/>
              <w:rPr>
                <w:rFonts w:ascii="宋体" w:hAnsi="宋体" w:cs="notosansmonocjksc"/>
                <w:szCs w:val="21"/>
              </w:rPr>
            </w:pPr>
            <w:r>
              <w:rPr>
                <w:rFonts w:ascii="宋体" w:hAnsi="宋体" w:cs="notosansmonocjksc"/>
                <w:szCs w:val="21"/>
              </w:rPr>
              <w:t>做好安全文明施工，施工现场整洁，有挂牌措施，遵守安全操作规程，发现一次违规操作扣2分。</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notosansmonocjksc"/>
                <w:szCs w:val="21"/>
              </w:rPr>
            </w:pPr>
            <w:r>
              <w:rPr>
                <w:rFonts w:ascii="宋体" w:hAnsi="宋体" w:cs="notosansmonocjksc"/>
                <w:szCs w:val="21"/>
              </w:rPr>
              <w:t>10</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cs="notosansmonocjksc"/>
                <w:szCs w:val="21"/>
              </w:rPr>
            </w:pPr>
          </w:p>
        </w:tc>
      </w:tr>
      <w:tr>
        <w:tblPrEx>
          <w:tblCellMar>
            <w:top w:w="0" w:type="dxa"/>
            <w:left w:w="10" w:type="dxa"/>
            <w:bottom w:w="0" w:type="dxa"/>
            <w:right w:w="10" w:type="dxa"/>
          </w:tblCellMar>
        </w:tblPrEx>
        <w:trPr>
          <w:trHeight w:val="625"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408" w:lineRule="exact"/>
              <w:jc w:val="center"/>
              <w:rPr>
                <w:rFonts w:ascii="宋体" w:hAnsi="宋体" w:cs="notosansmonocjksc"/>
                <w:szCs w:val="21"/>
              </w:rPr>
            </w:pPr>
            <w:r>
              <w:rPr>
                <w:rFonts w:ascii="宋体" w:hAnsi="宋体" w:cs="notosansmonocjksc"/>
                <w:szCs w:val="21"/>
              </w:rPr>
              <w:t>整改项目</w:t>
            </w:r>
          </w:p>
        </w:tc>
        <w:tc>
          <w:tcPr>
            <w:tcW w:w="490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notosansmonocjksc"/>
                <w:szCs w:val="21"/>
              </w:rPr>
            </w:pPr>
            <w:r>
              <w:rPr>
                <w:rFonts w:ascii="宋体" w:hAnsi="宋体" w:cs="notosansmonocjksc"/>
                <w:szCs w:val="21"/>
              </w:rPr>
              <w:t>对院方巡视提出的整改项目的通知，每少</w:t>
            </w:r>
            <w:r>
              <w:rPr>
                <w:rFonts w:hint="eastAsia" w:ascii="宋体" w:hAnsi="宋体" w:cs="notosansmonocjksc"/>
                <w:szCs w:val="21"/>
              </w:rPr>
              <w:t>按时</w:t>
            </w:r>
            <w:r>
              <w:rPr>
                <w:rFonts w:ascii="宋体" w:hAnsi="宋体" w:cs="notosansmonocjksc"/>
                <w:szCs w:val="21"/>
              </w:rPr>
              <w:t>完成一项扣2分。</w:t>
            </w:r>
          </w:p>
        </w:tc>
        <w:tc>
          <w:tcPr>
            <w:tcW w:w="9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notosansmonocjksc"/>
                <w:szCs w:val="21"/>
              </w:rPr>
            </w:pPr>
            <w:r>
              <w:rPr>
                <w:rFonts w:ascii="宋体" w:hAnsi="宋体" w:cs="notosansmonocjksc"/>
                <w:szCs w:val="21"/>
              </w:rPr>
              <w:t>10</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cs="notosansmonocjksc"/>
                <w:szCs w:val="21"/>
              </w:rPr>
            </w:pPr>
          </w:p>
        </w:tc>
      </w:tr>
      <w:tr>
        <w:tblPrEx>
          <w:tblCellMar>
            <w:top w:w="0" w:type="dxa"/>
            <w:left w:w="10" w:type="dxa"/>
            <w:bottom w:w="0" w:type="dxa"/>
            <w:right w:w="10" w:type="dxa"/>
          </w:tblCellMar>
        </w:tblPrEx>
        <w:trPr>
          <w:trHeight w:val="641"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cs="notosansmonocjksc"/>
                <w:szCs w:val="21"/>
              </w:rPr>
            </w:pPr>
            <w:r>
              <w:rPr>
                <w:rFonts w:ascii="宋体" w:hAnsi="宋体" w:cs="notosansmonocjksc"/>
                <w:szCs w:val="21"/>
              </w:rPr>
              <w:t>存在问题</w:t>
            </w:r>
          </w:p>
        </w:tc>
        <w:tc>
          <w:tcPr>
            <w:tcW w:w="8458"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cs="notosansmonocjksc"/>
                <w:szCs w:val="21"/>
              </w:rPr>
            </w:pPr>
          </w:p>
          <w:p>
            <w:pPr>
              <w:rPr>
                <w:rFonts w:ascii="宋体" w:hAnsi="宋体" w:cs="notosansmonocjksc"/>
                <w:szCs w:val="21"/>
              </w:rPr>
            </w:pPr>
          </w:p>
          <w:p>
            <w:pPr>
              <w:rPr>
                <w:rFonts w:ascii="宋体" w:hAnsi="宋体" w:cs="notosansmonocjksc"/>
                <w:szCs w:val="21"/>
              </w:rPr>
            </w:pPr>
          </w:p>
        </w:tc>
      </w:tr>
      <w:tr>
        <w:tblPrEx>
          <w:tblCellMar>
            <w:top w:w="0" w:type="dxa"/>
            <w:left w:w="10" w:type="dxa"/>
            <w:bottom w:w="0" w:type="dxa"/>
            <w:right w:w="10" w:type="dxa"/>
          </w:tblCellMar>
        </w:tblPrEx>
        <w:trPr>
          <w:trHeight w:val="64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cs="notosansmonocjksc"/>
                <w:szCs w:val="21"/>
              </w:rPr>
            </w:pPr>
            <w:r>
              <w:rPr>
                <w:rFonts w:ascii="宋体" w:hAnsi="宋体" w:cs="notosansmonocjksc"/>
                <w:szCs w:val="21"/>
              </w:rPr>
              <w:t>维保单位</w:t>
            </w:r>
          </w:p>
          <w:p>
            <w:pPr>
              <w:spacing w:line="300" w:lineRule="exact"/>
              <w:jc w:val="center"/>
              <w:rPr>
                <w:rFonts w:ascii="宋体" w:hAnsi="宋体" w:cs="notosansmonocjksc"/>
                <w:szCs w:val="21"/>
              </w:rPr>
            </w:pPr>
            <w:r>
              <w:rPr>
                <w:rFonts w:ascii="宋体" w:hAnsi="宋体" w:cs="notosansmonocjksc"/>
                <w:szCs w:val="21"/>
              </w:rPr>
              <w:t>确认</w:t>
            </w:r>
          </w:p>
        </w:tc>
        <w:tc>
          <w:tcPr>
            <w:tcW w:w="8458"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exact"/>
              <w:ind w:firstLine="4160"/>
              <w:rPr>
                <w:rFonts w:ascii="宋体" w:hAnsi="宋体" w:cs="notosansmonocjksc"/>
                <w:szCs w:val="21"/>
              </w:rPr>
            </w:pPr>
            <w:r>
              <w:rPr>
                <w:rFonts w:ascii="宋体" w:hAnsi="宋体" w:cs="notosansmonocjksc"/>
                <w:szCs w:val="21"/>
              </w:rPr>
              <w:t>签字/日期：</w:t>
            </w:r>
            <w:r>
              <w:rPr>
                <w:rFonts w:ascii="宋体" w:hAnsi="宋体" w:cs="notosansmonocjksc"/>
                <w:szCs w:val="21"/>
              </w:rPr>
              <w:tab/>
            </w:r>
            <w:r>
              <w:rPr>
                <w:rFonts w:ascii="宋体" w:hAnsi="宋体" w:cs="notosansmonocjksc"/>
                <w:szCs w:val="21"/>
              </w:rPr>
              <w:tab/>
            </w:r>
            <w:r>
              <w:rPr>
                <w:rFonts w:ascii="宋体" w:hAnsi="宋体" w:cs="notosansmonocjksc"/>
                <w:szCs w:val="21"/>
              </w:rPr>
              <w:t xml:space="preserve">            </w:t>
            </w:r>
          </w:p>
        </w:tc>
      </w:tr>
      <w:tr>
        <w:tblPrEx>
          <w:tblCellMar>
            <w:top w:w="0" w:type="dxa"/>
            <w:left w:w="10" w:type="dxa"/>
            <w:bottom w:w="0" w:type="dxa"/>
            <w:right w:w="10" w:type="dxa"/>
          </w:tblCellMar>
        </w:tblPrEx>
        <w:trPr>
          <w:trHeight w:val="658"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notosansmonocjksc"/>
                <w:szCs w:val="21"/>
              </w:rPr>
            </w:pPr>
            <w:r>
              <w:rPr>
                <w:rFonts w:ascii="宋体" w:hAnsi="宋体" w:cs="notosansmonocjksc"/>
                <w:szCs w:val="21"/>
              </w:rPr>
              <w:t>院方</w:t>
            </w:r>
          </w:p>
          <w:p>
            <w:pPr>
              <w:spacing w:line="280" w:lineRule="exact"/>
              <w:jc w:val="center"/>
              <w:rPr>
                <w:rFonts w:ascii="宋体" w:hAnsi="宋体" w:cs="notosansmonocjksc"/>
                <w:szCs w:val="21"/>
              </w:rPr>
            </w:pPr>
            <w:r>
              <w:rPr>
                <w:rFonts w:ascii="宋体" w:hAnsi="宋体" w:cs="notosansmonocjksc"/>
                <w:szCs w:val="21"/>
              </w:rPr>
              <w:t>意见</w:t>
            </w:r>
          </w:p>
        </w:tc>
        <w:tc>
          <w:tcPr>
            <w:tcW w:w="8458"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ind w:firstLine="4160"/>
              <w:rPr>
                <w:rFonts w:ascii="宋体" w:hAnsi="宋体" w:cs="notosansmonocjksc"/>
                <w:szCs w:val="21"/>
              </w:rPr>
            </w:pPr>
            <w:r>
              <w:rPr>
                <w:rFonts w:ascii="宋体" w:hAnsi="宋体" w:cs="notosansmonocjksc"/>
                <w:szCs w:val="21"/>
              </w:rPr>
              <w:t>签字/日期：</w:t>
            </w:r>
            <w:r>
              <w:rPr>
                <w:rFonts w:ascii="宋体" w:hAnsi="宋体" w:cs="notosansmonocjksc"/>
                <w:szCs w:val="21"/>
              </w:rPr>
              <w:tab/>
            </w:r>
            <w:r>
              <w:rPr>
                <w:rFonts w:ascii="宋体" w:hAnsi="宋体" w:cs="notosansmonocjksc"/>
                <w:szCs w:val="21"/>
              </w:rPr>
              <w:tab/>
            </w:r>
            <w:r>
              <w:rPr>
                <w:rFonts w:ascii="宋体" w:hAnsi="宋体" w:cs="notosansmonocjksc"/>
                <w:szCs w:val="21"/>
              </w:rPr>
              <w:tab/>
            </w:r>
            <w:r>
              <w:rPr>
                <w:rFonts w:ascii="宋体" w:hAnsi="宋体" w:cs="notosansmonocjksc"/>
                <w:szCs w:val="21"/>
              </w:rPr>
              <w:t xml:space="preserve">            </w:t>
            </w:r>
          </w:p>
        </w:tc>
      </w:tr>
    </w:tbl>
    <w:p>
      <w:pPr>
        <w:rPr>
          <w:rFonts w:ascii="等线" w:hAnsi="等线" w:eastAsia="等线" w:cs="notosansmonocjksc"/>
          <w:sz w:val="22"/>
          <w:szCs w:val="22"/>
        </w:rPr>
      </w:pPr>
    </w:p>
    <w:p>
      <w:pPr>
        <w:spacing w:line="360" w:lineRule="exact"/>
        <w:rPr>
          <w:rFonts w:ascii="宋体" w:hAnsi="宋体" w:cs="宋体"/>
          <w:szCs w:val="21"/>
        </w:rPr>
      </w:pPr>
      <w:r>
        <w:rPr>
          <w:rFonts w:hint="eastAsia" w:ascii="宋体" w:hAnsi="宋体" w:cs="宋体"/>
          <w:b/>
          <w:bCs/>
          <w:szCs w:val="21"/>
        </w:rPr>
        <w:t>说明：</w:t>
      </w:r>
      <w:r>
        <w:rPr>
          <w:rFonts w:hint="eastAsia" w:ascii="宋体" w:hAnsi="宋体" w:cs="宋体"/>
          <w:szCs w:val="21"/>
        </w:rPr>
        <w:t>年度总分计算及扣除合同金额规则</w:t>
      </w:r>
      <w:r>
        <w:rPr>
          <w:rFonts w:hint="eastAsia" w:ascii="宋体" w:hAnsi="宋体" w:cs="宋体"/>
          <w:szCs w:val="21"/>
        </w:rPr>
        <w:cr/>
      </w:r>
      <w:r>
        <w:rPr>
          <w:rFonts w:hint="eastAsia" w:ascii="宋体" w:hAnsi="宋体" w:cs="宋体"/>
          <w:szCs w:val="21"/>
        </w:rPr>
        <w:t>（一）季度考核</w:t>
      </w:r>
      <w:r>
        <w:rPr>
          <w:rFonts w:hint="eastAsia" w:ascii="宋体" w:hAnsi="宋体" w:cs="宋体"/>
          <w:szCs w:val="21"/>
        </w:rPr>
        <w:cr/>
      </w:r>
      <w:r>
        <w:rPr>
          <w:rFonts w:hint="eastAsia" w:ascii="宋体" w:hAnsi="宋体" w:cs="宋体"/>
          <w:szCs w:val="21"/>
        </w:rPr>
        <w:t>1.每季度考核的满分为100分，四个季度总分为400分。</w:t>
      </w:r>
      <w:r>
        <w:rPr>
          <w:rFonts w:hint="eastAsia" w:ascii="宋体" w:hAnsi="宋体" w:cs="宋体"/>
          <w:szCs w:val="21"/>
        </w:rPr>
        <w:cr/>
      </w:r>
      <w:r>
        <w:rPr>
          <w:rFonts w:hint="eastAsia" w:ascii="宋体" w:hAnsi="宋体" w:cs="宋体"/>
          <w:szCs w:val="21"/>
        </w:rPr>
        <w:t>2.年度总分计算方法：将每季度的得分相加。</w:t>
      </w:r>
      <w:r>
        <w:rPr>
          <w:rFonts w:hint="eastAsia" w:ascii="宋体" w:hAnsi="宋体" w:cs="宋体"/>
          <w:szCs w:val="21"/>
        </w:rPr>
        <w:cr/>
      </w:r>
      <w:r>
        <w:rPr>
          <w:rFonts w:hint="eastAsia" w:ascii="宋体" w:hAnsi="宋体" w:cs="宋体"/>
          <w:szCs w:val="21"/>
        </w:rPr>
        <w:t>3.若年度总分高于320分（含320分），不扣除合同金额。</w:t>
      </w:r>
      <w:r>
        <w:rPr>
          <w:rFonts w:hint="eastAsia" w:ascii="宋体" w:hAnsi="宋体" w:cs="宋体"/>
          <w:szCs w:val="21"/>
        </w:rPr>
        <w:cr/>
      </w:r>
      <w:r>
        <w:rPr>
          <w:rFonts w:hint="eastAsia" w:ascii="宋体" w:hAnsi="宋体" w:cs="宋体"/>
          <w:szCs w:val="21"/>
        </w:rPr>
        <w:t>4.若年度总分低于320分，按照以下公式扣除：扣除合同金额=（年度总分-年度考核得分）/年度总分×项目总金额的40%</w:t>
      </w:r>
    </w:p>
    <w:p>
      <w:pPr>
        <w:spacing w:line="360" w:lineRule="exact"/>
        <w:rPr>
          <w:rFonts w:ascii="等线" w:hAnsi="等线" w:eastAsia="等线" w:cs="notosansmonocjksc"/>
          <w:sz w:val="22"/>
          <w:szCs w:val="22"/>
        </w:rPr>
      </w:pPr>
      <w:r>
        <w:rPr>
          <w:rFonts w:hint="eastAsia" w:ascii="宋体" w:hAnsi="宋体" w:cs="宋体"/>
          <w:szCs w:val="21"/>
        </w:rPr>
        <w:t>（二）服务公司连续2个季度考核得分低于60分，甲方有权终止服务合同。</w:t>
      </w: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p>
    <w:p>
      <w:pPr>
        <w:pStyle w:val="18"/>
        <w:jc w:val="left"/>
        <w:rPr>
          <w:rFonts w:hAnsi="宋体" w:cs="宋体"/>
          <w:sz w:val="32"/>
          <w:szCs w:val="32"/>
        </w:rPr>
      </w:pPr>
      <w:r>
        <w:rPr>
          <w:rFonts w:hint="eastAsia" w:hAnsi="宋体" w:cs="宋体"/>
          <w:sz w:val="32"/>
          <w:szCs w:val="32"/>
        </w:rPr>
        <w:t>附：</w:t>
      </w:r>
    </w:p>
    <w:p>
      <w:pPr>
        <w:jc w:val="center"/>
        <w:rPr>
          <w:rFonts w:ascii="宋体" w:hAnsi="宋体" w:cs="宋体"/>
          <w:sz w:val="44"/>
          <w:szCs w:val="44"/>
        </w:rPr>
      </w:pPr>
      <w:r>
        <w:rPr>
          <w:rFonts w:hint="eastAsia" w:ascii="宋体" w:hAnsi="宋体" w:cs="宋体"/>
          <w:sz w:val="44"/>
          <w:szCs w:val="44"/>
        </w:rPr>
        <w:t>中小微企业划型标准</w:t>
      </w:r>
    </w:p>
    <w:p>
      <w:pPr>
        <w:ind w:left="1871"/>
        <w:rPr>
          <w:rFonts w:ascii="宋体" w:hAnsi="宋体" w:cs="宋体"/>
          <w:szCs w:val="21"/>
        </w:rPr>
      </w:pPr>
    </w:p>
    <w:tbl>
      <w:tblPr>
        <w:tblStyle w:val="29"/>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323" w:hRule="exac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bl>
    <w:p>
      <w:pPr>
        <w:spacing w:line="360" w:lineRule="auto"/>
        <w:ind w:firstLine="525" w:firstLineChars="250"/>
        <w:rPr>
          <w:rFonts w:ascii="宋体" w:hAnsi="宋体" w:cs="宋体"/>
          <w:szCs w:val="21"/>
        </w:rPr>
      </w:pPr>
    </w:p>
    <w:p>
      <w:pPr>
        <w:spacing w:line="360" w:lineRule="auto"/>
        <w:ind w:firstLine="527" w:firstLineChars="250"/>
        <w:rPr>
          <w:rFonts w:ascii="楷体" w:hAnsi="楷体" w:eastAsia="楷体" w:cs="宋体"/>
          <w:szCs w:val="21"/>
        </w:rPr>
      </w:pPr>
      <w:r>
        <w:rPr>
          <w:rFonts w:hint="eastAsia" w:ascii="楷体" w:hAnsi="楷体" w:eastAsia="楷体" w:cs="宋体"/>
          <w:b/>
          <w:szCs w:val="21"/>
        </w:rPr>
        <w:t>说明：</w:t>
      </w:r>
      <w:r>
        <w:rPr>
          <w:rFonts w:hint="eastAsia" w:ascii="楷体" w:hAnsi="楷体" w:eastAsia="楷体" w:cs="宋体"/>
          <w:szCs w:val="21"/>
        </w:rPr>
        <w:t>上述标准参照《关于印发中小企业划型标准规定的通知》（工信部联企业</w:t>
      </w:r>
      <w:r>
        <w:rPr>
          <w:rFonts w:ascii="楷体" w:hAnsi="楷体" w:eastAsia="楷体" w:cs="宋体"/>
          <w:szCs w:val="21"/>
        </w:rPr>
        <w:t>[2011]300号），大型、中型和小型企业须同时满足所列指标的下限，否则下划一档；微型企业只须满足所列指标中的一项即可。</w:t>
      </w:r>
    </w:p>
    <w:p>
      <w:pPr>
        <w:pStyle w:val="3"/>
        <w:jc w:val="center"/>
        <w:rPr>
          <w:rFonts w:ascii="宋体" w:hAnsi="宋体" w:cs="宋体"/>
        </w:rPr>
      </w:pPr>
      <w:r>
        <w:rPr>
          <w:rFonts w:hint="eastAsia" w:ascii="宋体" w:hAnsi="宋体" w:cs="宋体"/>
        </w:rPr>
        <w:br w:type="page"/>
      </w:r>
      <w:r>
        <w:rPr>
          <w:rFonts w:hint="eastAsia" w:ascii="宋体" w:hAnsi="宋体" w:cs="宋体"/>
        </w:rPr>
        <w:t>第四章  评审程序、评审方法和评审标准</w:t>
      </w:r>
      <w:bookmarkEnd w:id="42"/>
    </w:p>
    <w:p>
      <w:pPr>
        <w:spacing w:line="360" w:lineRule="auto"/>
        <w:jc w:val="center"/>
        <w:rPr>
          <w:rFonts w:ascii="宋体" w:hAnsi="宋体" w:cs="宋体"/>
          <w:b/>
          <w:sz w:val="32"/>
          <w:szCs w:val="32"/>
        </w:rPr>
      </w:pPr>
      <w:r>
        <w:rPr>
          <w:rFonts w:hint="eastAsia" w:ascii="宋体" w:hAnsi="宋体" w:cs="宋体"/>
          <w:b/>
          <w:sz w:val="32"/>
          <w:szCs w:val="32"/>
        </w:rPr>
        <w:t>一、评审程序和评审方法</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1.资格审查</w:t>
      </w:r>
    </w:p>
    <w:p>
      <w:pPr>
        <w:snapToGrid w:val="0"/>
        <w:spacing w:line="360" w:lineRule="auto"/>
        <w:ind w:firstLine="480" w:firstLineChars="200"/>
        <w:rPr>
          <w:rFonts w:ascii="宋体" w:hAnsi="宋体" w:cs="宋体"/>
          <w:sz w:val="24"/>
        </w:rPr>
      </w:pPr>
      <w:r>
        <w:rPr>
          <w:rFonts w:hint="eastAsia" w:ascii="宋体" w:hAnsi="宋体" w:cs="宋体"/>
          <w:sz w:val="24"/>
        </w:rPr>
        <w:t>1.1响应文件开启后，磋商小组依法对供应商的资格证明文件进行审查。</w:t>
      </w:r>
    </w:p>
    <w:p>
      <w:pPr>
        <w:snapToGrid w:val="0"/>
        <w:spacing w:line="360" w:lineRule="auto"/>
        <w:ind w:firstLine="480" w:firstLineChars="200"/>
        <w:jc w:val="left"/>
        <w:rPr>
          <w:rFonts w:ascii="宋体" w:hAnsi="宋体" w:cs="宋体"/>
          <w:sz w:val="24"/>
        </w:rPr>
      </w:pPr>
      <w:r>
        <w:rPr>
          <w:rFonts w:hint="eastAsia" w:ascii="宋体" w:hAnsi="宋体" w:cs="宋体"/>
          <w:sz w:val="24"/>
        </w:rPr>
        <w:t>（1）查询渠道：“信用中国”网站（www.creditchina.gov.cn）、中国政府采购网（</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（2）信用查询截止时点：资格审查结束前</w:t>
      </w:r>
    </w:p>
    <w:p>
      <w:pPr>
        <w:snapToGrid w:val="0"/>
        <w:spacing w:line="360" w:lineRule="auto"/>
        <w:ind w:firstLine="480" w:firstLineChars="200"/>
        <w:jc w:val="left"/>
        <w:rPr>
          <w:rFonts w:ascii="宋体" w:hAnsi="宋体" w:cs="宋体"/>
          <w:sz w:val="24"/>
        </w:rPr>
      </w:pPr>
      <w:r>
        <w:rPr>
          <w:rFonts w:hint="eastAsia" w:ascii="宋体" w:hAnsi="宋体" w:cs="宋体"/>
          <w:sz w:val="24"/>
        </w:rPr>
        <w:t>（3）查询记录和证据留存方式：将查询网站中的查询记录截图并作为评审资料保存。</w:t>
      </w:r>
    </w:p>
    <w:p>
      <w:pPr>
        <w:snapToGrid w:val="0"/>
        <w:spacing w:line="360" w:lineRule="auto"/>
        <w:ind w:firstLine="480" w:firstLineChars="200"/>
        <w:jc w:val="left"/>
        <w:rPr>
          <w:rFonts w:ascii="宋体" w:hAnsi="宋体" w:cs="宋体"/>
          <w:sz w:val="24"/>
        </w:rPr>
      </w:pPr>
      <w:r>
        <w:rPr>
          <w:rFonts w:hint="eastAsia" w:ascii="宋体" w:hAnsi="宋体" w:cs="宋体"/>
          <w:sz w:val="24"/>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napToGrid w:val="0"/>
        <w:spacing w:line="360" w:lineRule="auto"/>
        <w:ind w:firstLine="480" w:firstLineChars="200"/>
        <w:jc w:val="left"/>
        <w:rPr>
          <w:rFonts w:ascii="宋体" w:hAnsi="宋体" w:cs="宋体"/>
          <w:sz w:val="24"/>
        </w:rPr>
      </w:pPr>
      <w:r>
        <w:rPr>
          <w:rFonts w:hint="eastAsia" w:ascii="宋体" w:hAnsi="宋体" w:cs="宋体"/>
          <w:sz w:val="24"/>
        </w:rPr>
        <w:t>1.2资格审查标准为本磋商文件中载明对供应商资格要求的条件。资格审查采用合格制，凡符合磋商文件规定的供应商资格要求的响应文件均通过资格审查。</w:t>
      </w:r>
    </w:p>
    <w:p>
      <w:pPr>
        <w:spacing w:line="360" w:lineRule="auto"/>
        <w:ind w:firstLine="480" w:firstLineChars="200"/>
        <w:rPr>
          <w:rFonts w:ascii="宋体" w:hAnsi="宋体" w:cs="宋体"/>
          <w:sz w:val="24"/>
        </w:rPr>
      </w:pPr>
      <w:r>
        <w:rPr>
          <w:rFonts w:hint="eastAsia" w:ascii="宋体" w:hAnsi="宋体" w:cs="宋体"/>
          <w:sz w:val="24"/>
        </w:rPr>
        <w:t>1.3供应商有下列情形之一的，资格审查不通过，其响应文件按无效响应处理：</w:t>
      </w:r>
    </w:p>
    <w:p>
      <w:pPr>
        <w:spacing w:line="360" w:lineRule="auto"/>
        <w:ind w:firstLine="480" w:firstLineChars="200"/>
        <w:rPr>
          <w:rFonts w:ascii="宋体" w:hAnsi="宋体" w:cs="宋体"/>
          <w:sz w:val="24"/>
        </w:rPr>
      </w:pPr>
      <w:r>
        <w:rPr>
          <w:rFonts w:hint="eastAsia" w:ascii="宋体" w:hAnsi="宋体" w:cs="宋体"/>
          <w:sz w:val="24"/>
        </w:rPr>
        <w:t>（1）不具备磋商文件中规定的资格要求的；</w:t>
      </w:r>
    </w:p>
    <w:p>
      <w:pPr>
        <w:spacing w:line="360" w:lineRule="auto"/>
        <w:ind w:firstLine="480" w:firstLineChars="200"/>
        <w:rPr>
          <w:rFonts w:ascii="宋体" w:hAnsi="宋体" w:cs="宋体"/>
          <w:sz w:val="24"/>
        </w:rPr>
      </w:pPr>
      <w:r>
        <w:rPr>
          <w:rFonts w:hint="eastAsia" w:ascii="宋体" w:hAnsi="宋体" w:cs="宋体"/>
          <w:sz w:val="24"/>
        </w:rPr>
        <w:t>（2）响应文件的资格证明文件缺少任一项“供应商须知前附表”资格证明文件规定的“必须提供”的文件资料的；</w:t>
      </w:r>
    </w:p>
    <w:p>
      <w:pPr>
        <w:spacing w:line="360" w:lineRule="auto"/>
        <w:ind w:firstLine="480" w:firstLineChars="200"/>
        <w:rPr>
          <w:rFonts w:ascii="宋体" w:hAnsi="宋体" w:cs="宋体"/>
          <w:sz w:val="24"/>
        </w:rPr>
      </w:pPr>
      <w:r>
        <w:rPr>
          <w:rFonts w:hint="eastAsia" w:ascii="宋体" w:hAnsi="宋体" w:cs="宋体"/>
          <w:sz w:val="24"/>
        </w:rPr>
        <w:t>（3）响应文件中的资格证明文件出现任一项不符合“供应商须知前附表”资格证明文件规定的“必须提供”的文件资料要求或者无效的；</w:t>
      </w:r>
    </w:p>
    <w:p>
      <w:pPr>
        <w:spacing w:line="360" w:lineRule="auto"/>
        <w:ind w:firstLine="480" w:firstLineChars="200"/>
        <w:rPr>
          <w:rFonts w:ascii="宋体" w:hAnsi="宋体" w:cs="宋体"/>
          <w:sz w:val="24"/>
        </w:rPr>
      </w:pPr>
      <w:r>
        <w:rPr>
          <w:rFonts w:hint="eastAsia" w:ascii="宋体" w:hAnsi="宋体" w:cs="宋体"/>
          <w:sz w:val="24"/>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80" w:firstLineChars="200"/>
        <w:rPr>
          <w:rFonts w:ascii="宋体" w:hAnsi="宋体" w:cs="宋体"/>
          <w:sz w:val="24"/>
        </w:rPr>
      </w:pPr>
      <w:r>
        <w:rPr>
          <w:rFonts w:hint="eastAsia" w:ascii="宋体" w:hAnsi="宋体" w:cs="宋体"/>
          <w:sz w:val="24"/>
        </w:rPr>
        <w:t>1.4通过资格审查的合格供应商不足3家的，不得进入符合性审查环节，采购人或者采购代理机构应当重新开展采购活动。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sz w:val="24"/>
        </w:rPr>
      </w:pPr>
      <w:r>
        <w:rPr>
          <w:rFonts w:hint="eastAsia" w:ascii="宋体" w:hAnsi="宋体" w:cs="宋体"/>
          <w:b/>
          <w:bCs/>
          <w:sz w:val="24"/>
        </w:rPr>
        <w:t>2.符合性审查</w:t>
      </w:r>
    </w:p>
    <w:p>
      <w:pPr>
        <w:spacing w:line="360" w:lineRule="auto"/>
        <w:ind w:firstLine="480" w:firstLineChars="200"/>
        <w:rPr>
          <w:rFonts w:ascii="宋体" w:hAnsi="宋体" w:cs="宋体"/>
          <w:sz w:val="24"/>
        </w:rPr>
      </w:pPr>
      <w:bookmarkStart w:id="43" w:name="_Hlk42528882"/>
      <w:r>
        <w:rPr>
          <w:rFonts w:hint="eastAsia" w:ascii="宋体" w:hAnsi="宋体" w:cs="宋体"/>
          <w:sz w:val="24"/>
        </w:rPr>
        <w:t>2.1由磋商小组对资格审查的合格供应商的响应文件的竞争性磋商报价、商务、技术等实质性要求进行符合性审查，以确定其是否满足磋商文件的实质性要求。</w:t>
      </w:r>
    </w:p>
    <w:bookmarkEnd w:id="43"/>
    <w:p>
      <w:pPr>
        <w:spacing w:line="360" w:lineRule="auto"/>
        <w:ind w:firstLine="480" w:firstLineChars="200"/>
        <w:rPr>
          <w:rFonts w:ascii="宋体" w:hAnsi="宋体" w:cs="宋体"/>
          <w:sz w:val="24"/>
        </w:rPr>
      </w:pPr>
      <w:r>
        <w:rPr>
          <w:rFonts w:hint="eastAsia" w:ascii="宋体" w:hAnsi="宋体" w:cs="宋体"/>
          <w:sz w:val="24"/>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pacing w:val="-6"/>
          <w:sz w:val="24"/>
        </w:rPr>
      </w:pPr>
      <w:r>
        <w:rPr>
          <w:rFonts w:hint="eastAsia" w:ascii="宋体" w:hAnsi="宋体" w:cs="宋体"/>
          <w:sz w:val="24"/>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spacing w:val="-6"/>
          <w:sz w:val="24"/>
        </w:rPr>
        <w:t>。供应商为自然人的，必须由本人签字并附身份证明。</w:t>
      </w:r>
    </w:p>
    <w:p>
      <w:pPr>
        <w:spacing w:line="360" w:lineRule="auto"/>
        <w:ind w:firstLine="456" w:firstLineChars="200"/>
        <w:rPr>
          <w:rFonts w:ascii="宋体" w:hAnsi="宋体" w:cs="宋体"/>
          <w:sz w:val="24"/>
        </w:rPr>
      </w:pPr>
      <w:r>
        <w:rPr>
          <w:rFonts w:hint="eastAsia" w:ascii="宋体" w:hAnsi="宋体" w:cs="宋体"/>
          <w:spacing w:val="-6"/>
          <w:sz w:val="24"/>
        </w:rPr>
        <w:t>2.4</w:t>
      </w:r>
      <w:r>
        <w:rPr>
          <w:rFonts w:hint="eastAsia" w:ascii="宋体" w:hAnsi="宋体" w:cs="宋体"/>
          <w:sz w:val="24"/>
        </w:rPr>
        <w:t xml:space="preserve">首次响应文件报价出现前后不一致的，按照下列规定修正： </w:t>
      </w:r>
    </w:p>
    <w:p>
      <w:pPr>
        <w:spacing w:line="360" w:lineRule="auto"/>
        <w:ind w:firstLine="480" w:firstLineChars="200"/>
        <w:rPr>
          <w:rFonts w:ascii="宋体" w:hAnsi="宋体" w:cs="宋体"/>
          <w:sz w:val="24"/>
        </w:rPr>
      </w:pPr>
      <w:r>
        <w:rPr>
          <w:rFonts w:hint="eastAsia" w:ascii="宋体" w:hAnsi="宋体" w:cs="宋体"/>
          <w:sz w:val="24"/>
        </w:rPr>
        <w:t>（1）响应文件中报价表内容与响应文件中相应内容不一致的，以报价表为准；</w:t>
      </w:r>
    </w:p>
    <w:p>
      <w:pPr>
        <w:spacing w:line="360" w:lineRule="auto"/>
        <w:ind w:firstLine="480" w:firstLineChars="200"/>
        <w:rPr>
          <w:rFonts w:ascii="宋体" w:hAnsi="宋体" w:cs="宋体"/>
          <w:sz w:val="24"/>
        </w:rPr>
      </w:pPr>
      <w:r>
        <w:rPr>
          <w:rFonts w:hint="eastAsia" w:ascii="宋体" w:hAnsi="宋体" w:cs="宋体"/>
          <w:sz w:val="24"/>
        </w:rPr>
        <w:t>（2）大写金额和小写金额不一致的，以大写金额为准；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（3）单价金额小数点或者百分比有明显错位的，以报价表的总价为准，并修改单价；</w:t>
      </w:r>
    </w:p>
    <w:p>
      <w:pPr>
        <w:spacing w:line="360" w:lineRule="auto"/>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同时出现两种以上不一致的，按照以上（1）-（4）规定的顺序逐条进行修正。修正后的报价经供应商确认后产生约束力，供应商不确认的，其响应文件按无效响应处理。</w:t>
      </w:r>
    </w:p>
    <w:p>
      <w:pPr>
        <w:spacing w:line="360" w:lineRule="auto"/>
        <w:ind w:firstLine="480" w:firstLineChars="200"/>
        <w:rPr>
          <w:rFonts w:ascii="宋体" w:hAnsi="宋体" w:cs="宋体"/>
          <w:sz w:val="24"/>
        </w:rPr>
      </w:pPr>
      <w:r>
        <w:rPr>
          <w:rFonts w:hint="eastAsia" w:ascii="宋体" w:hAnsi="宋体" w:cs="宋体"/>
          <w:sz w:val="24"/>
        </w:rPr>
        <w:t>2.5商务技术报价评审</w:t>
      </w:r>
    </w:p>
    <w:p>
      <w:pPr>
        <w:spacing w:line="360" w:lineRule="auto"/>
        <w:ind w:firstLine="480" w:firstLineChars="200"/>
        <w:rPr>
          <w:rFonts w:ascii="宋体" w:hAnsi="宋体" w:cs="宋体"/>
          <w:sz w:val="24"/>
        </w:rPr>
      </w:pPr>
      <w:r>
        <w:rPr>
          <w:rFonts w:hint="eastAsia" w:ascii="宋体" w:hAnsi="宋体" w:cs="宋体"/>
          <w:sz w:val="24"/>
        </w:rPr>
        <w:t>在评审时，如发现下列情形之一的，将被视为响应文件无效响应处理：</w:t>
      </w:r>
    </w:p>
    <w:p>
      <w:pPr>
        <w:spacing w:line="360" w:lineRule="auto"/>
        <w:ind w:firstLine="480" w:firstLineChars="200"/>
        <w:rPr>
          <w:rFonts w:ascii="宋体" w:hAnsi="宋体" w:cs="宋体"/>
          <w:sz w:val="24"/>
        </w:rPr>
      </w:pPr>
      <w:r>
        <w:rPr>
          <w:rFonts w:hint="eastAsia" w:ascii="宋体" w:hAnsi="宋体" w:cs="宋体"/>
          <w:sz w:val="24"/>
        </w:rPr>
        <w:t>（1）商务服务评审</w:t>
      </w:r>
    </w:p>
    <w:p>
      <w:pPr>
        <w:spacing w:line="360" w:lineRule="auto"/>
        <w:ind w:firstLine="480" w:firstLineChars="200"/>
        <w:rPr>
          <w:rFonts w:ascii="宋体" w:hAnsi="宋体" w:cs="宋体"/>
          <w:sz w:val="24"/>
        </w:rPr>
      </w:pPr>
      <w:r>
        <w:rPr>
          <w:rFonts w:hint="eastAsia" w:ascii="宋体" w:hAnsi="宋体" w:cs="宋体"/>
          <w:sz w:val="24"/>
        </w:rPr>
        <w:t>1）响应文件未按磋商文件要求签署、盖章；</w:t>
      </w:r>
    </w:p>
    <w:p>
      <w:pPr>
        <w:spacing w:line="360" w:lineRule="auto"/>
        <w:ind w:firstLine="480" w:firstLineChars="200"/>
        <w:rPr>
          <w:rFonts w:ascii="宋体" w:hAnsi="宋体" w:cs="宋体"/>
          <w:sz w:val="24"/>
        </w:rPr>
      </w:pPr>
      <w:r>
        <w:rPr>
          <w:rFonts w:hint="eastAsia" w:ascii="宋体" w:hAnsi="宋体" w:cs="宋体"/>
          <w:sz w:val="24"/>
        </w:rPr>
        <w:t xml:space="preserve">2）委托代理人未能出具有效身份证或者出具的身份证与授权委托书中的信息不符的； </w:t>
      </w:r>
    </w:p>
    <w:p>
      <w:pPr>
        <w:spacing w:line="360" w:lineRule="auto"/>
        <w:ind w:firstLine="480" w:firstLineChars="200"/>
        <w:rPr>
          <w:rFonts w:ascii="宋体" w:hAnsi="宋体" w:cs="宋体"/>
          <w:sz w:val="24"/>
        </w:rPr>
      </w:pPr>
      <w:r>
        <w:rPr>
          <w:rFonts w:hint="eastAsia" w:ascii="宋体" w:hAnsi="宋体" w:cs="宋体"/>
          <w:sz w:val="24"/>
        </w:rPr>
        <w:t>3）提交的磋商保证金无效的或者未按照磋商文件的规定提交磋商保证金；</w:t>
      </w:r>
    </w:p>
    <w:p>
      <w:pPr>
        <w:spacing w:line="360" w:lineRule="auto"/>
        <w:ind w:firstLine="480" w:firstLineChars="200"/>
        <w:rPr>
          <w:rFonts w:ascii="宋体" w:hAnsi="宋体" w:cs="宋体"/>
          <w:sz w:val="24"/>
        </w:rPr>
      </w:pPr>
      <w:r>
        <w:rPr>
          <w:rFonts w:hint="eastAsia" w:ascii="宋体" w:hAnsi="宋体" w:cs="宋体"/>
          <w:sz w:val="24"/>
        </w:rPr>
        <w:t>4）响应文件中的报价商务服务文件出现任一项不符合“供应商须知前附表”中“必须提供”或者“委托时必须提供”文件资料要求的规定或者提供的报价商务服务文件无效。</w:t>
      </w:r>
    </w:p>
    <w:p>
      <w:pPr>
        <w:spacing w:line="360" w:lineRule="auto"/>
        <w:ind w:firstLine="480" w:firstLineChars="200"/>
        <w:rPr>
          <w:rFonts w:ascii="宋体" w:hAnsi="宋体" w:cs="宋体"/>
          <w:sz w:val="24"/>
        </w:rPr>
      </w:pPr>
      <w:r>
        <w:rPr>
          <w:rFonts w:hint="eastAsia" w:ascii="宋体" w:hAnsi="宋体" w:cs="宋体"/>
          <w:sz w:val="24"/>
        </w:rPr>
        <w:t>5）商务条款中标“▲”的条款发生负偏离或者允许负偏离的条款数超过“供应商须知前附表”规定项数的；</w:t>
      </w:r>
    </w:p>
    <w:p>
      <w:pPr>
        <w:spacing w:line="360" w:lineRule="auto"/>
        <w:ind w:firstLine="480" w:firstLineChars="200"/>
        <w:rPr>
          <w:rFonts w:ascii="宋体" w:hAnsi="宋体" w:cs="宋体"/>
          <w:sz w:val="24"/>
        </w:rPr>
      </w:pPr>
      <w:r>
        <w:rPr>
          <w:rFonts w:hint="eastAsia" w:ascii="宋体" w:hAnsi="宋体" w:cs="宋体"/>
          <w:sz w:val="24"/>
        </w:rPr>
        <w:t>6）未对竞争性磋商有效期作出响应或者响应文件承诺的竞争性磋商有效期不满足磋商文件要求；</w:t>
      </w:r>
    </w:p>
    <w:p>
      <w:pPr>
        <w:spacing w:line="360" w:lineRule="auto"/>
        <w:ind w:firstLine="480" w:firstLineChars="200"/>
        <w:rPr>
          <w:rFonts w:ascii="宋体" w:hAnsi="宋体" w:cs="宋体"/>
          <w:sz w:val="24"/>
        </w:rPr>
      </w:pPr>
      <w:r>
        <w:rPr>
          <w:rFonts w:hint="eastAsia" w:ascii="宋体" w:hAnsi="宋体" w:cs="宋体"/>
          <w:sz w:val="24"/>
        </w:rPr>
        <w:t>7）响应文件的实质性内容未使用中文表述、使用计量单位不符合磋商文件要求；</w:t>
      </w:r>
    </w:p>
    <w:p>
      <w:pPr>
        <w:spacing w:line="360" w:lineRule="auto"/>
        <w:ind w:firstLine="480" w:firstLineChars="200"/>
        <w:rPr>
          <w:rFonts w:ascii="宋体" w:hAnsi="宋体" w:cs="宋体"/>
          <w:sz w:val="24"/>
        </w:rPr>
      </w:pPr>
      <w:r>
        <w:rPr>
          <w:rFonts w:hint="eastAsia" w:ascii="宋体" w:hAnsi="宋体" w:cs="宋体"/>
          <w:sz w:val="24"/>
        </w:rPr>
        <w:t>8）响应文件中的文件资料因填写不齐全或者内容虚假或者出现其他情形而导致被磋商小组认定无效；</w:t>
      </w:r>
    </w:p>
    <w:p>
      <w:pPr>
        <w:spacing w:line="360" w:lineRule="auto"/>
        <w:ind w:firstLine="480" w:firstLineChars="200"/>
        <w:rPr>
          <w:rFonts w:ascii="宋体" w:hAnsi="宋体" w:cs="宋体"/>
          <w:sz w:val="24"/>
        </w:rPr>
      </w:pPr>
      <w:r>
        <w:rPr>
          <w:rFonts w:hint="eastAsia" w:ascii="宋体" w:hAnsi="宋体" w:cs="宋体"/>
          <w:sz w:val="24"/>
        </w:rPr>
        <w:t>9）响应文件含有采购人不能接受的附加条件；</w:t>
      </w:r>
    </w:p>
    <w:p>
      <w:pPr>
        <w:spacing w:line="360" w:lineRule="auto"/>
        <w:ind w:firstLine="480" w:firstLineChars="200"/>
        <w:rPr>
          <w:rFonts w:ascii="宋体" w:hAnsi="宋体" w:cs="宋体"/>
          <w:sz w:val="24"/>
        </w:rPr>
      </w:pPr>
      <w:r>
        <w:rPr>
          <w:rFonts w:hint="eastAsia" w:ascii="宋体" w:hAnsi="宋体" w:cs="宋体"/>
          <w:sz w:val="24"/>
        </w:rPr>
        <w:t>10）属于“供应商须知正文”第7.5条情形；</w:t>
      </w:r>
    </w:p>
    <w:p>
      <w:pPr>
        <w:spacing w:line="360" w:lineRule="auto"/>
        <w:ind w:firstLine="480" w:firstLineChars="200"/>
        <w:rPr>
          <w:rFonts w:ascii="宋体" w:hAnsi="宋体" w:cs="宋体"/>
          <w:sz w:val="24"/>
        </w:rPr>
      </w:pPr>
      <w:r>
        <w:rPr>
          <w:rFonts w:hint="eastAsia" w:ascii="宋体" w:hAnsi="宋体" w:cs="宋体"/>
          <w:sz w:val="24"/>
        </w:rPr>
        <w:t>11）技术要求中标“▲”的条款发生负偏离或允许负偏离的条款数超过“供应商须知前附表”规定项数的；</w:t>
      </w:r>
    </w:p>
    <w:p>
      <w:pPr>
        <w:spacing w:line="360" w:lineRule="auto"/>
        <w:ind w:firstLine="480" w:firstLineChars="200"/>
        <w:rPr>
          <w:rFonts w:ascii="宋体" w:hAnsi="宋体" w:cs="宋体"/>
          <w:sz w:val="24"/>
        </w:rPr>
      </w:pPr>
      <w:r>
        <w:rPr>
          <w:rFonts w:hint="eastAsia" w:ascii="宋体" w:hAnsi="宋体" w:cs="宋体"/>
          <w:sz w:val="24"/>
        </w:rPr>
        <w:t>12）虚假响应，或者出现其他情形而导致被磋商小组认定无效；</w:t>
      </w:r>
    </w:p>
    <w:p>
      <w:pPr>
        <w:spacing w:line="360" w:lineRule="auto"/>
        <w:ind w:firstLine="480" w:firstLineChars="200"/>
        <w:rPr>
          <w:rFonts w:ascii="宋体" w:hAnsi="宋体" w:cs="宋体"/>
          <w:sz w:val="24"/>
        </w:rPr>
      </w:pPr>
      <w:r>
        <w:rPr>
          <w:rFonts w:hint="eastAsia" w:ascii="宋体" w:hAnsi="宋体" w:cs="宋体"/>
          <w:sz w:val="24"/>
        </w:rPr>
        <w:t>13）</w:t>
      </w:r>
      <w:bookmarkStart w:id="44" w:name="_Hlk71704147"/>
      <w:r>
        <w:rPr>
          <w:rFonts w:hint="eastAsia" w:ascii="宋体" w:hAnsi="宋体" w:cs="宋体"/>
          <w:sz w:val="24"/>
        </w:rPr>
        <w:t>磋商文件未载明允许提供备选（替代）响应方案或明确不允许提供备选（替代）响应方案时，供应商提供了备选（替代）响应方案的；</w:t>
      </w:r>
      <w:bookmarkEnd w:id="44"/>
    </w:p>
    <w:p>
      <w:pPr>
        <w:spacing w:line="360" w:lineRule="auto"/>
        <w:ind w:firstLine="480" w:firstLineChars="200"/>
        <w:rPr>
          <w:rFonts w:ascii="宋体" w:hAnsi="宋体" w:cs="宋体"/>
          <w:sz w:val="24"/>
        </w:rPr>
      </w:pPr>
      <w:r>
        <w:rPr>
          <w:rFonts w:hint="eastAsia" w:ascii="宋体" w:hAnsi="宋体" w:cs="宋体"/>
          <w:sz w:val="24"/>
        </w:rPr>
        <w:t>14）响应文件标注的项目名称或者项目编号与磋商文件标注的项目名称或者项目编号不一致的；</w:t>
      </w:r>
    </w:p>
    <w:p>
      <w:pPr>
        <w:spacing w:line="360" w:lineRule="auto"/>
        <w:ind w:firstLine="480" w:firstLineChars="200"/>
        <w:rPr>
          <w:rFonts w:ascii="宋体" w:hAnsi="宋体" w:cs="宋体"/>
          <w:sz w:val="24"/>
        </w:rPr>
      </w:pPr>
      <w:r>
        <w:rPr>
          <w:rFonts w:hint="eastAsia" w:ascii="宋体" w:hAnsi="宋体" w:cs="宋体"/>
          <w:sz w:val="24"/>
        </w:rPr>
        <w:t>15）竞争性磋商文件明确不允许分包，响应文件拟分包的；</w:t>
      </w:r>
    </w:p>
    <w:p>
      <w:pPr>
        <w:spacing w:line="360" w:lineRule="auto"/>
        <w:ind w:firstLine="480" w:firstLineChars="200"/>
        <w:rPr>
          <w:rFonts w:ascii="宋体" w:hAnsi="宋体" w:cs="宋体"/>
          <w:sz w:val="24"/>
        </w:rPr>
      </w:pPr>
      <w:r>
        <w:rPr>
          <w:rFonts w:hint="eastAsia" w:ascii="宋体" w:hAnsi="宋体" w:cs="宋体"/>
          <w:sz w:val="24"/>
        </w:rPr>
        <w:t>16）未响应磋商文件实质性要求；</w:t>
      </w:r>
    </w:p>
    <w:p>
      <w:pPr>
        <w:spacing w:line="360" w:lineRule="auto"/>
        <w:ind w:firstLine="480" w:firstLineChars="200"/>
        <w:rPr>
          <w:rFonts w:ascii="宋体" w:hAnsi="宋体" w:cs="宋体"/>
          <w:sz w:val="24"/>
        </w:rPr>
      </w:pPr>
      <w:r>
        <w:rPr>
          <w:rFonts w:hint="eastAsia" w:ascii="宋体" w:hAnsi="宋体" w:cs="宋体"/>
          <w:sz w:val="24"/>
        </w:rPr>
        <w:t>17）法律、法规和磋商文件规定的其他无效情形。</w:t>
      </w:r>
    </w:p>
    <w:p>
      <w:pPr>
        <w:spacing w:line="360" w:lineRule="auto"/>
        <w:ind w:firstLine="480" w:firstLineChars="200"/>
        <w:rPr>
          <w:rFonts w:ascii="宋体" w:hAnsi="宋体" w:cs="宋体"/>
          <w:sz w:val="24"/>
        </w:rPr>
      </w:pPr>
      <w:r>
        <w:rPr>
          <w:rFonts w:hint="eastAsia" w:ascii="宋体" w:hAnsi="宋体" w:cs="宋体"/>
          <w:sz w:val="24"/>
        </w:rPr>
        <w:t>（2）报价评审</w:t>
      </w:r>
    </w:p>
    <w:p>
      <w:pPr>
        <w:spacing w:line="360" w:lineRule="auto"/>
        <w:ind w:firstLine="480" w:firstLineChars="200"/>
        <w:rPr>
          <w:rFonts w:ascii="宋体" w:hAnsi="宋体" w:cs="宋体"/>
          <w:sz w:val="24"/>
        </w:rPr>
      </w:pPr>
      <w:r>
        <w:rPr>
          <w:rFonts w:hint="eastAsia" w:ascii="宋体" w:hAnsi="宋体" w:cs="宋体"/>
          <w:sz w:val="24"/>
        </w:rPr>
        <w:t>1）响应文件未提供“供应商须知前附表” 报价商务服务文件中规定的“竞争性磋商报价表”；</w:t>
      </w:r>
    </w:p>
    <w:p>
      <w:pPr>
        <w:spacing w:line="360" w:lineRule="auto"/>
        <w:ind w:firstLine="480" w:firstLineChars="200"/>
        <w:rPr>
          <w:rFonts w:ascii="宋体" w:hAnsi="宋体" w:cs="宋体"/>
          <w:sz w:val="24"/>
        </w:rPr>
      </w:pPr>
      <w:r>
        <w:rPr>
          <w:rFonts w:hint="eastAsia" w:ascii="宋体" w:hAnsi="宋体" w:cs="宋体"/>
          <w:sz w:val="24"/>
        </w:rPr>
        <w:t>2）未采用人民币报价或者未按照磋商文件标明的币种报价；</w:t>
      </w:r>
    </w:p>
    <w:p>
      <w:pPr>
        <w:spacing w:line="360" w:lineRule="auto"/>
        <w:ind w:firstLine="480" w:firstLineChars="200"/>
        <w:rPr>
          <w:rFonts w:ascii="宋体" w:hAnsi="宋体" w:cs="宋体"/>
          <w:sz w:val="24"/>
        </w:rPr>
      </w:pPr>
      <w:r>
        <w:rPr>
          <w:rFonts w:hint="eastAsia" w:ascii="宋体" w:hAnsi="宋体" w:cs="宋体"/>
          <w:sz w:val="24"/>
        </w:rPr>
        <w:t>3）供应商未就所参与竞争性磋商分标进行报价或者存在漏项报价；供应商未就所参与竞争性磋商分标的单项内容作唯一报价；供应商未就所参与竞争性磋商分标的全部内容作完整唯一总价报价；供应商响应文件中存在有选择、有条件报价的（磋商文件允许有备选方案或者其他约定的除外）；</w:t>
      </w:r>
    </w:p>
    <w:p>
      <w:pPr>
        <w:spacing w:line="360" w:lineRule="auto"/>
        <w:ind w:firstLine="480" w:firstLineChars="200"/>
        <w:rPr>
          <w:rFonts w:ascii="宋体" w:hAnsi="宋体" w:cs="宋体"/>
          <w:sz w:val="24"/>
        </w:rPr>
      </w:pPr>
      <w:r>
        <w:rPr>
          <w:rFonts w:hint="eastAsia" w:ascii="宋体" w:hAnsi="宋体" w:cs="宋体"/>
          <w:sz w:val="24"/>
        </w:rPr>
        <w:t>4）竞争性磋商报价（包含首次报价、最后报价）超过所参与竞争性磋商分标规定的采购预算金额或者最高限价的（如本项目公布了最高限价），其响应文件将按无效响应处理；</w:t>
      </w:r>
    </w:p>
    <w:p>
      <w:pPr>
        <w:spacing w:line="360" w:lineRule="auto"/>
        <w:ind w:firstLine="480" w:firstLineChars="200"/>
      </w:pPr>
      <w:r>
        <w:rPr>
          <w:rFonts w:hint="eastAsia" w:ascii="宋体" w:hAnsi="宋体" w:cs="宋体"/>
          <w:sz w:val="24"/>
        </w:rPr>
        <w:t>5）竞争性磋商报价（包含首次报价、最后报价）超过分项采购预算金额或者最高限价的（如本项目公布了最高限价），其响应文件将按无效处理；</w:t>
      </w:r>
    </w:p>
    <w:p>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）修正后的报价，供应商不确认的；或者经供应商确认修正后的最后报价超过所 竞争性磋商分标规定的采购预算金额或者最高限价（如本项目公布了最高限价）；</w:t>
      </w:r>
    </w:p>
    <w:p>
      <w:pPr>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）响应文件响应的标的数量及单位与竞争性磋商采购文件要求实质性不一致的。</w:t>
      </w:r>
    </w:p>
    <w:p>
      <w:pPr>
        <w:spacing w:line="360" w:lineRule="auto"/>
        <w:ind w:firstLine="480" w:firstLineChars="200"/>
        <w:rPr>
          <w:rFonts w:ascii="宋体" w:hAnsi="宋体" w:cs="宋体"/>
          <w:sz w:val="24"/>
        </w:rPr>
      </w:pPr>
      <w:r>
        <w:rPr>
          <w:rFonts w:hint="eastAsia" w:ascii="宋体" w:hAnsi="宋体" w:cs="宋体"/>
          <w:sz w:val="24"/>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pPr>
        <w:spacing w:line="360" w:lineRule="auto"/>
        <w:ind w:firstLine="480" w:firstLineChars="200"/>
        <w:rPr>
          <w:rFonts w:ascii="宋体" w:hAnsi="宋体" w:cs="宋体"/>
          <w:sz w:val="24"/>
        </w:rPr>
      </w:pPr>
      <w:r>
        <w:rPr>
          <w:rFonts w:hint="eastAsia" w:ascii="宋体" w:hAnsi="宋体" w:cs="宋体"/>
          <w:sz w:val="24"/>
        </w:rPr>
        <w:t>2.7非政府购买服务项目，通过符合性审查的合格供应商不足3家的，不得进入磋商环节，采购人或者采购代理机构应当重新开展采购活动。</w:t>
      </w:r>
      <w:r>
        <w:rPr>
          <w:rFonts w:hint="eastAsia" w:ascii="宋体" w:hAnsi="宋体" w:cs="宋体"/>
          <w:b/>
          <w:sz w:val="24"/>
        </w:rPr>
        <w:t>政府购买服务项目，按《财政部关于政府采购竞争性磋商采购方式管理暂行办法有关问题的补充通知》（财库〔</w:t>
      </w:r>
      <w:r>
        <w:rPr>
          <w:rFonts w:ascii="宋体" w:hAnsi="宋体" w:cs="宋体"/>
          <w:b/>
          <w:sz w:val="24"/>
        </w:rPr>
        <w:t>2015〕124号）规定，采购过程中通过符合性审查的供应商（社会资本）只有2家的，磋商采购活动可以继续进行。</w:t>
      </w:r>
    </w:p>
    <w:p>
      <w:pPr>
        <w:spacing w:line="360" w:lineRule="auto"/>
        <w:ind w:firstLine="482" w:firstLineChars="200"/>
        <w:rPr>
          <w:rFonts w:ascii="宋体" w:hAnsi="宋体" w:cs="宋体"/>
          <w:b/>
          <w:bCs/>
          <w:sz w:val="24"/>
        </w:rPr>
      </w:pPr>
      <w:r>
        <w:rPr>
          <w:rFonts w:hint="eastAsia" w:ascii="宋体" w:hAnsi="宋体" w:cs="宋体"/>
          <w:b/>
          <w:bCs/>
          <w:sz w:val="24"/>
        </w:rPr>
        <w:t>3.磋商程序</w:t>
      </w:r>
    </w:p>
    <w:p>
      <w:pPr>
        <w:spacing w:line="360" w:lineRule="auto"/>
        <w:ind w:firstLine="480" w:firstLineChars="200"/>
        <w:rPr>
          <w:rFonts w:ascii="宋体" w:hAnsi="宋体" w:cs="宋体"/>
          <w:sz w:val="24"/>
        </w:rPr>
      </w:pPr>
      <w:r>
        <w:rPr>
          <w:rFonts w:hint="eastAsia" w:ascii="宋体" w:hAnsi="宋体" w:cs="宋体"/>
          <w:kern w:val="0"/>
          <w:sz w:val="24"/>
        </w:rPr>
        <w:t>3.1磋商小组按照“供应商须知前附表”</w:t>
      </w:r>
      <w:r>
        <w:rPr>
          <w:rFonts w:hint="eastAsia" w:ascii="宋体" w:hAnsi="宋体" w:cs="宋体"/>
          <w:sz w:val="24"/>
        </w:rPr>
        <w:t xml:space="preserve"> </w:t>
      </w:r>
      <w:r>
        <w:rPr>
          <w:rFonts w:hint="eastAsia" w:ascii="宋体" w:hAnsi="宋体" w:cs="宋体"/>
          <w:kern w:val="0"/>
          <w:sz w:val="24"/>
        </w:rPr>
        <w:t>确定的</w:t>
      </w:r>
      <w:r>
        <w:rPr>
          <w:rFonts w:hint="eastAsia" w:ascii="宋体" w:hAnsi="宋体" w:cs="宋体"/>
          <w:sz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80" w:firstLineChars="200"/>
        <w:rPr>
          <w:rFonts w:ascii="宋体" w:hAnsi="宋体" w:cs="宋体"/>
          <w:sz w:val="24"/>
        </w:rPr>
      </w:pPr>
      <w:r>
        <w:rPr>
          <w:rFonts w:hint="eastAsia" w:ascii="宋体" w:hAnsi="宋体" w:cs="宋体"/>
          <w:sz w:val="24"/>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80" w:firstLineChars="200"/>
        <w:rPr>
          <w:rFonts w:ascii="宋体" w:hAnsi="宋体" w:cs="宋体"/>
          <w:sz w:val="24"/>
        </w:rPr>
      </w:pPr>
      <w:r>
        <w:rPr>
          <w:rFonts w:hint="eastAsia" w:ascii="宋体" w:hAnsi="宋体" w:cs="宋体"/>
          <w:sz w:val="24"/>
        </w:rPr>
        <w:t>3.3对磋商文件作出的实质性变动是磋商文件的有效组成部分，由磋商小组及时以电子磋商记录形式同时通知所有参加磋商的供应商。</w:t>
      </w:r>
    </w:p>
    <w:p>
      <w:pPr>
        <w:spacing w:line="360" w:lineRule="auto"/>
        <w:ind w:firstLine="480" w:firstLineChars="200"/>
        <w:rPr>
          <w:rFonts w:ascii="宋体" w:hAnsi="宋体" w:cs="宋体"/>
          <w:sz w:val="24"/>
        </w:rPr>
      </w:pPr>
      <w:r>
        <w:rPr>
          <w:rFonts w:hint="eastAsia" w:ascii="宋体" w:hAnsi="宋体" w:cs="宋体"/>
          <w:sz w:val="24"/>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pPr>
        <w:spacing w:line="360" w:lineRule="auto"/>
        <w:ind w:firstLine="480" w:firstLineChars="200"/>
        <w:rPr>
          <w:rFonts w:ascii="宋体" w:hAnsi="宋体" w:cs="宋体"/>
          <w:sz w:val="24"/>
        </w:rPr>
      </w:pPr>
      <w:r>
        <w:rPr>
          <w:rFonts w:hint="eastAsia" w:ascii="宋体" w:hAnsi="宋体" w:cs="宋体"/>
          <w:sz w:val="24"/>
        </w:rPr>
        <w:t>3.5磋商中，</w:t>
      </w:r>
      <w:r>
        <w:rPr>
          <w:rFonts w:hint="eastAsia" w:ascii="宋体" w:hAnsi="宋体" w:cs="宋体"/>
          <w:spacing w:val="-6"/>
          <w:sz w:val="24"/>
        </w:rPr>
        <w:t>磋商的任何一方不得透露与磋商有关的其他供应商的技术资料、价格和其他信息。</w:t>
      </w:r>
    </w:p>
    <w:p>
      <w:pPr>
        <w:tabs>
          <w:tab w:val="left" w:pos="2835"/>
        </w:tabs>
        <w:spacing w:line="360" w:lineRule="auto"/>
        <w:ind w:firstLine="480" w:firstLineChars="200"/>
        <w:rPr>
          <w:rFonts w:ascii="宋体" w:hAnsi="宋体" w:cs="宋体"/>
          <w:sz w:val="24"/>
        </w:rPr>
      </w:pPr>
      <w:r>
        <w:rPr>
          <w:rFonts w:hint="eastAsia" w:ascii="宋体" w:hAnsi="宋体" w:cs="宋体"/>
          <w:sz w:val="24"/>
        </w:rPr>
        <w:t>3.6对磋商过程提交的响应文件进行有效性、完整性和响应程度审查，通过审查的合格供应商不足3家的，采购人或者采购代理机构应当重新开展采购活动。</w:t>
      </w:r>
    </w:p>
    <w:p>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p>
    <w:p>
      <w:pPr>
        <w:widowControl/>
        <w:tabs>
          <w:tab w:val="left" w:pos="540"/>
        </w:tabs>
        <w:spacing w:line="360" w:lineRule="auto"/>
        <w:ind w:firstLine="480" w:firstLineChars="200"/>
        <w:jc w:val="left"/>
        <w:rPr>
          <w:rFonts w:ascii="宋体" w:hAnsi="宋体" w:cs="宋体"/>
          <w:sz w:val="24"/>
        </w:rPr>
      </w:pPr>
      <w:r>
        <w:rPr>
          <w:rFonts w:hint="eastAsia" w:ascii="宋体" w:hAnsi="宋体" w:cs="宋体"/>
          <w:sz w:val="24"/>
        </w:rPr>
        <w:t>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482" w:firstLineChars="200"/>
        <w:rPr>
          <w:rFonts w:ascii="宋体" w:hAnsi="宋体" w:cs="宋体"/>
          <w:sz w:val="24"/>
        </w:rPr>
      </w:pPr>
      <w:r>
        <w:rPr>
          <w:rFonts w:hint="eastAsia" w:ascii="宋体" w:hAnsi="宋体" w:cs="宋体"/>
          <w:b/>
          <w:bCs/>
          <w:sz w:val="24"/>
        </w:rPr>
        <w:t>4.最后报价</w:t>
      </w:r>
    </w:p>
    <w:p>
      <w:pPr>
        <w:spacing w:line="360" w:lineRule="auto"/>
        <w:ind w:firstLine="480" w:firstLineChars="200"/>
        <w:rPr>
          <w:rFonts w:ascii="宋体" w:hAnsi="宋体" w:cs="宋体"/>
          <w:sz w:val="24"/>
        </w:rPr>
      </w:pPr>
      <w:r>
        <w:rPr>
          <w:rFonts w:hint="eastAsia" w:ascii="宋体" w:hAnsi="宋体" w:cs="宋体"/>
          <w:sz w:val="24"/>
        </w:rPr>
        <w:t>4.1磋商文件能够详细列明技术、服务要求的，磋商结束后，由磋商小组要求所有继续参加磋商的供应商在规定时间内以电子文件形式提交最后报价，</w:t>
      </w:r>
      <w:r>
        <w:rPr>
          <w:rFonts w:hint="eastAsia" w:ascii="宋体" w:hAnsi="宋体" w:cs="宋体"/>
          <w:b/>
          <w:sz w:val="24"/>
        </w:rPr>
        <w:t>除本章第</w:t>
      </w:r>
      <w:r>
        <w:rPr>
          <w:rFonts w:ascii="宋体" w:hAnsi="宋体" w:cs="宋体"/>
          <w:b/>
          <w:sz w:val="24"/>
        </w:rPr>
        <w:t>2.7、3.7、4.3条外，提交最后报价的供应商不得少于3家，否则必须重新采购。</w:t>
      </w:r>
    </w:p>
    <w:p>
      <w:pPr>
        <w:spacing w:line="360" w:lineRule="auto"/>
        <w:ind w:firstLine="480" w:firstLineChars="200"/>
        <w:rPr>
          <w:rFonts w:ascii="宋体" w:hAnsi="宋体" w:cs="宋体"/>
          <w:sz w:val="24"/>
        </w:rPr>
      </w:pPr>
      <w:r>
        <w:rPr>
          <w:rFonts w:hint="eastAsia" w:ascii="宋体" w:hAnsi="宋体" w:cs="宋体"/>
          <w:sz w:val="24"/>
        </w:rPr>
        <w:t>4.2磋商文件不能详细列明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pPr>
        <w:spacing w:line="360" w:lineRule="auto"/>
        <w:ind w:firstLine="480" w:firstLineChars="200"/>
        <w:rPr>
          <w:rFonts w:ascii="宋体" w:hAnsi="宋体" w:cs="宋体"/>
          <w:sz w:val="24"/>
        </w:rPr>
      </w:pPr>
      <w:r>
        <w:rPr>
          <w:rFonts w:hint="eastAsia" w:ascii="宋体" w:hAnsi="宋体" w:cs="宋体"/>
          <w:sz w:val="24"/>
        </w:rPr>
        <w:t>4.3最后报价是供应商响应文件的有效组成部分。</w:t>
      </w:r>
      <w:r>
        <w:rPr>
          <w:rFonts w:hint="eastAsia" w:ascii="宋体" w:hAnsi="宋体" w:cs="宋体"/>
          <w:b/>
          <w:sz w:val="24"/>
        </w:rPr>
        <w:t>符合《政府采购竞争性磋商采购方式管理暂行办法》（财库〔</w:t>
      </w:r>
      <w:r>
        <w:rPr>
          <w:rFonts w:ascii="宋体" w:hAnsi="宋体" w:cs="宋体"/>
          <w:b/>
          <w:sz w:val="24"/>
        </w:rPr>
        <w:t>2014〕214号）第三条第四项“市场竞争不充分的科研项目，以及需要扶持的科技成果转化项目”和本章第3.7</w:t>
      </w:r>
      <w:r>
        <w:rPr>
          <w:rFonts w:hint="eastAsia" w:ascii="宋体" w:hAnsi="宋体" w:cs="宋体"/>
          <w:b/>
          <w:sz w:val="24"/>
        </w:rPr>
        <w:t>条情形的，提交最后报价的供应商可以为</w:t>
      </w:r>
      <w:r>
        <w:rPr>
          <w:rFonts w:ascii="宋体" w:hAnsi="宋体" w:cs="宋体"/>
          <w:b/>
          <w:sz w:val="24"/>
        </w:rPr>
        <w:t>2家。</w:t>
      </w:r>
    </w:p>
    <w:p>
      <w:pPr>
        <w:spacing w:line="360" w:lineRule="auto"/>
        <w:ind w:firstLine="480" w:firstLineChars="200"/>
        <w:rPr>
          <w:rFonts w:ascii="宋体" w:hAnsi="宋体" w:cs="宋体"/>
          <w:sz w:val="24"/>
        </w:rPr>
      </w:pPr>
      <w:r>
        <w:rPr>
          <w:rFonts w:hint="eastAsia" w:ascii="宋体" w:hAnsi="宋体" w:cs="宋体"/>
          <w:sz w:val="24"/>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80" w:firstLineChars="200"/>
        <w:rPr>
          <w:rFonts w:ascii="宋体" w:hAnsi="宋体" w:cs="宋体"/>
          <w:sz w:val="24"/>
        </w:rPr>
      </w:pPr>
      <w:r>
        <w:rPr>
          <w:rFonts w:hint="eastAsia" w:ascii="宋体" w:hAnsi="宋体" w:cs="宋体"/>
          <w:sz w:val="24"/>
        </w:rPr>
        <w:t>4.5供应商未在规定时间内提交最后报价的，视同退出磋商。</w:t>
      </w:r>
    </w:p>
    <w:p>
      <w:pPr>
        <w:spacing w:line="360" w:lineRule="auto"/>
        <w:ind w:firstLine="480" w:firstLineChars="200"/>
        <w:rPr>
          <w:rFonts w:ascii="宋体" w:hAnsi="宋体" w:cs="宋体"/>
          <w:sz w:val="24"/>
        </w:rPr>
      </w:pPr>
      <w:r>
        <w:rPr>
          <w:rFonts w:hint="eastAsia" w:ascii="宋体" w:hAnsi="宋体" w:cs="宋体"/>
          <w:sz w:val="24"/>
        </w:rPr>
        <w:t>4.6磋商小组收齐某一分标最后报价后或达到规定时间后统一开启，磋商小组对最后报价进行有效性、完整性和响应程度的审查。</w:t>
      </w:r>
    </w:p>
    <w:p>
      <w:pPr>
        <w:spacing w:line="360" w:lineRule="auto"/>
        <w:ind w:firstLine="480" w:firstLineChars="200"/>
        <w:rPr>
          <w:rFonts w:ascii="宋体" w:hAnsi="宋体" w:cs="宋体"/>
          <w:sz w:val="24"/>
        </w:rPr>
      </w:pPr>
      <w:r>
        <w:rPr>
          <w:rFonts w:hint="eastAsia" w:ascii="宋体" w:hAnsi="宋体" w:cs="宋体"/>
          <w:sz w:val="24"/>
        </w:rPr>
        <w:t xml:space="preserve">4.7响应文件最后报价出现前后不一致的，按照本章第2.4条的规定修正。 </w:t>
      </w:r>
    </w:p>
    <w:p>
      <w:pPr>
        <w:spacing w:line="360" w:lineRule="auto"/>
        <w:ind w:firstLine="480" w:firstLineChars="200"/>
        <w:rPr>
          <w:rFonts w:ascii="宋体" w:hAnsi="宋体" w:cs="宋体"/>
          <w:sz w:val="24"/>
        </w:rPr>
      </w:pPr>
      <w:r>
        <w:rPr>
          <w:rFonts w:hint="eastAsia" w:ascii="宋体" w:hAnsi="宋体" w:cs="宋体"/>
          <w:sz w:val="24"/>
        </w:rPr>
        <w:t>4.8经供应商确认修正后的最后报价作为评审及签订合同的依据。</w:t>
      </w:r>
    </w:p>
    <w:p>
      <w:pPr>
        <w:spacing w:line="360" w:lineRule="auto"/>
        <w:ind w:firstLine="480" w:firstLineChars="200"/>
        <w:rPr>
          <w:rFonts w:ascii="宋体" w:hAnsi="宋体" w:cs="宋体"/>
          <w:sz w:val="24"/>
        </w:rPr>
      </w:pPr>
      <w:r>
        <w:rPr>
          <w:rFonts w:hint="eastAsia" w:ascii="宋体" w:hAnsi="宋体" w:cs="宋体"/>
          <w:sz w:val="24"/>
        </w:rPr>
        <w:t>4.9供应商出现最后报价按无效响应处理或者响应文件按无效响应处理时，磋商小组应当告知有关供应商。</w:t>
      </w:r>
    </w:p>
    <w:p>
      <w:pPr>
        <w:spacing w:line="360" w:lineRule="auto"/>
        <w:ind w:firstLine="480" w:firstLineChars="200"/>
        <w:rPr>
          <w:rFonts w:ascii="宋体" w:hAnsi="宋体" w:cs="宋体"/>
          <w:sz w:val="24"/>
        </w:rPr>
      </w:pPr>
      <w:r>
        <w:rPr>
          <w:rFonts w:hint="eastAsia" w:ascii="宋体" w:hAnsi="宋体" w:cs="宋体"/>
          <w:sz w:val="24"/>
        </w:rPr>
        <w:t>4.10最后报价结束后，磋商小组不得再与供应商进行任何形式的商谈。</w:t>
      </w:r>
    </w:p>
    <w:p>
      <w:pPr>
        <w:spacing w:line="360" w:lineRule="auto"/>
        <w:ind w:firstLine="482" w:firstLineChars="200"/>
        <w:rPr>
          <w:rFonts w:ascii="宋体" w:hAnsi="宋体" w:cs="宋体"/>
          <w:b/>
          <w:bCs/>
          <w:sz w:val="24"/>
        </w:rPr>
      </w:pPr>
      <w:r>
        <w:rPr>
          <w:rFonts w:hint="eastAsia" w:ascii="宋体" w:hAnsi="宋体" w:cs="宋体"/>
          <w:b/>
          <w:bCs/>
          <w:sz w:val="24"/>
        </w:rPr>
        <w:t>5.比较与评价</w:t>
      </w:r>
    </w:p>
    <w:p>
      <w:pPr>
        <w:spacing w:line="360" w:lineRule="auto"/>
        <w:ind w:firstLine="480" w:firstLineChars="200"/>
        <w:rPr>
          <w:rFonts w:ascii="宋体" w:hAnsi="宋体" w:cs="宋体"/>
          <w:sz w:val="24"/>
        </w:rPr>
      </w:pPr>
      <w:r>
        <w:rPr>
          <w:rFonts w:hint="eastAsia" w:ascii="宋体" w:hAnsi="宋体" w:cs="宋体"/>
          <w:sz w:val="24"/>
        </w:rPr>
        <w:t>5.1评审方法：综合评分法。</w:t>
      </w:r>
    </w:p>
    <w:p>
      <w:pPr>
        <w:spacing w:line="360" w:lineRule="auto"/>
        <w:ind w:firstLine="480" w:firstLineChars="200"/>
        <w:rPr>
          <w:rFonts w:ascii="宋体" w:hAnsi="宋体" w:cs="宋体"/>
          <w:sz w:val="24"/>
        </w:rPr>
      </w:pPr>
      <w:r>
        <w:rPr>
          <w:rFonts w:hint="eastAsia" w:ascii="宋体" w:hAnsi="宋体" w:cs="宋体"/>
          <w:sz w:val="24"/>
        </w:rPr>
        <w:t>5.2经磋商确定最终采购需求和提交最后报价的供应商后，由磋商小组采用综合评分法对提交最后报价的供应商的响应文件和最后报价进行综合评分。</w:t>
      </w:r>
    </w:p>
    <w:p>
      <w:pPr>
        <w:spacing w:line="360" w:lineRule="auto"/>
        <w:ind w:firstLine="480" w:firstLineChars="200"/>
        <w:rPr>
          <w:rFonts w:ascii="宋体" w:hAnsi="宋体" w:cs="宋体"/>
          <w:sz w:val="24"/>
        </w:rPr>
      </w:pPr>
      <w:r>
        <w:rPr>
          <w:rFonts w:hint="eastAsia" w:ascii="宋体" w:hAnsi="宋体" w:cs="宋体"/>
          <w:sz w:val="24"/>
        </w:rPr>
        <w:t>5.3评审时，磋商小组各成员应当独立对每个有效响应的文件进行评价、打分，然后汇总每个供应商每项评分因素的得分。</w:t>
      </w:r>
    </w:p>
    <w:p>
      <w:pPr>
        <w:spacing w:line="360" w:lineRule="auto"/>
        <w:ind w:firstLine="480" w:firstLineChars="200"/>
        <w:rPr>
          <w:rFonts w:ascii="宋体" w:hAnsi="宋体" w:cs="宋体"/>
          <w:sz w:val="24"/>
        </w:rPr>
      </w:pPr>
      <w:r>
        <w:rPr>
          <w:rFonts w:hint="eastAsia" w:ascii="宋体" w:hAnsi="宋体" w:cs="宋体"/>
          <w:sz w:val="24"/>
        </w:rPr>
        <w:t>（1）磋商小组按照磋商文件中规定的评审标准计算各供应商的报价得分。项目评审过程中，不得去掉最后报价中的最高报价和最低报价。</w:t>
      </w:r>
    </w:p>
    <w:p>
      <w:pPr>
        <w:spacing w:line="360" w:lineRule="auto"/>
        <w:ind w:firstLine="480" w:firstLineChars="200"/>
        <w:rPr>
          <w:rFonts w:ascii="宋体" w:hAnsi="宋体" w:cs="宋体"/>
          <w:sz w:val="24"/>
        </w:rPr>
      </w:pPr>
      <w:r>
        <w:rPr>
          <w:rFonts w:hint="eastAsia" w:ascii="宋体" w:hAnsi="宋体" w:cs="宋体"/>
          <w:sz w:val="24"/>
        </w:rPr>
        <w:t>（2）各供应商的得分为磋商小组所有成员的有效评分的算术平均数。</w:t>
      </w:r>
    </w:p>
    <w:p>
      <w:pPr>
        <w:spacing w:line="360" w:lineRule="auto"/>
        <w:ind w:firstLine="480" w:firstLineChars="200"/>
        <w:rPr>
          <w:rFonts w:ascii="宋体" w:hAnsi="宋体" w:cs="宋体"/>
          <w:sz w:val="24"/>
        </w:rPr>
      </w:pPr>
      <w:r>
        <w:rPr>
          <w:rFonts w:hint="eastAsia" w:ascii="宋体" w:hAnsi="宋体" w:cs="宋体"/>
          <w:sz w:val="24"/>
        </w:rPr>
        <w:t>5.4评标价为供应商的最后报价进行政策性扣除后的价格，评标价只是作为评审时使用。最终成交供应商的成交金额等于最后报价（如有修正，以确认修正后的最后报价为准）。</w:t>
      </w:r>
    </w:p>
    <w:p>
      <w:pPr>
        <w:spacing w:line="360" w:lineRule="auto"/>
        <w:ind w:firstLine="480" w:firstLineChars="200"/>
        <w:rPr>
          <w:rFonts w:ascii="宋体" w:hAnsi="宋体" w:cs="宋体"/>
          <w:kern w:val="0"/>
          <w:sz w:val="24"/>
        </w:rPr>
      </w:pPr>
      <w:r>
        <w:rPr>
          <w:rFonts w:hint="eastAsia" w:ascii="宋体" w:hAnsi="宋体" w:cs="宋体"/>
          <w:sz w:val="24"/>
        </w:rPr>
        <w:t>5.5由磋商小组根据综合评分情况，按照评审得分由高到低顺序推荐3名以上成交候选供应商，并编写评</w:t>
      </w:r>
      <w:r>
        <w:rPr>
          <w:rFonts w:hint="eastAsia" w:ascii="宋体" w:hAnsi="宋体" w:cs="宋体"/>
          <w:kern w:val="0"/>
          <w:sz w:val="24"/>
        </w:rPr>
        <w:t>审报告。</w:t>
      </w:r>
      <w:r>
        <w:rPr>
          <w:rFonts w:hint="eastAsia" w:ascii="宋体" w:hAnsi="宋体" w:cs="宋体"/>
          <w:b/>
          <w:kern w:val="0"/>
          <w:sz w:val="24"/>
        </w:rPr>
        <w:t>符合本章第</w:t>
      </w:r>
      <w:r>
        <w:rPr>
          <w:rFonts w:ascii="宋体" w:hAnsi="宋体" w:cs="宋体"/>
          <w:b/>
          <w:sz w:val="24"/>
        </w:rPr>
        <w:t>2.7、3.7</w:t>
      </w:r>
      <w:r>
        <w:rPr>
          <w:rFonts w:hint="eastAsia" w:ascii="宋体" w:hAnsi="宋体" w:cs="宋体"/>
          <w:b/>
          <w:sz w:val="24"/>
        </w:rPr>
        <w:t>、</w:t>
      </w:r>
      <w:r>
        <w:rPr>
          <w:rFonts w:ascii="宋体" w:hAnsi="宋体" w:cs="宋体"/>
          <w:b/>
          <w:sz w:val="24"/>
        </w:rPr>
        <w:t>4.3</w:t>
      </w:r>
      <w:r>
        <w:rPr>
          <w:rFonts w:hint="eastAsia" w:ascii="宋体" w:hAnsi="宋体" w:cs="宋体"/>
          <w:b/>
          <w:kern w:val="0"/>
          <w:sz w:val="24"/>
        </w:rPr>
        <w:t>条情形的，可以推荐</w:t>
      </w:r>
      <w:r>
        <w:rPr>
          <w:rFonts w:ascii="宋体" w:hAnsi="宋体" w:cs="宋体"/>
          <w:b/>
          <w:kern w:val="0"/>
          <w:sz w:val="24"/>
        </w:rPr>
        <w:t>2家成交候选供应商。</w:t>
      </w:r>
      <w:r>
        <w:rPr>
          <w:rFonts w:hint="eastAsia" w:ascii="宋体" w:hAnsi="宋体" w:cs="宋体"/>
          <w:kern w:val="0"/>
          <w:sz w:val="24"/>
        </w:rPr>
        <w:t>评审得分相同的，按照最后报价由低到高的顺序推荐。评审得分且最后报价相同的，</w:t>
      </w:r>
      <w:r>
        <w:rPr>
          <w:rFonts w:hint="eastAsia" w:hAnsi="宋体"/>
          <w:sz w:val="24"/>
        </w:rPr>
        <w:t>依次按服务评分高的优先、商务评分高的优先的顺序确定成交候选供应商。</w:t>
      </w:r>
    </w:p>
    <w:p>
      <w:pPr>
        <w:spacing w:line="360" w:lineRule="auto"/>
        <w:ind w:firstLine="480" w:firstLineChars="200"/>
        <w:rPr>
          <w:rFonts w:ascii="宋体" w:hAnsi="宋体" w:cs="宋体"/>
          <w:sz w:val="24"/>
        </w:rPr>
      </w:pPr>
      <w:r>
        <w:rPr>
          <w:rFonts w:hint="eastAsia" w:ascii="宋体" w:hAnsi="宋体" w:cs="宋体"/>
          <w:kern w:val="0"/>
          <w:sz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cs="宋体"/>
          <w:b/>
          <w:sz w:val="32"/>
          <w:szCs w:val="32"/>
        </w:rPr>
      </w:pPr>
      <w:r>
        <w:rPr>
          <w:rFonts w:hint="eastAsia" w:ascii="宋体" w:hAnsi="宋体" w:cs="宋体"/>
          <w:b/>
          <w:sz w:val="24"/>
        </w:rPr>
        <w:br w:type="page"/>
      </w:r>
      <w:r>
        <w:rPr>
          <w:rFonts w:hint="eastAsia" w:ascii="宋体" w:hAnsi="宋体" w:cs="宋体"/>
          <w:b/>
          <w:sz w:val="32"/>
          <w:szCs w:val="32"/>
        </w:rPr>
        <w:t>二、评审标准</w:t>
      </w:r>
    </w:p>
    <w:p>
      <w:pPr>
        <w:spacing w:line="360" w:lineRule="auto"/>
        <w:ind w:firstLine="480" w:firstLineChars="200"/>
        <w:rPr>
          <w:rFonts w:ascii="宋体" w:hAnsi="宋体" w:cs="宋体"/>
          <w:bCs/>
          <w:sz w:val="24"/>
        </w:rPr>
      </w:pPr>
      <w:r>
        <w:rPr>
          <w:rFonts w:ascii="宋体" w:hAnsi="宋体" w:cs="宋体"/>
          <w:bCs/>
          <w:sz w:val="24"/>
        </w:rPr>
        <w:t>评审依据：磋商小组将以磋商响应文件为评审依据，对供应商的报价、商务</w:t>
      </w:r>
      <w:r>
        <w:rPr>
          <w:rFonts w:hint="eastAsia" w:ascii="宋体" w:hAnsi="宋体" w:cs="宋体"/>
          <w:bCs/>
          <w:sz w:val="24"/>
        </w:rPr>
        <w:t>、服务要求</w:t>
      </w:r>
      <w:r>
        <w:rPr>
          <w:rFonts w:ascii="宋体" w:hAnsi="宋体" w:cs="宋体"/>
          <w:bCs/>
          <w:sz w:val="24"/>
        </w:rPr>
        <w:t>等方面内容按百分制打分。（计分方法按四舍五入取至百分位）</w:t>
      </w:r>
    </w:p>
    <w:tbl>
      <w:tblPr>
        <w:tblStyle w:val="2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92"/>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sz w:val="24"/>
              </w:rPr>
            </w:pPr>
            <w:r>
              <w:rPr>
                <w:rFonts w:hint="eastAsia" w:ascii="宋体" w:hAnsi="宋体" w:cs="宋体"/>
                <w:b/>
                <w:bCs/>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sz w:val="24"/>
              </w:rPr>
            </w:pPr>
            <w:r>
              <w:rPr>
                <w:rFonts w:hint="eastAsia" w:ascii="宋体" w:hAnsi="宋体" w:cs="宋体"/>
                <w:b/>
                <w:bCs/>
                <w:sz w:val="24"/>
              </w:rPr>
              <w:t>评审因素</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bCs/>
                <w:sz w:val="24"/>
              </w:rPr>
            </w:pPr>
            <w:r>
              <w:rPr>
                <w:rFonts w:hint="eastAsia" w:ascii="宋体" w:hAnsi="宋体" w:cs="宋体"/>
                <w:b/>
                <w:bCs/>
                <w:sz w:val="24"/>
              </w:rPr>
              <w:t>分值</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cs="宋体"/>
                <w:b/>
                <w:bCs/>
                <w:kern w:val="2"/>
                <w:sz w:val="24"/>
                <w:szCs w:val="24"/>
              </w:rPr>
            </w:pPr>
            <w:r>
              <w:rPr>
                <w:rFonts w:hint="eastAsia" w:hAnsi="宋体" w:cs="宋体"/>
                <w:b/>
                <w:bCs/>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r>
              <w:rPr>
                <w:rFonts w:hint="eastAsia" w:ascii="宋体" w:hAnsi="宋体" w:cs="宋体"/>
                <w:bCs/>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textAlignment w:val="baseline"/>
              <w:rPr>
                <w:rFonts w:ascii="宋体" w:hAnsi="宋体"/>
                <w:b/>
                <w:bCs/>
                <w:sz w:val="24"/>
              </w:rPr>
            </w:pPr>
            <w:r>
              <w:rPr>
                <w:rFonts w:hint="eastAsia" w:ascii="宋体" w:hAnsi="宋体"/>
                <w:b/>
                <w:bCs/>
                <w:sz w:val="24"/>
              </w:rPr>
              <w:t>价格分</w:t>
            </w:r>
          </w:p>
          <w:p>
            <w:pPr>
              <w:adjustRightInd w:val="0"/>
              <w:spacing w:line="360" w:lineRule="exact"/>
              <w:jc w:val="center"/>
              <w:textAlignment w:val="baseline"/>
              <w:rPr>
                <w:rFonts w:ascii="宋体" w:hAnsi="宋体"/>
                <w:b/>
                <w:bCs/>
                <w:sz w:val="24"/>
              </w:rPr>
            </w:pPr>
            <w:r>
              <w:rPr>
                <w:rFonts w:hint="eastAsia" w:ascii="宋体" w:hAnsi="宋体"/>
                <w:b/>
                <w:bCs/>
                <w:sz w:val="24"/>
              </w:rPr>
              <w:t>（满分</w:t>
            </w:r>
            <w:r>
              <w:rPr>
                <w:rFonts w:hint="eastAsia" w:ascii="宋体" w:hAnsi="宋体"/>
                <w:b/>
                <w:bCs/>
                <w:sz w:val="24"/>
                <w:u w:val="single"/>
              </w:rPr>
              <w:t>10</w:t>
            </w:r>
            <w:r>
              <w:rPr>
                <w:rFonts w:hint="eastAsia" w:ascii="宋体" w:hAnsi="宋体"/>
                <w:b/>
                <w:bCs/>
                <w:sz w:val="24"/>
              </w:rPr>
              <w:t>分）</w:t>
            </w:r>
          </w:p>
          <w:p>
            <w:pPr>
              <w:adjustRightInd w:val="0"/>
              <w:spacing w:line="360" w:lineRule="auto"/>
              <w:jc w:val="left"/>
              <w:textAlignment w:val="baseline"/>
              <w:rPr>
                <w:rFonts w:ascii="宋体" w:hAnsi="宋体" w:cs="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r>
              <w:rPr>
                <w:rFonts w:hint="eastAsia" w:ascii="宋体" w:hAnsi="宋体"/>
                <w:b/>
                <w:bCs/>
                <w:sz w:val="24"/>
              </w:rPr>
              <w:t>报价（满分10分）</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hAnsi="宋体" w:cs="宋体"/>
                <w:bCs/>
                <w:kern w:val="2"/>
                <w:sz w:val="21"/>
              </w:rPr>
            </w:pPr>
            <w:r>
              <w:rPr>
                <w:rFonts w:hint="eastAsia" w:hAnsi="宋体" w:cs="宋体"/>
                <w:bCs/>
                <w:kern w:val="2"/>
                <w:sz w:val="21"/>
              </w:rPr>
              <w:t>1</w:t>
            </w:r>
            <w:r>
              <w:rPr>
                <w:rFonts w:hAnsi="宋体" w:cs="宋体"/>
                <w:bCs/>
                <w:kern w:val="2"/>
                <w:sz w:val="21"/>
              </w:rPr>
              <w:t>.</w:t>
            </w:r>
            <w:r>
              <w:rPr>
                <w:rFonts w:hint="eastAsia" w:hAnsi="宋体" w:cs="宋体"/>
                <w:bCs/>
                <w:kern w:val="2"/>
                <w:sz w:val="21"/>
              </w:rPr>
              <w:t>评审价为供应商的最后报价进行政策性扣除后的价格，评审价只是作为评审时使用。最终成交供应商的成交金额等于最后报价。</w:t>
            </w:r>
          </w:p>
          <w:p>
            <w:pPr>
              <w:pStyle w:val="18"/>
              <w:spacing w:line="360" w:lineRule="auto"/>
              <w:rPr>
                <w:rFonts w:hAnsi="宋体" w:cs="宋体"/>
                <w:bCs/>
                <w:kern w:val="2"/>
                <w:sz w:val="21"/>
              </w:rPr>
            </w:pPr>
            <w:r>
              <w:rPr>
                <w:rFonts w:hint="eastAsia" w:hAnsi="宋体" w:cs="宋体"/>
                <w:bCs/>
                <w:kern w:val="2"/>
                <w:sz w:val="21"/>
              </w:rPr>
              <w:t>2</w:t>
            </w:r>
            <w:r>
              <w:rPr>
                <w:rFonts w:hAnsi="宋体" w:cs="宋体"/>
                <w:bCs/>
                <w:kern w:val="2"/>
                <w:sz w:val="21"/>
              </w:rPr>
              <w:t>.</w:t>
            </w:r>
            <w:r>
              <w:rPr>
                <w:rFonts w:hint="eastAsia" w:hAnsi="宋体" w:cs="宋体"/>
                <w:bCs/>
                <w:kern w:val="2"/>
                <w:sz w:val="21"/>
              </w:rPr>
              <w:t>政府采购政策性扣除计算方法</w:t>
            </w:r>
          </w:p>
          <w:p>
            <w:pPr>
              <w:pStyle w:val="18"/>
              <w:spacing w:line="360" w:lineRule="auto"/>
              <w:rPr>
                <w:rFonts w:hAnsi="宋体" w:cs="宋体"/>
                <w:bCs/>
                <w:kern w:val="2"/>
                <w:sz w:val="21"/>
              </w:rPr>
            </w:pPr>
            <w:r>
              <w:rPr>
                <w:rFonts w:hint="eastAsia" w:hAnsi="宋体" w:cs="宋体"/>
                <w:bCs/>
                <w:kern w:val="2"/>
                <w:sz w:val="21"/>
              </w:rPr>
              <w:t>根据《政府采购促进中小企业发展管理办法》（财库〔2020〕46号）及《广西壮族自治区财政厅关于持续优化政府采购营商环境推动高质量发展的通知》（桂财采〔2024〕55号 ）的规定，供应商</w:t>
            </w:r>
            <w:r>
              <w:rPr>
                <w:rFonts w:hint="eastAsia" w:hAnsi="宋体" w:cs="宋体"/>
                <w:bCs/>
                <w:sz w:val="21"/>
              </w:rPr>
              <w:t>人属于《政府采购促进中小企业发展管理办法》规定的小微企业的，</w:t>
            </w:r>
            <w:r>
              <w:rPr>
                <w:rFonts w:hint="eastAsia" w:hAnsi="宋体" w:cs="宋体"/>
                <w:bCs/>
                <w:kern w:val="2"/>
                <w:sz w:val="21"/>
              </w:rPr>
              <w:t>在其响应文件中提供《中小企业声明函》，且服务全部由小微企业承接，对供应商的</w:t>
            </w:r>
            <w:r>
              <w:rPr>
                <w:rFonts w:hint="eastAsia" w:hAnsi="宋体" w:cs="宋体"/>
                <w:sz w:val="21"/>
              </w:rPr>
              <w:t>竞争性磋商</w:t>
            </w:r>
            <w:r>
              <w:rPr>
                <w:rFonts w:hint="eastAsia" w:hAnsi="宋体" w:cs="宋体"/>
                <w:bCs/>
                <w:kern w:val="2"/>
                <w:sz w:val="21"/>
              </w:rPr>
              <w:t>报价给予20%的扣除，扣除后的价格为评审价，即评审价=</w:t>
            </w:r>
            <w:r>
              <w:rPr>
                <w:rFonts w:hint="eastAsia" w:hAnsi="宋体" w:cs="宋体"/>
                <w:sz w:val="21"/>
              </w:rPr>
              <w:t>竞争性磋商</w:t>
            </w:r>
            <w:r>
              <w:rPr>
                <w:rFonts w:hint="eastAsia" w:hAnsi="宋体" w:cs="宋体"/>
                <w:bCs/>
                <w:kern w:val="2"/>
                <w:sz w:val="21"/>
              </w:rPr>
              <w:t>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6 %的扣除，用扣除后的价格参加评审，扣除后的价格为评审价，即评审价=</w:t>
            </w:r>
            <w:r>
              <w:rPr>
                <w:rFonts w:hint="eastAsia" w:hAnsi="宋体" w:cs="宋体"/>
                <w:sz w:val="21"/>
              </w:rPr>
              <w:t>竞争性磋商</w:t>
            </w:r>
            <w:r>
              <w:rPr>
                <w:rFonts w:hint="eastAsia" w:hAnsi="宋体" w:cs="宋体"/>
                <w:bCs/>
                <w:kern w:val="2"/>
                <w:sz w:val="21"/>
              </w:rPr>
              <w:t>报价×（1- 6 %）。除上述情况外，评审价=</w:t>
            </w:r>
            <w:r>
              <w:rPr>
                <w:rFonts w:hint="eastAsia" w:hAnsi="宋体" w:cs="宋体"/>
                <w:sz w:val="21"/>
              </w:rPr>
              <w:t>竞争性磋商</w:t>
            </w:r>
            <w:r>
              <w:rPr>
                <w:rFonts w:hint="eastAsia" w:hAnsi="宋体" w:cs="宋体"/>
                <w:bCs/>
                <w:kern w:val="2"/>
                <w:sz w:val="21"/>
              </w:rPr>
              <w:t>报价。</w:t>
            </w:r>
          </w:p>
          <w:p>
            <w:pPr>
              <w:pStyle w:val="18"/>
              <w:spacing w:line="360" w:lineRule="auto"/>
              <w:rPr>
                <w:rFonts w:hAnsi="宋体" w:cs="宋体"/>
                <w:bCs/>
                <w:kern w:val="2"/>
                <w:sz w:val="21"/>
              </w:rPr>
            </w:pPr>
            <w:r>
              <w:rPr>
                <w:rFonts w:hint="eastAsia" w:hAnsi="宋体" w:cs="宋体"/>
                <w:bCs/>
                <w:kern w:val="2"/>
                <w:sz w:val="21"/>
              </w:rPr>
              <w:t>3</w:t>
            </w:r>
            <w:r>
              <w:rPr>
                <w:rFonts w:hAnsi="宋体" w:cs="宋体"/>
                <w:bCs/>
                <w:kern w:val="2"/>
                <w:sz w:val="21"/>
              </w:rPr>
              <w:t>.</w:t>
            </w:r>
            <w:r>
              <w:rPr>
                <w:rFonts w:hint="eastAsia" w:hAnsi="宋体" w:cs="宋体"/>
                <w:bCs/>
                <w:kern w:val="2"/>
                <w:sz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pStyle w:val="18"/>
              <w:spacing w:line="360" w:lineRule="auto"/>
              <w:rPr>
                <w:rFonts w:hAnsi="宋体" w:cs="宋体"/>
                <w:bCs/>
                <w:kern w:val="2"/>
                <w:sz w:val="21"/>
              </w:rPr>
            </w:pPr>
            <w:r>
              <w:rPr>
                <w:rFonts w:hint="eastAsia" w:hAnsi="宋体" w:cs="宋体"/>
                <w:bCs/>
                <w:kern w:val="2"/>
                <w:sz w:val="21"/>
              </w:rPr>
              <w:t>4</w:t>
            </w:r>
            <w:r>
              <w:rPr>
                <w:rFonts w:hAnsi="宋体" w:cs="宋体"/>
                <w:bCs/>
                <w:kern w:val="2"/>
                <w:sz w:val="21"/>
              </w:rPr>
              <w:t>.</w:t>
            </w:r>
            <w:r>
              <w:rPr>
                <w:rFonts w:hint="eastAsia" w:hAnsi="宋体" w:cs="宋体"/>
                <w:bCs/>
                <w:kern w:val="2"/>
                <w:sz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8"/>
              <w:spacing w:line="360" w:lineRule="auto"/>
              <w:rPr>
                <w:rFonts w:hAnsi="宋体" w:cs="宋体"/>
                <w:bCs/>
                <w:kern w:val="2"/>
                <w:sz w:val="21"/>
              </w:rPr>
            </w:pPr>
            <w:r>
              <w:rPr>
                <w:rFonts w:hint="eastAsia" w:hAnsi="宋体" w:cs="宋体"/>
                <w:bCs/>
                <w:kern w:val="2"/>
                <w:sz w:val="21"/>
              </w:rPr>
              <w:t>5</w:t>
            </w:r>
            <w:r>
              <w:rPr>
                <w:rFonts w:hAnsi="宋体" w:cs="宋体"/>
                <w:bCs/>
                <w:kern w:val="2"/>
                <w:sz w:val="21"/>
              </w:rPr>
              <w:t>.</w:t>
            </w:r>
            <w:r>
              <w:rPr>
                <w:rFonts w:hint="eastAsia" w:hAnsi="宋体"/>
                <w:bCs/>
                <w:sz w:val="21"/>
              </w:rPr>
              <w:t>报价分采用低价优先法计算，满足磋商文件要求且评审价最低的有效供应商的评审价为基准价，其价格分为满分。</w:t>
            </w:r>
          </w:p>
          <w:p>
            <w:pPr>
              <w:pStyle w:val="18"/>
              <w:spacing w:line="360" w:lineRule="auto"/>
              <w:rPr>
                <w:rFonts w:hAnsi="宋体"/>
                <w:bCs/>
                <w:sz w:val="21"/>
              </w:rPr>
            </w:pPr>
            <w:r>
              <w:rPr>
                <w:rFonts w:hint="eastAsia" w:hAnsi="宋体" w:cs="宋体"/>
                <w:bCs/>
                <w:kern w:val="2"/>
                <w:sz w:val="21"/>
              </w:rPr>
              <w:t>6</w:t>
            </w:r>
            <w:r>
              <w:rPr>
                <w:rFonts w:hAnsi="宋体" w:cs="宋体"/>
                <w:bCs/>
                <w:kern w:val="2"/>
                <w:sz w:val="21"/>
              </w:rPr>
              <w:t>.</w:t>
            </w:r>
            <w:r>
              <w:rPr>
                <w:rFonts w:hint="eastAsia" w:hAnsi="宋体"/>
                <w:bCs/>
                <w:sz w:val="21"/>
              </w:rPr>
              <w:t>其他供应商的价格分统一按照下列公式计算：</w:t>
            </w:r>
          </w:p>
          <w:p>
            <w:pPr>
              <w:spacing w:line="360" w:lineRule="auto"/>
              <w:rPr>
                <w:rFonts w:ascii="宋体" w:hAnsi="宋体" w:cs="宋体"/>
                <w:bCs/>
                <w:szCs w:val="21"/>
              </w:rPr>
            </w:pPr>
            <w:r>
              <w:rPr>
                <w:rFonts w:hint="eastAsia" w:ascii="宋体" w:hAnsi="宋体"/>
                <w:bCs/>
                <w:szCs w:val="21"/>
              </w:rPr>
              <w:t>某供应商的价格分=（评标基准价／某供应商评审价）×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r>
              <w:rPr>
                <w:rFonts w:hint="eastAsia" w:ascii="宋体" w:hAnsi="宋体" w:cs="宋体"/>
                <w:bCs/>
                <w:sz w:val="24"/>
              </w:rPr>
              <w:t>2</w:t>
            </w:r>
          </w:p>
        </w:tc>
        <w:tc>
          <w:tcPr>
            <w:tcW w:w="1418"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ind w:left="-105" w:leftChars="-50" w:right="-105" w:rightChars="-50"/>
              <w:jc w:val="center"/>
              <w:textAlignment w:val="baseline"/>
              <w:rPr>
                <w:rFonts w:ascii="宋体" w:hAnsi="宋体"/>
                <w:bCs/>
                <w:sz w:val="24"/>
              </w:rPr>
            </w:pPr>
            <w:r>
              <w:rPr>
                <w:rFonts w:hint="eastAsia" w:ascii="宋体" w:hAnsi="宋体"/>
                <w:bCs/>
                <w:sz w:val="24"/>
              </w:rPr>
              <w:t>服务分</w:t>
            </w:r>
          </w:p>
          <w:p>
            <w:pPr>
              <w:adjustRightInd w:val="0"/>
              <w:spacing w:line="360" w:lineRule="auto"/>
              <w:jc w:val="center"/>
              <w:textAlignment w:val="baseline"/>
              <w:rPr>
                <w:rFonts w:ascii="宋体" w:hAnsi="宋体" w:cs="宋体"/>
                <w:bCs/>
                <w:sz w:val="24"/>
              </w:rPr>
            </w:pPr>
            <w:r>
              <w:rPr>
                <w:rFonts w:hint="eastAsia" w:ascii="宋体" w:hAnsi="宋体"/>
                <w:bCs/>
                <w:sz w:val="24"/>
              </w:rPr>
              <w:t>（</w:t>
            </w:r>
            <w:r>
              <w:rPr>
                <w:rFonts w:hint="eastAsia" w:ascii="宋体" w:hAnsi="宋体"/>
                <w:sz w:val="24"/>
              </w:rPr>
              <w:t>满分</w:t>
            </w:r>
            <w:r>
              <w:rPr>
                <w:rFonts w:hint="eastAsia" w:ascii="宋体" w:hAnsi="宋体"/>
                <w:sz w:val="24"/>
                <w:u w:val="single"/>
              </w:rPr>
              <w:t>48</w:t>
            </w:r>
            <w:r>
              <w:rPr>
                <w:rFonts w:hint="eastAsia" w:ascii="宋体" w:hAnsi="宋体"/>
                <w:sz w:val="24"/>
              </w:rPr>
              <w:t>分</w:t>
            </w:r>
            <w:r>
              <w:rPr>
                <w:rFonts w:hint="eastAsia" w:ascii="宋体" w:hAnsi="宋体"/>
                <w:bCs/>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color w:val="000000"/>
                <w:szCs w:val="21"/>
                <w:lang w:bidi="ar"/>
              </w:rPr>
              <w:t>人员</w:t>
            </w:r>
            <w:r>
              <w:rPr>
                <w:rFonts w:ascii="宋体" w:hAnsi="宋体" w:cs="notosansmonocjksc"/>
                <w:szCs w:val="21"/>
              </w:rPr>
              <w:t>接到故障报修后</w:t>
            </w:r>
            <w:r>
              <w:rPr>
                <w:rFonts w:hint="eastAsia" w:ascii="宋体" w:hAnsi="宋体" w:cs="宋体"/>
                <w:color w:val="000000"/>
                <w:szCs w:val="21"/>
                <w:lang w:bidi="ar"/>
              </w:rPr>
              <w:t>到达时间</w:t>
            </w:r>
            <w:r>
              <w:rPr>
                <w:rFonts w:hint="eastAsia" w:ascii="宋体" w:hAnsi="宋体"/>
                <w:bCs/>
                <w:szCs w:val="21"/>
              </w:rPr>
              <w:t>（</w:t>
            </w:r>
            <w:r>
              <w:rPr>
                <w:rFonts w:hint="eastAsia" w:ascii="宋体" w:hAnsi="宋体"/>
                <w:szCs w:val="21"/>
              </w:rPr>
              <w:t>满分</w:t>
            </w:r>
            <w:r>
              <w:rPr>
                <w:rFonts w:hint="eastAsia" w:ascii="宋体" w:hAnsi="宋体"/>
                <w:szCs w:val="21"/>
                <w:u w:val="single"/>
              </w:rPr>
              <w:t>4</w:t>
            </w:r>
            <w:r>
              <w:rPr>
                <w:rFonts w:hint="eastAsia" w:ascii="宋体" w:hAnsi="宋体"/>
                <w:szCs w:val="21"/>
              </w:rPr>
              <w:t>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Cs w:val="21"/>
              </w:rPr>
            </w:pPr>
            <w:r>
              <w:rPr>
                <w:rFonts w:hint="eastAsia" w:ascii="宋体" w:hAnsi="宋体"/>
                <w:bCs/>
                <w:szCs w:val="21"/>
              </w:rPr>
              <w:t>一档（1分）：承诺的服务人员到达现场时间≥1小时间。</w:t>
            </w:r>
          </w:p>
          <w:p>
            <w:pPr>
              <w:spacing w:line="400" w:lineRule="exact"/>
              <w:rPr>
                <w:rFonts w:ascii="宋体" w:hAnsi="宋体"/>
                <w:bCs/>
                <w:szCs w:val="21"/>
              </w:rPr>
            </w:pPr>
            <w:r>
              <w:rPr>
                <w:rFonts w:hint="eastAsia" w:ascii="宋体" w:hAnsi="宋体"/>
                <w:bCs/>
                <w:szCs w:val="21"/>
              </w:rPr>
              <w:t>二档（2分）：承诺的服务人员到达现场时间≥40分钟，＜1小时。</w:t>
            </w:r>
          </w:p>
          <w:p>
            <w:pPr>
              <w:spacing w:line="400" w:lineRule="exact"/>
              <w:rPr>
                <w:rFonts w:ascii="宋体" w:hAnsi="宋体"/>
                <w:bCs/>
                <w:szCs w:val="21"/>
              </w:rPr>
            </w:pPr>
            <w:r>
              <w:rPr>
                <w:rFonts w:hint="eastAsia" w:ascii="宋体" w:hAnsi="宋体"/>
                <w:bCs/>
                <w:szCs w:val="21"/>
              </w:rPr>
              <w:t>三档（3分）：承诺的服务人员到达现场时间≥20分钟，＜40分钟。</w:t>
            </w:r>
          </w:p>
          <w:p>
            <w:pPr>
              <w:spacing w:line="400" w:lineRule="exact"/>
              <w:rPr>
                <w:rFonts w:ascii="宋体" w:hAnsi="宋体"/>
                <w:bCs/>
                <w:szCs w:val="21"/>
              </w:rPr>
            </w:pPr>
            <w:r>
              <w:rPr>
                <w:rFonts w:hint="eastAsia" w:ascii="宋体" w:hAnsi="宋体"/>
                <w:bCs/>
                <w:szCs w:val="21"/>
              </w:rPr>
              <w:t>四档（4分）：承诺的服务人员到达现场时间＜20分钟。</w:t>
            </w:r>
          </w:p>
          <w:p>
            <w:pPr>
              <w:spacing w:line="400" w:lineRule="exact"/>
              <w:rPr>
                <w:rFonts w:ascii="宋体" w:hAnsi="宋体"/>
                <w:bCs/>
                <w:szCs w:val="21"/>
              </w:rPr>
            </w:pPr>
            <w:r>
              <w:rPr>
                <w:rFonts w:hint="eastAsia" w:ascii="宋体" w:hAnsi="宋体"/>
                <w:bCs/>
                <w:szCs w:val="21"/>
              </w:rPr>
              <w:t>备注：响应文件中需单独提供承诺书（承诺书自拟）并加盖公章。成交后提供服务时每迟到一次考核表扣2分。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bCs/>
                <w:szCs w:val="21"/>
              </w:rPr>
              <w:t>维保服务流程方案</w:t>
            </w:r>
            <w:r>
              <w:rPr>
                <w:rFonts w:hint="eastAsia" w:ascii="宋体" w:hAnsi="宋体"/>
                <w:bCs/>
                <w:szCs w:val="21"/>
              </w:rPr>
              <w:t>（</w:t>
            </w:r>
            <w:r>
              <w:rPr>
                <w:rFonts w:hint="eastAsia" w:ascii="宋体" w:hAnsi="宋体"/>
                <w:szCs w:val="21"/>
              </w:rPr>
              <w:t>满分</w:t>
            </w:r>
            <w:r>
              <w:rPr>
                <w:rFonts w:hint="eastAsia" w:ascii="宋体" w:hAnsi="宋体"/>
                <w:szCs w:val="21"/>
                <w:u w:val="single"/>
              </w:rPr>
              <w:t>7</w:t>
            </w:r>
            <w:r>
              <w:rPr>
                <w:rFonts w:hint="eastAsia" w:ascii="宋体" w:hAnsi="宋体"/>
                <w:szCs w:val="21"/>
              </w:rPr>
              <w:t>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Cs w:val="21"/>
              </w:rPr>
            </w:pPr>
            <w:r>
              <w:rPr>
                <w:rFonts w:hint="eastAsia" w:ascii="宋体" w:hAnsi="宋体"/>
                <w:bCs/>
                <w:szCs w:val="21"/>
              </w:rPr>
              <w:t>一档（3分）：维保方案内容描述简单；响应文件中未提供专业维修工具清单列表、图片的。</w:t>
            </w:r>
          </w:p>
          <w:p>
            <w:pPr>
              <w:spacing w:line="400" w:lineRule="exact"/>
              <w:rPr>
                <w:rFonts w:ascii="宋体" w:hAnsi="宋体"/>
                <w:bCs/>
                <w:szCs w:val="21"/>
              </w:rPr>
            </w:pPr>
            <w:r>
              <w:rPr>
                <w:rFonts w:hint="eastAsia" w:ascii="宋体" w:hAnsi="宋体"/>
                <w:bCs/>
                <w:szCs w:val="21"/>
              </w:rPr>
              <w:t>二档（5分）：维保方案内容的详细、可行，有详细的日常技术支持方案及流程；响应文件中提供专业维修工具清单列表、图片但不全面的（未全部包含下列主要专业维保工具：</w:t>
            </w:r>
            <w:r>
              <w:rPr>
                <w:rFonts w:hint="eastAsia" w:ascii="宋体" w:hAnsi="宋体" w:cs="宋体"/>
                <w:szCs w:val="21"/>
              </w:rPr>
              <w:t>液压搬运车、高压清洗机、大功率吸尘器、压缩气泵、风速风压测定仪、磨光机、微压差表。</w:t>
            </w:r>
            <w:r>
              <w:rPr>
                <w:rFonts w:hint="eastAsia" w:ascii="宋体" w:hAnsi="宋体"/>
                <w:bCs/>
                <w:szCs w:val="21"/>
              </w:rPr>
              <w:t>）。</w:t>
            </w:r>
          </w:p>
          <w:p>
            <w:pPr>
              <w:spacing w:line="400" w:lineRule="exact"/>
              <w:rPr>
                <w:rFonts w:ascii="宋体" w:hAnsi="宋体" w:cs="宋体"/>
                <w:bCs/>
                <w:szCs w:val="21"/>
              </w:rPr>
            </w:pPr>
            <w:r>
              <w:rPr>
                <w:rFonts w:hint="eastAsia" w:ascii="宋体" w:hAnsi="宋体"/>
                <w:bCs/>
                <w:szCs w:val="21"/>
              </w:rPr>
              <w:t>三档（7分）：维保方案内容的详细、可行，有详细的日常技术支持方案及流程，对每个流程均有针对性的展开描述，有具体的电话支持服务流程图、报修流程图、定期巡检流程图，流程可行；响应文件中提供专业维修工具清单列表、图片且全面的（包含下列全部主要专业维保工具：</w:t>
            </w:r>
            <w:r>
              <w:rPr>
                <w:rFonts w:hint="eastAsia" w:ascii="宋体" w:hAnsi="宋体" w:cs="宋体"/>
                <w:szCs w:val="21"/>
              </w:rPr>
              <w:t>液压搬运车、高压清洗机、大功率吸尘器、压缩气泵、风速风压测定仪、磨光机、微压差表。</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pPr>
              <w:adjustRightInd w:val="0"/>
              <w:snapToGrid w:val="0"/>
              <w:spacing w:line="360" w:lineRule="atLeast"/>
              <w:ind w:left="-105" w:leftChars="-50" w:right="-105" w:rightChars="-50"/>
              <w:jc w:val="center"/>
              <w:textAlignment w:val="baseline"/>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bCs/>
                <w:szCs w:val="21"/>
              </w:rPr>
              <w:t>维保管理措施及内部考核制度方案</w:t>
            </w:r>
            <w:r>
              <w:rPr>
                <w:rFonts w:hint="eastAsia" w:ascii="宋体" w:hAnsi="宋体"/>
                <w:bCs/>
                <w:szCs w:val="21"/>
              </w:rPr>
              <w:t>（</w:t>
            </w:r>
            <w:r>
              <w:rPr>
                <w:rFonts w:hint="eastAsia" w:ascii="宋体" w:hAnsi="宋体"/>
                <w:szCs w:val="21"/>
              </w:rPr>
              <w:t>满分8分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szCs w:val="21"/>
              </w:rPr>
            </w:pPr>
            <w:r>
              <w:rPr>
                <w:rFonts w:hint="eastAsia" w:ascii="宋体" w:hAnsi="宋体" w:cs="宋体"/>
                <w:bCs/>
                <w:szCs w:val="21"/>
              </w:rPr>
              <w:t>1）供应商能提供详细可行的维保管理措施（包含针对</w:t>
            </w:r>
            <w:r>
              <w:rPr>
                <w:rFonts w:hint="eastAsia" w:ascii="宋体" w:hAnsi="宋体" w:cs="宋体"/>
                <w:color w:val="000000"/>
                <w:kern w:val="0"/>
                <w:szCs w:val="21"/>
                <w:lang w:bidi="ar"/>
              </w:rPr>
              <w:t>排风设备、新风设备、控制系统、气路系统、实验室家具维保的具体措施</w:t>
            </w:r>
            <w:r>
              <w:rPr>
                <w:rFonts w:hint="eastAsia" w:ascii="宋体" w:hAnsi="宋体" w:cs="宋体"/>
                <w:bCs/>
                <w:szCs w:val="21"/>
              </w:rPr>
              <w:t>）得2分；该项内容不全或不可行的不得分；</w:t>
            </w:r>
          </w:p>
          <w:p>
            <w:pPr>
              <w:spacing w:line="400" w:lineRule="exact"/>
              <w:rPr>
                <w:rFonts w:ascii="宋体" w:hAnsi="宋体" w:cs="宋体"/>
                <w:bCs/>
                <w:szCs w:val="21"/>
              </w:rPr>
            </w:pPr>
            <w:r>
              <w:rPr>
                <w:rFonts w:hint="eastAsia" w:ascii="宋体" w:hAnsi="宋体" w:cs="宋体"/>
                <w:bCs/>
                <w:szCs w:val="21"/>
              </w:rPr>
              <w:t>2）有落实维保计划的具体保障措施及可行的服务质量保障措施，得2分；该项内容不针对本项目或不可行的，不得分；</w:t>
            </w:r>
          </w:p>
          <w:p>
            <w:pPr>
              <w:spacing w:line="400" w:lineRule="exact"/>
              <w:rPr>
                <w:rFonts w:ascii="宋体" w:hAnsi="宋体" w:cs="宋体"/>
                <w:bCs/>
                <w:szCs w:val="21"/>
              </w:rPr>
            </w:pPr>
            <w:r>
              <w:rPr>
                <w:rFonts w:hint="eastAsia" w:ascii="宋体" w:hAnsi="宋体" w:cs="宋体"/>
                <w:bCs/>
                <w:szCs w:val="21"/>
              </w:rPr>
              <w:t>3）供应商有详细可行的内部考核制度，且依据考核要求制订了针对本项目切实可行的考核办法，得2分；该项内容不针对本项目或不可行的的不得分；</w:t>
            </w:r>
          </w:p>
          <w:p>
            <w:pPr>
              <w:spacing w:line="400" w:lineRule="exact"/>
              <w:rPr>
                <w:rFonts w:ascii="宋体" w:hAnsi="宋体"/>
                <w:bCs/>
                <w:szCs w:val="21"/>
              </w:rPr>
            </w:pPr>
            <w:r>
              <w:rPr>
                <w:rFonts w:hint="eastAsia" w:ascii="宋体" w:hAnsi="宋体" w:cs="宋体"/>
                <w:bCs/>
                <w:szCs w:val="21"/>
              </w:rPr>
              <w:t>4）制订有针对考核结果的供应商内部奖惩办法且可行的，得2分；该项内容不针对本项目或不可行的不得分。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pPr>
              <w:adjustRightInd w:val="0"/>
              <w:snapToGrid w:val="0"/>
              <w:spacing w:line="360" w:lineRule="atLeast"/>
              <w:ind w:left="-105" w:leftChars="-50" w:right="-105" w:rightChars="-50"/>
              <w:jc w:val="center"/>
              <w:textAlignment w:val="baseline"/>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bCs/>
                <w:szCs w:val="21"/>
              </w:rPr>
              <w:t>信息化管理方案</w:t>
            </w:r>
            <w:r>
              <w:rPr>
                <w:rFonts w:hint="eastAsia" w:ascii="宋体" w:hAnsi="宋体"/>
                <w:bCs/>
                <w:szCs w:val="21"/>
              </w:rPr>
              <w:t>（</w:t>
            </w:r>
            <w:r>
              <w:rPr>
                <w:rFonts w:hint="eastAsia" w:ascii="宋体" w:hAnsi="宋体"/>
                <w:szCs w:val="21"/>
              </w:rPr>
              <w:t>满分</w:t>
            </w:r>
            <w:r>
              <w:rPr>
                <w:rFonts w:hint="eastAsia" w:ascii="宋体" w:hAnsi="宋体"/>
                <w:szCs w:val="21"/>
                <w:u w:val="single"/>
              </w:rPr>
              <w:t>8</w:t>
            </w:r>
            <w:r>
              <w:rPr>
                <w:rFonts w:hint="eastAsia" w:ascii="宋体" w:hAnsi="宋体"/>
                <w:szCs w:val="21"/>
              </w:rPr>
              <w:t>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供应商具备对通排风系统设备进行全生命周期信息化管理，包含：1）可对维修信息化查询、2）可对巡检保养事件信息化查询、3）具有可追溯性、4）提供相应的手机APP终端。每满足一项得2分，满分8分。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pPr>
              <w:adjustRightInd w:val="0"/>
              <w:snapToGrid w:val="0"/>
              <w:spacing w:line="360" w:lineRule="atLeast"/>
              <w:ind w:left="-105" w:leftChars="-50" w:right="-105" w:rightChars="-50"/>
              <w:jc w:val="center"/>
              <w:textAlignment w:val="baseline"/>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Cs/>
                <w:szCs w:val="21"/>
              </w:rPr>
              <w:t>应急预案方案</w:t>
            </w:r>
            <w:r>
              <w:rPr>
                <w:rFonts w:hint="eastAsia" w:ascii="宋体" w:hAnsi="宋体"/>
                <w:bCs/>
                <w:szCs w:val="21"/>
              </w:rPr>
              <w:t>（</w:t>
            </w:r>
            <w:r>
              <w:rPr>
                <w:rFonts w:hint="eastAsia" w:ascii="宋体" w:hAnsi="宋体"/>
                <w:szCs w:val="21"/>
              </w:rPr>
              <w:t>满分</w:t>
            </w:r>
            <w:r>
              <w:rPr>
                <w:rFonts w:hint="eastAsia" w:ascii="宋体" w:hAnsi="宋体"/>
                <w:szCs w:val="21"/>
                <w:u w:val="single"/>
              </w:rPr>
              <w:t>7</w:t>
            </w:r>
            <w:r>
              <w:rPr>
                <w:rFonts w:hint="eastAsia" w:ascii="宋体" w:hAnsi="宋体"/>
                <w:szCs w:val="21"/>
              </w:rPr>
              <w:t>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szCs w:val="21"/>
              </w:rPr>
            </w:pPr>
            <w:r>
              <w:rPr>
                <w:rFonts w:hint="eastAsia" w:ascii="宋体" w:hAnsi="宋体" w:cs="宋体"/>
                <w:bCs/>
                <w:szCs w:val="21"/>
              </w:rPr>
              <w:t>供应商结合本项目实际情况，对</w:t>
            </w:r>
            <w:r>
              <w:rPr>
                <w:rFonts w:hint="eastAsia" w:ascii="宋体" w:hAnsi="宋体"/>
                <w:szCs w:val="21"/>
              </w:rPr>
              <w:t>紧急维修和其他特殊事项</w:t>
            </w:r>
            <w:r>
              <w:rPr>
                <w:rFonts w:hint="eastAsia" w:ascii="宋体" w:hAnsi="宋体" w:cs="宋体"/>
                <w:bCs/>
                <w:szCs w:val="21"/>
              </w:rPr>
              <w:t>制定切实可行的应急预案，对人员保障、响应速度、处理方式等进行部署或承诺，以应对在突发事件、停水、配件故障、控制器故障等情况下，进行应急管理、指挥、计划等。</w:t>
            </w:r>
          </w:p>
          <w:p>
            <w:pPr>
              <w:spacing w:line="400" w:lineRule="exact"/>
              <w:rPr>
                <w:rFonts w:ascii="宋体" w:hAnsi="宋体" w:cs="宋体"/>
                <w:bCs/>
                <w:szCs w:val="21"/>
              </w:rPr>
            </w:pPr>
            <w:r>
              <w:rPr>
                <w:rFonts w:hint="eastAsia" w:ascii="宋体" w:hAnsi="宋体" w:cs="宋体"/>
                <w:bCs/>
                <w:szCs w:val="21"/>
              </w:rPr>
              <w:t>一档（3分）：相关承诺不完整（人员保障、响应速度、处理方式这三方面的内容只有一或两方面的具体部署或承诺）或方案不详细（未提供突发事件、停水、配件故障、控制器故障情况下的应急管理、指挥、计划或无实质性内容）,不能满足采购需求；</w:t>
            </w:r>
          </w:p>
          <w:p>
            <w:pPr>
              <w:spacing w:line="400" w:lineRule="exact"/>
              <w:rPr>
                <w:rFonts w:ascii="宋体" w:hAnsi="宋体" w:cs="宋体"/>
                <w:bCs/>
                <w:szCs w:val="21"/>
              </w:rPr>
            </w:pPr>
            <w:r>
              <w:rPr>
                <w:rFonts w:hint="eastAsia" w:ascii="宋体" w:hAnsi="宋体" w:cs="宋体"/>
                <w:bCs/>
                <w:szCs w:val="21"/>
              </w:rPr>
              <w:t>二档（5分）：有完整的方案（人员保障、响应速度、处理方式这三方面的内容均有具体部署或承诺），对突发事件、停水、配件故障、控制器故障等情况下进行的应急管理、指挥、计划等描述简单或内容不全，可满足采购需求；</w:t>
            </w:r>
          </w:p>
          <w:p>
            <w:pPr>
              <w:spacing w:line="400" w:lineRule="exact"/>
              <w:rPr>
                <w:rFonts w:ascii="宋体" w:hAnsi="宋体" w:cs="宋体"/>
                <w:bCs/>
                <w:szCs w:val="21"/>
              </w:rPr>
            </w:pPr>
            <w:r>
              <w:rPr>
                <w:rFonts w:hint="eastAsia" w:ascii="宋体" w:hAnsi="宋体" w:cs="宋体"/>
                <w:bCs/>
                <w:szCs w:val="21"/>
              </w:rPr>
              <w:t>三档（7分）：方案完整合理（人员保障、响应速度、处理方式这三方面的内容均有具体部署或承诺）、内容详细，完全满足采购需求。对突发事件、停水、配件故障、控制器故障等情况下进行的应急管理、指挥、计划等对针对性的详细的分项描述，具有可操作性，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pPr>
              <w:adjustRightInd w:val="0"/>
              <w:snapToGrid w:val="0"/>
              <w:spacing w:line="360" w:lineRule="atLeast"/>
              <w:ind w:left="-105" w:leftChars="-50" w:right="-105" w:rightChars="-50"/>
              <w:jc w:val="center"/>
              <w:textAlignment w:val="baseline"/>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bCs/>
                <w:szCs w:val="21"/>
              </w:rPr>
              <w:t>服务人员数量及技术水平</w:t>
            </w:r>
            <w:r>
              <w:rPr>
                <w:rFonts w:hint="eastAsia" w:ascii="宋体" w:hAnsi="宋体"/>
                <w:bCs/>
                <w:szCs w:val="21"/>
              </w:rPr>
              <w:t>（</w:t>
            </w:r>
            <w:r>
              <w:rPr>
                <w:rFonts w:hint="eastAsia" w:ascii="宋体" w:hAnsi="宋体"/>
                <w:szCs w:val="21"/>
              </w:rPr>
              <w:t>满分</w:t>
            </w:r>
            <w:r>
              <w:rPr>
                <w:rFonts w:hint="eastAsia" w:ascii="宋体" w:hAnsi="宋体"/>
                <w:szCs w:val="21"/>
                <w:u w:val="single"/>
              </w:rPr>
              <w:t>7</w:t>
            </w:r>
            <w:r>
              <w:rPr>
                <w:rFonts w:hint="eastAsia" w:ascii="宋体" w:hAnsi="宋体"/>
                <w:szCs w:val="21"/>
              </w:rPr>
              <w:t>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rPr>
                <w:rFonts w:hAnsi="宋体" w:cs="宋体"/>
                <w:bCs/>
                <w:kern w:val="2"/>
                <w:sz w:val="21"/>
              </w:rPr>
            </w:pPr>
            <w:r>
              <w:rPr>
                <w:rFonts w:hint="eastAsia" w:hAnsi="宋体" w:cs="宋体"/>
                <w:bCs/>
                <w:kern w:val="2"/>
                <w:sz w:val="21"/>
              </w:rPr>
              <w:t>一档（3分）：维保人员配备3人，其中至少1人具有低压电工证书、至少1人具有专业设备厂家(</w:t>
            </w:r>
            <w:bookmarkStart w:id="45" w:name="OLE_LINK3"/>
            <w:r>
              <w:rPr>
                <w:rFonts w:hint="eastAsia" w:hAnsi="宋体" w:cs="宋体"/>
                <w:bCs/>
                <w:kern w:val="2"/>
                <w:sz w:val="21"/>
              </w:rPr>
              <w:t>排风风机或新风机组或废气设备</w:t>
            </w:r>
            <w:bookmarkEnd w:id="45"/>
            <w:r>
              <w:rPr>
                <w:rFonts w:hint="eastAsia" w:hAnsi="宋体" w:cs="宋体"/>
                <w:bCs/>
                <w:kern w:val="2"/>
                <w:sz w:val="21"/>
              </w:rPr>
              <w:t>)维保培训合格证书。</w:t>
            </w:r>
          </w:p>
          <w:p>
            <w:pPr>
              <w:pStyle w:val="18"/>
              <w:spacing w:line="400" w:lineRule="exact"/>
              <w:rPr>
                <w:rFonts w:hAnsi="宋体" w:cs="宋体"/>
                <w:bCs/>
                <w:kern w:val="2"/>
                <w:sz w:val="21"/>
              </w:rPr>
            </w:pPr>
            <w:r>
              <w:rPr>
                <w:rFonts w:hint="eastAsia" w:hAnsi="宋体" w:cs="宋体"/>
                <w:bCs/>
                <w:kern w:val="2"/>
                <w:sz w:val="21"/>
              </w:rPr>
              <w:t>二档（5分）：维保人员配备4人，其中至少1人具有低压电工证书、至少2人具有专业设备厂家(排风风机或新风机组或废气设备)维保培训合格证书。</w:t>
            </w:r>
          </w:p>
          <w:p>
            <w:pPr>
              <w:spacing w:line="400" w:lineRule="exact"/>
              <w:rPr>
                <w:rFonts w:ascii="宋体" w:hAnsi="宋体" w:cs="宋体"/>
                <w:bCs/>
                <w:szCs w:val="21"/>
              </w:rPr>
            </w:pPr>
            <w:r>
              <w:rPr>
                <w:rFonts w:hint="eastAsia" w:ascii="宋体" w:hAnsi="宋体" w:cs="宋体"/>
                <w:bCs/>
                <w:szCs w:val="21"/>
              </w:rPr>
              <w:t>三档（7分）：维保人员配备5人及以上，其中至少1人具有低压电工证书、至少3人具有专业设备厂家(排风风机或新风机组或废气设备)维保培训合格证书。</w:t>
            </w:r>
          </w:p>
          <w:p>
            <w:pPr>
              <w:spacing w:line="400" w:lineRule="exact"/>
            </w:pPr>
            <w:r>
              <w:rPr>
                <w:rFonts w:hint="eastAsia" w:ascii="宋体" w:hAnsi="宋体" w:cs="宋体"/>
                <w:bCs/>
                <w:szCs w:val="21"/>
              </w:rPr>
              <w:t>需提供相关人员的相关证书的复印件，否则不能得分。若成交后提供服务时未按承诺提供维保人员或不能提供维保人员的证书原件的视为违约。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Cs/>
                <w:sz w:val="24"/>
              </w:rPr>
            </w:pPr>
          </w:p>
        </w:tc>
        <w:tc>
          <w:tcPr>
            <w:tcW w:w="1418"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tLeast"/>
              <w:ind w:left="-105" w:leftChars="-50" w:right="-105" w:rightChars="-50"/>
              <w:jc w:val="center"/>
              <w:textAlignment w:val="baseline"/>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备品备件方案</w:t>
            </w:r>
            <w:r>
              <w:rPr>
                <w:rFonts w:hint="eastAsia" w:ascii="宋体" w:hAnsi="宋体"/>
                <w:bCs/>
                <w:szCs w:val="21"/>
              </w:rPr>
              <w:t>（</w:t>
            </w:r>
            <w:r>
              <w:rPr>
                <w:rFonts w:hint="eastAsia" w:ascii="宋体" w:hAnsi="宋体"/>
                <w:szCs w:val="21"/>
              </w:rPr>
              <w:t>满分</w:t>
            </w:r>
            <w:r>
              <w:rPr>
                <w:rFonts w:hint="eastAsia" w:ascii="宋体" w:hAnsi="宋体"/>
                <w:szCs w:val="21"/>
                <w:u w:val="single"/>
              </w:rPr>
              <w:t>7</w:t>
            </w:r>
            <w:r>
              <w:rPr>
                <w:rFonts w:hint="eastAsia" w:ascii="宋体" w:hAnsi="宋体"/>
                <w:szCs w:val="21"/>
              </w:rPr>
              <w:t>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一档（3分）：备品备件方案满足采购文件要求，在国内设置备件仓库（需提供相关证明），并提供简单的备件调配流程；</w:t>
            </w:r>
          </w:p>
          <w:p>
            <w:pPr>
              <w:spacing w:line="400" w:lineRule="exact"/>
              <w:rPr>
                <w:rFonts w:ascii="宋体" w:hAnsi="宋体"/>
                <w:szCs w:val="21"/>
              </w:rPr>
            </w:pPr>
            <w:r>
              <w:rPr>
                <w:rFonts w:hint="eastAsia" w:ascii="宋体" w:hAnsi="宋体"/>
                <w:szCs w:val="21"/>
              </w:rPr>
              <w:t>二档（5分）：备品备件方案满足采购文件要求，供应商在国内具有备件仓库（需提供相关证明），承诺仓库中对“表3”中要求的耗材及备品备件品种全部储备，并提供详细的备件调配流程，流程可行。</w:t>
            </w:r>
          </w:p>
          <w:p>
            <w:pPr>
              <w:spacing w:line="400" w:lineRule="exact"/>
              <w:rPr>
                <w:rFonts w:ascii="宋体" w:hAnsi="宋体"/>
                <w:szCs w:val="21"/>
              </w:rPr>
            </w:pPr>
            <w:r>
              <w:rPr>
                <w:rFonts w:hint="eastAsia" w:ascii="宋体" w:hAnsi="宋体"/>
                <w:szCs w:val="21"/>
              </w:rPr>
              <w:t>三档（7分）：备品备件方案满足采购文件要求，供应商在国内具有备件仓库且具有在4小时内提供备品备件的能力（需提供相关仓库和快速提供备件能力的证明），承诺仓库中对“表3”中要求的耗材及备品备件品种全部储备，并提供包含数量内容的清单，提供详细的备件调配流程，流程可行</w:t>
            </w: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bCs/>
                <w:sz w:val="24"/>
              </w:rPr>
            </w:pPr>
            <w:r>
              <w:rPr>
                <w:rFonts w:hint="eastAsia" w:ascii="宋体" w:hAnsi="宋体" w:cs="宋体"/>
                <w:bCs/>
                <w:sz w:val="24"/>
              </w:rPr>
              <w:t>3</w:t>
            </w:r>
          </w:p>
        </w:tc>
        <w:tc>
          <w:tcPr>
            <w:tcW w:w="1418"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textAlignment w:val="baseline"/>
              <w:rPr>
                <w:rFonts w:ascii="宋体" w:hAnsi="宋体"/>
                <w:sz w:val="24"/>
              </w:rPr>
            </w:pPr>
            <w:r>
              <w:rPr>
                <w:rFonts w:hint="eastAsia" w:ascii="宋体" w:hAnsi="宋体"/>
                <w:sz w:val="24"/>
              </w:rPr>
              <w:t>商务分</w:t>
            </w:r>
          </w:p>
          <w:p>
            <w:pPr>
              <w:adjustRightInd w:val="0"/>
              <w:snapToGrid w:val="0"/>
              <w:spacing w:line="360" w:lineRule="auto"/>
              <w:jc w:val="center"/>
              <w:textAlignment w:val="baseline"/>
              <w:rPr>
                <w:rFonts w:ascii="宋体" w:hAnsi="宋体" w:cs="宋体"/>
                <w:bCs/>
                <w:sz w:val="24"/>
              </w:rPr>
            </w:pPr>
            <w:r>
              <w:rPr>
                <w:rFonts w:hint="eastAsia" w:ascii="宋体" w:hAnsi="宋体"/>
                <w:bCs/>
                <w:sz w:val="24"/>
              </w:rPr>
              <w:t>（</w:t>
            </w:r>
            <w:r>
              <w:rPr>
                <w:rFonts w:hint="eastAsia" w:ascii="宋体" w:hAnsi="宋体"/>
                <w:sz w:val="24"/>
              </w:rPr>
              <w:t>满分</w:t>
            </w:r>
            <w:r>
              <w:rPr>
                <w:rFonts w:hint="eastAsia" w:ascii="宋体" w:hAnsi="宋体"/>
                <w:sz w:val="24"/>
                <w:u w:val="single"/>
              </w:rPr>
              <w:t>42</w:t>
            </w:r>
            <w:r>
              <w:rPr>
                <w:rFonts w:hint="eastAsia" w:ascii="宋体" w:hAnsi="宋体"/>
                <w:sz w:val="24"/>
              </w:rPr>
              <w:t>分</w:t>
            </w:r>
            <w:r>
              <w:rPr>
                <w:rFonts w:hint="eastAsia" w:ascii="宋体" w:hAnsi="宋体"/>
                <w:bCs/>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bCs/>
                <w:szCs w:val="21"/>
              </w:rPr>
            </w:pPr>
            <w:r>
              <w:rPr>
                <w:rFonts w:hint="eastAsia" w:ascii="宋体" w:hAnsi="宋体" w:cs="宋体"/>
                <w:szCs w:val="21"/>
                <w:lang w:bidi="ar"/>
              </w:rPr>
              <w:t>业绩以及用户评价</w:t>
            </w:r>
            <w:r>
              <w:rPr>
                <w:rFonts w:hint="eastAsia" w:ascii="宋体" w:hAnsi="宋体"/>
                <w:bCs/>
                <w:szCs w:val="21"/>
              </w:rPr>
              <w:t>（</w:t>
            </w:r>
            <w:r>
              <w:rPr>
                <w:rFonts w:hint="eastAsia" w:ascii="宋体" w:hAnsi="宋体"/>
                <w:szCs w:val="21"/>
              </w:rPr>
              <w:t>满分36分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rPr>
                <w:rFonts w:ascii="宋体" w:hAnsi="宋体" w:cs="宋体"/>
                <w:bCs/>
                <w:szCs w:val="21"/>
              </w:rPr>
            </w:pPr>
            <w:r>
              <w:rPr>
                <w:rFonts w:hint="eastAsia"/>
                <w:szCs w:val="21"/>
              </w:rPr>
              <w:t>2</w:t>
            </w:r>
            <w:r>
              <w:rPr>
                <w:szCs w:val="21"/>
              </w:rPr>
              <w:t>02</w:t>
            </w:r>
            <w:r>
              <w:rPr>
                <w:rFonts w:hint="eastAsia"/>
                <w:szCs w:val="21"/>
              </w:rPr>
              <w:t>2年1月至今，供应商具有完成</w:t>
            </w:r>
            <w:r>
              <w:rPr>
                <w:rFonts w:hint="eastAsia" w:ascii="宋体" w:hAnsi="宋体" w:cs="宋体"/>
                <w:color w:val="000000"/>
                <w:szCs w:val="21"/>
                <w:lang w:bidi="ar"/>
              </w:rPr>
              <w:t>类似</w:t>
            </w:r>
            <w:r>
              <w:rPr>
                <w:rFonts w:hint="eastAsia"/>
                <w:szCs w:val="21"/>
              </w:rPr>
              <w:t>维保或建设项目（至少应包含</w:t>
            </w:r>
            <w:r>
              <w:rPr>
                <w:rFonts w:hint="eastAsia" w:ascii="宋体" w:hAnsi="宋体" w:cs="宋体"/>
                <w:color w:val="000000"/>
                <w:szCs w:val="21"/>
                <w:lang w:bidi="ar"/>
              </w:rPr>
              <w:t>通排风系统和废气处理设备的</w:t>
            </w:r>
            <w:r>
              <w:rPr>
                <w:rFonts w:hint="eastAsia"/>
                <w:szCs w:val="21"/>
              </w:rPr>
              <w:t>维保或建设</w:t>
            </w:r>
            <w:r>
              <w:rPr>
                <w:rFonts w:hint="eastAsia" w:ascii="宋体" w:hAnsi="宋体" w:cs="宋体"/>
                <w:color w:val="000000"/>
                <w:szCs w:val="21"/>
                <w:lang w:bidi="ar"/>
              </w:rPr>
              <w:t>内容</w:t>
            </w:r>
            <w:r>
              <w:rPr>
                <w:rFonts w:hint="eastAsia"/>
                <w:szCs w:val="21"/>
              </w:rPr>
              <w:t>）业绩的，</w:t>
            </w:r>
            <w:r>
              <w:rPr>
                <w:rFonts w:hint="eastAsia" w:ascii="宋体" w:hAnsi="宋体" w:cs="宋体"/>
                <w:color w:val="000000"/>
                <w:szCs w:val="21"/>
                <w:lang w:bidi="ar"/>
              </w:rPr>
              <w:t>每份合同得3分，最多得21分；提供业绩相对应的用户评价为“好”或“优秀”的报告，每提供一份得3分，最多得15分，不提供不得分。（评价报告应有用户盖章，并提供用户联系人和联系电话供核实，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4" w:type="dxa"/>
            <w:vMerge w:val="continue"/>
            <w:tcBorders>
              <w:left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bCs/>
                <w:sz w:val="24"/>
              </w:rPr>
            </w:pPr>
          </w:p>
        </w:tc>
        <w:tc>
          <w:tcPr>
            <w:tcW w:w="1418" w:type="dxa"/>
            <w:vMerge w:val="continue"/>
            <w:tcBorders>
              <w:left w:val="single" w:color="auto" w:sz="4" w:space="0"/>
              <w:right w:val="single" w:color="auto" w:sz="4" w:space="0"/>
            </w:tcBorders>
            <w:vAlign w:val="center"/>
          </w:tcPr>
          <w:p>
            <w:pPr>
              <w:adjustRightInd w:val="0"/>
              <w:snapToGrid w:val="0"/>
              <w:spacing w:line="360" w:lineRule="atLeast"/>
              <w:jc w:val="center"/>
              <w:textAlignment w:val="baseline"/>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szCs w:val="21"/>
                <w:lang w:bidi="ar"/>
              </w:rPr>
            </w:pPr>
            <w:r>
              <w:rPr>
                <w:rFonts w:hint="eastAsia" w:ascii="宋体" w:hAnsi="宋体" w:cs="宋体"/>
                <w:color w:val="000000"/>
                <w:szCs w:val="21"/>
                <w:lang w:bidi="ar"/>
              </w:rPr>
              <w:t>认证体系</w:t>
            </w:r>
            <w:r>
              <w:rPr>
                <w:rFonts w:hint="eastAsia" w:ascii="宋体" w:hAnsi="宋体"/>
                <w:bCs/>
                <w:szCs w:val="21"/>
              </w:rPr>
              <w:t>（</w:t>
            </w:r>
            <w:r>
              <w:rPr>
                <w:rFonts w:hint="eastAsia" w:ascii="宋体" w:hAnsi="宋体"/>
                <w:szCs w:val="21"/>
              </w:rPr>
              <w:t>满分</w:t>
            </w:r>
            <w:r>
              <w:rPr>
                <w:rFonts w:hint="eastAsia" w:ascii="宋体" w:hAnsi="宋体"/>
                <w:szCs w:val="21"/>
                <w:u w:val="single"/>
              </w:rPr>
              <w:t>6</w:t>
            </w:r>
            <w:r>
              <w:rPr>
                <w:rFonts w:hint="eastAsia" w:ascii="宋体" w:hAnsi="宋体"/>
                <w:szCs w:val="21"/>
              </w:rPr>
              <w:t>分</w:t>
            </w:r>
            <w:r>
              <w:rPr>
                <w:rFonts w:hint="eastAsia" w:ascii="宋体" w:hAnsi="宋体"/>
                <w:bCs/>
                <w:szCs w:val="21"/>
              </w:rPr>
              <w:t>）</w:t>
            </w:r>
          </w:p>
        </w:tc>
        <w:tc>
          <w:tcPr>
            <w:tcW w:w="6606" w:type="dxa"/>
            <w:tcBorders>
              <w:top w:val="single" w:color="auto" w:sz="4" w:space="0"/>
              <w:left w:val="single" w:color="auto" w:sz="4" w:space="0"/>
              <w:bottom w:val="single" w:color="auto" w:sz="4" w:space="0"/>
              <w:right w:val="single" w:color="auto" w:sz="4" w:space="0"/>
            </w:tcBorders>
            <w:vAlign w:val="center"/>
          </w:tcPr>
          <w:p>
            <w:pPr>
              <w:widowControl/>
              <w:jc w:val="left"/>
              <w:rPr>
                <w:szCs w:val="21"/>
              </w:rPr>
            </w:pPr>
            <w:r>
              <w:rPr>
                <w:rFonts w:hint="eastAsia" w:ascii="宋体" w:hAnsi="宋体" w:cs="宋体"/>
                <w:kern w:val="0"/>
                <w:szCs w:val="21"/>
                <w:lang w:bidi="ar"/>
              </w:rPr>
              <w:t>投标人具有 ISO9001 质量体系，ISO14001 环境管理体系，ISO45001职业健康安全管理体系，有一个得2分，最多6分</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总得分=1+2+3</w:t>
            </w:r>
          </w:p>
        </w:tc>
      </w:tr>
    </w:tbl>
    <w:p>
      <w:pPr>
        <w:pStyle w:val="14"/>
        <w:ind w:firstLine="420"/>
      </w:pPr>
    </w:p>
    <w:p>
      <w:pPr>
        <w:spacing w:line="360" w:lineRule="auto"/>
        <w:ind w:firstLine="480" w:firstLineChars="200"/>
        <w:rPr>
          <w:rFonts w:ascii="宋体" w:hAnsi="宋体" w:cs="宋体"/>
          <w:snapToGrid w:val="0"/>
          <w:kern w:val="0"/>
          <w:sz w:val="24"/>
        </w:rPr>
      </w:pPr>
      <w:r>
        <w:rPr>
          <w:rFonts w:hint="eastAsia" w:ascii="宋体" w:hAnsi="宋体" w:cs="宋体"/>
          <w:bCs/>
          <w:sz w:val="24"/>
        </w:rPr>
        <w:t>由磋商小组根据综合评分情况，按照评审得分由高到低顺序推荐3名以上成交候选供应商，并编写评审报告。</w:t>
      </w:r>
      <w:r>
        <w:rPr>
          <w:rFonts w:hint="eastAsia" w:ascii="宋体" w:hAnsi="宋体" w:cs="宋体"/>
          <w:b/>
          <w:bCs/>
          <w:sz w:val="24"/>
        </w:rPr>
        <w:t>符合本章第</w:t>
      </w:r>
      <w:r>
        <w:rPr>
          <w:rFonts w:ascii="宋体" w:hAnsi="宋体" w:cs="宋体"/>
          <w:b/>
          <w:bCs/>
          <w:sz w:val="24"/>
        </w:rPr>
        <w:t>2.7、3.7、4.3条情形的，可以推荐2家成交候选供应商。</w:t>
      </w:r>
      <w:r>
        <w:rPr>
          <w:rFonts w:hint="eastAsia" w:ascii="宋体" w:hAnsi="宋体" w:cs="宋体"/>
          <w:bCs/>
          <w:sz w:val="24"/>
        </w:rPr>
        <w:t>评审得分相同的，按照最后报价（不计算价格折扣）由低到高的顺序推荐。评审得分且最后报价（不计算价格折扣）相同的，依次按服务评分高的优先、商务评分高的优先的顺序确定成交候选供应商。</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jc w:val="center"/>
        <w:rPr>
          <w:rFonts w:ascii="宋体" w:hAnsi="宋体" w:cs="宋体"/>
        </w:rPr>
      </w:pPr>
      <w:bookmarkStart w:id="46" w:name="_Toc74323460"/>
    </w:p>
    <w:p>
      <w:pPr>
        <w:pStyle w:val="3"/>
        <w:jc w:val="center"/>
        <w:rPr>
          <w:rFonts w:ascii="宋体" w:hAnsi="宋体" w:cs="宋体"/>
        </w:rPr>
      </w:pPr>
      <w:r>
        <w:rPr>
          <w:rFonts w:hint="eastAsia" w:ascii="宋体" w:hAnsi="宋体" w:cs="宋体"/>
        </w:rPr>
        <w:t>第五章 响应文件格式</w:t>
      </w:r>
      <w:bookmarkEnd w:id="46"/>
    </w:p>
    <w:p>
      <w:pPr>
        <w:spacing w:line="240" w:lineRule="atLeast"/>
        <w:rPr>
          <w:rFonts w:ascii="宋体" w:hAnsi="宋体" w:cs="宋体"/>
          <w:b/>
          <w:sz w:val="32"/>
          <w:szCs w:val="32"/>
        </w:rPr>
      </w:pPr>
    </w:p>
    <w:p>
      <w:pPr>
        <w:spacing w:line="240" w:lineRule="atLeast"/>
        <w:rPr>
          <w:rFonts w:ascii="宋体" w:hAnsi="宋体" w:cs="宋体"/>
          <w:bCs/>
          <w:sz w:val="32"/>
          <w:szCs w:val="32"/>
        </w:rPr>
      </w:pPr>
    </w:p>
    <w:p>
      <w:pPr>
        <w:jc w:val="center"/>
        <w:rPr>
          <w:rFonts w:ascii="宋体" w:hAnsi="宋体" w:cs="宋体"/>
          <w:b/>
          <w:sz w:val="32"/>
          <w:szCs w:val="32"/>
        </w:rPr>
      </w:pPr>
      <w:bookmarkStart w:id="47" w:name="_Toc31728084"/>
      <w:bookmarkStart w:id="48" w:name="_Toc35611438"/>
      <w:bookmarkStart w:id="49" w:name="_Toc31723070"/>
      <w:bookmarkStart w:id="50" w:name="_Toc71365925"/>
      <w:bookmarkStart w:id="51" w:name="_Toc35611516"/>
      <w:bookmarkStart w:id="52" w:name="_Toc44229899"/>
      <w:r>
        <w:rPr>
          <w:rFonts w:hint="eastAsia" w:ascii="宋体" w:hAnsi="宋体" w:cs="宋体"/>
          <w:b/>
          <w:sz w:val="32"/>
          <w:szCs w:val="32"/>
        </w:rPr>
        <w:t>一、资格证明文件格式</w:t>
      </w:r>
      <w:bookmarkEnd w:id="47"/>
      <w:bookmarkEnd w:id="48"/>
      <w:bookmarkEnd w:id="49"/>
      <w:bookmarkEnd w:id="50"/>
      <w:bookmarkEnd w:id="51"/>
      <w:bookmarkEnd w:id="52"/>
    </w:p>
    <w:p>
      <w:pPr>
        <w:snapToGrid w:val="0"/>
        <w:spacing w:before="156" w:beforeLines="50" w:after="50" w:line="360" w:lineRule="auto"/>
        <w:jc w:val="center"/>
        <w:rPr>
          <w:rFonts w:ascii="宋体" w:hAnsi="宋体" w:cs="宋体"/>
          <w:b/>
          <w:sz w:val="24"/>
        </w:rPr>
      </w:pPr>
      <w:r>
        <w:rPr>
          <w:rFonts w:hint="eastAsia" w:ascii="宋体" w:hAnsi="宋体" w:cs="宋体"/>
          <w:b/>
          <w:sz w:val="32"/>
          <w:szCs w:val="32"/>
        </w:rPr>
        <w:t>1.资格证明文件封面格式：</w:t>
      </w:r>
    </w:p>
    <w:p>
      <w:pPr>
        <w:snapToGrid w:val="0"/>
        <w:spacing w:before="156" w:beforeLines="50" w:after="50"/>
        <w:rPr>
          <w:rFonts w:ascii="宋体" w:hAnsi="宋体" w:cs="宋体"/>
          <w:bCs/>
          <w:sz w:val="32"/>
          <w:szCs w:val="20"/>
        </w:rPr>
      </w:pPr>
      <w:r>
        <w:rPr>
          <w:rFonts w:hint="eastAsia" w:ascii="宋体" w:hAnsi="宋体" w:cs="宋体"/>
          <w:sz w:val="24"/>
        </w:rPr>
        <w:t xml:space="preserve">                                                    </w:t>
      </w:r>
    </w:p>
    <w:p>
      <w:pPr>
        <w:snapToGrid w:val="0"/>
        <w:spacing w:before="156" w:beforeLines="50" w:after="50"/>
        <w:rPr>
          <w:rFonts w:ascii="宋体" w:hAnsi="宋体" w:cs="宋体"/>
          <w:sz w:val="24"/>
          <w:szCs w:val="20"/>
        </w:rPr>
      </w:pPr>
    </w:p>
    <w:p>
      <w:pPr>
        <w:snapToGrid w:val="0"/>
        <w:spacing w:before="156" w:beforeLines="50" w:after="50"/>
        <w:jc w:val="center"/>
        <w:rPr>
          <w:rFonts w:ascii="宋体" w:hAnsi="宋体" w:cs="宋体"/>
          <w:bCs/>
          <w:sz w:val="84"/>
          <w:szCs w:val="84"/>
        </w:rPr>
      </w:pPr>
      <w:r>
        <w:rPr>
          <w:rFonts w:hint="eastAsia" w:ascii="宋体" w:hAnsi="宋体" w:cs="宋体"/>
          <w:bCs/>
          <w:sz w:val="84"/>
          <w:szCs w:val="84"/>
        </w:rPr>
        <w:t>响  应  文  件</w:t>
      </w:r>
    </w:p>
    <w:p>
      <w:pPr>
        <w:snapToGrid w:val="0"/>
        <w:spacing w:before="156" w:beforeLines="50" w:after="50"/>
        <w:jc w:val="center"/>
        <w:rPr>
          <w:rFonts w:ascii="宋体" w:hAnsi="宋体" w:cs="宋体"/>
          <w:bCs/>
          <w:sz w:val="44"/>
          <w:szCs w:val="44"/>
        </w:rPr>
      </w:pPr>
    </w:p>
    <w:p>
      <w:pPr>
        <w:snapToGrid w:val="0"/>
        <w:spacing w:before="156" w:beforeLines="50" w:after="50"/>
        <w:jc w:val="center"/>
        <w:rPr>
          <w:rFonts w:ascii="宋体" w:hAnsi="宋体" w:cs="宋体"/>
          <w:bCs/>
          <w:sz w:val="32"/>
          <w:szCs w:val="32"/>
        </w:rPr>
      </w:pPr>
      <w:r>
        <w:rPr>
          <w:rFonts w:hint="eastAsia" w:ascii="宋体" w:hAnsi="宋体" w:cs="宋体"/>
          <w:bCs/>
          <w:sz w:val="32"/>
          <w:szCs w:val="32"/>
        </w:rPr>
        <w:t>资  格  证  明  文  件</w:t>
      </w:r>
    </w:p>
    <w:p>
      <w:pPr>
        <w:snapToGrid w:val="0"/>
        <w:spacing w:before="156" w:beforeLines="50" w:after="50"/>
        <w:rPr>
          <w:rFonts w:ascii="宋体" w:hAnsi="宋体" w:cs="宋体"/>
          <w:bCs/>
          <w:sz w:val="24"/>
          <w:szCs w:val="20"/>
        </w:rPr>
      </w:pPr>
    </w:p>
    <w:p>
      <w:pPr>
        <w:snapToGrid w:val="0"/>
        <w:spacing w:before="156" w:beforeLines="50" w:after="50"/>
        <w:rPr>
          <w:rFonts w:ascii="宋体" w:hAnsi="宋体" w:cs="宋体"/>
          <w:bCs/>
          <w:sz w:val="22"/>
          <w:szCs w:val="18"/>
        </w:rPr>
      </w:pPr>
    </w:p>
    <w:p>
      <w:pPr>
        <w:snapToGrid w:val="0"/>
        <w:spacing w:before="156" w:beforeLines="50" w:after="50"/>
        <w:rPr>
          <w:rFonts w:ascii="宋体" w:hAnsi="宋体" w:cs="宋体"/>
          <w:bCs/>
          <w:sz w:val="22"/>
          <w:szCs w:val="18"/>
        </w:rPr>
      </w:pPr>
    </w:p>
    <w:p>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项目名称：</w:t>
      </w:r>
    </w:p>
    <w:p>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项目编号：</w:t>
      </w:r>
    </w:p>
    <w:p>
      <w:pPr>
        <w:snapToGrid w:val="0"/>
        <w:spacing w:before="156" w:beforeLines="50" w:after="50"/>
        <w:ind w:firstLine="2396" w:firstLineChars="856"/>
        <w:rPr>
          <w:rFonts w:ascii="宋体" w:hAnsi="宋体" w:cs="宋体"/>
          <w:bCs/>
          <w:sz w:val="28"/>
          <w:szCs w:val="28"/>
        </w:rPr>
      </w:pPr>
      <w:r>
        <w:rPr>
          <w:rFonts w:hint="eastAsia" w:ascii="宋体" w:hAnsi="宋体" w:cs="宋体"/>
          <w:bCs/>
          <w:sz w:val="28"/>
          <w:szCs w:val="28"/>
        </w:rPr>
        <w:t>所竞分标（如有）：</w:t>
      </w:r>
    </w:p>
    <w:p>
      <w:pPr>
        <w:pStyle w:val="7"/>
        <w:snapToGrid w:val="0"/>
        <w:spacing w:before="50" w:after="50"/>
        <w:ind w:firstLine="2396" w:firstLineChars="856"/>
        <w:rPr>
          <w:rFonts w:ascii="宋体" w:hAnsi="宋体" w:cs="宋体"/>
          <w:bCs/>
          <w:sz w:val="28"/>
          <w:szCs w:val="28"/>
        </w:rPr>
      </w:pPr>
      <w:r>
        <w:rPr>
          <w:rFonts w:hint="eastAsia" w:ascii="宋体" w:hAnsi="宋体" w:cs="宋体"/>
          <w:bCs/>
          <w:sz w:val="28"/>
          <w:szCs w:val="28"/>
        </w:rPr>
        <w:t>供应商名称：</w:t>
      </w:r>
    </w:p>
    <w:p>
      <w:pPr>
        <w:pStyle w:val="7"/>
        <w:snapToGrid w:val="0"/>
        <w:spacing w:before="50" w:after="50"/>
        <w:ind w:firstLine="630" w:firstLineChars="225"/>
        <w:rPr>
          <w:rFonts w:ascii="宋体" w:hAnsi="宋体" w:cs="宋体"/>
          <w:bCs/>
          <w:sz w:val="28"/>
          <w:szCs w:val="28"/>
        </w:rPr>
      </w:pPr>
    </w:p>
    <w:p>
      <w:pPr>
        <w:pStyle w:val="7"/>
        <w:snapToGrid w:val="0"/>
        <w:spacing w:before="50" w:after="50"/>
        <w:ind w:firstLine="630" w:firstLineChars="225"/>
        <w:rPr>
          <w:rFonts w:ascii="宋体" w:hAnsi="宋体" w:cs="宋体"/>
          <w:bCs/>
          <w:sz w:val="28"/>
          <w:szCs w:val="28"/>
        </w:rPr>
      </w:pPr>
    </w:p>
    <w:p>
      <w:pPr>
        <w:pStyle w:val="7"/>
        <w:snapToGrid w:val="0"/>
        <w:spacing w:before="50" w:after="50"/>
        <w:ind w:firstLine="1120" w:firstLineChars="400"/>
        <w:rPr>
          <w:rFonts w:ascii="宋体" w:hAnsi="宋体" w:cs="宋体"/>
          <w:bCs/>
          <w:sz w:val="28"/>
          <w:szCs w:val="28"/>
        </w:rPr>
      </w:pPr>
    </w:p>
    <w:p>
      <w:pPr>
        <w:snapToGrid w:val="0"/>
        <w:spacing w:before="156" w:beforeLines="50" w:after="50"/>
        <w:jc w:val="center"/>
        <w:rPr>
          <w:rFonts w:ascii="宋体" w:hAnsi="宋体" w:cs="宋体"/>
          <w:sz w:val="28"/>
          <w:szCs w:val="28"/>
        </w:rPr>
      </w:pPr>
      <w:r>
        <w:rPr>
          <w:rFonts w:hint="eastAsia" w:ascii="宋体" w:hAnsi="宋体" w:cs="宋体"/>
          <w:sz w:val="28"/>
          <w:szCs w:val="28"/>
        </w:rPr>
        <w:t>年    月    日</w:t>
      </w:r>
    </w:p>
    <w:p>
      <w:pPr>
        <w:snapToGrid w:val="0"/>
        <w:spacing w:before="156" w:beforeLines="50" w:after="50"/>
        <w:ind w:left="142"/>
        <w:jc w:val="left"/>
        <w:rPr>
          <w:rFonts w:ascii="宋体" w:hAnsi="宋体" w:cs="宋体"/>
          <w:b/>
          <w:bCs/>
          <w:sz w:val="32"/>
          <w:szCs w:val="32"/>
        </w:rPr>
      </w:pPr>
      <w:r>
        <w:rPr>
          <w:rFonts w:hint="eastAsia" w:ascii="宋体" w:hAnsi="宋体" w:cs="宋体"/>
          <w:sz w:val="22"/>
          <w:szCs w:val="22"/>
        </w:rPr>
        <w:br w:type="page"/>
      </w:r>
      <w:r>
        <w:rPr>
          <w:rFonts w:hint="eastAsia" w:ascii="宋体" w:hAnsi="宋体" w:cs="宋体"/>
          <w:b/>
          <w:bCs/>
          <w:sz w:val="32"/>
          <w:szCs w:val="32"/>
        </w:rPr>
        <w:t>2.资格证明文件目录</w:t>
      </w:r>
    </w:p>
    <w:p>
      <w:pPr>
        <w:snapToGrid w:val="0"/>
        <w:spacing w:before="156" w:beforeLines="50" w:after="50" w:line="360" w:lineRule="auto"/>
        <w:ind w:firstLine="645"/>
        <w:rPr>
          <w:rFonts w:ascii="宋体" w:hAnsi="宋体" w:cs="宋体"/>
          <w:sz w:val="28"/>
          <w:szCs w:val="28"/>
        </w:rPr>
      </w:pPr>
      <w:r>
        <w:rPr>
          <w:rFonts w:hint="eastAsia" w:ascii="宋体" w:hAnsi="宋体" w:cs="宋体"/>
          <w:sz w:val="28"/>
          <w:szCs w:val="28"/>
        </w:rPr>
        <w:t>根据磋商文件规定及供应商提供的材料自行编写目录（部分格式后附）。</w:t>
      </w:r>
    </w:p>
    <w:p>
      <w:pPr>
        <w:snapToGrid w:val="0"/>
        <w:spacing w:before="156" w:beforeLines="50" w:after="50"/>
        <w:rPr>
          <w:rFonts w:ascii="宋体" w:hAnsi="宋体" w:cs="宋体"/>
          <w:szCs w:val="21"/>
        </w:rPr>
      </w:pPr>
      <w:r>
        <w:rPr>
          <w:rFonts w:hint="eastAsia" w:ascii="宋体" w:hAnsi="宋体" w:cs="宋体"/>
          <w:sz w:val="22"/>
          <w:szCs w:val="18"/>
        </w:rPr>
        <w:t xml:space="preserve"> </w:t>
      </w: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jc w:val="center"/>
        <w:rPr>
          <w:rFonts w:ascii="宋体" w:hAnsi="宋体" w:cs="宋体"/>
          <w:b/>
          <w:sz w:val="32"/>
          <w:szCs w:val="32"/>
        </w:rPr>
      </w:pPr>
      <w:r>
        <w:rPr>
          <w:rFonts w:hint="eastAsia" w:ascii="宋体" w:hAnsi="宋体" w:cs="宋体"/>
          <w:szCs w:val="21"/>
        </w:rPr>
        <w:br w:type="page"/>
      </w:r>
    </w:p>
    <w:p>
      <w:pPr>
        <w:jc w:val="center"/>
        <w:rPr>
          <w:rFonts w:ascii="宋体" w:hAnsi="宋体" w:cs="宋体"/>
          <w:b/>
          <w:sz w:val="32"/>
          <w:szCs w:val="32"/>
        </w:rPr>
      </w:pPr>
      <w:r>
        <w:rPr>
          <w:rFonts w:hint="eastAsia" w:ascii="宋体" w:hAnsi="宋体" w:cs="宋体"/>
          <w:b/>
          <w:sz w:val="32"/>
          <w:szCs w:val="32"/>
        </w:rPr>
        <w:t>供应商直接控股、管理关系信息表</w:t>
      </w:r>
    </w:p>
    <w:p>
      <w:pPr>
        <w:jc w:val="center"/>
        <w:rPr>
          <w:rFonts w:ascii="宋体" w:hAnsi="宋体" w:cs="宋体"/>
          <w:b/>
          <w:sz w:val="32"/>
          <w:szCs w:val="32"/>
        </w:rPr>
      </w:pPr>
      <w:r>
        <w:rPr>
          <w:rFonts w:hint="eastAsia" w:ascii="宋体" w:hAnsi="宋体" w:cs="宋体"/>
          <w:b/>
          <w:sz w:val="32"/>
          <w:szCs w:val="32"/>
        </w:rPr>
        <w:t>（一）供应商</w:t>
      </w:r>
      <w:r>
        <w:rPr>
          <w:rFonts w:hint="eastAsia" w:ascii="宋体" w:hAnsi="宋体" w:cs="宋体"/>
          <w:b/>
          <w:kern w:val="0"/>
          <w:sz w:val="32"/>
          <w:szCs w:val="32"/>
        </w:rPr>
        <w:t>直接控股股东信息表</w:t>
      </w:r>
    </w:p>
    <w:p>
      <w:pPr>
        <w:snapToGrid w:val="0"/>
        <w:spacing w:before="156" w:beforeLines="50" w:after="50"/>
        <w:jc w:val="center"/>
        <w:rPr>
          <w:rFonts w:ascii="宋体" w:hAnsi="宋体" w:cs="宋体"/>
          <w:b/>
          <w:sz w:val="24"/>
        </w:rPr>
      </w:pPr>
    </w:p>
    <w:p>
      <w:pPr>
        <w:spacing w:line="360" w:lineRule="auto"/>
        <w:contextualSpacing/>
        <w:jc w:val="center"/>
        <w:rPr>
          <w:rFonts w:ascii="宋体" w:hAnsi="宋体" w:cs="宋体"/>
          <w:b/>
          <w:sz w:val="24"/>
        </w:rPr>
      </w:pPr>
    </w:p>
    <w:tbl>
      <w:tblPr>
        <w:tblStyle w:val="29"/>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tblPrEx>
          <w:shd w:val="clear" w:color="auto" w:fill="FBFBFB"/>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bl>
    <w:p>
      <w:pPr>
        <w:spacing w:line="360" w:lineRule="auto"/>
        <w:contextualSpacing/>
        <w:jc w:val="left"/>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3.供应商不存在直接控股股东的，则填“无”。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before="156" w:beforeLines="50" w:line="360" w:lineRule="auto"/>
        <w:ind w:right="480" w:firstLine="3480" w:firstLineChars="145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pPr>
        <w:snapToGrid w:val="0"/>
        <w:spacing w:before="156" w:beforeLines="50" w:after="50" w:line="360" w:lineRule="auto"/>
        <w:ind w:right="480" w:firstLine="3480" w:firstLineChars="1450"/>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napToGrid w:val="0"/>
        <w:spacing w:before="156" w:beforeLines="50" w:after="50" w:line="360" w:lineRule="auto"/>
        <w:ind w:right="480" w:firstLine="3600" w:firstLineChars="1500"/>
        <w:rPr>
          <w:rFonts w:ascii="宋体" w:hAnsi="宋体" w:cs="宋体"/>
          <w:sz w:val="28"/>
          <w:szCs w:val="28"/>
        </w:rPr>
      </w:pPr>
      <w:r>
        <w:rPr>
          <w:rFonts w:hint="eastAsia" w:hAnsi="宋体" w:cs="宋体"/>
          <w:sz w:val="24"/>
        </w:rPr>
        <w:t>日期：</w:t>
      </w:r>
      <w:r>
        <w:rPr>
          <w:rFonts w:hint="eastAsia" w:hAnsi="宋体" w:cs="宋体"/>
          <w:sz w:val="24"/>
          <w:u w:val="single"/>
        </w:rPr>
        <w:t xml:space="preserve"> </w:t>
      </w:r>
      <w:r>
        <w:rPr>
          <w:rFonts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jc w:val="center"/>
        <w:rPr>
          <w:rFonts w:ascii="宋体" w:hAnsi="宋体" w:cs="宋体"/>
          <w:b/>
          <w:sz w:val="28"/>
          <w:szCs w:val="28"/>
        </w:rPr>
      </w:pPr>
      <w:r>
        <w:rPr>
          <w:rFonts w:hint="eastAsia" w:ascii="宋体" w:hAnsi="宋体" w:cs="宋体"/>
          <w:b/>
          <w:sz w:val="28"/>
          <w:szCs w:val="28"/>
        </w:rPr>
        <w:br w:type="page"/>
      </w:r>
    </w:p>
    <w:p>
      <w:pPr>
        <w:jc w:val="center"/>
        <w:rPr>
          <w:rFonts w:ascii="宋体" w:hAnsi="宋体" w:cs="宋体"/>
          <w:b/>
          <w:sz w:val="32"/>
          <w:szCs w:val="32"/>
        </w:rPr>
      </w:pPr>
      <w:r>
        <w:rPr>
          <w:rFonts w:hint="eastAsia" w:ascii="宋体" w:hAnsi="宋体" w:cs="宋体"/>
          <w:b/>
          <w:sz w:val="32"/>
          <w:szCs w:val="32"/>
        </w:rPr>
        <w:t>（二）供应商直接管理关系信息表</w:t>
      </w:r>
    </w:p>
    <w:p>
      <w:pPr>
        <w:snapToGrid w:val="0"/>
        <w:spacing w:line="360" w:lineRule="auto"/>
        <w:jc w:val="center"/>
        <w:rPr>
          <w:rFonts w:ascii="宋体" w:hAnsi="宋体" w:cs="宋体"/>
          <w:b/>
          <w:sz w:val="24"/>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bl>
    <w:p>
      <w:pPr>
        <w:spacing w:line="360" w:lineRule="auto"/>
        <w:contextualSpacing/>
        <w:jc w:val="left"/>
        <w:rPr>
          <w:rFonts w:ascii="楷体" w:hAnsi="楷体" w:eastAsia="楷体" w:cs="宋体"/>
          <w:b/>
          <w:sz w:val="24"/>
        </w:rPr>
      </w:pPr>
      <w:r>
        <w:rPr>
          <w:rFonts w:hint="eastAsia" w:ascii="楷体" w:hAnsi="楷体" w:eastAsia="楷体" w:cs="宋体"/>
          <w:b/>
          <w:sz w:val="24"/>
        </w:rPr>
        <w:t>注：</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3.供应商不存在直接管理关系的，则填“无”。</w:t>
      </w:r>
    </w:p>
    <w:p>
      <w:pPr>
        <w:spacing w:line="360" w:lineRule="auto"/>
        <w:contextualSpacing/>
        <w:jc w:val="left"/>
        <w:rPr>
          <w:rFonts w:ascii="宋体" w:hAnsi="宋体" w:cs="宋体"/>
          <w:sz w:val="24"/>
        </w:rPr>
      </w:pPr>
    </w:p>
    <w:p>
      <w:pPr>
        <w:spacing w:line="360" w:lineRule="auto"/>
        <w:contextualSpacing/>
        <w:jc w:val="left"/>
        <w:rPr>
          <w:rFonts w:ascii="宋体" w:hAnsi="宋体" w:cs="宋体"/>
          <w:sz w:val="24"/>
        </w:rPr>
      </w:pPr>
    </w:p>
    <w:p>
      <w:pPr>
        <w:spacing w:line="360" w:lineRule="auto"/>
        <w:contextualSpacing/>
        <w:jc w:val="left"/>
        <w:rPr>
          <w:rFonts w:ascii="宋体" w:hAnsi="宋体" w:cs="宋体"/>
          <w:sz w:val="24"/>
        </w:rPr>
      </w:pPr>
    </w:p>
    <w:p>
      <w:pPr>
        <w:spacing w:line="360" w:lineRule="auto"/>
        <w:contextualSpacing/>
        <w:jc w:val="left"/>
        <w:rPr>
          <w:rFonts w:ascii="宋体" w:hAnsi="宋体" w:cs="宋体"/>
          <w:sz w:val="24"/>
        </w:rPr>
      </w:pPr>
    </w:p>
    <w:p>
      <w:pPr>
        <w:spacing w:line="360" w:lineRule="auto"/>
        <w:contextualSpacing/>
        <w:jc w:val="left"/>
        <w:rPr>
          <w:rFonts w:ascii="宋体" w:hAnsi="宋体" w:cs="宋体"/>
          <w:sz w:val="24"/>
        </w:rPr>
      </w:pPr>
    </w:p>
    <w:p>
      <w:pPr>
        <w:spacing w:line="360" w:lineRule="auto"/>
        <w:contextualSpacing/>
        <w:jc w:val="left"/>
        <w:rPr>
          <w:rFonts w:ascii="宋体" w:hAnsi="宋体" w:cs="宋体"/>
          <w:sz w:val="24"/>
        </w:rPr>
      </w:pPr>
    </w:p>
    <w:p>
      <w:pPr>
        <w:spacing w:line="360" w:lineRule="auto"/>
        <w:ind w:right="480" w:firstLine="3360" w:firstLineChars="1400"/>
        <w:contextualSpacing/>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pPr>
        <w:spacing w:line="360" w:lineRule="auto"/>
        <w:ind w:right="480" w:firstLine="3360" w:firstLineChars="14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right="480" w:firstLine="240" w:firstLineChars="100"/>
        <w:contextualSpacing/>
        <w:jc w:val="center"/>
        <w:rPr>
          <w:rFonts w:ascii="宋体" w:hAnsi="宋体" w:cs="宋体"/>
          <w:sz w:val="28"/>
          <w:szCs w:val="28"/>
        </w:rPr>
      </w:pPr>
      <w:r>
        <w:rPr>
          <w:rFonts w:hint="eastAsia" w:ascii="宋体" w:hAnsi="宋体" w:cs="宋体"/>
          <w:sz w:val="24"/>
        </w:rPr>
        <w:t xml:space="preserve"> </w:t>
      </w:r>
      <w:r>
        <w:rPr>
          <w:rFonts w:ascii="宋体" w:hAnsi="宋体" w:cs="宋体"/>
          <w:sz w:val="24"/>
        </w:rPr>
        <w:t xml:space="preserve">         </w:t>
      </w:r>
      <w:r>
        <w:rPr>
          <w:rFonts w:hint="eastAsia" w:hAnsi="宋体" w:cs="宋体"/>
          <w:sz w:val="24"/>
        </w:rPr>
        <w:t>日期：</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参与竞争性磋商声明</w:t>
      </w:r>
    </w:p>
    <w:p>
      <w:pPr>
        <w:spacing w:line="320" w:lineRule="exact"/>
        <w:jc w:val="center"/>
        <w:rPr>
          <w:rFonts w:ascii="宋体" w:hAnsi="宋体" w:cs="宋体"/>
          <w:sz w:val="24"/>
          <w:szCs w:val="20"/>
        </w:rPr>
      </w:pPr>
    </w:p>
    <w:p>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项目的竞争性磋商，为便于贵方公正、择优地确定成交供应商及其参与竞争性磋商提供的产品和服务，我方就本次参与竞争性磋商有关事项郑重声明如下：</w:t>
      </w:r>
    </w:p>
    <w:p>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pPr>
        <w:spacing w:line="360" w:lineRule="auto"/>
        <w:ind w:firstLine="480" w:firstLineChars="200"/>
        <w:contextualSpacing/>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（4）响应磋商文件规定的竞争性磋商有效期。</w:t>
      </w:r>
    </w:p>
    <w:p>
      <w:pPr>
        <w:spacing w:line="360" w:lineRule="auto"/>
        <w:ind w:firstLine="480" w:firstLineChars="200"/>
        <w:contextualSpacing/>
        <w:rPr>
          <w:rFonts w:ascii="宋体" w:hAnsi="宋体" w:cs="宋体"/>
          <w:sz w:val="24"/>
        </w:rPr>
      </w:pPr>
      <w:r>
        <w:rPr>
          <w:rFonts w:hint="eastAsia" w:ascii="宋体" w:hAnsi="宋体" w:cs="宋体"/>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sz w:val="24"/>
        </w:rPr>
      </w:pPr>
      <w:r>
        <w:rPr>
          <w:rFonts w:hint="eastAsia" w:ascii="宋体" w:hAnsi="宋体" w:cs="宋体"/>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pStyle w:val="18"/>
        <w:spacing w:line="360" w:lineRule="auto"/>
        <w:ind w:firstLine="480" w:firstLineChars="200"/>
        <w:contextualSpacing/>
        <w:rPr>
          <w:rFonts w:hAnsi="宋体" w:cs="宋体"/>
          <w:sz w:val="24"/>
          <w:szCs w:val="24"/>
          <w:u w:val="single"/>
        </w:rPr>
      </w:pPr>
      <w:r>
        <w:rPr>
          <w:rFonts w:hint="eastAsia" w:hAnsi="宋体" w:cs="宋体"/>
          <w:sz w:val="24"/>
          <w:szCs w:val="24"/>
        </w:rPr>
        <w:t>6.与本磋商有关的一切正式往来信函请寄：</w:t>
      </w:r>
      <w:r>
        <w:rPr>
          <w:rFonts w:hint="eastAsia" w:hAnsi="宋体" w:cs="宋体"/>
          <w:sz w:val="24"/>
          <w:szCs w:val="24"/>
          <w:u w:val="single"/>
        </w:rPr>
        <w:t xml:space="preserve">                  </w:t>
      </w:r>
      <w:r>
        <w:rPr>
          <w:rFonts w:hint="eastAsia" w:hAnsi="宋体" w:cs="宋体"/>
          <w:sz w:val="24"/>
          <w:szCs w:val="24"/>
        </w:rPr>
        <w:t>邮政编码：</w:t>
      </w:r>
      <w:r>
        <w:rPr>
          <w:rFonts w:hint="eastAsia" w:hAnsi="宋体" w:cs="宋体"/>
          <w:sz w:val="24"/>
          <w:szCs w:val="24"/>
          <w:u w:val="single"/>
        </w:rPr>
        <w:t xml:space="preserve">        </w:t>
      </w:r>
    </w:p>
    <w:p>
      <w:pPr>
        <w:pStyle w:val="18"/>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pPr>
        <w:pStyle w:val="17"/>
        <w:tabs>
          <w:tab w:val="left" w:pos="939"/>
        </w:tabs>
        <w:spacing w:line="360" w:lineRule="auto"/>
        <w:ind w:left="0" w:leftChars="0"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pPr>
        <w:pStyle w:val="17"/>
        <w:tabs>
          <w:tab w:val="left" w:pos="939"/>
        </w:tabs>
        <w:spacing w:line="360" w:lineRule="auto"/>
        <w:ind w:left="0" w:leftChars="0" w:firstLine="480" w:firstLineChars="200"/>
        <w:rPr>
          <w:rFonts w:ascii="宋体" w:hAnsi="宋体" w:cs="宋体"/>
          <w:sz w:val="24"/>
        </w:rPr>
      </w:pPr>
      <w:r>
        <w:rPr>
          <w:rFonts w:hint="eastAsia" w:ascii="宋体" w:hAnsi="宋体" w:cs="宋体"/>
          <w:sz w:val="24"/>
        </w:rPr>
        <w:t>7.以上事项如有虚假或者隐瞒，我方愿意承担一切后果，并不再寻求任何旨在减轻或者免除法律责任的辩解。</w:t>
      </w:r>
    </w:p>
    <w:p>
      <w:pPr>
        <w:pStyle w:val="17"/>
        <w:tabs>
          <w:tab w:val="left" w:pos="939"/>
        </w:tabs>
        <w:spacing w:line="360" w:lineRule="auto"/>
        <w:ind w:left="0" w:leftChars="0" w:firstLine="480" w:firstLineChars="200"/>
        <w:rPr>
          <w:rFonts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我方若参与竞争性磋商成功，除非发生不可抗力，承诺与采购人及时签订《合同书》。如果放弃，自愿按照本磋商文件之《供应商须知正文》条款第2</w:t>
      </w:r>
      <w:r>
        <w:rPr>
          <w:rFonts w:ascii="宋体" w:hAnsi="宋体" w:cs="宋体"/>
          <w:sz w:val="24"/>
        </w:rPr>
        <w:t>7.3</w:t>
      </w:r>
      <w:r>
        <w:rPr>
          <w:rFonts w:hint="eastAsia" w:ascii="宋体" w:hAnsi="宋体" w:cs="宋体"/>
          <w:sz w:val="24"/>
        </w:rPr>
        <w:t>条的要求承担法律责任和失信惩戒。</w:t>
      </w:r>
    </w:p>
    <w:p>
      <w:pPr>
        <w:pStyle w:val="17"/>
        <w:tabs>
          <w:tab w:val="left" w:pos="939"/>
        </w:tabs>
        <w:spacing w:line="360" w:lineRule="auto"/>
        <w:ind w:left="0" w:leftChars="0" w:firstLine="360" w:firstLineChars="150"/>
        <w:rPr>
          <w:rFonts w:ascii="宋体" w:hAnsi="宋体" w:cs="宋体"/>
          <w:sz w:val="24"/>
        </w:rPr>
      </w:pPr>
      <w:r>
        <w:rPr>
          <w:rFonts w:hint="eastAsia" w:ascii="宋体" w:hAnsi="宋体" w:cs="宋体"/>
          <w:sz w:val="24"/>
        </w:rPr>
        <w:t>特此承诺。</w:t>
      </w:r>
    </w:p>
    <w:p>
      <w:pPr>
        <w:pStyle w:val="17"/>
        <w:tabs>
          <w:tab w:val="left" w:pos="939"/>
        </w:tabs>
        <w:spacing w:line="360" w:lineRule="auto"/>
        <w:ind w:left="0" w:leftChars="0" w:firstLine="482" w:firstLineChars="200"/>
        <w:rPr>
          <w:rFonts w:ascii="楷体" w:hAnsi="楷体" w:eastAsia="楷体" w:cs="宋体"/>
          <w:b/>
          <w:sz w:val="24"/>
        </w:rPr>
      </w:pPr>
      <w:r>
        <w:rPr>
          <w:rFonts w:hint="eastAsia" w:ascii="楷体" w:hAnsi="楷体" w:eastAsia="楷体" w:cs="宋体"/>
          <w:b/>
          <w:sz w:val="24"/>
        </w:rPr>
        <w:t>注：如为联合体参与竞争性磋商，盖章处须加盖联合体各方公章并由联合体各方法定代表人签署，否则其响应文件按无效响应处理。</w:t>
      </w:r>
    </w:p>
    <w:p>
      <w:pPr>
        <w:pStyle w:val="17"/>
        <w:tabs>
          <w:tab w:val="left" w:pos="939"/>
        </w:tabs>
        <w:spacing w:line="360" w:lineRule="auto"/>
        <w:ind w:left="0" w:leftChars="0" w:firstLine="480" w:firstLineChars="200"/>
        <w:rPr>
          <w:rFonts w:ascii="宋体" w:hAnsi="宋体" w:cs="宋体"/>
          <w:sz w:val="24"/>
        </w:rPr>
      </w:pPr>
    </w:p>
    <w:p>
      <w:pPr>
        <w:spacing w:line="360" w:lineRule="auto"/>
        <w:ind w:firstLine="4320" w:firstLineChars="1800"/>
        <w:contextualSpacing/>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pPr>
        <w:spacing w:line="360" w:lineRule="auto"/>
        <w:ind w:firstLine="240" w:firstLineChars="100"/>
        <w:contextualSpacing/>
        <w:jc w:val="center"/>
        <w:rPr>
          <w:rFonts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240" w:firstLineChars="100"/>
        <w:contextualSpacing/>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overflowPunct w:val="0"/>
        <w:spacing w:line="360" w:lineRule="auto"/>
        <w:ind w:firstLine="0"/>
        <w:jc w:val="center"/>
        <w:rPr>
          <w:rFonts w:ascii="宋体" w:hAnsi="宋体" w:cs="宋体"/>
          <w:sz w:val="44"/>
          <w:szCs w:val="44"/>
        </w:rPr>
      </w:pPr>
      <w:r>
        <w:rPr>
          <w:rFonts w:hint="eastAsia" w:ascii="宋体" w:hAnsi="宋体" w:cs="宋体"/>
          <w:sz w:val="24"/>
        </w:rPr>
        <w:br w:type="page"/>
      </w:r>
      <w:r>
        <w:rPr>
          <w:rFonts w:hint="eastAsia" w:ascii="宋体" w:hAnsi="宋体" w:cs="宋体"/>
          <w:sz w:val="44"/>
          <w:szCs w:val="44"/>
        </w:rPr>
        <w:t>联合体参与竞争性磋商协议书</w:t>
      </w:r>
    </w:p>
    <w:p>
      <w:pPr>
        <w:pStyle w:val="7"/>
        <w:overflowPunct w:val="0"/>
        <w:spacing w:line="360" w:lineRule="auto"/>
        <w:ind w:firstLine="0"/>
        <w:rPr>
          <w:rFonts w:ascii="宋体" w:hAnsi="宋体" w:cs="宋体"/>
          <w:sz w:val="24"/>
          <w:szCs w:val="24"/>
        </w:rPr>
      </w:pP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w:t>
      </w:r>
      <w:r>
        <w:rPr>
          <w:rFonts w:hint="eastAsia" w:ascii="宋体" w:hAnsi="宋体" w:cs="宋体"/>
          <w:sz w:val="24"/>
        </w:rPr>
        <w:t>竞争性磋商</w:t>
      </w:r>
      <w:r>
        <w:rPr>
          <w:rFonts w:hint="eastAsia" w:ascii="宋体" w:hAnsi="宋体" w:cs="宋体"/>
          <w:sz w:val="24"/>
          <w:szCs w:val="24"/>
        </w:rPr>
        <w:t>。现就联合体参与</w:t>
      </w:r>
      <w:r>
        <w:rPr>
          <w:rFonts w:hint="eastAsia" w:ascii="宋体" w:hAnsi="宋体" w:cs="宋体"/>
          <w:sz w:val="24"/>
        </w:rPr>
        <w:t>竞争性磋商</w:t>
      </w:r>
      <w:r>
        <w:rPr>
          <w:rFonts w:hint="eastAsia" w:ascii="宋体" w:hAnsi="宋体" w:cs="宋体"/>
          <w:sz w:val="24"/>
          <w:szCs w:val="24"/>
        </w:rPr>
        <w:t>事宜订立如下协议。</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2.联合体各成员授权牵头人代表联合体参加竞标活动，签署文件及对文件的盖章，提交和接收相关的资料、信息及指示，进行合同磋商活动，负责合同实施阶段的组织和协调工作，以及处理与本</w:t>
      </w:r>
      <w:r>
        <w:rPr>
          <w:rFonts w:hint="eastAsia" w:ascii="宋体" w:hAnsi="宋体" w:cs="宋体"/>
          <w:sz w:val="24"/>
        </w:rPr>
        <w:t>竞争性磋商</w:t>
      </w:r>
      <w:r>
        <w:rPr>
          <w:rFonts w:hint="eastAsia" w:ascii="宋体" w:hAnsi="宋体" w:cs="宋体"/>
          <w:sz w:val="24"/>
          <w:szCs w:val="24"/>
        </w:rPr>
        <w:t>项目有关的一切事宜。</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协议书自所有成员单位法定代表人（单位负责人）或者其委托代理人签字或者盖单位章之日起生效，合同履行完毕后自动失效。</w:t>
      </w:r>
    </w:p>
    <w:p>
      <w:pPr>
        <w:pStyle w:val="7"/>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份，联合体成员和采购人各执壹份。</w:t>
      </w:r>
    </w:p>
    <w:p>
      <w:pPr>
        <w:pStyle w:val="7"/>
        <w:overflowPunct w:val="0"/>
        <w:spacing w:line="360" w:lineRule="auto"/>
        <w:ind w:firstLine="482" w:firstLineChars="200"/>
        <w:contextualSpacing/>
        <w:rPr>
          <w:rFonts w:ascii="楷体" w:hAnsi="楷体" w:eastAsia="楷体" w:cs="宋体"/>
          <w:sz w:val="24"/>
          <w:szCs w:val="24"/>
        </w:rPr>
      </w:pPr>
      <w:r>
        <w:rPr>
          <w:rFonts w:hint="eastAsia" w:ascii="楷体" w:hAnsi="楷体" w:eastAsia="楷体" w:cs="宋体"/>
          <w:b/>
          <w:sz w:val="24"/>
          <w:szCs w:val="24"/>
        </w:rPr>
        <w:t>注：</w:t>
      </w:r>
      <w:r>
        <w:rPr>
          <w:rFonts w:hint="eastAsia" w:ascii="楷体" w:hAnsi="楷体" w:eastAsia="楷体" w:cs="宋体"/>
          <w:sz w:val="24"/>
          <w:szCs w:val="24"/>
        </w:rPr>
        <w:t>本协议书由法定代表人（单位负责人）签字的，应附法定代表人（单位负责人）身份证明书；由委托代理人签字的，应附联合体协议签订授权委托书（格式自拟）。</w:t>
      </w:r>
    </w:p>
    <w:p>
      <w:pPr>
        <w:pStyle w:val="7"/>
        <w:overflowPunct w:val="0"/>
        <w:spacing w:line="360" w:lineRule="auto"/>
        <w:ind w:firstLineChars="175"/>
        <w:contextualSpacing/>
        <w:rPr>
          <w:rFonts w:ascii="宋体" w:hAnsi="宋体" w:cs="宋体"/>
          <w:sz w:val="24"/>
          <w:szCs w:val="24"/>
        </w:rPr>
      </w:pPr>
    </w:p>
    <w:p>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联合体牵头人名称（盖公章）：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pPr>
        <w:pStyle w:val="7"/>
        <w:overflowPunct w:val="0"/>
        <w:spacing w:line="360" w:lineRule="auto"/>
        <w:ind w:firstLineChars="175"/>
        <w:contextualSpacing/>
        <w:rPr>
          <w:rFonts w:ascii="宋体" w:hAnsi="宋体" w:cs="宋体"/>
          <w:sz w:val="24"/>
          <w:szCs w:val="24"/>
        </w:rPr>
      </w:pPr>
    </w:p>
    <w:p>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联合体成员名称（盖公章）：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pPr>
        <w:pStyle w:val="7"/>
        <w:overflowPunct w:val="0"/>
        <w:spacing w:line="360" w:lineRule="auto"/>
        <w:ind w:firstLineChars="175"/>
        <w:contextualSpacing/>
        <w:rPr>
          <w:rFonts w:ascii="宋体" w:hAnsi="宋体" w:cs="宋体"/>
          <w:sz w:val="24"/>
          <w:szCs w:val="24"/>
        </w:rPr>
      </w:pPr>
    </w:p>
    <w:p>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联合体成员名称（盖公章）：</w:t>
      </w:r>
      <w:r>
        <w:rPr>
          <w:rFonts w:hint="eastAsia" w:ascii="宋体" w:hAnsi="宋体" w:cs="宋体"/>
          <w:sz w:val="24"/>
          <w:szCs w:val="24"/>
          <w:u w:val="single"/>
        </w:rPr>
        <w:t xml:space="preserve"> </w:t>
      </w:r>
      <w:r>
        <w:rPr>
          <w:rFonts w:ascii="宋体" w:hAnsi="宋体" w:cs="宋体"/>
          <w:sz w:val="24"/>
          <w:szCs w:val="24"/>
          <w:u w:val="single"/>
        </w:rPr>
        <w:t xml:space="preserve">               </w:t>
      </w:r>
    </w:p>
    <w:p>
      <w:pPr>
        <w:pStyle w:val="7"/>
        <w:overflowPunct w:val="0"/>
        <w:spacing w:line="360" w:lineRule="auto"/>
        <w:ind w:firstLineChars="175"/>
        <w:contextualSpacing/>
        <w:rPr>
          <w:rFonts w:ascii="宋体" w:hAnsi="宋体" w:cs="宋体"/>
          <w:sz w:val="24"/>
          <w:szCs w:val="24"/>
          <w:u w:val="single"/>
        </w:rPr>
      </w:pPr>
      <w:r>
        <w:rPr>
          <w:rFonts w:hint="eastAsia" w:ascii="宋体" w:hAnsi="宋体" w:cs="宋体"/>
          <w:sz w:val="24"/>
          <w:szCs w:val="24"/>
        </w:rPr>
        <w:t>法定代表人（单位负责人）或者其委托代理人（签字）：</w:t>
      </w:r>
      <w:r>
        <w:rPr>
          <w:rFonts w:hint="eastAsia" w:ascii="宋体" w:hAnsi="宋体" w:cs="宋体"/>
          <w:sz w:val="24"/>
          <w:szCs w:val="24"/>
          <w:u w:val="single"/>
        </w:rPr>
        <w:t xml:space="preserve"> </w:t>
      </w:r>
      <w:r>
        <w:rPr>
          <w:rFonts w:ascii="宋体" w:hAnsi="宋体" w:cs="宋体"/>
          <w:sz w:val="24"/>
          <w:szCs w:val="24"/>
          <w:u w:val="single"/>
        </w:rPr>
        <w:t xml:space="preserve">                  </w:t>
      </w:r>
    </w:p>
    <w:p>
      <w:pPr>
        <w:pStyle w:val="7"/>
        <w:overflowPunct w:val="0"/>
        <w:spacing w:line="360" w:lineRule="auto"/>
        <w:ind w:firstLineChars="175"/>
        <w:contextualSpacing/>
        <w:rPr>
          <w:rFonts w:ascii="宋体" w:hAnsi="宋体" w:cs="宋体"/>
          <w:sz w:val="24"/>
          <w:szCs w:val="24"/>
        </w:rPr>
      </w:pPr>
      <w:r>
        <w:rPr>
          <w:rFonts w:hint="eastAsia" w:ascii="宋体" w:hAnsi="宋体" w:cs="宋体"/>
          <w:sz w:val="24"/>
          <w:szCs w:val="24"/>
        </w:rPr>
        <w:t>……</w:t>
      </w:r>
    </w:p>
    <w:p>
      <w:pPr>
        <w:spacing w:line="360" w:lineRule="auto"/>
        <w:ind w:right="480" w:firstLine="240" w:firstLineChars="100"/>
        <w:contextualSpacing/>
        <w:jc w:val="center"/>
        <w:rPr>
          <w:rFonts w:ascii="宋体" w:hAnsi="宋体" w:cs="宋体"/>
          <w:b/>
          <w:bCs/>
          <w:sz w:val="24"/>
        </w:rPr>
      </w:pPr>
      <w:r>
        <w:rPr>
          <w:rFonts w:hint="eastAsia"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pPr>
        <w:snapToGrid w:val="0"/>
        <w:spacing w:before="156" w:beforeLines="50" w:after="50" w:line="360" w:lineRule="auto"/>
        <w:ind w:right="480"/>
        <w:rPr>
          <w:rFonts w:ascii="宋体" w:hAnsi="宋体" w:cs="宋体"/>
          <w:b/>
          <w:sz w:val="32"/>
          <w:szCs w:val="32"/>
        </w:rPr>
      </w:pPr>
      <w:r>
        <w:rPr>
          <w:rFonts w:hint="eastAsia" w:ascii="宋体" w:hAnsi="宋体" w:cs="宋体"/>
          <w:b/>
          <w:bCs/>
          <w:sz w:val="32"/>
          <w:szCs w:val="32"/>
        </w:rPr>
        <w:br w:type="page"/>
      </w:r>
      <w:r>
        <w:rPr>
          <w:rFonts w:hint="eastAsia" w:ascii="宋体" w:hAnsi="宋体" w:cs="宋体"/>
          <w:b/>
          <w:bCs/>
          <w:sz w:val="32"/>
          <w:szCs w:val="32"/>
        </w:rPr>
        <w:t>二、</w:t>
      </w:r>
      <w:r>
        <w:rPr>
          <w:rFonts w:hint="eastAsia" w:ascii="宋体" w:hAnsi="宋体" w:cs="宋体"/>
          <w:b/>
          <w:sz w:val="32"/>
          <w:szCs w:val="32"/>
        </w:rPr>
        <w:t>报价商务技术文件格式</w:t>
      </w:r>
    </w:p>
    <w:p>
      <w:pPr>
        <w:snapToGrid w:val="0"/>
        <w:spacing w:before="156" w:beforeLines="50" w:after="50" w:line="360" w:lineRule="auto"/>
        <w:jc w:val="left"/>
        <w:rPr>
          <w:rFonts w:ascii="宋体" w:hAnsi="宋体" w:cs="宋体"/>
          <w:b/>
          <w:sz w:val="32"/>
          <w:szCs w:val="32"/>
        </w:rPr>
      </w:pPr>
      <w:r>
        <w:rPr>
          <w:rFonts w:hint="eastAsia" w:ascii="宋体" w:hAnsi="宋体" w:cs="宋体"/>
          <w:b/>
          <w:sz w:val="32"/>
          <w:szCs w:val="32"/>
        </w:rPr>
        <w:t>1.报价商务技术文件封面格式</w:t>
      </w:r>
    </w:p>
    <w:p>
      <w:pPr>
        <w:snapToGrid w:val="0"/>
        <w:spacing w:before="156" w:beforeLines="50" w:after="50"/>
        <w:rPr>
          <w:rFonts w:ascii="宋体" w:hAnsi="宋体" w:cs="宋体"/>
          <w:bCs/>
          <w:sz w:val="32"/>
          <w:szCs w:val="20"/>
        </w:rPr>
      </w:pPr>
      <w:r>
        <w:rPr>
          <w:rFonts w:hint="eastAsia" w:ascii="宋体" w:hAnsi="宋体" w:cs="宋体"/>
          <w:sz w:val="24"/>
        </w:rPr>
        <w:t xml:space="preserve">                                                   </w:t>
      </w:r>
    </w:p>
    <w:p>
      <w:pPr>
        <w:snapToGrid w:val="0"/>
        <w:spacing w:before="156" w:beforeLines="50" w:after="50"/>
        <w:rPr>
          <w:rFonts w:ascii="宋体" w:hAnsi="宋体" w:cs="宋体"/>
          <w:sz w:val="24"/>
          <w:szCs w:val="20"/>
        </w:rPr>
      </w:pPr>
    </w:p>
    <w:p>
      <w:pPr>
        <w:snapToGrid w:val="0"/>
        <w:spacing w:before="156" w:beforeLines="50" w:after="50"/>
        <w:jc w:val="center"/>
        <w:rPr>
          <w:rFonts w:ascii="宋体" w:hAnsi="宋体" w:cs="宋体"/>
          <w:bCs/>
          <w:sz w:val="84"/>
          <w:szCs w:val="84"/>
        </w:rPr>
      </w:pPr>
      <w:r>
        <w:rPr>
          <w:rFonts w:hint="eastAsia" w:ascii="宋体" w:hAnsi="宋体" w:cs="宋体"/>
          <w:bCs/>
          <w:sz w:val="84"/>
          <w:szCs w:val="84"/>
        </w:rPr>
        <w:t>响  应  文  件</w:t>
      </w:r>
    </w:p>
    <w:p>
      <w:pPr>
        <w:snapToGrid w:val="0"/>
        <w:spacing w:before="156" w:beforeLines="50" w:after="50"/>
        <w:jc w:val="center"/>
        <w:rPr>
          <w:rFonts w:ascii="宋体" w:hAnsi="宋体" w:cs="宋体"/>
          <w:bCs/>
          <w:sz w:val="32"/>
          <w:szCs w:val="32"/>
        </w:rPr>
      </w:pPr>
      <w:r>
        <w:rPr>
          <w:rFonts w:hint="eastAsia" w:ascii="宋体" w:hAnsi="宋体" w:cs="宋体"/>
          <w:bCs/>
          <w:sz w:val="32"/>
          <w:szCs w:val="32"/>
        </w:rPr>
        <w:t>报  价  商  务  技  术  文  件</w:t>
      </w:r>
    </w:p>
    <w:p>
      <w:pPr>
        <w:snapToGrid w:val="0"/>
        <w:spacing w:before="156" w:beforeLines="50" w:after="50"/>
        <w:rPr>
          <w:rFonts w:ascii="宋体" w:hAnsi="宋体" w:cs="宋体"/>
          <w:bCs/>
          <w:sz w:val="24"/>
          <w:szCs w:val="20"/>
        </w:rPr>
      </w:pPr>
    </w:p>
    <w:p>
      <w:pPr>
        <w:snapToGrid w:val="0"/>
        <w:spacing w:before="156" w:beforeLines="50" w:after="50"/>
        <w:rPr>
          <w:rFonts w:ascii="宋体" w:hAnsi="宋体" w:cs="宋体"/>
          <w:bCs/>
          <w:sz w:val="24"/>
          <w:szCs w:val="20"/>
        </w:rPr>
      </w:pPr>
    </w:p>
    <w:p>
      <w:pPr>
        <w:snapToGrid w:val="0"/>
        <w:spacing w:before="156" w:beforeLines="50" w:after="50"/>
        <w:ind w:firstLine="2100" w:firstLineChars="875"/>
        <w:rPr>
          <w:rFonts w:ascii="宋体" w:hAnsi="宋体" w:cs="宋体"/>
          <w:bCs/>
          <w:sz w:val="24"/>
          <w:szCs w:val="20"/>
        </w:rPr>
      </w:pPr>
    </w:p>
    <w:p>
      <w:pPr>
        <w:snapToGrid w:val="0"/>
        <w:spacing w:before="156" w:beforeLines="50" w:after="50"/>
        <w:ind w:firstLine="2100" w:firstLineChars="875"/>
        <w:rPr>
          <w:rFonts w:ascii="宋体" w:hAnsi="宋体" w:cs="宋体"/>
          <w:bCs/>
          <w:sz w:val="24"/>
          <w:szCs w:val="20"/>
        </w:rPr>
      </w:pPr>
    </w:p>
    <w:p>
      <w:pPr>
        <w:snapToGrid w:val="0"/>
        <w:spacing w:before="156" w:beforeLines="50" w:after="50"/>
        <w:ind w:firstLine="2100" w:firstLineChars="875"/>
        <w:rPr>
          <w:rFonts w:ascii="宋体" w:hAnsi="宋体" w:cs="宋体"/>
          <w:bCs/>
          <w:sz w:val="24"/>
          <w:szCs w:val="20"/>
        </w:rPr>
      </w:pPr>
    </w:p>
    <w:p>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项目名称：</w:t>
      </w:r>
    </w:p>
    <w:p>
      <w:pPr>
        <w:snapToGrid w:val="0"/>
        <w:spacing w:before="156" w:beforeLines="50" w:after="50"/>
        <w:ind w:firstLine="2800" w:firstLineChars="875"/>
        <w:rPr>
          <w:rFonts w:ascii="宋体" w:hAnsi="宋体" w:cs="宋体"/>
          <w:bCs/>
          <w:sz w:val="32"/>
          <w:szCs w:val="32"/>
        </w:rPr>
      </w:pPr>
    </w:p>
    <w:p>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项目编号：</w:t>
      </w:r>
    </w:p>
    <w:p>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 xml:space="preserve"> </w:t>
      </w:r>
    </w:p>
    <w:p>
      <w:pPr>
        <w:snapToGrid w:val="0"/>
        <w:spacing w:before="156" w:beforeLines="50" w:after="50"/>
        <w:ind w:firstLine="2800" w:firstLineChars="875"/>
        <w:rPr>
          <w:rFonts w:ascii="宋体" w:hAnsi="宋体" w:cs="宋体"/>
          <w:bCs/>
          <w:sz w:val="32"/>
          <w:szCs w:val="32"/>
        </w:rPr>
      </w:pPr>
      <w:r>
        <w:rPr>
          <w:rFonts w:hint="eastAsia" w:ascii="宋体" w:hAnsi="宋体" w:cs="宋体"/>
          <w:bCs/>
          <w:sz w:val="32"/>
          <w:szCs w:val="32"/>
        </w:rPr>
        <w:t>所竞分标（如有）：</w:t>
      </w:r>
    </w:p>
    <w:p>
      <w:pPr>
        <w:snapToGrid w:val="0"/>
        <w:spacing w:before="156" w:beforeLines="50" w:after="50"/>
        <w:ind w:firstLine="2800" w:firstLineChars="875"/>
        <w:rPr>
          <w:rFonts w:ascii="宋体" w:hAnsi="宋体" w:cs="宋体"/>
          <w:bCs/>
          <w:sz w:val="32"/>
          <w:szCs w:val="32"/>
        </w:rPr>
      </w:pPr>
    </w:p>
    <w:p>
      <w:pPr>
        <w:pStyle w:val="7"/>
        <w:snapToGrid w:val="0"/>
        <w:spacing w:before="50" w:after="50"/>
        <w:ind w:firstLine="2800" w:firstLineChars="875"/>
        <w:rPr>
          <w:rFonts w:ascii="宋体" w:hAnsi="宋体" w:cs="宋体"/>
          <w:bCs/>
          <w:sz w:val="32"/>
          <w:szCs w:val="32"/>
        </w:rPr>
      </w:pPr>
      <w:r>
        <w:rPr>
          <w:rFonts w:hint="eastAsia" w:ascii="宋体" w:hAnsi="宋体" w:cs="宋体"/>
          <w:bCs/>
          <w:sz w:val="32"/>
          <w:szCs w:val="32"/>
        </w:rPr>
        <w:t>供应商名称：</w:t>
      </w:r>
    </w:p>
    <w:p>
      <w:pPr>
        <w:pStyle w:val="7"/>
        <w:snapToGrid w:val="0"/>
        <w:spacing w:before="50" w:after="50"/>
        <w:ind w:firstLine="2800" w:firstLineChars="875"/>
        <w:rPr>
          <w:rFonts w:ascii="宋体" w:hAnsi="宋体" w:cs="宋体"/>
          <w:bCs/>
          <w:sz w:val="32"/>
          <w:szCs w:val="32"/>
        </w:rPr>
      </w:pPr>
    </w:p>
    <w:p>
      <w:pPr>
        <w:pStyle w:val="7"/>
        <w:snapToGrid w:val="0"/>
        <w:spacing w:before="50" w:after="50"/>
        <w:ind w:firstLine="720" w:firstLineChars="225"/>
        <w:rPr>
          <w:rFonts w:ascii="宋体" w:hAnsi="宋体" w:cs="宋体"/>
          <w:bCs/>
          <w:sz w:val="32"/>
          <w:szCs w:val="32"/>
        </w:rPr>
      </w:pPr>
    </w:p>
    <w:p>
      <w:pPr>
        <w:pStyle w:val="7"/>
        <w:snapToGrid w:val="0"/>
        <w:spacing w:before="50" w:after="50"/>
        <w:ind w:firstLine="1280" w:firstLineChars="400"/>
        <w:rPr>
          <w:rFonts w:ascii="宋体" w:hAnsi="宋体" w:cs="宋体"/>
          <w:bCs/>
          <w:sz w:val="32"/>
          <w:szCs w:val="32"/>
        </w:rPr>
      </w:pPr>
    </w:p>
    <w:p>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pPr>
        <w:snapToGrid w:val="0"/>
        <w:spacing w:before="156"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2.报价商务技术文件目录</w:t>
      </w:r>
    </w:p>
    <w:p>
      <w:pPr>
        <w:snapToGrid w:val="0"/>
        <w:spacing w:before="156" w:beforeLines="50" w:after="50" w:line="360" w:lineRule="auto"/>
        <w:ind w:firstLine="640" w:firstLineChars="200"/>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pPr>
        <w:spacing w:line="400" w:lineRule="exact"/>
        <w:rPr>
          <w:rFonts w:ascii="宋体" w:hAnsi="宋体" w:cs="宋体"/>
          <w:sz w:val="32"/>
          <w:szCs w:val="32"/>
        </w:rPr>
      </w:pPr>
    </w:p>
    <w:p>
      <w:pPr>
        <w:jc w:val="center"/>
        <w:rPr>
          <w:rFonts w:ascii="宋体" w:hAnsi="宋体" w:cs="宋体"/>
          <w:b/>
          <w:sz w:val="32"/>
          <w:szCs w:val="32"/>
        </w:rPr>
      </w:pPr>
      <w:r>
        <w:rPr>
          <w:rFonts w:hint="eastAsia" w:ascii="宋体" w:hAnsi="宋体" w:cs="宋体"/>
          <w:sz w:val="44"/>
          <w:szCs w:val="44"/>
        </w:rPr>
        <w:br w:type="page"/>
      </w:r>
      <w:r>
        <w:rPr>
          <w:rFonts w:hint="eastAsia" w:ascii="宋体" w:hAnsi="宋体" w:cs="宋体"/>
          <w:b/>
          <w:sz w:val="44"/>
          <w:szCs w:val="44"/>
        </w:rPr>
        <w:t>无串通参与竞争性磋商行为的承诺函</w:t>
      </w:r>
    </w:p>
    <w:p>
      <w:pPr>
        <w:spacing w:line="360" w:lineRule="auto"/>
        <w:ind w:firstLine="640" w:firstLineChars="200"/>
        <w:contextualSpacing/>
        <w:rPr>
          <w:rFonts w:ascii="宋体" w:hAnsi="宋体" w:cs="宋体"/>
          <w:sz w:val="32"/>
          <w:szCs w:val="32"/>
        </w:rPr>
      </w:pPr>
    </w:p>
    <w:p>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一、我方承诺无下列相互串通参与</w:t>
      </w:r>
      <w:r>
        <w:rPr>
          <w:rFonts w:hint="eastAsia" w:ascii="宋体" w:hAnsi="宋体" w:cs="宋体"/>
          <w:sz w:val="24"/>
        </w:rPr>
        <w:t>竞争性磋商</w:t>
      </w:r>
      <w:r>
        <w:rPr>
          <w:rFonts w:hint="eastAsia" w:ascii="宋体" w:hAnsi="宋体" w:cs="宋体"/>
          <w:b/>
          <w:bCs/>
          <w:sz w:val="24"/>
        </w:rPr>
        <w:t>的情形：</w:t>
      </w:r>
    </w:p>
    <w:p>
      <w:pPr>
        <w:spacing w:line="360" w:lineRule="auto"/>
        <w:ind w:firstLine="480" w:firstLineChars="200"/>
        <w:contextualSpacing/>
        <w:rPr>
          <w:rFonts w:ascii="宋体" w:hAnsi="宋体" w:cs="宋体"/>
          <w:sz w:val="24"/>
        </w:rPr>
      </w:pPr>
      <w:r>
        <w:rPr>
          <w:rFonts w:hint="eastAsia" w:ascii="宋体" w:hAnsi="宋体" w:cs="宋体"/>
          <w:sz w:val="24"/>
        </w:rPr>
        <w:t xml:space="preserve">1.不同供应商的响应文件由同一单位或者个人编制； </w:t>
      </w:r>
    </w:p>
    <w:p>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2.不同供应商委托同一单位或者个人办理参与竞争性磋商事宜；</w:t>
      </w:r>
    </w:p>
    <w:p>
      <w:pPr>
        <w:spacing w:line="360" w:lineRule="auto"/>
        <w:ind w:firstLine="480" w:firstLineChars="200"/>
        <w:contextualSpacing/>
        <w:rPr>
          <w:rFonts w:ascii="宋体" w:hAnsi="宋体" w:cs="宋体"/>
          <w:sz w:val="24"/>
        </w:rPr>
      </w:pPr>
      <w:r>
        <w:rPr>
          <w:rFonts w:hint="eastAsia" w:ascii="宋体" w:hAnsi="宋体" w:cs="宋体"/>
          <w:sz w:val="24"/>
        </w:rPr>
        <w:t>3.不同供应商的响应文件载明的项目管理员为同一个人；</w:t>
      </w:r>
    </w:p>
    <w:p>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同供应商的响应文件异常一致或者参与</w:t>
      </w:r>
      <w:r>
        <w:rPr>
          <w:rFonts w:hint="eastAsia" w:ascii="宋体" w:hAnsi="宋体" w:cs="宋体"/>
          <w:sz w:val="24"/>
        </w:rPr>
        <w:t>竞争性磋商</w:t>
      </w:r>
      <w:r>
        <w:rPr>
          <w:rFonts w:hint="eastAsia" w:ascii="宋体" w:hAnsi="宋体" w:cs="宋体"/>
          <w:spacing w:val="-6"/>
          <w:sz w:val="24"/>
        </w:rPr>
        <w:t>报价呈规律性差异；</w:t>
      </w:r>
    </w:p>
    <w:p>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pPr>
        <w:spacing w:line="360" w:lineRule="auto"/>
        <w:ind w:firstLine="480" w:firstLineChars="200"/>
        <w:contextualSpacing/>
        <w:rPr>
          <w:rFonts w:ascii="宋体" w:hAnsi="宋体" w:cs="宋体"/>
          <w:sz w:val="24"/>
        </w:rPr>
      </w:pPr>
      <w:r>
        <w:rPr>
          <w:rFonts w:hint="eastAsia" w:ascii="宋体" w:hAnsi="宋体" w:cs="宋体"/>
          <w:sz w:val="24"/>
        </w:rPr>
        <w:t>6.不同供应商的磋商保证金从同一单位或者个人账户转出。</w:t>
      </w:r>
    </w:p>
    <w:p>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5.供应商之间事先约定一致抬高或者压低竞争性磋商报价，或者在竞争性磋商项目中事先约定轮流以高价位或者低价位成交，或者事先约定由某一特定供应商成交，然后再参加竞争性磋商；</w:t>
      </w:r>
    </w:p>
    <w:p>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pPr>
        <w:spacing w:line="360" w:lineRule="auto"/>
        <w:ind w:firstLine="480" w:firstLineChars="200"/>
        <w:contextualSpacing/>
        <w:rPr>
          <w:rFonts w:ascii="宋体" w:hAnsi="宋体" w:cs="宋体"/>
          <w:sz w:val="24"/>
        </w:rPr>
      </w:pPr>
    </w:p>
    <w:p>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pPr>
        <w:spacing w:line="360" w:lineRule="auto"/>
        <w:contextualSpacing/>
        <w:rPr>
          <w:rFonts w:ascii="宋体" w:hAnsi="宋体" w:cs="宋体"/>
          <w:sz w:val="24"/>
        </w:rPr>
      </w:pPr>
    </w:p>
    <w:p>
      <w:pPr>
        <w:spacing w:line="360" w:lineRule="auto"/>
        <w:ind w:firstLine="5040" w:firstLineChars="21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contextualSpacing/>
        <w:jc w:val="center"/>
        <w:rPr>
          <w:rFonts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ascii="宋体" w:hAnsi="宋体" w:cs="宋体"/>
          <w:b/>
          <w:bCs/>
          <w:sz w:val="32"/>
          <w:szCs w:val="32"/>
        </w:rPr>
      </w:pPr>
      <w:r>
        <w:rPr>
          <w:rFonts w:hint="eastAsia" w:ascii="宋体" w:hAnsi="宋体" w:cs="宋体"/>
          <w:bCs/>
          <w:sz w:val="44"/>
          <w:szCs w:val="44"/>
        </w:rPr>
        <w:br w:type="page"/>
      </w:r>
      <w:r>
        <w:rPr>
          <w:rFonts w:hint="eastAsia" w:ascii="宋体" w:hAnsi="宋体" w:cs="宋体"/>
          <w:b/>
          <w:bCs/>
          <w:sz w:val="44"/>
          <w:szCs w:val="44"/>
        </w:rPr>
        <w:t>竞争性磋商报价表</w:t>
      </w:r>
    </w:p>
    <w:p>
      <w:pPr>
        <w:spacing w:line="440" w:lineRule="exact"/>
        <w:jc w:val="center"/>
        <w:rPr>
          <w:rFonts w:ascii="宋体" w:hAnsi="宋体" w:cs="宋体"/>
          <w:bCs/>
          <w:sz w:val="32"/>
          <w:szCs w:val="32"/>
        </w:rPr>
      </w:pPr>
    </w:p>
    <w:p>
      <w:pPr>
        <w:spacing w:line="360" w:lineRule="auto"/>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contextualSpacing/>
        <w:rPr>
          <w:rFonts w:ascii="宋体" w:hAnsi="宋体" w:cs="宋体"/>
          <w:sz w:val="24"/>
          <w:u w:val="single"/>
        </w:rPr>
      </w:pPr>
      <w:r>
        <w:rPr>
          <w:rFonts w:hint="eastAsia" w:ascii="宋体" w:hAnsi="宋体" w:cs="宋体"/>
          <w:sz w:val="24"/>
        </w:rPr>
        <w:t>分标（如有）：</w:t>
      </w:r>
      <w:r>
        <w:rPr>
          <w:rFonts w:hint="eastAsia" w:ascii="宋体" w:hAnsi="宋体" w:cs="宋体"/>
          <w:sz w:val="24"/>
          <w:u w:val="single"/>
        </w:rPr>
        <w:t xml:space="preserve">                                         </w:t>
      </w:r>
    </w:p>
    <w:p>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contextualSpacing/>
        <w:rPr>
          <w:rFonts w:ascii="宋体" w:hAnsi="宋体" w:cs="宋体"/>
          <w:sz w:val="24"/>
        </w:rPr>
      </w:pPr>
      <w:r>
        <w:rPr>
          <w:rFonts w:hint="eastAsia" w:ascii="宋体" w:hAnsi="宋体" w:cs="宋体"/>
          <w:sz w:val="24"/>
        </w:rPr>
        <w:t xml:space="preserve">                                                    货币单位：人民币元</w:t>
      </w:r>
    </w:p>
    <w:tbl>
      <w:tblPr>
        <w:tblStyle w:val="29"/>
        <w:tblW w:w="9360"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2"/>
        <w:gridCol w:w="4275"/>
        <w:gridCol w:w="765"/>
        <w:gridCol w:w="99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10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服务名称</w:t>
            </w:r>
          </w:p>
        </w:tc>
        <w:tc>
          <w:tcPr>
            <w:tcW w:w="4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具体服务内容</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2"/>
              </w:rPr>
            </w:pPr>
            <w:r>
              <w:rPr>
                <w:rFonts w:hint="eastAsia" w:ascii="宋体" w:hAnsi="宋体"/>
                <w:szCs w:val="22"/>
              </w:rPr>
              <w:t>数量①</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单价(元)②</w:t>
            </w:r>
          </w:p>
        </w:tc>
        <w:tc>
          <w:tcPr>
            <w:tcW w:w="154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2"/>
              </w:rPr>
            </w:pPr>
            <w:r>
              <w:rPr>
                <w:rFonts w:hint="eastAsia" w:ascii="宋体" w:hAnsi="宋体"/>
                <w:szCs w:val="22"/>
              </w:rPr>
              <w:t>单项合价（元）</w:t>
            </w:r>
          </w:p>
          <w:p>
            <w:pPr>
              <w:spacing w:line="360" w:lineRule="auto"/>
              <w:jc w:val="center"/>
              <w:rPr>
                <w:rFonts w:ascii="宋体" w:hAnsi="宋体"/>
                <w:szCs w:val="22"/>
              </w:rPr>
            </w:pPr>
            <w:r>
              <w:rPr>
                <w:rFonts w:hint="eastAsia" w:ascii="宋体" w:hAnsi="宋体"/>
                <w:szCs w:val="22"/>
              </w:rPr>
              <w:t xml:space="preserve">③＝①×②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化工院1号楼</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bookmarkStart w:id="150" w:name="_GoBack"/>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化工院3号楼</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物理学院</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资环材学院</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医学院综合楼</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医学院生物医药</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医学院脑神经中心</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1.维保范围：排风设备、新风设备、控制系统、气路系统、实验室家具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海洋学院</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1.维保范围：排风设备、控制系统、气路系统、实验室家具</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生科院</w:t>
            </w:r>
          </w:p>
        </w:tc>
        <w:tc>
          <w:tcPr>
            <w:tcW w:w="4275"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1.维保范围：排风设备、控制系统</w:t>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2.参数配置：驻点维保,每周检查巡检一次</w:t>
            </w:r>
          </w:p>
          <w:p>
            <w:pPr>
              <w:pStyle w:val="18"/>
            </w:pPr>
            <w:r>
              <w:rPr>
                <w:rFonts w:hint="eastAsia" w:hAnsi="宋体"/>
                <w:szCs w:val="22"/>
              </w:rPr>
              <w:t>具体服务内容详见《服务要求偏离表》</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维保运行耗材、维修配件、备品备件</w:t>
            </w:r>
          </w:p>
        </w:tc>
        <w:tc>
          <w:tcPr>
            <w:tcW w:w="427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详见“维保运行耗材、维修配件、备品备件</w:t>
            </w:r>
          </w:p>
          <w:p>
            <w:pPr>
              <w:jc w:val="left"/>
              <w:rPr>
                <w:rFonts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分项报价清单”</w:t>
            </w:r>
          </w:p>
          <w:p>
            <w:pPr>
              <w:widowControl/>
              <w:jc w:val="left"/>
              <w:textAlignment w:val="bottom"/>
              <w:rPr>
                <w:rFonts w:ascii="宋体" w:hAnsi="宋体" w:cs="宋体"/>
                <w:color w:val="000000" w:themeColor="text1"/>
                <w:kern w:val="0"/>
                <w:sz w:val="20"/>
                <w:szCs w:val="20"/>
                <w:lang w:bidi="ar"/>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合计金额（人民币大写）：</w:t>
            </w:r>
            <w:r>
              <w:rPr>
                <w:rFonts w:ascii="宋体" w:hAnsi="宋体" w:cs="宋体"/>
                <w:sz w:val="24"/>
                <w:u w:val="single"/>
              </w:rPr>
              <w:t xml:space="preserve">      </w:t>
            </w:r>
            <w:r>
              <w:rPr>
                <w:rFonts w:hint="eastAsia" w:ascii="宋体" w:hAnsi="宋体" w:cs="宋体"/>
                <w:sz w:val="24"/>
                <w:u w:val="single"/>
              </w:rPr>
              <w:t xml:space="preserve">                      元整</w:t>
            </w:r>
            <w:r>
              <w:rPr>
                <w:rFonts w:ascii="宋体" w:hAnsi="宋体" w:cs="宋体"/>
                <w:sz w:val="24"/>
                <w:u w:val="single"/>
              </w:rPr>
              <w:t xml:space="preserve">  </w:t>
            </w:r>
            <w:r>
              <w:rPr>
                <w:rFonts w:hint="eastAsia" w:ascii="宋体" w:hAnsi="宋体" w:cs="宋体"/>
                <w:sz w:val="24"/>
              </w:rPr>
              <w:t>（小写¥</w:t>
            </w:r>
            <w:r>
              <w:rPr>
                <w:rFonts w:ascii="宋体" w:hAnsi="宋体" w:cs="宋体"/>
                <w:sz w:val="24"/>
                <w:u w:val="single"/>
              </w:rPr>
              <w:t xml:space="preserve">           </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b/>
                <w:bCs/>
                <w:szCs w:val="21"/>
              </w:rPr>
              <w:t>服务期限：</w:t>
            </w:r>
            <w:r>
              <w:rPr>
                <w:rFonts w:hint="eastAsia" w:ascii="宋体" w:hAnsi="宋体" w:cs="宋体"/>
                <w:szCs w:val="21"/>
              </w:rPr>
              <w:t>自合同约定之日起1年。</w:t>
            </w:r>
          </w:p>
        </w:tc>
      </w:tr>
    </w:tbl>
    <w:p>
      <w:pPr>
        <w:spacing w:line="360" w:lineRule="auto"/>
        <w:contextualSpacing/>
        <w:jc w:val="left"/>
        <w:rPr>
          <w:rFonts w:ascii="宋体" w:hAnsi="宋体" w:cs="宋体"/>
          <w:sz w:val="24"/>
        </w:rPr>
      </w:pPr>
    </w:p>
    <w:p>
      <w:pPr>
        <w:spacing w:line="360" w:lineRule="auto"/>
        <w:contextualSpacing/>
        <w:jc w:val="left"/>
        <w:rPr>
          <w:rFonts w:ascii="楷体" w:hAnsi="楷体" w:eastAsia="楷体" w:cs="宋体"/>
          <w:sz w:val="24"/>
        </w:rPr>
      </w:pPr>
      <w:r>
        <w:rPr>
          <w:rFonts w:hint="eastAsia" w:ascii="楷体" w:hAnsi="楷体" w:eastAsia="楷体" w:cs="宋体"/>
          <w:sz w:val="24"/>
        </w:rPr>
        <w:t>注</w:t>
      </w:r>
      <w:r>
        <w:rPr>
          <w:rFonts w:ascii="楷体" w:hAnsi="楷体" w:eastAsia="楷体" w:cs="宋体"/>
          <w:sz w:val="24"/>
        </w:rPr>
        <w:t xml:space="preserve">: </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1.供应商的报价表必须加盖供应商公章并由法定代表人或者委托代理人签字，</w:t>
      </w:r>
      <w:r>
        <w:rPr>
          <w:rFonts w:hint="eastAsia" w:ascii="楷体" w:hAnsi="楷体" w:eastAsia="楷体" w:cs="宋体"/>
          <w:b/>
          <w:sz w:val="24"/>
        </w:rPr>
        <w:t>否则其响应文件按无效响应处理</w:t>
      </w:r>
      <w:r>
        <w:rPr>
          <w:rFonts w:hint="eastAsia" w:ascii="楷体" w:hAnsi="楷体" w:eastAsia="楷体" w:cs="宋体"/>
          <w:sz w:val="24"/>
        </w:rPr>
        <w:t>。</w:t>
      </w:r>
    </w:p>
    <w:p>
      <w:pPr>
        <w:spacing w:line="360" w:lineRule="auto"/>
        <w:ind w:firstLine="480" w:firstLineChars="200"/>
        <w:contextualSpacing/>
        <w:jc w:val="left"/>
        <w:rPr>
          <w:rFonts w:ascii="楷体" w:hAnsi="楷体" w:eastAsia="楷体" w:cs="宋体"/>
          <w:b/>
          <w:sz w:val="24"/>
        </w:rPr>
      </w:pPr>
      <w:r>
        <w:rPr>
          <w:rFonts w:ascii="楷体" w:hAnsi="楷体" w:eastAsia="楷体" w:cs="宋体"/>
          <w:bCs/>
          <w:sz w:val="24"/>
        </w:rPr>
        <w:t>2.</w:t>
      </w:r>
      <w:r>
        <w:rPr>
          <w:rFonts w:hint="eastAsia" w:ascii="楷体" w:hAnsi="楷体" w:eastAsia="楷体" w:cs="宋体"/>
          <w:sz w:val="24"/>
        </w:rPr>
        <w:t>报价一经涂改，应在涂改处加盖供应商公章或者由法定代表人或者委托代理人签字或者盖章</w:t>
      </w:r>
      <w:r>
        <w:rPr>
          <w:rFonts w:hint="eastAsia" w:ascii="楷体" w:hAnsi="楷体" w:eastAsia="楷体" w:cs="宋体"/>
          <w:b/>
          <w:sz w:val="24"/>
        </w:rPr>
        <w:t>，否则其响应文件按无效响应处理。</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3.如为联合体</w:t>
      </w:r>
      <w:r>
        <w:rPr>
          <w:rFonts w:hint="eastAsia" w:ascii="楷体" w:hAnsi="楷体" w:eastAsia="楷体" w:cs="宋体"/>
          <w:sz w:val="24"/>
        </w:rPr>
        <w:t>参与竞争性磋商，“供应商名称”处必须列明联合体各方名称，标注联合体牵头人名称，</w:t>
      </w:r>
      <w:r>
        <w:rPr>
          <w:rFonts w:hint="eastAsia" w:ascii="楷体" w:hAnsi="楷体" w:eastAsia="楷体" w:cs="宋体"/>
          <w:b/>
          <w:sz w:val="24"/>
        </w:rPr>
        <w:t>否则其响应文件按无效响应处理。（采购人可根据项目情况自行修改是否需要联合体各方签字盖章）。</w:t>
      </w:r>
    </w:p>
    <w:p>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4.如为联合体</w:t>
      </w:r>
      <w:r>
        <w:rPr>
          <w:rFonts w:hint="eastAsia" w:ascii="楷体" w:hAnsi="楷体" w:eastAsia="楷体" w:cs="宋体"/>
          <w:sz w:val="24"/>
        </w:rPr>
        <w:t>参与竞争性磋商，盖章处须加盖联合体各方公章，</w:t>
      </w:r>
      <w:bookmarkStart w:id="53" w:name="_Hlk65851776"/>
      <w:r>
        <w:rPr>
          <w:rFonts w:hint="eastAsia" w:ascii="楷体" w:hAnsi="楷体" w:eastAsia="楷体" w:cs="宋体"/>
          <w:b/>
          <w:sz w:val="24"/>
        </w:rPr>
        <w:t>否则其响应文件按无效响应处理。</w:t>
      </w:r>
      <w:bookmarkEnd w:id="53"/>
      <w:r>
        <w:rPr>
          <w:rFonts w:hint="eastAsia" w:ascii="楷体" w:hAnsi="楷体" w:eastAsia="楷体" w:cs="宋体"/>
          <w:b/>
          <w:sz w:val="24"/>
        </w:rPr>
        <w:t>（采购人可根据项目情况自行修改是否需要联合体各方签字盖章）。</w:t>
      </w:r>
    </w:p>
    <w:p>
      <w:pPr>
        <w:spacing w:line="360" w:lineRule="auto"/>
        <w:ind w:firstLine="480" w:firstLineChars="200"/>
        <w:contextualSpacing/>
        <w:rPr>
          <w:rFonts w:ascii="楷体" w:hAnsi="楷体" w:eastAsia="楷体" w:cs="宋体"/>
          <w:sz w:val="24"/>
        </w:rPr>
      </w:pPr>
      <w:r>
        <w:rPr>
          <w:rFonts w:ascii="楷体" w:hAnsi="楷体" w:eastAsia="楷体" w:cs="宋体"/>
          <w:sz w:val="24"/>
        </w:rPr>
        <w:t>5.</w:t>
      </w:r>
      <w:r>
        <w:rPr>
          <w:rFonts w:hint="eastAsia" w:ascii="楷体" w:hAnsi="楷体" w:eastAsia="楷体" w:cs="宋体"/>
          <w:spacing w:val="-6"/>
          <w:sz w:val="24"/>
        </w:rPr>
        <w:t>如有多分标，分别列明各分标的报价表，</w:t>
      </w:r>
      <w:r>
        <w:rPr>
          <w:rFonts w:hint="eastAsia" w:ascii="楷体" w:hAnsi="楷体" w:eastAsia="楷体" w:cs="宋体"/>
          <w:b/>
          <w:spacing w:val="-6"/>
          <w:sz w:val="24"/>
        </w:rPr>
        <w:t>否则其响应文件按无效响应处理。</w:t>
      </w:r>
    </w:p>
    <w:p>
      <w:pPr>
        <w:spacing w:line="360" w:lineRule="auto"/>
        <w:ind w:right="-817" w:rightChars="-389"/>
        <w:contextualSpacing/>
        <w:rPr>
          <w:rFonts w:ascii="宋体" w:hAnsi="宋体" w:cs="宋体"/>
          <w:sz w:val="24"/>
        </w:rPr>
      </w:pPr>
    </w:p>
    <w:p>
      <w:pPr>
        <w:spacing w:line="360" w:lineRule="auto"/>
        <w:ind w:right="-817" w:rightChars="-389" w:firstLine="2640" w:firstLineChars="11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ind w:right="-817" w:rightChars="-389" w:firstLine="4080" w:firstLineChars="1700"/>
        <w:contextualSpacing/>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ascii="宋体" w:hAnsi="宋体" w:cs="宋体"/>
          <w:b/>
          <w:bCs/>
          <w:color w:val="000000" w:themeColor="text1"/>
          <w:sz w:val="44"/>
          <w:szCs w:val="44"/>
          <w:lang w:bidi="ar"/>
          <w14:textFill>
            <w14:solidFill>
              <w14:schemeClr w14:val="tx1"/>
            </w14:solidFill>
          </w14:textFill>
        </w:rPr>
      </w:pPr>
      <w:r>
        <w:rPr>
          <w:rFonts w:hint="eastAsia" w:ascii="宋体" w:hAnsi="宋体" w:cs="宋体"/>
          <w:b/>
          <w:sz w:val="32"/>
          <w:szCs w:val="32"/>
        </w:rPr>
        <w:br w:type="page"/>
      </w:r>
      <w:bookmarkStart w:id="54" w:name="_Toc71365926"/>
      <w:r>
        <w:rPr>
          <w:rFonts w:hint="eastAsia" w:ascii="宋体" w:hAnsi="宋体" w:cs="宋体"/>
          <w:b/>
          <w:bCs/>
          <w:color w:val="000000" w:themeColor="text1"/>
          <w:sz w:val="44"/>
          <w:szCs w:val="44"/>
          <w:lang w:bidi="ar"/>
          <w14:textFill>
            <w14:solidFill>
              <w14:schemeClr w14:val="tx1"/>
            </w14:solidFill>
          </w14:textFill>
        </w:rPr>
        <w:t>维保运行耗材、维修配件、备品备件</w:t>
      </w:r>
    </w:p>
    <w:p>
      <w:pPr>
        <w:jc w:val="center"/>
        <w:rPr>
          <w:rFonts w:ascii="宋体" w:hAnsi="宋体" w:cs="宋体"/>
          <w:b/>
          <w:bCs/>
          <w:sz w:val="32"/>
          <w:szCs w:val="32"/>
        </w:rPr>
      </w:pPr>
      <w:r>
        <w:rPr>
          <w:rFonts w:hint="eastAsia" w:ascii="宋体" w:hAnsi="宋体" w:cs="宋体"/>
          <w:b/>
          <w:bCs/>
          <w:color w:val="000000" w:themeColor="text1"/>
          <w:sz w:val="44"/>
          <w:szCs w:val="44"/>
          <w:lang w:bidi="ar"/>
          <w14:textFill>
            <w14:solidFill>
              <w14:schemeClr w14:val="tx1"/>
            </w14:solidFill>
          </w14:textFill>
        </w:rPr>
        <w:t>分项报价清单</w:t>
      </w:r>
    </w:p>
    <w:p>
      <w:pPr>
        <w:spacing w:line="440" w:lineRule="exact"/>
        <w:jc w:val="center"/>
        <w:rPr>
          <w:rFonts w:ascii="宋体" w:hAnsi="宋体" w:cs="宋体"/>
          <w:bCs/>
          <w:sz w:val="32"/>
          <w:szCs w:val="32"/>
        </w:rPr>
      </w:pPr>
    </w:p>
    <w:p>
      <w:pPr>
        <w:spacing w:line="360" w:lineRule="auto"/>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contextualSpacing/>
        <w:rPr>
          <w:rFonts w:ascii="宋体" w:hAnsi="宋体" w:cs="宋体"/>
          <w:sz w:val="24"/>
        </w:rPr>
      </w:pPr>
      <w:r>
        <w:rPr>
          <w:rFonts w:hint="eastAsia" w:ascii="宋体" w:hAnsi="宋体" w:cs="宋体"/>
          <w:sz w:val="24"/>
        </w:rPr>
        <w:t xml:space="preserve">                                                    货币单位：人民币元</w:t>
      </w:r>
    </w:p>
    <w:tbl>
      <w:tblPr>
        <w:tblStyle w:val="29"/>
        <w:tblW w:w="9316" w:type="dxa"/>
        <w:tblInd w:w="0" w:type="dxa"/>
        <w:tblLayout w:type="fixed"/>
        <w:tblCellMar>
          <w:top w:w="0" w:type="dxa"/>
          <w:left w:w="108" w:type="dxa"/>
          <w:bottom w:w="0" w:type="dxa"/>
          <w:right w:w="108" w:type="dxa"/>
        </w:tblCellMar>
      </w:tblPr>
      <w:tblGrid>
        <w:gridCol w:w="626"/>
        <w:gridCol w:w="1088"/>
        <w:gridCol w:w="659"/>
        <w:gridCol w:w="1681"/>
        <w:gridCol w:w="726"/>
        <w:gridCol w:w="857"/>
        <w:gridCol w:w="1236"/>
        <w:gridCol w:w="1137"/>
        <w:gridCol w:w="1306"/>
      </w:tblGrid>
      <w:tr>
        <w:tblPrEx>
          <w:tblCellMar>
            <w:top w:w="0" w:type="dxa"/>
            <w:left w:w="108" w:type="dxa"/>
            <w:bottom w:w="0" w:type="dxa"/>
            <w:right w:w="108" w:type="dxa"/>
          </w:tblCellMar>
        </w:tblPrEx>
        <w:trPr>
          <w:trHeight w:val="20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学院</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类别</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p>
            <w:pPr>
              <w:widowControl/>
              <w:jc w:val="center"/>
              <w:textAlignment w:val="center"/>
              <w:rPr>
                <w:rFonts w:ascii="宋体" w:hAnsi="宋体" w:cs="宋体"/>
                <w:b/>
                <w:bCs/>
                <w:color w:val="000000"/>
                <w:sz w:val="20"/>
                <w:szCs w:val="20"/>
              </w:rPr>
            </w:pPr>
            <w:r>
              <w:rPr>
                <w:rFonts w:hint="eastAsia" w:ascii="宋体" w:hAnsi="宋体"/>
                <w:b/>
                <w:bCs/>
                <w:szCs w:val="22"/>
              </w:rPr>
              <w:t>①</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单价(元)②</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单项合价（元）</w:t>
            </w:r>
          </w:p>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 xml:space="preserve">③＝①×② </w:t>
            </w: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化工院1号楼</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排风系统(风机26台)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雨帽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排风系统(废气设备-卧式喷淋塔26台)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加药泵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四氟管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新风系统(风冷涡旋式热泵机组4台)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四通阀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电子膨胀阀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单向阀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相序保护器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开关电源</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环境温度传感器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压缩机保护模块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控制柜散热风扇</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化工院3号楼</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排风系统(风机27台)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排风系统(废气设备-活性炭箱21台和湿式设备3套)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加药泵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液位计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UV灯管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电磁阀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风速仪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VOC传感器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散热风扇</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除雾板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有机吸收液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蜂窝活性炭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颗粒活性炭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风阀控制屏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物理学院</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排风系统(风机19台)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排风系统(废气设备喷淋塔7台和1套活性炭箱和卧式喷淋塔4台)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加药泵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四氟管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57"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颗粒活性炭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720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新风系统(洁净组合式新风空调机组3台和高效风冷螺杆热泵机组1台和冷冻水泵1台和空气处理机组1台和风冷冷水机组1台)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亚高效过滤器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PTC电加热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平衡罐</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气液分离器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储液器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温度传感器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热力膨胀阀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干燥过滤器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开关电动蝶阀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照明灯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资环材院</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排风系统(风机17台)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管道漏水修复</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处</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排风系统(废气设备-卧式喷淋塔1台和干式混合设备11台和活性炭箱5台)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化学处理模块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活性炭处理模块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设备出口软接</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液位浮球开关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喷淋塔漏水维修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颗粒活性炭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控制柜开关电源</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排风静压控制器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风阀控制屏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7寸控制屏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医学院综合楼</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排风系统(风机4台)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88"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排风系统(顶式活性炭箱76台和一体除臭设备机4套)</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空气过滤器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组</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UV灯管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115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防腐静音型排风机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新风系统(风冷式热泵机组5台和恒温恒湿组合式净化空气处理机组7台和冷冻水泵4台)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水泵密封圈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水泵轴承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电子膨胀阀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单向阀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相序保护器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开关电源</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环境温度传感器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医学院生物医药楼</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排风系统(风机1台)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排风系统(干式混合1台)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化学处理模块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581"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活性炭处理模块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新风系统（风冷直膨式净化机组1台和冷库机组1台）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PTC电加热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中间继电器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卡乐手操器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卡乐加湿器排水底座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通风柜控制屏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医学院脑神经中心</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排风系统(风机2台和活性炭箱1台)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75"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颗粒活性炭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新风系统（组合式空气处理机组）维修</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压缩机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四通阀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壳管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壳管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电子膨胀阀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平衡罐</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储液罐</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气液分离器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制冷剂</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空调检漏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压缩机保护模块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辅材</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变频电机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中间继电器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变频器维修</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空调维修费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新风系统（组合式空气处理机组11台和模块式风冷热泵机组1台和冷冻水泵1台）保养</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板式初效过滤器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中效袋式过滤器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高效过滤器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PTC电加热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加湿桶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中间继电器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紫外灯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镇流器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预约定时器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海洋学院</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排风系统(风机3台)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排风系统(废气设备-卧式喷淋塔2台和活性炭箱1台)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四氟管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密封圈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蜂窝活性炭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管道静压传感器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压差开关</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门高传感器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阀门执行器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交流接触器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继电器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控制柜散热风扇</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空开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气路系统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二级减压器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球阀</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压力传感器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实验室家具</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化验水龙头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水龙头阀芯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通风柜照明灯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插座</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抽屉导轨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实验台把手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铰链或合页</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付</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通风柜链条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玻璃胶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防锈漆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瓶</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生料带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394"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给水金属软管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备品备件</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生科院</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排风系统(风机1台)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皮带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油视镜</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润滑油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排风系统(废气设备-湿式混合设备1台)</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蜂窝活性炭</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0.648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鲍尔球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m³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螺旋喷头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液位计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风速仪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PH计电极</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除雾板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电子压差表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控制柜铰链</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维修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0"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无机吸收液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6" w:hRule="atLeast"/>
        </w:trPr>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有机吸收液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耗材</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r>
      <w:tr>
        <w:tblPrEx>
          <w:tblCellMar>
            <w:top w:w="0" w:type="dxa"/>
            <w:left w:w="108" w:type="dxa"/>
            <w:bottom w:w="0" w:type="dxa"/>
            <w:right w:w="108" w:type="dxa"/>
          </w:tblCellMar>
        </w:tblPrEx>
        <w:trPr>
          <w:trHeight w:val="206" w:hRule="atLeast"/>
        </w:trPr>
        <w:tc>
          <w:tcPr>
            <w:tcW w:w="931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sz w:val="24"/>
              </w:rPr>
              <w:t>合计金额（人民币大写）：</w:t>
            </w:r>
            <w:r>
              <w:rPr>
                <w:rFonts w:ascii="宋体" w:hAnsi="宋体" w:cs="宋体"/>
                <w:sz w:val="24"/>
                <w:u w:val="single"/>
              </w:rPr>
              <w:t xml:space="preserve">      </w:t>
            </w:r>
            <w:r>
              <w:rPr>
                <w:rFonts w:hint="eastAsia" w:ascii="宋体" w:hAnsi="宋体" w:cs="宋体"/>
                <w:sz w:val="24"/>
                <w:u w:val="single"/>
              </w:rPr>
              <w:t xml:space="preserve">                      元整</w:t>
            </w:r>
            <w:r>
              <w:rPr>
                <w:rFonts w:ascii="宋体" w:hAnsi="宋体" w:cs="宋体"/>
                <w:sz w:val="24"/>
                <w:u w:val="single"/>
              </w:rPr>
              <w:t xml:space="preserve">  </w:t>
            </w:r>
            <w:r>
              <w:rPr>
                <w:rFonts w:hint="eastAsia" w:ascii="宋体" w:hAnsi="宋体" w:cs="宋体"/>
                <w:sz w:val="24"/>
              </w:rPr>
              <w:t>（小写¥</w:t>
            </w:r>
            <w:r>
              <w:rPr>
                <w:rFonts w:ascii="宋体" w:hAnsi="宋体" w:cs="宋体"/>
                <w:sz w:val="24"/>
                <w:u w:val="single"/>
              </w:rPr>
              <w:t xml:space="preserve">           </w:t>
            </w:r>
            <w:r>
              <w:rPr>
                <w:rFonts w:hint="eastAsia" w:ascii="宋体" w:hAnsi="宋体" w:cs="宋体"/>
                <w:sz w:val="24"/>
              </w:rPr>
              <w:t>）</w:t>
            </w:r>
          </w:p>
        </w:tc>
      </w:tr>
    </w:tbl>
    <w:p>
      <w:pPr>
        <w:pStyle w:val="2"/>
        <w:rPr>
          <w:rFonts w:ascii="宋体" w:hAnsi="宋体" w:cs="宋体"/>
          <w:color w:val="000000" w:themeColor="text1"/>
          <w:sz w:val="24"/>
          <w14:textFill>
            <w14:solidFill>
              <w14:schemeClr w14:val="tx1"/>
            </w14:solidFill>
          </w14:textFill>
        </w:rPr>
      </w:pPr>
    </w:p>
    <w:p>
      <w:pPr>
        <w:pStyle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pStyle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1.“合计金额”必须与《竞争性磋商报价表》中的第10项“维保运行耗材、维修配件、备品备件”的“单项合价”一致，否则竞争性磋商无效。</w:t>
      </w:r>
    </w:p>
    <w:p>
      <w:pPr>
        <w:pStyle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作最后报价时，第10项“维保运行耗材、维修配件、备品备件”只需报“单项合价”即可，不需要另外提供最后“维保运行耗材、维修配件、备品备件分项报价清单”。各分项的最后单价按响应文件中首次报价的“单项合价”和磋商后最后报价“单项合价”的比率调整。</w:t>
      </w: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中小企业声明函（服务）</w:t>
      </w:r>
      <w:bookmarkEnd w:id="54"/>
    </w:p>
    <w:p>
      <w:pPr>
        <w:spacing w:before="2" w:line="500" w:lineRule="exact"/>
        <w:ind w:firstLine="708" w:firstLineChars="294"/>
        <w:rPr>
          <w:rFonts w:ascii="宋体" w:hAnsi="宋体" w:cs="宋体"/>
          <w:b/>
          <w:bCs/>
          <w:sz w:val="24"/>
        </w:rPr>
      </w:pPr>
    </w:p>
    <w:p>
      <w:pPr>
        <w:pStyle w:val="14"/>
        <w:spacing w:line="500" w:lineRule="exact"/>
        <w:ind w:right="142" w:firstLine="705" w:firstLineChars="294"/>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tabs>
          <w:tab w:val="left" w:pos="1065"/>
          <w:tab w:val="left" w:pos="4262"/>
          <w:tab w:val="left" w:pos="6477"/>
        </w:tabs>
        <w:spacing w:before="20" w:line="500" w:lineRule="exact"/>
        <w:ind w:right="84" w:firstLine="772" w:firstLineChars="322"/>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pStyle w:val="14"/>
        <w:spacing w:before="34" w:line="500" w:lineRule="exact"/>
        <w:ind w:right="142" w:firstLine="705" w:firstLineChars="294"/>
        <w:rPr>
          <w:rFonts w:ascii="宋体" w:hAnsi="宋体" w:cs="宋体"/>
          <w:sz w:val="24"/>
        </w:rPr>
      </w:pPr>
      <w:r>
        <w:rPr>
          <w:rFonts w:hint="eastAsia" w:ascii="宋体" w:hAnsi="宋体" w:cs="宋体"/>
          <w:sz w:val="24"/>
        </w:rPr>
        <w:t xml:space="preserve">…… </w:t>
      </w:r>
    </w:p>
    <w:p>
      <w:pPr>
        <w:pStyle w:val="14"/>
        <w:spacing w:before="34" w:line="500" w:lineRule="exact"/>
        <w:ind w:right="142" w:firstLine="705" w:firstLineChars="294"/>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pStyle w:val="14"/>
        <w:spacing w:before="25" w:line="500" w:lineRule="exact"/>
        <w:ind w:right="142" w:firstLine="705" w:firstLineChars="294"/>
        <w:rPr>
          <w:rFonts w:ascii="宋体" w:hAnsi="宋体" w:cs="宋体"/>
          <w:sz w:val="24"/>
        </w:rPr>
      </w:pPr>
      <w:r>
        <w:rPr>
          <w:rFonts w:hint="eastAsia" w:ascii="宋体" w:hAnsi="宋体" w:cs="宋体"/>
          <w:sz w:val="24"/>
        </w:rPr>
        <w:t>本企业对上述声明内容的真实性负责。如有虚假，将依法承担相应责任。</w:t>
      </w:r>
    </w:p>
    <w:p>
      <w:pPr>
        <w:pStyle w:val="14"/>
        <w:spacing w:before="56" w:line="500" w:lineRule="exact"/>
        <w:ind w:right="1808" w:firstLine="705" w:firstLineChars="294"/>
        <w:rPr>
          <w:rFonts w:ascii="宋体" w:hAnsi="宋体" w:cs="宋体"/>
          <w:sz w:val="24"/>
        </w:rPr>
      </w:pPr>
    </w:p>
    <w:p>
      <w:pPr>
        <w:pStyle w:val="14"/>
        <w:spacing w:before="56" w:line="500" w:lineRule="exact"/>
        <w:ind w:right="650" w:firstLine="2400" w:firstLineChars="1000"/>
        <w:rPr>
          <w:rFonts w:ascii="宋体" w:hAnsi="宋体" w:cs="宋体"/>
          <w:sz w:val="24"/>
          <w:u w:val="single"/>
        </w:rPr>
      </w:pPr>
      <w:r>
        <w:rPr>
          <w:rFonts w:hint="eastAsia" w:ascii="宋体" w:hAnsi="宋体" w:cs="宋体"/>
          <w:sz w:val="24"/>
        </w:rPr>
        <w:t xml:space="preserve">企业名称（公章）： </w:t>
      </w:r>
      <w:r>
        <w:rPr>
          <w:rFonts w:ascii="宋体" w:hAnsi="宋体" w:cs="宋体"/>
          <w:sz w:val="24"/>
          <w:u w:val="single"/>
        </w:rPr>
        <w:t xml:space="preserve">                    </w:t>
      </w:r>
    </w:p>
    <w:p>
      <w:pPr>
        <w:pStyle w:val="14"/>
        <w:spacing w:before="56" w:line="500" w:lineRule="exact"/>
        <w:ind w:right="1808" w:firstLine="2400" w:firstLineChars="10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520" w:lineRule="exact"/>
        <w:jc w:val="left"/>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享受《政府采购促进中小企业发展管理办法》（财库〔</w:t>
      </w:r>
      <w:r>
        <w:rPr>
          <w:rFonts w:ascii="楷体" w:hAnsi="楷体" w:eastAsia="楷体" w:cs="宋体"/>
          <w:sz w:val="24"/>
        </w:rPr>
        <w:t>2020〕46号）规定的中小企业扶持政策的，采购人、采购代理机构应当随成交结果公开成交供应商的《中小企业声明函》。从业人员、营业收入、资产总额填报上一年度数据，无上</w:t>
      </w:r>
      <w:r>
        <w:rPr>
          <w:rFonts w:hint="eastAsia" w:ascii="楷体" w:hAnsi="楷体" w:eastAsia="楷体" w:cs="宋体"/>
          <w:sz w:val="24"/>
        </w:rPr>
        <w:t>一年度数据的新成立企业可不填报。</w:t>
      </w:r>
    </w:p>
    <w:p>
      <w:pPr>
        <w:spacing w:line="360" w:lineRule="auto"/>
        <w:rPr>
          <w:rFonts w:ascii="宋体" w:hAnsi="宋体" w:cs="宋体"/>
          <w:szCs w:val="21"/>
        </w:rPr>
      </w:pPr>
    </w:p>
    <w:p>
      <w:pPr>
        <w:spacing w:line="520" w:lineRule="exact"/>
        <w:jc w:val="center"/>
        <w:rPr>
          <w:rFonts w:ascii="宋体" w:hAnsi="宋体" w:cs="宋体"/>
          <w:sz w:val="24"/>
        </w:rPr>
      </w:pPr>
      <w:r>
        <w:rPr>
          <w:rFonts w:hint="eastAsia" w:ascii="宋体" w:hAnsi="宋体" w:cs="宋体"/>
          <w:sz w:val="24"/>
        </w:rPr>
        <w:br w:type="page"/>
      </w:r>
      <w:r>
        <w:rPr>
          <w:rFonts w:hint="eastAsia" w:ascii="宋体" w:hAnsi="宋体" w:cs="宋体"/>
          <w:b/>
          <w:sz w:val="32"/>
          <w:szCs w:val="32"/>
        </w:rPr>
        <w:t>残疾人福利性单位声明函</w:t>
      </w:r>
    </w:p>
    <w:p>
      <w:pPr>
        <w:spacing w:line="360" w:lineRule="auto"/>
        <w:contextualSpacing/>
        <w:rPr>
          <w:rFonts w:ascii="宋体" w:hAnsi="宋体" w:cs="宋体"/>
          <w:sz w:val="32"/>
          <w:szCs w:val="32"/>
        </w:rPr>
      </w:pPr>
    </w:p>
    <w:p>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ind w:firstLine="2400" w:firstLineChars="1000"/>
        <w:contextualSpacing/>
        <w:rPr>
          <w:rFonts w:ascii="宋体" w:hAnsi="宋体" w:cs="宋体"/>
          <w:sz w:val="24"/>
          <w:u w:val="single"/>
        </w:rPr>
      </w:pPr>
      <w:r>
        <w:rPr>
          <w:rFonts w:hint="eastAsia" w:ascii="宋体" w:hAnsi="宋体" w:cs="宋体"/>
          <w:sz w:val="24"/>
        </w:rPr>
        <w:t>单位名称（公章）：</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3600" w:firstLineChars="1500"/>
        <w:contextualSpacing/>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p>
    <w:p>
      <w:pPr>
        <w:spacing w:before="312" w:beforeLines="100" w:after="156" w:afterLines="50"/>
        <w:ind w:left="540"/>
        <w:jc w:val="center"/>
        <w:rPr>
          <w:rFonts w:ascii="宋体" w:hAnsi="宋体" w:cs="宋体"/>
          <w:b/>
          <w:sz w:val="32"/>
          <w:szCs w:val="32"/>
        </w:rPr>
      </w:pPr>
      <w:r>
        <w:rPr>
          <w:rFonts w:hint="eastAsia" w:ascii="宋体" w:hAnsi="宋体" w:cs="宋体"/>
          <w:sz w:val="24"/>
        </w:rPr>
        <w:br w:type="page"/>
      </w:r>
      <w:r>
        <w:rPr>
          <w:rFonts w:hint="eastAsia" w:ascii="宋体" w:hAnsi="宋体" w:cs="宋体"/>
          <w:b/>
          <w:bCs/>
          <w:sz w:val="44"/>
          <w:szCs w:val="44"/>
        </w:rPr>
        <w:t>法定代表人身份证明</w:t>
      </w:r>
    </w:p>
    <w:p>
      <w:pPr>
        <w:spacing w:line="360" w:lineRule="auto"/>
        <w:ind w:left="540"/>
        <w:contextualSpacing/>
        <w:rPr>
          <w:rFonts w:ascii="宋体" w:hAnsi="宋体" w:cs="宋体"/>
          <w:sz w:val="32"/>
          <w:szCs w:val="32"/>
        </w:rPr>
      </w:pPr>
    </w:p>
    <w:p>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pPr>
        <w:spacing w:line="360" w:lineRule="auto"/>
        <w:ind w:left="540"/>
        <w:contextualSpacing/>
        <w:rPr>
          <w:rFonts w:ascii="宋体" w:hAnsi="宋体" w:cs="宋体"/>
          <w:sz w:val="24"/>
        </w:rPr>
      </w:pPr>
      <w:r>
        <w:rPr>
          <w:rFonts w:hint="eastAsia" w:ascii="宋体" w:hAnsi="宋体" w:cs="宋体"/>
          <w:sz w:val="24"/>
        </w:rPr>
        <w:t>特此证明。</w:t>
      </w:r>
    </w:p>
    <w:p>
      <w:pPr>
        <w:spacing w:line="360" w:lineRule="auto"/>
        <w:ind w:left="540"/>
        <w:contextualSpacing/>
        <w:rPr>
          <w:rFonts w:ascii="宋体" w:hAnsi="宋体" w:cs="宋体"/>
          <w:sz w:val="24"/>
        </w:rPr>
      </w:pPr>
    </w:p>
    <w:p>
      <w:pPr>
        <w:spacing w:line="360" w:lineRule="auto"/>
        <w:ind w:left="540"/>
        <w:contextualSpacing/>
        <w:rPr>
          <w:rFonts w:ascii="宋体" w:hAnsi="宋体" w:cs="宋体"/>
          <w:sz w:val="24"/>
        </w:rPr>
      </w:pPr>
    </w:p>
    <w:p>
      <w:pPr>
        <w:spacing w:line="360" w:lineRule="auto"/>
        <w:ind w:left="540"/>
        <w:contextualSpacing/>
        <w:rPr>
          <w:rFonts w:ascii="宋体" w:hAnsi="宋体" w:cs="宋体"/>
          <w:sz w:val="24"/>
        </w:rPr>
      </w:pPr>
    </w:p>
    <w:p>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pPr>
        <w:spacing w:line="360" w:lineRule="auto"/>
        <w:ind w:left="540"/>
        <w:contextualSpacing/>
        <w:rPr>
          <w:rFonts w:ascii="宋体" w:hAnsi="宋体" w:cs="宋体"/>
          <w:sz w:val="24"/>
        </w:rPr>
      </w:pPr>
    </w:p>
    <w:p>
      <w:pPr>
        <w:spacing w:line="360" w:lineRule="auto"/>
        <w:ind w:right="960" w:firstLine="4080" w:firstLineChars="1700"/>
        <w:contextualSpacing/>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p>
    <w:p>
      <w:pPr>
        <w:pStyle w:val="23"/>
        <w:rPr>
          <w:rFonts w:ascii="宋体" w:hAnsi="宋体" w:cs="宋体"/>
        </w:rPr>
      </w:pPr>
    </w:p>
    <w:p>
      <w:pPr>
        <w:spacing w:line="360" w:lineRule="auto"/>
        <w:ind w:firstLine="4080" w:firstLineChars="1700"/>
        <w:contextualSpacing/>
        <w:rPr>
          <w:rFonts w:ascii="宋体" w:hAnsi="宋体" w:cs="宋体"/>
          <w:sz w:val="24"/>
        </w:rPr>
      </w:pP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contextualSpacing/>
        <w:jc w:val="center"/>
        <w:rPr>
          <w:rFonts w:ascii="宋体" w:hAnsi="宋体" w:cs="宋体"/>
          <w:b/>
          <w:sz w:val="24"/>
        </w:rPr>
      </w:pPr>
    </w:p>
    <w:p>
      <w:pPr>
        <w:spacing w:line="360" w:lineRule="auto"/>
        <w:contextualSpacing/>
        <w:jc w:val="left"/>
        <w:rPr>
          <w:rFonts w:ascii="宋体" w:hAnsi="宋体" w:cs="宋体"/>
          <w:sz w:val="24"/>
        </w:rPr>
      </w:pPr>
    </w:p>
    <w:p>
      <w:pPr>
        <w:spacing w:line="360" w:lineRule="auto"/>
        <w:contextualSpacing/>
        <w:jc w:val="left"/>
        <w:rPr>
          <w:rFonts w:ascii="楷体" w:hAnsi="楷体" w:eastAsia="楷体" w:cs="宋体"/>
          <w:sz w:val="24"/>
        </w:rPr>
      </w:pPr>
      <w:r>
        <w:rPr>
          <w:rFonts w:hint="eastAsia" w:ascii="楷体" w:hAnsi="楷体" w:eastAsia="楷体" w:cs="宋体"/>
          <w:b/>
          <w:sz w:val="24"/>
        </w:rPr>
        <w:t>注：</w:t>
      </w:r>
      <w:r>
        <w:rPr>
          <w:rFonts w:hint="eastAsia" w:ascii="楷体" w:hAnsi="楷体" w:eastAsia="楷体" w:cs="宋体"/>
          <w:sz w:val="24"/>
        </w:rPr>
        <w:t>自然人参与竞争性磋商的无需提供，联合体参与竞争性磋商的只需牵头人出具。</w:t>
      </w:r>
    </w:p>
    <w:p>
      <w:pPr>
        <w:adjustRightInd w:val="0"/>
        <w:snapToGrid w:val="0"/>
        <w:spacing w:line="300" w:lineRule="auto"/>
        <w:jc w:val="left"/>
        <w:rPr>
          <w:rFonts w:ascii="宋体" w:hAnsi="宋体" w:cs="宋体"/>
          <w:b/>
          <w:szCs w:val="21"/>
        </w:rPr>
      </w:pPr>
    </w:p>
    <w:p>
      <w:pPr>
        <w:spacing w:line="500" w:lineRule="exact"/>
        <w:jc w:val="center"/>
        <w:rPr>
          <w:rFonts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 xml:space="preserve"> </w:t>
      </w:r>
    </w:p>
    <w:p>
      <w:pPr>
        <w:jc w:val="center"/>
        <w:rPr>
          <w:rFonts w:ascii="宋体" w:hAnsi="宋体" w:cs="宋体"/>
          <w:b/>
          <w:sz w:val="44"/>
          <w:szCs w:val="44"/>
        </w:rPr>
      </w:pPr>
      <w:bookmarkStart w:id="55" w:name="_Hlk65853643"/>
      <w:r>
        <w:rPr>
          <w:rFonts w:hint="eastAsia" w:ascii="宋体" w:hAnsi="宋体" w:cs="宋体"/>
          <w:b/>
          <w:sz w:val="44"/>
          <w:szCs w:val="44"/>
        </w:rPr>
        <w:t>授权委托书</w:t>
      </w:r>
    </w:p>
    <w:p>
      <w:pPr>
        <w:jc w:val="center"/>
        <w:rPr>
          <w:rFonts w:ascii="宋体" w:hAnsi="宋体" w:cs="宋体"/>
          <w:sz w:val="32"/>
          <w:szCs w:val="32"/>
        </w:rPr>
      </w:pPr>
      <w:r>
        <w:rPr>
          <w:rFonts w:hint="eastAsia" w:ascii="宋体" w:hAnsi="宋体" w:cs="宋体"/>
          <w:sz w:val="32"/>
          <w:szCs w:val="32"/>
        </w:rPr>
        <w:t>（非联合体参与竞争性磋商格式）</w:t>
      </w:r>
    </w:p>
    <w:p>
      <w:pPr>
        <w:jc w:val="center"/>
        <w:rPr>
          <w:rFonts w:ascii="宋体" w:hAnsi="宋体" w:cs="宋体"/>
          <w:sz w:val="44"/>
          <w:szCs w:val="44"/>
        </w:rPr>
      </w:pPr>
      <w:r>
        <w:rPr>
          <w:rFonts w:hint="eastAsia" w:ascii="宋体" w:hAnsi="宋体" w:cs="宋体"/>
          <w:sz w:val="32"/>
          <w:szCs w:val="32"/>
        </w:rPr>
        <w:t>（如有委托时）</w:t>
      </w:r>
    </w:p>
    <w:p>
      <w:pPr>
        <w:spacing w:line="520" w:lineRule="exact"/>
        <w:rPr>
          <w:rFonts w:ascii="宋体" w:hAnsi="宋体" w:cs="宋体"/>
          <w:sz w:val="32"/>
          <w:szCs w:val="32"/>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项目的竞争性磋商活动，并代表我方全权办理针对上述项目的所有采购程序和环节的具体事务和签署相关文件。</w:t>
      </w:r>
    </w:p>
    <w:p>
      <w:pPr>
        <w:spacing w:line="360" w:lineRule="auto"/>
        <w:rPr>
          <w:rFonts w:ascii="宋体" w:hAnsi="宋体" w:cs="宋体"/>
          <w:sz w:val="24"/>
        </w:rPr>
      </w:pPr>
      <w:r>
        <w:rPr>
          <w:rFonts w:hint="eastAsia" w:ascii="宋体" w:hAnsi="宋体" w:cs="宋体"/>
          <w:sz w:val="24"/>
        </w:rPr>
        <w:t xml:space="preserve">    我方对委托代理人的签字事项负全部责任。</w:t>
      </w:r>
    </w:p>
    <w:p>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pPr>
        <w:spacing w:line="360" w:lineRule="auto"/>
        <w:ind w:firstLine="480" w:firstLineChars="200"/>
        <w:rPr>
          <w:rFonts w:ascii="宋体" w:hAnsi="宋体" w:cs="宋体"/>
          <w:sz w:val="24"/>
        </w:rPr>
      </w:pPr>
      <w:r>
        <w:rPr>
          <w:rFonts w:hint="eastAsia" w:ascii="宋体" w:hAnsi="宋体" w:cs="宋体"/>
          <w:sz w:val="24"/>
        </w:rPr>
        <w:t>附：委托代理人有效身份证正反面复印件</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p>
    <w:p>
      <w:pPr>
        <w:spacing w:line="360" w:lineRule="auto"/>
        <w:rPr>
          <w:rFonts w:ascii="楷体" w:hAnsi="楷体" w:eastAsia="楷体" w:cs="宋体"/>
          <w:sz w:val="24"/>
        </w:rPr>
      </w:pPr>
      <w:r>
        <w:rPr>
          <w:rFonts w:hint="eastAsia" w:ascii="楷体" w:hAnsi="楷体" w:eastAsia="楷体" w:cs="宋体"/>
          <w:b/>
          <w:sz w:val="24"/>
        </w:rPr>
        <w:t>注：</w:t>
      </w:r>
      <w:r>
        <w:rPr>
          <w:rFonts w:ascii="楷体" w:hAnsi="楷体" w:eastAsia="楷体" w:cs="宋体"/>
          <w:sz w:val="24"/>
        </w:rPr>
        <w:t>1.</w:t>
      </w:r>
      <w:r>
        <w:rPr>
          <w:rFonts w:hint="eastAsia" w:ascii="楷体" w:hAnsi="楷体" w:eastAsia="楷体" w:cs="宋体"/>
          <w:sz w:val="24"/>
        </w:rPr>
        <w:t>法定代表人必须在授权委托书上亲笔签字，委托代理人必须在授权委托书上亲笔签字，</w:t>
      </w:r>
      <w:r>
        <w:rPr>
          <w:rFonts w:hint="eastAsia" w:ascii="楷体" w:hAnsi="楷体" w:eastAsia="楷体" w:cs="宋体"/>
          <w:b/>
          <w:sz w:val="24"/>
        </w:rPr>
        <w:t>否则其响应文件按无效响应处理。</w:t>
      </w:r>
    </w:p>
    <w:p>
      <w:pPr>
        <w:spacing w:line="360" w:lineRule="auto"/>
        <w:ind w:firstLine="480" w:firstLineChars="200"/>
        <w:jc w:val="left"/>
        <w:rPr>
          <w:rFonts w:ascii="楷体" w:hAnsi="楷体" w:eastAsia="楷体" w:cs="宋体"/>
          <w:sz w:val="24"/>
        </w:rPr>
      </w:pPr>
      <w:r>
        <w:rPr>
          <w:rFonts w:ascii="楷体" w:hAnsi="楷体" w:eastAsia="楷体" w:cs="宋体"/>
          <w:sz w:val="24"/>
        </w:rPr>
        <w:t>2.</w:t>
      </w:r>
      <w:bookmarkStart w:id="56" w:name="_Hlk65853109"/>
      <w:bookmarkStart w:id="57" w:name="_Hlk65853542"/>
      <w:r>
        <w:rPr>
          <w:rFonts w:hint="eastAsia" w:ascii="楷体" w:hAnsi="楷体" w:eastAsia="楷体" w:cs="宋体"/>
          <w:sz w:val="24"/>
        </w:rPr>
        <w:t>法人、其他组织参与竞争性磋商时“我方”是指“我单位”，自然人参与竞争性磋商时“我方”是指“本人”。</w:t>
      </w:r>
      <w:bookmarkEnd w:id="56"/>
    </w:p>
    <w:bookmarkEnd w:id="57"/>
    <w:p>
      <w:pPr>
        <w:spacing w:line="360" w:lineRule="auto"/>
        <w:ind w:firstLine="420" w:firstLineChars="200"/>
        <w:jc w:val="left"/>
        <w:rPr>
          <w:rFonts w:ascii="宋体" w:hAnsi="宋体" w:cs="宋体"/>
          <w:szCs w:val="21"/>
        </w:rPr>
      </w:pPr>
    </w:p>
    <w:p>
      <w:pPr>
        <w:jc w:val="center"/>
        <w:rPr>
          <w:rFonts w:ascii="宋体" w:hAnsi="宋体" w:cs="宋体"/>
          <w:b/>
          <w:sz w:val="44"/>
          <w:szCs w:val="44"/>
        </w:rPr>
      </w:pPr>
      <w:r>
        <w:rPr>
          <w:rFonts w:hint="eastAsia" w:ascii="宋体" w:hAnsi="宋体" w:cs="宋体"/>
          <w:szCs w:val="21"/>
        </w:rPr>
        <w:br w:type="page"/>
      </w:r>
      <w:r>
        <w:rPr>
          <w:rFonts w:hint="eastAsia" w:ascii="宋体" w:hAnsi="宋体" w:cs="宋体"/>
          <w:b/>
          <w:sz w:val="44"/>
          <w:szCs w:val="44"/>
        </w:rPr>
        <w:t>授权委托书</w:t>
      </w:r>
    </w:p>
    <w:p>
      <w:pPr>
        <w:jc w:val="center"/>
        <w:rPr>
          <w:rFonts w:ascii="宋体" w:hAnsi="宋体" w:cs="宋体"/>
          <w:sz w:val="32"/>
          <w:szCs w:val="32"/>
        </w:rPr>
      </w:pPr>
      <w:r>
        <w:rPr>
          <w:rFonts w:hint="eastAsia" w:ascii="宋体" w:hAnsi="宋体" w:cs="宋体"/>
          <w:sz w:val="32"/>
          <w:szCs w:val="32"/>
        </w:rPr>
        <w:t>（联合体参与竞争性磋商格式）</w:t>
      </w:r>
    </w:p>
    <w:p>
      <w:pPr>
        <w:jc w:val="center"/>
        <w:rPr>
          <w:rFonts w:ascii="宋体" w:hAnsi="宋体" w:cs="宋体"/>
          <w:sz w:val="44"/>
          <w:szCs w:val="44"/>
        </w:rPr>
      </w:pPr>
      <w:r>
        <w:rPr>
          <w:rFonts w:hint="eastAsia" w:ascii="宋体" w:hAnsi="宋体" w:cs="宋体"/>
          <w:sz w:val="32"/>
          <w:szCs w:val="32"/>
        </w:rPr>
        <w:t>（如有委托时）</w:t>
      </w:r>
    </w:p>
    <w:p>
      <w:pPr>
        <w:spacing w:line="500" w:lineRule="exact"/>
        <w:jc w:val="center"/>
        <w:rPr>
          <w:rFonts w:ascii="宋体" w:hAnsi="宋体" w:cs="宋体"/>
          <w:sz w:val="44"/>
          <w:szCs w:val="44"/>
        </w:rPr>
      </w:pPr>
    </w:p>
    <w:p>
      <w:pPr>
        <w:spacing w:line="500" w:lineRule="exact"/>
        <w:jc w:val="center"/>
        <w:rPr>
          <w:rFonts w:ascii="宋体" w:hAnsi="宋体" w:cs="宋体"/>
          <w:sz w:val="32"/>
          <w:szCs w:val="32"/>
        </w:rPr>
      </w:pPr>
    </w:p>
    <w:p>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（联合体其他成员名称）签订的《联合体参与竞争性磋商协议书》的内容，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sz w:val="24"/>
        </w:rPr>
        <w:t>（姓名）现授权</w:t>
      </w:r>
      <w:r>
        <w:rPr>
          <w:rFonts w:hint="eastAsia" w:ascii="宋体" w:hAnsi="宋体" w:cs="宋体"/>
          <w:sz w:val="24"/>
          <w:u w:val="single"/>
        </w:rPr>
        <w:t xml:space="preserve">      </w:t>
      </w:r>
      <w:r>
        <w:rPr>
          <w:rFonts w:hint="eastAsia" w:ascii="宋体" w:hAnsi="宋体" w:cs="宋体"/>
          <w:sz w:val="24"/>
        </w:rPr>
        <w:t>（姓名）为联合委托代理人，并代表我方全权办理针对上述项目的所有采购程序和环节的具体事务和签署相关文件。</w:t>
      </w:r>
    </w:p>
    <w:p>
      <w:pPr>
        <w:spacing w:line="360" w:lineRule="auto"/>
        <w:ind w:firstLine="480" w:firstLineChars="200"/>
        <w:rPr>
          <w:rFonts w:ascii="宋体" w:hAnsi="宋体" w:cs="宋体"/>
          <w:sz w:val="24"/>
        </w:rPr>
      </w:pPr>
      <w:r>
        <w:rPr>
          <w:rFonts w:hint="eastAsia" w:ascii="宋体" w:hAnsi="宋体" w:cs="宋体"/>
          <w:sz w:val="24"/>
        </w:rPr>
        <w:t>我方对委托代理人的签字事项负全部责任。</w:t>
      </w:r>
    </w:p>
    <w:p>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pPr>
        <w:spacing w:line="360" w:lineRule="auto"/>
        <w:rPr>
          <w:rFonts w:ascii="宋体" w:hAnsi="宋体" w:cs="宋体"/>
          <w:sz w:val="24"/>
        </w:rPr>
      </w:pPr>
      <w:r>
        <w:rPr>
          <w:rFonts w:hint="eastAsia" w:ascii="宋体" w:hAnsi="宋体" w:cs="宋体"/>
          <w:sz w:val="24"/>
        </w:rPr>
        <w:t xml:space="preserve">    附：法定代表人身份证明及委托代理人有效身份证正反面复印件</w:t>
      </w:r>
    </w:p>
    <w:p>
      <w:pPr>
        <w:spacing w:line="360" w:lineRule="auto"/>
        <w:ind w:firstLine="480" w:firstLineChars="200"/>
        <w:rPr>
          <w:rFonts w:ascii="宋体" w:hAnsi="宋体" w:cs="宋体"/>
          <w:sz w:val="24"/>
        </w:rPr>
      </w:pPr>
      <w:r>
        <w:rPr>
          <w:rFonts w:hint="eastAsia" w:ascii="宋体" w:hAnsi="宋体" w:cs="宋体"/>
          <w:sz w:val="24"/>
        </w:rPr>
        <w:t>牵头人法定代表人（签字或者盖章）：</w:t>
      </w:r>
    </w:p>
    <w:p>
      <w:pPr>
        <w:spacing w:line="360" w:lineRule="auto"/>
        <w:ind w:firstLine="3120" w:firstLineChars="1300"/>
        <w:rPr>
          <w:rFonts w:ascii="宋体" w:hAnsi="宋体" w:cs="宋体"/>
          <w:sz w:val="24"/>
          <w:u w:val="single"/>
        </w:rPr>
      </w:pPr>
      <w:r>
        <w:rPr>
          <w:rFonts w:hint="eastAsia" w:ascii="宋体" w:hAnsi="宋体" w:cs="宋体"/>
          <w:sz w:val="24"/>
        </w:rPr>
        <w:t>牵头人（公章）：</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3840" w:firstLineChars="16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p>
    <w:p>
      <w:pPr>
        <w:spacing w:line="360" w:lineRule="auto"/>
        <w:ind w:firstLine="3120" w:firstLineChars="1300"/>
        <w:rPr>
          <w:rFonts w:ascii="宋体" w:hAnsi="宋体" w:cs="宋体"/>
          <w:sz w:val="24"/>
          <w:u w:val="single"/>
        </w:rPr>
      </w:pPr>
      <w:r>
        <w:rPr>
          <w:rFonts w:hint="eastAsia" w:ascii="宋体" w:hAnsi="宋体" w:cs="宋体"/>
          <w:sz w:val="24"/>
        </w:rPr>
        <w:t>被授权人（签字）：</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3840" w:firstLineChars="16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p>
    <w:p>
      <w:pPr>
        <w:spacing w:line="360" w:lineRule="auto"/>
        <w:rPr>
          <w:rFonts w:ascii="楷体" w:hAnsi="楷体" w:eastAsia="楷体" w:cs="宋体"/>
          <w:sz w:val="24"/>
        </w:rPr>
      </w:pPr>
      <w:r>
        <w:rPr>
          <w:rFonts w:hint="eastAsia" w:ascii="楷体" w:hAnsi="楷体" w:eastAsia="楷体" w:cs="宋体"/>
          <w:b/>
          <w:sz w:val="24"/>
        </w:rPr>
        <w:t>注：</w:t>
      </w:r>
      <w:r>
        <w:rPr>
          <w:rFonts w:ascii="楷体" w:hAnsi="楷体" w:eastAsia="楷体" w:cs="宋体"/>
          <w:sz w:val="24"/>
        </w:rPr>
        <w:t>1.</w:t>
      </w:r>
      <w:r>
        <w:rPr>
          <w:rFonts w:hint="eastAsia" w:ascii="楷体" w:hAnsi="楷体" w:eastAsia="楷体" w:cs="宋体"/>
          <w:sz w:val="24"/>
        </w:rPr>
        <w:t>法定代表人必须在授权委托书上亲笔签字，委托代理人必须在授权委托书上亲笔签字，</w:t>
      </w:r>
      <w:r>
        <w:rPr>
          <w:rFonts w:hint="eastAsia" w:ascii="楷体" w:hAnsi="楷体" w:eastAsia="楷体" w:cs="宋体"/>
          <w:b/>
          <w:sz w:val="24"/>
        </w:rPr>
        <w:t>否则其响应文件按无效响应处理。</w:t>
      </w:r>
    </w:p>
    <w:p>
      <w:pPr>
        <w:spacing w:line="360" w:lineRule="auto"/>
        <w:ind w:firstLine="480" w:firstLineChars="200"/>
        <w:jc w:val="left"/>
        <w:rPr>
          <w:rFonts w:ascii="楷体" w:hAnsi="楷体" w:eastAsia="楷体" w:cs="宋体"/>
          <w:sz w:val="24"/>
        </w:rPr>
      </w:pPr>
      <w:r>
        <w:rPr>
          <w:rFonts w:ascii="楷体" w:hAnsi="楷体" w:eastAsia="楷体" w:cs="宋体"/>
          <w:sz w:val="24"/>
        </w:rPr>
        <w:t>2.本授权委托书应由联合体牵头人的法定代表人按上述规定签署。</w:t>
      </w:r>
    </w:p>
    <w:p>
      <w:pPr>
        <w:spacing w:line="360" w:lineRule="auto"/>
        <w:ind w:firstLine="480" w:firstLineChars="200"/>
        <w:jc w:val="left"/>
        <w:rPr>
          <w:rFonts w:ascii="楷体" w:hAnsi="楷体" w:eastAsia="楷体" w:cs="宋体"/>
          <w:spacing w:val="-11"/>
          <w:sz w:val="24"/>
        </w:rPr>
      </w:pPr>
      <w:r>
        <w:rPr>
          <w:rFonts w:ascii="楷体" w:hAnsi="楷体" w:eastAsia="楷体" w:cs="宋体"/>
          <w:sz w:val="24"/>
        </w:rPr>
        <w:t>3.</w:t>
      </w:r>
      <w:r>
        <w:rPr>
          <w:rFonts w:hint="eastAsia" w:ascii="楷体" w:hAnsi="楷体" w:eastAsia="楷体" w:cs="宋体"/>
          <w:spacing w:val="-11"/>
          <w:sz w:val="24"/>
        </w:rPr>
        <w:t>法人、其他组织</w:t>
      </w:r>
      <w:r>
        <w:rPr>
          <w:rFonts w:hint="eastAsia" w:ascii="楷体" w:hAnsi="楷体" w:eastAsia="楷体" w:cs="宋体"/>
          <w:sz w:val="24"/>
        </w:rPr>
        <w:t>参与竞争性磋商</w:t>
      </w:r>
      <w:r>
        <w:rPr>
          <w:rFonts w:hint="eastAsia" w:ascii="楷体" w:hAnsi="楷体" w:eastAsia="楷体" w:cs="宋体"/>
          <w:spacing w:val="-11"/>
          <w:sz w:val="24"/>
        </w:rPr>
        <w:t>时“我方”是指“我单位”，自然人</w:t>
      </w:r>
      <w:r>
        <w:rPr>
          <w:rFonts w:hint="eastAsia" w:ascii="楷体" w:hAnsi="楷体" w:eastAsia="楷体" w:cs="宋体"/>
          <w:sz w:val="24"/>
        </w:rPr>
        <w:t>参与竞争性磋商</w:t>
      </w:r>
      <w:r>
        <w:rPr>
          <w:rFonts w:hint="eastAsia" w:ascii="楷体" w:hAnsi="楷体" w:eastAsia="楷体" w:cs="宋体"/>
          <w:spacing w:val="-11"/>
          <w:sz w:val="24"/>
        </w:rPr>
        <w:t>时“我方”是指“本人”。</w:t>
      </w:r>
    </w:p>
    <w:bookmarkEnd w:id="55"/>
    <w:p>
      <w:pPr>
        <w:jc w:val="center"/>
        <w:rPr>
          <w:rFonts w:ascii="宋体" w:hAnsi="宋体" w:cs="宋体"/>
          <w:bCs/>
          <w:sz w:val="44"/>
          <w:szCs w:val="44"/>
        </w:rPr>
      </w:pPr>
      <w:r>
        <w:rPr>
          <w:rFonts w:hint="eastAsia" w:ascii="宋体" w:hAnsi="宋体" w:cs="宋体"/>
          <w:sz w:val="32"/>
          <w:szCs w:val="32"/>
        </w:rPr>
        <w:br w:type="page"/>
      </w:r>
      <w:r>
        <w:rPr>
          <w:rFonts w:hint="eastAsia" w:ascii="宋体" w:hAnsi="宋体" w:cs="宋体"/>
          <w:b/>
          <w:bCs/>
          <w:sz w:val="44"/>
          <w:szCs w:val="44"/>
        </w:rPr>
        <w:t>商务要求偏离表</w:t>
      </w:r>
      <w:r>
        <w:rPr>
          <w:rFonts w:hint="eastAsia" w:ascii="宋体" w:hAnsi="宋体" w:cs="宋体"/>
          <w:bCs/>
          <w:sz w:val="44"/>
          <w:szCs w:val="44"/>
        </w:rPr>
        <w:t>（格式）</w:t>
      </w:r>
    </w:p>
    <w:p>
      <w:pPr>
        <w:jc w:val="center"/>
        <w:rPr>
          <w:rFonts w:ascii="宋体" w:hAnsi="宋体" w:cs="宋体"/>
          <w:bCs/>
          <w:sz w:val="36"/>
          <w:szCs w:val="36"/>
        </w:rPr>
      </w:pPr>
      <w:r>
        <w:rPr>
          <w:rFonts w:hint="eastAsia" w:ascii="宋体" w:hAnsi="宋体" w:cs="宋体"/>
          <w:bCs/>
          <w:sz w:val="36"/>
          <w:szCs w:val="36"/>
        </w:rPr>
        <w:t>（注：按采购需求具体条款修改）</w:t>
      </w:r>
    </w:p>
    <w:p>
      <w:pPr>
        <w:spacing w:line="360" w:lineRule="auto"/>
        <w:contextualSpacing/>
        <w:jc w:val="left"/>
        <w:rPr>
          <w:rFonts w:ascii="宋体" w:hAnsi="宋体" w:cs="宋体"/>
          <w:sz w:val="24"/>
        </w:rPr>
      </w:pPr>
    </w:p>
    <w:p>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pPr>
        <w:spacing w:line="360" w:lineRule="auto"/>
        <w:contextualSpacing/>
        <w:rPr>
          <w:rFonts w:hAnsi="宋体" w:cs="宋体"/>
          <w:sz w:val="24"/>
        </w:rPr>
      </w:pPr>
      <w:r>
        <w:rPr>
          <w:rFonts w:hint="eastAsia" w:ascii="宋体" w:hAnsi="宋体" w:cs="宋体"/>
          <w:sz w:val="24"/>
        </w:rPr>
        <w:t>分标号：</w:t>
      </w:r>
      <w:r>
        <w:rPr>
          <w:rFonts w:hint="eastAsia" w:ascii="宋体" w:hAnsi="宋体" w:cs="宋体"/>
          <w:sz w:val="24"/>
          <w:u w:val="single"/>
        </w:rPr>
        <w:t xml:space="preserve">                       </w:t>
      </w:r>
    </w:p>
    <w:p>
      <w:pPr>
        <w:spacing w:line="360" w:lineRule="auto"/>
        <w:contextualSpacing/>
        <w:jc w:val="left"/>
        <w:rPr>
          <w:rFonts w:ascii="宋体" w:hAnsi="宋体" w:cs="宋体"/>
          <w:sz w:val="24"/>
          <w:u w:val="single"/>
        </w:rPr>
      </w:pPr>
    </w:p>
    <w:tbl>
      <w:tblPr>
        <w:tblStyle w:val="29"/>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r>
              <w:rPr>
                <w:rFonts w:hint="eastAsia" w:ascii="宋体" w:hAnsi="宋体" w:cs="宋体"/>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r>
              <w:rPr>
                <w:rFonts w:hint="eastAsia" w:ascii="宋体" w:hAnsi="宋体" w:cs="宋体"/>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ind w:left="43"/>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r>
              <w:rPr>
                <w:rFonts w:hint="eastAsia" w:ascii="宋体" w:hAnsi="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sz w:val="24"/>
              </w:rPr>
            </w:pPr>
          </w:p>
        </w:tc>
      </w:tr>
    </w:tbl>
    <w:p>
      <w:pPr>
        <w:pStyle w:val="13"/>
        <w:spacing w:after="0" w:line="360" w:lineRule="auto"/>
        <w:contextualSpacing/>
        <w:rPr>
          <w:rFonts w:ascii="楷体" w:hAnsi="楷体" w:eastAsia="楷体" w:cs="宋体"/>
          <w:b/>
          <w:kern w:val="0"/>
          <w:sz w:val="24"/>
          <w:szCs w:val="24"/>
        </w:rPr>
      </w:pPr>
      <w:r>
        <w:rPr>
          <w:rFonts w:hint="eastAsia" w:ascii="楷体" w:hAnsi="楷体" w:eastAsia="楷体" w:cs="宋体"/>
          <w:b/>
          <w:kern w:val="0"/>
          <w:sz w:val="24"/>
          <w:szCs w:val="24"/>
        </w:rPr>
        <w:t>注：</w:t>
      </w:r>
    </w:p>
    <w:p>
      <w:pPr>
        <w:pStyle w:val="13"/>
        <w:spacing w:after="0" w:line="360" w:lineRule="auto"/>
        <w:contextualSpacing/>
        <w:rPr>
          <w:rFonts w:ascii="楷体" w:hAnsi="楷体" w:eastAsia="楷体" w:cs="宋体"/>
          <w:kern w:val="0"/>
          <w:sz w:val="24"/>
          <w:szCs w:val="24"/>
        </w:rPr>
      </w:pPr>
      <w:r>
        <w:rPr>
          <w:rFonts w:ascii="楷体" w:hAnsi="楷体" w:eastAsia="楷体" w:cs="宋体"/>
          <w:kern w:val="0"/>
          <w:sz w:val="24"/>
          <w:szCs w:val="24"/>
        </w:rPr>
        <w:t>1.</w:t>
      </w:r>
      <w:r>
        <w:rPr>
          <w:rFonts w:hint="eastAsia" w:ascii="楷体" w:hAnsi="楷体" w:eastAsia="楷体" w:cs="宋体"/>
          <w:kern w:val="0"/>
          <w:sz w:val="24"/>
          <w:szCs w:val="24"/>
        </w:rPr>
        <w:t>说明：应对照磋商文件“第三章</w:t>
      </w:r>
      <w:r>
        <w:rPr>
          <w:rFonts w:ascii="楷体" w:hAnsi="楷体" w:eastAsia="楷体" w:cs="宋体"/>
          <w:kern w:val="0"/>
          <w:sz w:val="24"/>
          <w:szCs w:val="24"/>
        </w:rPr>
        <w:t xml:space="preserve"> </w:t>
      </w:r>
      <w:r>
        <w:rPr>
          <w:rFonts w:hint="eastAsia" w:ascii="楷体" w:hAnsi="楷体" w:eastAsia="楷体" w:cs="宋体"/>
          <w:kern w:val="0"/>
          <w:sz w:val="24"/>
          <w:szCs w:val="24"/>
        </w:rPr>
        <w:t>采购需求”中的“商务要求”逐条作出明确响应，并作出偏离说明。</w:t>
      </w:r>
    </w:p>
    <w:p>
      <w:pPr>
        <w:spacing w:line="360" w:lineRule="auto"/>
        <w:contextualSpacing/>
        <w:jc w:val="left"/>
        <w:rPr>
          <w:rFonts w:ascii="楷体" w:hAnsi="楷体" w:eastAsia="楷体" w:cs="宋体"/>
          <w:sz w:val="24"/>
          <w:u w:val="single"/>
        </w:rPr>
      </w:pPr>
      <w:r>
        <w:rPr>
          <w:rFonts w:ascii="楷体" w:hAnsi="楷体" w:eastAsia="楷体" w:cs="宋体"/>
          <w:kern w:val="0"/>
          <w:sz w:val="24"/>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楷体" w:hAnsi="楷体" w:eastAsia="楷体" w:cs="宋体"/>
          <w:sz w:val="24"/>
        </w:rPr>
      </w:pPr>
    </w:p>
    <w:p>
      <w:pPr>
        <w:spacing w:line="360" w:lineRule="auto"/>
        <w:ind w:right="-817" w:rightChars="-389" w:firstLine="960" w:firstLineChars="4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ind w:right="-817" w:rightChars="-389" w:firstLine="4080" w:firstLineChars="1700"/>
        <w:contextualSpacing/>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520" w:lineRule="exact"/>
        <w:ind w:firstLine="7040" w:firstLineChars="1600"/>
        <w:jc w:val="center"/>
        <w:rPr>
          <w:rFonts w:ascii="宋体" w:hAnsi="宋体" w:cs="宋体"/>
          <w:bCs/>
          <w:sz w:val="44"/>
          <w:szCs w:val="44"/>
        </w:rPr>
      </w:pPr>
    </w:p>
    <w:p>
      <w:pPr>
        <w:adjustRightInd w:val="0"/>
        <w:snapToGrid w:val="0"/>
        <w:spacing w:line="520" w:lineRule="exact"/>
        <w:ind w:firstLine="7040" w:firstLineChars="1600"/>
        <w:jc w:val="center"/>
        <w:rPr>
          <w:rFonts w:ascii="宋体" w:hAnsi="宋体" w:cs="宋体"/>
          <w:bCs/>
          <w:sz w:val="44"/>
          <w:szCs w:val="44"/>
        </w:rPr>
      </w:pPr>
    </w:p>
    <w:p>
      <w:pPr>
        <w:adjustRightInd w:val="0"/>
        <w:snapToGrid w:val="0"/>
        <w:spacing w:line="520" w:lineRule="exact"/>
        <w:ind w:firstLine="7040" w:firstLineChars="1600"/>
        <w:jc w:val="center"/>
        <w:rPr>
          <w:rFonts w:ascii="宋体" w:hAnsi="宋体" w:cs="宋体"/>
          <w:bCs/>
          <w:sz w:val="44"/>
          <w:szCs w:val="44"/>
        </w:rPr>
      </w:pPr>
    </w:p>
    <w:p>
      <w:pPr>
        <w:adjustRightInd w:val="0"/>
        <w:snapToGrid w:val="0"/>
        <w:spacing w:line="520" w:lineRule="exact"/>
        <w:ind w:firstLine="7040" w:firstLineChars="1600"/>
        <w:jc w:val="center"/>
        <w:rPr>
          <w:rFonts w:ascii="宋体" w:hAnsi="宋体" w:cs="宋体"/>
          <w:bCs/>
          <w:sz w:val="44"/>
          <w:szCs w:val="44"/>
        </w:rPr>
      </w:pPr>
    </w:p>
    <w:p>
      <w:pPr>
        <w:adjustRightInd w:val="0"/>
        <w:snapToGrid w:val="0"/>
        <w:spacing w:line="520" w:lineRule="exact"/>
        <w:rPr>
          <w:rFonts w:ascii="宋体" w:hAnsi="宋体" w:cs="宋体"/>
          <w:szCs w:val="21"/>
          <w:u w:val="single"/>
        </w:rPr>
      </w:pPr>
    </w:p>
    <w:p>
      <w:pPr>
        <w:adjustRightInd w:val="0"/>
        <w:snapToGrid w:val="0"/>
        <w:jc w:val="center"/>
        <w:rPr>
          <w:rFonts w:ascii="宋体" w:hAnsi="宋体" w:cs="宋体"/>
          <w:bCs/>
          <w:sz w:val="44"/>
          <w:szCs w:val="44"/>
        </w:rPr>
      </w:pPr>
      <w:r>
        <w:rPr>
          <w:rFonts w:hint="eastAsia" w:ascii="宋体" w:hAnsi="宋体" w:cs="宋体"/>
          <w:bCs/>
          <w:sz w:val="44"/>
          <w:szCs w:val="44"/>
        </w:rPr>
        <w:br w:type="page"/>
      </w:r>
      <w:r>
        <w:rPr>
          <w:rFonts w:hint="eastAsia" w:ascii="宋体" w:hAnsi="宋体" w:cs="宋体"/>
          <w:b/>
          <w:bCs/>
          <w:sz w:val="44"/>
          <w:szCs w:val="44"/>
        </w:rPr>
        <w:t>服务要求偏离表</w:t>
      </w:r>
      <w:r>
        <w:rPr>
          <w:rFonts w:hint="eastAsia" w:ascii="宋体" w:hAnsi="宋体" w:cs="宋体"/>
          <w:bCs/>
          <w:sz w:val="44"/>
          <w:szCs w:val="44"/>
        </w:rPr>
        <w:t>（格式）</w:t>
      </w:r>
    </w:p>
    <w:p>
      <w:pPr>
        <w:jc w:val="center"/>
        <w:rPr>
          <w:rFonts w:ascii="宋体" w:hAnsi="宋体" w:cs="宋体"/>
          <w:bCs/>
          <w:sz w:val="36"/>
          <w:szCs w:val="36"/>
        </w:rPr>
      </w:pPr>
      <w:r>
        <w:rPr>
          <w:rFonts w:hint="eastAsia" w:ascii="宋体" w:hAnsi="宋体" w:cs="宋体"/>
          <w:bCs/>
          <w:sz w:val="36"/>
          <w:szCs w:val="36"/>
        </w:rPr>
        <w:t>（注：按采购需求具体条款修改）</w:t>
      </w:r>
    </w:p>
    <w:p>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pPr>
        <w:spacing w:line="360" w:lineRule="auto"/>
        <w:contextualSpacing/>
        <w:rPr>
          <w:rFonts w:ascii="宋体" w:hAnsi="宋体" w:cs="宋体"/>
          <w:sz w:val="24"/>
          <w:u w:val="single"/>
        </w:rPr>
      </w:pPr>
      <w:r>
        <w:rPr>
          <w:rFonts w:hint="eastAsia" w:ascii="宋体" w:hAnsi="宋体" w:cs="宋体"/>
          <w:sz w:val="24"/>
        </w:rPr>
        <w:t>分标号：</w:t>
      </w:r>
      <w:r>
        <w:rPr>
          <w:rFonts w:hint="eastAsia" w:ascii="宋体" w:hAnsi="宋体" w:cs="宋体"/>
          <w:sz w:val="24"/>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58" w:name="_Toc254970729"/>
            <w:bookmarkStart w:id="59" w:name="_Toc297193185"/>
            <w:bookmarkStart w:id="60" w:name="_Toc295404981"/>
            <w:bookmarkStart w:id="61" w:name="_Toc173211900"/>
            <w:bookmarkStart w:id="62" w:name="_Toc301781611"/>
            <w:bookmarkStart w:id="63" w:name="_Toc173066401"/>
            <w:bookmarkStart w:id="64" w:name="_Toc373333689"/>
            <w:bookmarkStart w:id="65" w:name="_Toc383699906"/>
            <w:bookmarkStart w:id="66" w:name="_Toc254970588"/>
            <w:r>
              <w:rPr>
                <w:rFonts w:hint="eastAsia" w:ascii="宋体" w:hAnsi="宋体" w:eastAsia="宋体" w:cs="宋体"/>
                <w:kern w:val="2"/>
                <w:sz w:val="24"/>
                <w:szCs w:val="24"/>
              </w:rPr>
              <w:t>序号</w:t>
            </w:r>
            <w:bookmarkEnd w:id="58"/>
            <w:bookmarkEnd w:id="59"/>
            <w:bookmarkEnd w:id="60"/>
            <w:bookmarkEnd w:id="61"/>
            <w:bookmarkEnd w:id="62"/>
            <w:bookmarkEnd w:id="63"/>
            <w:bookmarkEnd w:id="64"/>
            <w:bookmarkEnd w:id="65"/>
            <w:bookmarkEnd w:id="66"/>
          </w:p>
        </w:tc>
        <w:tc>
          <w:tcPr>
            <w:tcW w:w="992" w:type="dxa"/>
            <w:tcBorders>
              <w:righ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3292" w:type="dxa"/>
            <w:tcBorders>
              <w:lef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服务要求</w:t>
            </w:r>
          </w:p>
        </w:tc>
        <w:tc>
          <w:tcPr>
            <w:tcW w:w="2963"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67" w:name="_Toc383699908"/>
            <w:bookmarkStart w:id="68" w:name="_Toc254970731"/>
            <w:bookmarkStart w:id="69" w:name="_Toc301781613"/>
            <w:bookmarkStart w:id="70" w:name="_Toc173211902"/>
            <w:bookmarkStart w:id="71" w:name="_Toc254970590"/>
            <w:bookmarkStart w:id="72" w:name="_Toc373333691"/>
            <w:bookmarkStart w:id="73" w:name="_Toc173066403"/>
            <w:bookmarkStart w:id="74" w:name="_Toc295404983"/>
            <w:bookmarkStart w:id="75" w:name="_Toc297193187"/>
            <w:r>
              <w:rPr>
                <w:rFonts w:hint="eastAsia" w:ascii="宋体" w:hAnsi="宋体" w:eastAsia="宋体" w:cs="宋体"/>
                <w:kern w:val="2"/>
                <w:sz w:val="24"/>
                <w:szCs w:val="24"/>
              </w:rPr>
              <w:t>供应商的响应</w:t>
            </w:r>
            <w:bookmarkEnd w:id="67"/>
            <w:bookmarkEnd w:id="68"/>
            <w:bookmarkEnd w:id="69"/>
            <w:bookmarkEnd w:id="70"/>
            <w:bookmarkEnd w:id="71"/>
            <w:bookmarkEnd w:id="72"/>
            <w:bookmarkEnd w:id="73"/>
            <w:bookmarkEnd w:id="74"/>
            <w:bookmarkEnd w:id="75"/>
          </w:p>
        </w:tc>
        <w:tc>
          <w:tcPr>
            <w:tcW w:w="1616"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76" w:name="_Toc254970732"/>
            <w:bookmarkStart w:id="77" w:name="_Toc173211903"/>
            <w:bookmarkStart w:id="78" w:name="_Toc254970591"/>
            <w:bookmarkStart w:id="79" w:name="_Toc295404984"/>
            <w:bookmarkStart w:id="80" w:name="_Toc373333692"/>
            <w:bookmarkStart w:id="81" w:name="_Toc301781614"/>
            <w:bookmarkStart w:id="82" w:name="_Toc297193188"/>
            <w:bookmarkStart w:id="83" w:name="_Toc383699909"/>
            <w:bookmarkStart w:id="84" w:name="_Toc173066404"/>
            <w:r>
              <w:rPr>
                <w:rFonts w:hint="eastAsia" w:ascii="宋体" w:hAnsi="宋体" w:eastAsia="宋体" w:cs="宋体"/>
                <w:kern w:val="2"/>
                <w:sz w:val="24"/>
                <w:szCs w:val="24"/>
              </w:rPr>
              <w:t>偏离</w:t>
            </w:r>
            <w:bookmarkEnd w:id="76"/>
            <w:bookmarkEnd w:id="77"/>
            <w:bookmarkEnd w:id="78"/>
            <w:bookmarkEnd w:id="79"/>
            <w:bookmarkEnd w:id="80"/>
            <w:bookmarkEnd w:id="81"/>
            <w:bookmarkEnd w:id="82"/>
            <w:bookmarkEnd w:id="83"/>
            <w:bookmarkEnd w:id="84"/>
            <w:bookmarkStart w:id="85" w:name="_Toc254970592"/>
            <w:bookmarkStart w:id="86" w:name="_Toc295404985"/>
            <w:bookmarkStart w:id="87" w:name="_Toc383699910"/>
            <w:bookmarkStart w:id="88" w:name="_Toc254970733"/>
            <w:bookmarkStart w:id="89" w:name="_Toc173066405"/>
            <w:bookmarkStart w:id="90" w:name="_Toc297193189"/>
            <w:bookmarkStart w:id="91" w:name="_Toc301781615"/>
            <w:bookmarkStart w:id="92" w:name="_Toc173211904"/>
            <w:bookmarkStart w:id="93" w:name="_Toc373333693"/>
            <w:r>
              <w:rPr>
                <w:rFonts w:hint="eastAsia" w:ascii="宋体" w:hAnsi="宋体" w:eastAsia="宋体" w:cs="宋体"/>
                <w:kern w:val="2"/>
                <w:sz w:val="24"/>
                <w:szCs w:val="24"/>
              </w:rPr>
              <w:t>说明</w:t>
            </w:r>
            <w:bookmarkEnd w:id="85"/>
            <w:bookmarkEnd w:id="86"/>
            <w:bookmarkEnd w:id="87"/>
            <w:bookmarkEnd w:id="88"/>
            <w:bookmarkEnd w:id="89"/>
            <w:bookmarkEnd w:id="90"/>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94" w:name="_Toc173211905"/>
            <w:bookmarkStart w:id="95" w:name="_Toc173066406"/>
            <w:bookmarkStart w:id="96" w:name="_Toc297193190"/>
            <w:bookmarkStart w:id="97" w:name="_Toc301781616"/>
            <w:bookmarkStart w:id="98" w:name="_Toc373333694"/>
            <w:bookmarkStart w:id="99" w:name="_Toc383699911"/>
            <w:bookmarkStart w:id="100" w:name="_Toc254970734"/>
            <w:bookmarkStart w:id="101" w:name="_Toc254970593"/>
            <w:bookmarkStart w:id="102" w:name="_Toc295404986"/>
            <w:r>
              <w:rPr>
                <w:rFonts w:hint="eastAsia" w:ascii="宋体" w:hAnsi="宋体" w:eastAsia="宋体" w:cs="宋体"/>
                <w:kern w:val="2"/>
                <w:sz w:val="24"/>
                <w:szCs w:val="24"/>
              </w:rPr>
              <w:t>1</w:t>
            </w:r>
            <w:bookmarkEnd w:id="94"/>
            <w:bookmarkEnd w:id="95"/>
            <w:bookmarkEnd w:id="96"/>
            <w:bookmarkEnd w:id="97"/>
            <w:bookmarkEnd w:id="98"/>
            <w:bookmarkEnd w:id="99"/>
            <w:bookmarkEnd w:id="100"/>
            <w:bookmarkEnd w:id="101"/>
            <w:bookmarkEnd w:id="102"/>
          </w:p>
        </w:tc>
        <w:tc>
          <w:tcPr>
            <w:tcW w:w="992" w:type="dxa"/>
            <w:tcBorders>
              <w:righ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2963" w:type="dxa"/>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1616" w:type="dxa"/>
            <w:vAlign w:val="center"/>
          </w:tcPr>
          <w:p>
            <w:pPr>
              <w:pStyle w:val="16"/>
              <w:spacing w:line="360" w:lineRule="auto"/>
              <w:ind w:firstLine="0" w:firstLineChars="0"/>
              <w:contextualSpacing/>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103" w:name="_Toc301781617"/>
            <w:bookmarkStart w:id="104" w:name="_Toc295404987"/>
            <w:bookmarkStart w:id="105" w:name="_Toc297193191"/>
            <w:bookmarkStart w:id="106" w:name="_Toc173066407"/>
            <w:bookmarkStart w:id="107" w:name="_Toc173211906"/>
            <w:bookmarkStart w:id="108" w:name="_Toc254970594"/>
            <w:bookmarkStart w:id="109" w:name="_Toc254970735"/>
            <w:bookmarkStart w:id="110" w:name="_Toc383699912"/>
            <w:bookmarkStart w:id="111" w:name="_Toc373333695"/>
            <w:r>
              <w:rPr>
                <w:rFonts w:hint="eastAsia" w:ascii="宋体" w:hAnsi="宋体" w:eastAsia="宋体" w:cs="宋体"/>
                <w:kern w:val="2"/>
                <w:sz w:val="24"/>
                <w:szCs w:val="24"/>
              </w:rPr>
              <w:t>2</w:t>
            </w:r>
            <w:bookmarkEnd w:id="103"/>
            <w:bookmarkEnd w:id="104"/>
            <w:bookmarkEnd w:id="105"/>
            <w:bookmarkEnd w:id="106"/>
            <w:bookmarkEnd w:id="107"/>
            <w:bookmarkEnd w:id="108"/>
            <w:bookmarkEnd w:id="109"/>
            <w:bookmarkEnd w:id="110"/>
            <w:bookmarkEnd w:id="111"/>
          </w:p>
        </w:tc>
        <w:tc>
          <w:tcPr>
            <w:tcW w:w="992" w:type="dxa"/>
            <w:tcBorders>
              <w:righ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2963" w:type="dxa"/>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1616" w:type="dxa"/>
            <w:vAlign w:val="center"/>
          </w:tcPr>
          <w:p>
            <w:pPr>
              <w:pStyle w:val="16"/>
              <w:spacing w:line="360" w:lineRule="auto"/>
              <w:ind w:firstLine="0" w:firstLineChars="0"/>
              <w:contextualSpacing/>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112" w:name="_Toc373333696"/>
            <w:bookmarkStart w:id="113" w:name="_Toc254970736"/>
            <w:bookmarkStart w:id="114" w:name="_Toc297193192"/>
            <w:bookmarkStart w:id="115" w:name="_Toc173211907"/>
            <w:bookmarkStart w:id="116" w:name="_Toc383699913"/>
            <w:bookmarkStart w:id="117" w:name="_Toc254970595"/>
            <w:bookmarkStart w:id="118" w:name="_Toc173066408"/>
            <w:bookmarkStart w:id="119" w:name="_Toc301781618"/>
            <w:bookmarkStart w:id="120" w:name="_Toc295404988"/>
            <w:r>
              <w:rPr>
                <w:rFonts w:hint="eastAsia" w:ascii="宋体" w:hAnsi="宋体" w:eastAsia="宋体" w:cs="宋体"/>
                <w:kern w:val="2"/>
                <w:sz w:val="24"/>
                <w:szCs w:val="24"/>
              </w:rPr>
              <w:t>3</w:t>
            </w:r>
            <w:bookmarkEnd w:id="112"/>
            <w:bookmarkEnd w:id="113"/>
            <w:bookmarkEnd w:id="114"/>
            <w:bookmarkEnd w:id="115"/>
            <w:bookmarkEnd w:id="116"/>
            <w:bookmarkEnd w:id="117"/>
            <w:bookmarkEnd w:id="118"/>
            <w:bookmarkEnd w:id="119"/>
            <w:bookmarkEnd w:id="120"/>
          </w:p>
        </w:tc>
        <w:tc>
          <w:tcPr>
            <w:tcW w:w="992" w:type="dxa"/>
            <w:tcBorders>
              <w:righ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2963" w:type="dxa"/>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1616" w:type="dxa"/>
            <w:vAlign w:val="center"/>
          </w:tcPr>
          <w:p>
            <w:pPr>
              <w:pStyle w:val="16"/>
              <w:spacing w:line="360" w:lineRule="auto"/>
              <w:ind w:firstLine="0" w:firstLineChars="0"/>
              <w:contextualSpacing/>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121" w:name="_Toc173211908"/>
            <w:bookmarkStart w:id="122" w:name="_Toc254970596"/>
            <w:bookmarkStart w:id="123" w:name="_Toc301781619"/>
            <w:bookmarkStart w:id="124" w:name="_Toc295404989"/>
            <w:bookmarkStart w:id="125" w:name="_Toc254970737"/>
            <w:bookmarkStart w:id="126" w:name="_Toc297193193"/>
            <w:bookmarkStart w:id="127" w:name="_Toc173066409"/>
            <w:bookmarkStart w:id="128" w:name="_Toc383699914"/>
            <w:bookmarkStart w:id="129" w:name="_Toc373333697"/>
            <w:r>
              <w:rPr>
                <w:rFonts w:hint="eastAsia" w:ascii="宋体" w:hAnsi="宋体" w:eastAsia="宋体" w:cs="宋体"/>
                <w:kern w:val="2"/>
                <w:sz w:val="24"/>
                <w:szCs w:val="24"/>
              </w:rPr>
              <w:t>4</w:t>
            </w:r>
            <w:bookmarkEnd w:id="121"/>
            <w:bookmarkEnd w:id="122"/>
            <w:bookmarkEnd w:id="123"/>
            <w:bookmarkEnd w:id="124"/>
            <w:bookmarkEnd w:id="125"/>
            <w:bookmarkEnd w:id="126"/>
            <w:bookmarkEnd w:id="127"/>
            <w:bookmarkEnd w:id="128"/>
            <w:bookmarkEnd w:id="129"/>
          </w:p>
        </w:tc>
        <w:tc>
          <w:tcPr>
            <w:tcW w:w="992" w:type="dxa"/>
            <w:tcBorders>
              <w:righ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2963" w:type="dxa"/>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1616" w:type="dxa"/>
            <w:vAlign w:val="center"/>
          </w:tcPr>
          <w:p>
            <w:pPr>
              <w:pStyle w:val="16"/>
              <w:spacing w:line="360" w:lineRule="auto"/>
              <w:ind w:firstLine="0" w:firstLineChars="0"/>
              <w:contextualSpacing/>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130" w:name="_Toc383699915"/>
            <w:bookmarkStart w:id="131" w:name="_Toc254970597"/>
            <w:bookmarkStart w:id="132" w:name="_Toc173211909"/>
            <w:bookmarkStart w:id="133" w:name="_Toc301781620"/>
            <w:bookmarkStart w:id="134" w:name="_Toc297193194"/>
            <w:bookmarkStart w:id="135" w:name="_Toc373333698"/>
            <w:bookmarkStart w:id="136" w:name="_Toc173066410"/>
            <w:bookmarkStart w:id="137" w:name="_Toc254970738"/>
            <w:bookmarkStart w:id="138" w:name="_Toc295404990"/>
            <w:r>
              <w:rPr>
                <w:rFonts w:hint="eastAsia" w:ascii="宋体" w:hAnsi="宋体" w:eastAsia="宋体" w:cs="宋体"/>
                <w:kern w:val="2"/>
                <w:sz w:val="24"/>
                <w:szCs w:val="24"/>
              </w:rPr>
              <w:t>5</w:t>
            </w:r>
            <w:bookmarkEnd w:id="130"/>
            <w:bookmarkEnd w:id="131"/>
            <w:bookmarkEnd w:id="132"/>
            <w:bookmarkEnd w:id="133"/>
            <w:bookmarkEnd w:id="134"/>
            <w:bookmarkEnd w:id="135"/>
            <w:bookmarkEnd w:id="136"/>
            <w:bookmarkEnd w:id="137"/>
            <w:bookmarkEnd w:id="138"/>
          </w:p>
        </w:tc>
        <w:tc>
          <w:tcPr>
            <w:tcW w:w="992" w:type="dxa"/>
            <w:tcBorders>
              <w:righ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2963" w:type="dxa"/>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1616" w:type="dxa"/>
            <w:vAlign w:val="center"/>
          </w:tcPr>
          <w:p>
            <w:pPr>
              <w:pStyle w:val="16"/>
              <w:spacing w:line="360" w:lineRule="auto"/>
              <w:ind w:firstLine="0" w:firstLineChars="0"/>
              <w:contextualSpacing/>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pPr>
              <w:pStyle w:val="16"/>
              <w:spacing w:line="360" w:lineRule="auto"/>
              <w:ind w:firstLine="0" w:firstLineChars="0"/>
              <w:contextualSpacing/>
              <w:jc w:val="center"/>
              <w:rPr>
                <w:rFonts w:ascii="宋体" w:hAnsi="宋体" w:eastAsia="宋体" w:cs="宋体"/>
                <w:kern w:val="2"/>
                <w:sz w:val="24"/>
                <w:szCs w:val="24"/>
              </w:rPr>
            </w:pPr>
            <w:bookmarkStart w:id="139" w:name="_Toc301781621"/>
            <w:bookmarkStart w:id="140" w:name="_Toc254970743"/>
            <w:bookmarkStart w:id="141" w:name="_Toc297193195"/>
            <w:bookmarkStart w:id="142" w:name="_Toc254970602"/>
            <w:bookmarkStart w:id="143" w:name="_Toc173211914"/>
            <w:bookmarkStart w:id="144" w:name="_Toc173066415"/>
            <w:bookmarkStart w:id="145" w:name="_Toc295404991"/>
            <w:bookmarkStart w:id="146" w:name="_Toc383699916"/>
            <w:bookmarkStart w:id="147" w:name="_Toc373333699"/>
            <w:r>
              <w:rPr>
                <w:rFonts w:hint="eastAsia" w:ascii="宋体" w:hAnsi="宋体" w:eastAsia="宋体" w:cs="宋体"/>
                <w:kern w:val="2"/>
                <w:sz w:val="24"/>
                <w:szCs w:val="24"/>
              </w:rPr>
              <w:t>…</w:t>
            </w:r>
            <w:bookmarkEnd w:id="139"/>
            <w:bookmarkEnd w:id="140"/>
            <w:bookmarkEnd w:id="141"/>
            <w:bookmarkEnd w:id="142"/>
            <w:bookmarkEnd w:id="143"/>
            <w:bookmarkEnd w:id="144"/>
            <w:bookmarkEnd w:id="145"/>
            <w:bookmarkEnd w:id="146"/>
            <w:bookmarkEnd w:id="147"/>
          </w:p>
        </w:tc>
        <w:tc>
          <w:tcPr>
            <w:tcW w:w="992" w:type="dxa"/>
            <w:tcBorders>
              <w:righ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2963" w:type="dxa"/>
            <w:vAlign w:val="center"/>
          </w:tcPr>
          <w:p>
            <w:pPr>
              <w:pStyle w:val="16"/>
              <w:spacing w:line="360" w:lineRule="auto"/>
              <w:ind w:firstLine="0" w:firstLineChars="0"/>
              <w:contextualSpacing/>
              <w:jc w:val="center"/>
              <w:rPr>
                <w:rFonts w:ascii="宋体" w:hAnsi="宋体" w:eastAsia="宋体" w:cs="宋体"/>
                <w:kern w:val="2"/>
                <w:sz w:val="24"/>
                <w:szCs w:val="24"/>
              </w:rPr>
            </w:pPr>
          </w:p>
        </w:tc>
        <w:tc>
          <w:tcPr>
            <w:tcW w:w="1616" w:type="dxa"/>
            <w:tcBorders>
              <w:right w:val="single" w:color="auto" w:sz="4" w:space="0"/>
            </w:tcBorders>
            <w:vAlign w:val="center"/>
          </w:tcPr>
          <w:p>
            <w:pPr>
              <w:pStyle w:val="16"/>
              <w:spacing w:line="360" w:lineRule="auto"/>
              <w:ind w:firstLine="0" w:firstLineChars="0"/>
              <w:contextualSpacing/>
              <w:jc w:val="center"/>
              <w:rPr>
                <w:rFonts w:ascii="宋体" w:hAnsi="宋体" w:eastAsia="宋体" w:cs="宋体"/>
                <w:kern w:val="2"/>
                <w:sz w:val="24"/>
                <w:szCs w:val="24"/>
              </w:rPr>
            </w:pPr>
          </w:p>
        </w:tc>
      </w:tr>
    </w:tbl>
    <w:p>
      <w:pPr>
        <w:adjustRightInd w:val="0"/>
        <w:spacing w:line="360" w:lineRule="auto"/>
        <w:contextualSpacing/>
        <w:rPr>
          <w:rFonts w:ascii="宋体" w:hAnsi="宋体" w:cs="宋体"/>
          <w:sz w:val="24"/>
        </w:rPr>
      </w:pPr>
    </w:p>
    <w:p>
      <w:pPr>
        <w:pStyle w:val="16"/>
        <w:spacing w:line="360" w:lineRule="auto"/>
        <w:ind w:firstLine="0" w:firstLineChars="0"/>
        <w:contextualSpacing/>
        <w:rPr>
          <w:rFonts w:ascii="楷体" w:hAnsi="楷体" w:eastAsia="楷体" w:cs="宋体"/>
          <w:b/>
          <w:sz w:val="24"/>
          <w:szCs w:val="24"/>
        </w:rPr>
      </w:pPr>
      <w:r>
        <w:rPr>
          <w:rFonts w:hint="eastAsia" w:ascii="楷体" w:hAnsi="楷体" w:eastAsia="楷体" w:cs="宋体"/>
          <w:b/>
          <w:sz w:val="24"/>
          <w:szCs w:val="24"/>
        </w:rPr>
        <w:t>注：</w:t>
      </w:r>
    </w:p>
    <w:p>
      <w:pPr>
        <w:pStyle w:val="16"/>
        <w:numPr>
          <w:ilvl w:val="0"/>
          <w:numId w:val="1"/>
        </w:numPr>
        <w:spacing w:line="360" w:lineRule="auto"/>
        <w:ind w:firstLine="0" w:firstLineChars="0"/>
        <w:contextualSpacing/>
        <w:rPr>
          <w:rFonts w:ascii="楷体" w:hAnsi="楷体" w:eastAsia="楷体" w:cs="宋体"/>
          <w:color w:val="000000" w:themeColor="text1"/>
          <w:sz w:val="24"/>
          <w:szCs w:val="24"/>
          <w14:textFill>
            <w14:solidFill>
              <w14:schemeClr w14:val="tx1"/>
            </w14:solidFill>
          </w14:textFill>
        </w:rPr>
      </w:pPr>
      <w:r>
        <w:rPr>
          <w:rFonts w:hint="eastAsia" w:ascii="楷体" w:hAnsi="楷体" w:eastAsia="楷体" w:cs="宋体"/>
          <w:color w:val="000000" w:themeColor="text1"/>
          <w:sz w:val="24"/>
          <w:szCs w:val="24"/>
          <w14:textFill>
            <w14:solidFill>
              <w14:schemeClr w14:val="tx1"/>
            </w14:solidFill>
          </w14:textFill>
        </w:rPr>
        <w:t>说明：应对照磋商文件“第三章</w:t>
      </w:r>
      <w:r>
        <w:rPr>
          <w:rFonts w:ascii="楷体" w:hAnsi="楷体" w:eastAsia="楷体" w:cs="宋体"/>
          <w:color w:val="000000" w:themeColor="text1"/>
          <w:sz w:val="24"/>
          <w:szCs w:val="24"/>
          <w14:textFill>
            <w14:solidFill>
              <w14:schemeClr w14:val="tx1"/>
            </w14:solidFill>
          </w14:textFill>
        </w:rPr>
        <w:t xml:space="preserve"> </w:t>
      </w:r>
      <w:r>
        <w:rPr>
          <w:rFonts w:hint="eastAsia" w:ascii="楷体" w:hAnsi="楷体" w:eastAsia="楷体" w:cs="宋体"/>
          <w:color w:val="000000" w:themeColor="text1"/>
          <w:sz w:val="24"/>
          <w:szCs w:val="24"/>
          <w14:textFill>
            <w14:solidFill>
              <w14:schemeClr w14:val="tx1"/>
            </w14:solidFill>
          </w14:textFill>
        </w:rPr>
        <w:t>采购需求”中的“服务要求”逐条作出明确响应，并作出偏离说明。</w:t>
      </w:r>
    </w:p>
    <w:p>
      <w:pPr>
        <w:pStyle w:val="16"/>
        <w:spacing w:line="360" w:lineRule="auto"/>
        <w:ind w:firstLine="0" w:firstLineChars="0"/>
        <w:contextualSpacing/>
        <w:rPr>
          <w:rFonts w:ascii="楷体" w:hAnsi="楷体" w:eastAsia="楷体" w:cs="宋体"/>
          <w:color w:val="000000" w:themeColor="text1"/>
          <w:sz w:val="24"/>
          <w:szCs w:val="24"/>
          <w14:textFill>
            <w14:solidFill>
              <w14:schemeClr w14:val="tx1"/>
            </w14:solidFill>
          </w14:textFill>
        </w:rPr>
      </w:pPr>
      <w:r>
        <w:rPr>
          <w:rFonts w:hint="eastAsia" w:ascii="楷体" w:hAnsi="楷体" w:eastAsia="楷体" w:cs="宋体"/>
          <w:color w:val="000000" w:themeColor="text1"/>
          <w:sz w:val="24"/>
          <w:szCs w:val="24"/>
          <w14:textFill>
            <w14:solidFill>
              <w14:schemeClr w14:val="tx1"/>
            </w14:solidFill>
          </w14:textFill>
        </w:rPr>
        <w:t>对采购需求中“附件 表1-5”的内容如有偏离请单独列出，并声明“其余内容无偏离”；如没有偏离则声明“完全响应附件 表1-5，无偏离”。</w:t>
      </w:r>
    </w:p>
    <w:p>
      <w:pPr>
        <w:pStyle w:val="16"/>
        <w:spacing w:line="360" w:lineRule="auto"/>
        <w:ind w:firstLine="0" w:firstLineChars="0"/>
        <w:contextualSpacing/>
        <w:rPr>
          <w:rFonts w:ascii="楷体" w:hAnsi="楷体" w:eastAsia="楷体" w:cs="宋体"/>
          <w:sz w:val="24"/>
          <w:szCs w:val="24"/>
        </w:rPr>
      </w:pPr>
      <w:r>
        <w:rPr>
          <w:rFonts w:ascii="楷体" w:hAnsi="楷体" w:eastAsia="楷体" w:cs="宋体"/>
          <w:sz w:val="24"/>
          <w:szCs w:val="24"/>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宋体"/>
          <w:sz w:val="24"/>
        </w:rPr>
      </w:pPr>
    </w:p>
    <w:p>
      <w:pPr>
        <w:spacing w:line="360" w:lineRule="auto"/>
        <w:ind w:right="-817" w:rightChars="-389" w:firstLine="960" w:firstLineChars="400"/>
        <w:contextualSpacing/>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ind w:right="-817" w:rightChars="-389" w:firstLine="2640" w:firstLineChars="1100"/>
        <w:contextualSpacing/>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p>
    <w:p>
      <w:pPr>
        <w:spacing w:line="360" w:lineRule="auto"/>
        <w:ind w:right="-817" w:rightChars="-389" w:firstLine="4080" w:firstLineChars="1700"/>
        <w:contextualSpacing/>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before="156" w:beforeLines="50" w:after="50"/>
        <w:ind w:left="142"/>
        <w:jc w:val="left"/>
        <w:rPr>
          <w:rFonts w:ascii="宋体" w:hAnsi="宋体" w:cs="宋体"/>
          <w:b/>
          <w:sz w:val="24"/>
        </w:rPr>
      </w:pPr>
      <w:r>
        <w:rPr>
          <w:rFonts w:hint="eastAsia" w:ascii="宋体" w:hAnsi="宋体" w:cs="宋体"/>
          <w:sz w:val="24"/>
        </w:rPr>
        <w:br w:type="page"/>
      </w:r>
      <w:r>
        <w:rPr>
          <w:rFonts w:hint="eastAsia" w:ascii="宋体" w:hAnsi="宋体" w:cs="宋体"/>
          <w:b/>
          <w:sz w:val="24"/>
        </w:rPr>
        <w:t>项目实施人员一览表格式</w:t>
      </w:r>
    </w:p>
    <w:p>
      <w:pPr>
        <w:snapToGrid w:val="0"/>
        <w:spacing w:before="156" w:beforeLines="50" w:after="50"/>
        <w:ind w:left="142"/>
        <w:jc w:val="left"/>
        <w:rPr>
          <w:rFonts w:ascii="宋体" w:hAnsi="宋体" w:cs="宋体"/>
          <w:b/>
          <w:sz w:val="24"/>
        </w:rPr>
      </w:pPr>
    </w:p>
    <w:p>
      <w:pPr>
        <w:spacing w:line="360" w:lineRule="auto"/>
        <w:ind w:left="142"/>
        <w:contextualSpacing/>
        <w:jc w:val="center"/>
        <w:rPr>
          <w:rFonts w:ascii="宋体" w:hAnsi="宋体" w:cs="宋体"/>
          <w:b/>
          <w:sz w:val="32"/>
          <w:szCs w:val="32"/>
        </w:rPr>
      </w:pPr>
      <w:r>
        <w:rPr>
          <w:rFonts w:hint="eastAsia" w:ascii="宋体" w:hAnsi="宋体" w:cs="宋体"/>
          <w:b/>
          <w:sz w:val="32"/>
          <w:szCs w:val="32"/>
        </w:rPr>
        <w:t>项目实施人员一览表</w:t>
      </w:r>
    </w:p>
    <w:p>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pPr>
        <w:pStyle w:val="18"/>
        <w:spacing w:line="360" w:lineRule="auto"/>
        <w:contextualSpacing/>
        <w:rPr>
          <w:rFonts w:hAnsi="宋体" w:cs="宋体"/>
          <w:sz w:val="24"/>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pPr>
              <w:contextualSpacing/>
              <w:jc w:val="center"/>
              <w:rPr>
                <w:rFonts w:ascii="宋体" w:hAnsi="宋体" w:cs="宋体"/>
                <w:sz w:val="24"/>
                <w:szCs w:val="20"/>
              </w:rPr>
            </w:pPr>
            <w:r>
              <w:rPr>
                <w:rFonts w:hint="eastAsia" w:ascii="宋体" w:hAnsi="宋体" w:cs="宋体"/>
                <w:sz w:val="24"/>
                <w:szCs w:val="20"/>
              </w:rPr>
              <w:t>姓名</w:t>
            </w:r>
          </w:p>
        </w:tc>
        <w:tc>
          <w:tcPr>
            <w:tcW w:w="794" w:type="dxa"/>
            <w:vAlign w:val="center"/>
          </w:tcPr>
          <w:p>
            <w:pPr>
              <w:contextualSpacing/>
              <w:jc w:val="center"/>
              <w:rPr>
                <w:rFonts w:ascii="宋体" w:hAnsi="宋体" w:cs="宋体"/>
                <w:sz w:val="24"/>
                <w:szCs w:val="20"/>
              </w:rPr>
            </w:pPr>
            <w:r>
              <w:rPr>
                <w:rFonts w:hint="eastAsia" w:ascii="宋体" w:hAnsi="宋体" w:cs="宋体"/>
                <w:sz w:val="24"/>
                <w:szCs w:val="20"/>
              </w:rPr>
              <w:t>职务</w:t>
            </w:r>
          </w:p>
        </w:tc>
        <w:tc>
          <w:tcPr>
            <w:tcW w:w="1907" w:type="dxa"/>
            <w:vAlign w:val="center"/>
          </w:tcPr>
          <w:p>
            <w:pPr>
              <w:contextualSpacing/>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92" w:type="dxa"/>
            <w:vAlign w:val="center"/>
          </w:tcPr>
          <w:p>
            <w:pPr>
              <w:contextualSpacing/>
              <w:jc w:val="center"/>
              <w:rPr>
                <w:rFonts w:ascii="宋体" w:hAnsi="宋体" w:cs="宋体"/>
                <w:sz w:val="24"/>
                <w:szCs w:val="20"/>
              </w:rPr>
            </w:pPr>
            <w:r>
              <w:rPr>
                <w:rFonts w:hint="eastAsia" w:ascii="宋体" w:hAnsi="宋体" w:cs="宋体"/>
                <w:sz w:val="24"/>
                <w:szCs w:val="20"/>
              </w:rPr>
              <w:t>证书编号</w:t>
            </w:r>
          </w:p>
        </w:tc>
        <w:tc>
          <w:tcPr>
            <w:tcW w:w="1903" w:type="dxa"/>
            <w:vAlign w:val="center"/>
          </w:tcPr>
          <w:p>
            <w:pPr>
              <w:contextualSpacing/>
              <w:jc w:val="center"/>
              <w:rPr>
                <w:rFonts w:ascii="宋体" w:hAnsi="宋体" w:cs="宋体"/>
                <w:sz w:val="24"/>
                <w:szCs w:val="20"/>
              </w:rPr>
            </w:pPr>
            <w:r>
              <w:rPr>
                <w:rFonts w:hint="eastAsia" w:ascii="宋体" w:hAnsi="宋体" w:cs="宋体"/>
                <w:sz w:val="24"/>
                <w:szCs w:val="20"/>
              </w:rPr>
              <w:t>参加本单位</w:t>
            </w:r>
          </w:p>
          <w:p>
            <w:pPr>
              <w:contextualSpacing/>
              <w:jc w:val="center"/>
              <w:rPr>
                <w:rFonts w:ascii="宋体" w:hAnsi="宋体" w:cs="宋体"/>
                <w:sz w:val="24"/>
                <w:szCs w:val="20"/>
              </w:rPr>
            </w:pPr>
            <w:r>
              <w:rPr>
                <w:rFonts w:hint="eastAsia" w:ascii="宋体" w:hAnsi="宋体" w:cs="宋体"/>
                <w:sz w:val="24"/>
                <w:szCs w:val="20"/>
              </w:rPr>
              <w:t>工作时间</w:t>
            </w:r>
          </w:p>
        </w:tc>
        <w:tc>
          <w:tcPr>
            <w:tcW w:w="2066" w:type="dxa"/>
            <w:vAlign w:val="center"/>
          </w:tcPr>
          <w:p>
            <w:pPr>
              <w:contextualSpacing/>
              <w:jc w:val="center"/>
              <w:rPr>
                <w:rFonts w:ascii="宋体" w:hAnsi="宋体" w:cs="宋体"/>
                <w:sz w:val="24"/>
                <w:szCs w:val="20"/>
              </w:rPr>
            </w:pPr>
            <w:r>
              <w:rPr>
                <w:rFonts w:hint="eastAsia" w:ascii="宋体" w:hAnsi="宋体" w:cs="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pPr>
              <w:spacing w:line="360" w:lineRule="auto"/>
              <w:contextualSpacing/>
              <w:jc w:val="center"/>
              <w:rPr>
                <w:rFonts w:ascii="宋体" w:hAnsi="宋体" w:cs="宋体"/>
                <w:sz w:val="24"/>
                <w:szCs w:val="20"/>
              </w:rPr>
            </w:pPr>
          </w:p>
        </w:tc>
        <w:tc>
          <w:tcPr>
            <w:tcW w:w="794" w:type="dxa"/>
            <w:vAlign w:val="center"/>
          </w:tcPr>
          <w:p>
            <w:pPr>
              <w:spacing w:line="360" w:lineRule="auto"/>
              <w:contextualSpacing/>
              <w:jc w:val="center"/>
              <w:rPr>
                <w:rFonts w:ascii="宋体" w:hAnsi="宋体" w:cs="宋体"/>
                <w:sz w:val="24"/>
                <w:szCs w:val="20"/>
              </w:rPr>
            </w:pPr>
          </w:p>
        </w:tc>
        <w:tc>
          <w:tcPr>
            <w:tcW w:w="1907" w:type="dxa"/>
            <w:vAlign w:val="center"/>
          </w:tcPr>
          <w:p>
            <w:pPr>
              <w:spacing w:line="360" w:lineRule="auto"/>
              <w:contextualSpacing/>
              <w:jc w:val="center"/>
              <w:rPr>
                <w:rFonts w:ascii="宋体" w:hAnsi="宋体" w:cs="宋体"/>
                <w:sz w:val="24"/>
                <w:szCs w:val="20"/>
              </w:rPr>
            </w:pPr>
          </w:p>
        </w:tc>
        <w:tc>
          <w:tcPr>
            <w:tcW w:w="1592" w:type="dxa"/>
            <w:vAlign w:val="center"/>
          </w:tcPr>
          <w:p>
            <w:pPr>
              <w:spacing w:line="360" w:lineRule="auto"/>
              <w:contextualSpacing/>
              <w:jc w:val="center"/>
              <w:rPr>
                <w:rFonts w:ascii="宋体" w:hAnsi="宋体" w:cs="宋体"/>
                <w:sz w:val="24"/>
                <w:szCs w:val="20"/>
              </w:rPr>
            </w:pPr>
          </w:p>
        </w:tc>
        <w:tc>
          <w:tcPr>
            <w:tcW w:w="1903" w:type="dxa"/>
            <w:vAlign w:val="center"/>
          </w:tcPr>
          <w:p>
            <w:pPr>
              <w:spacing w:line="360" w:lineRule="auto"/>
              <w:contextualSpacing/>
              <w:jc w:val="center"/>
              <w:rPr>
                <w:rFonts w:ascii="宋体" w:hAnsi="宋体" w:cs="宋体"/>
                <w:sz w:val="24"/>
                <w:szCs w:val="20"/>
              </w:rPr>
            </w:pPr>
          </w:p>
        </w:tc>
        <w:tc>
          <w:tcPr>
            <w:tcW w:w="2066" w:type="dxa"/>
            <w:vAlign w:val="center"/>
          </w:tcPr>
          <w:p>
            <w:pPr>
              <w:spacing w:line="360" w:lineRule="auto"/>
              <w:contextualSpacing/>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pPr>
              <w:spacing w:line="360" w:lineRule="auto"/>
              <w:contextualSpacing/>
              <w:jc w:val="center"/>
              <w:rPr>
                <w:rFonts w:ascii="宋体" w:hAnsi="宋体" w:cs="宋体"/>
                <w:sz w:val="24"/>
                <w:szCs w:val="20"/>
              </w:rPr>
            </w:pPr>
          </w:p>
        </w:tc>
        <w:tc>
          <w:tcPr>
            <w:tcW w:w="794" w:type="dxa"/>
            <w:vAlign w:val="center"/>
          </w:tcPr>
          <w:p>
            <w:pPr>
              <w:spacing w:line="360" w:lineRule="auto"/>
              <w:contextualSpacing/>
              <w:jc w:val="center"/>
              <w:rPr>
                <w:rFonts w:ascii="宋体" w:hAnsi="宋体" w:cs="宋体"/>
                <w:sz w:val="24"/>
                <w:szCs w:val="20"/>
              </w:rPr>
            </w:pPr>
          </w:p>
        </w:tc>
        <w:tc>
          <w:tcPr>
            <w:tcW w:w="1907" w:type="dxa"/>
            <w:vAlign w:val="center"/>
          </w:tcPr>
          <w:p>
            <w:pPr>
              <w:spacing w:line="360" w:lineRule="auto"/>
              <w:contextualSpacing/>
              <w:jc w:val="center"/>
              <w:rPr>
                <w:rFonts w:ascii="宋体" w:hAnsi="宋体" w:cs="宋体"/>
                <w:sz w:val="24"/>
                <w:szCs w:val="20"/>
              </w:rPr>
            </w:pPr>
          </w:p>
        </w:tc>
        <w:tc>
          <w:tcPr>
            <w:tcW w:w="1592" w:type="dxa"/>
            <w:vAlign w:val="center"/>
          </w:tcPr>
          <w:p>
            <w:pPr>
              <w:spacing w:line="360" w:lineRule="auto"/>
              <w:contextualSpacing/>
              <w:jc w:val="center"/>
              <w:rPr>
                <w:rFonts w:ascii="宋体" w:hAnsi="宋体" w:cs="宋体"/>
                <w:sz w:val="24"/>
                <w:szCs w:val="20"/>
              </w:rPr>
            </w:pPr>
          </w:p>
        </w:tc>
        <w:tc>
          <w:tcPr>
            <w:tcW w:w="1903" w:type="dxa"/>
            <w:vAlign w:val="center"/>
          </w:tcPr>
          <w:p>
            <w:pPr>
              <w:spacing w:line="360" w:lineRule="auto"/>
              <w:contextualSpacing/>
              <w:jc w:val="center"/>
              <w:rPr>
                <w:rFonts w:ascii="宋体" w:hAnsi="宋体" w:cs="宋体"/>
                <w:sz w:val="24"/>
                <w:szCs w:val="20"/>
              </w:rPr>
            </w:pPr>
          </w:p>
        </w:tc>
        <w:tc>
          <w:tcPr>
            <w:tcW w:w="2066" w:type="dxa"/>
            <w:vAlign w:val="center"/>
          </w:tcPr>
          <w:p>
            <w:pPr>
              <w:spacing w:line="360" w:lineRule="auto"/>
              <w:contextualSpacing/>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pPr>
              <w:spacing w:line="360" w:lineRule="auto"/>
              <w:contextualSpacing/>
              <w:jc w:val="center"/>
              <w:rPr>
                <w:rFonts w:ascii="宋体" w:hAnsi="宋体" w:cs="宋体"/>
                <w:sz w:val="24"/>
                <w:szCs w:val="20"/>
              </w:rPr>
            </w:pPr>
          </w:p>
        </w:tc>
        <w:tc>
          <w:tcPr>
            <w:tcW w:w="794" w:type="dxa"/>
            <w:vAlign w:val="center"/>
          </w:tcPr>
          <w:p>
            <w:pPr>
              <w:spacing w:line="360" w:lineRule="auto"/>
              <w:contextualSpacing/>
              <w:jc w:val="center"/>
              <w:rPr>
                <w:rFonts w:ascii="宋体" w:hAnsi="宋体" w:cs="宋体"/>
                <w:sz w:val="24"/>
                <w:szCs w:val="20"/>
              </w:rPr>
            </w:pPr>
          </w:p>
        </w:tc>
        <w:tc>
          <w:tcPr>
            <w:tcW w:w="1907" w:type="dxa"/>
            <w:vAlign w:val="center"/>
          </w:tcPr>
          <w:p>
            <w:pPr>
              <w:spacing w:line="360" w:lineRule="auto"/>
              <w:contextualSpacing/>
              <w:jc w:val="center"/>
              <w:rPr>
                <w:rFonts w:ascii="宋体" w:hAnsi="宋体" w:cs="宋体"/>
                <w:sz w:val="24"/>
                <w:szCs w:val="20"/>
              </w:rPr>
            </w:pPr>
          </w:p>
        </w:tc>
        <w:tc>
          <w:tcPr>
            <w:tcW w:w="1592" w:type="dxa"/>
            <w:vAlign w:val="center"/>
          </w:tcPr>
          <w:p>
            <w:pPr>
              <w:spacing w:line="360" w:lineRule="auto"/>
              <w:contextualSpacing/>
              <w:jc w:val="center"/>
              <w:rPr>
                <w:rFonts w:ascii="宋体" w:hAnsi="宋体" w:cs="宋体"/>
                <w:sz w:val="24"/>
                <w:szCs w:val="20"/>
              </w:rPr>
            </w:pPr>
          </w:p>
        </w:tc>
        <w:tc>
          <w:tcPr>
            <w:tcW w:w="1903" w:type="dxa"/>
            <w:vAlign w:val="center"/>
          </w:tcPr>
          <w:p>
            <w:pPr>
              <w:spacing w:line="360" w:lineRule="auto"/>
              <w:contextualSpacing/>
              <w:jc w:val="center"/>
              <w:rPr>
                <w:rFonts w:ascii="宋体" w:hAnsi="宋体" w:cs="宋体"/>
                <w:sz w:val="24"/>
                <w:szCs w:val="20"/>
              </w:rPr>
            </w:pPr>
          </w:p>
        </w:tc>
        <w:tc>
          <w:tcPr>
            <w:tcW w:w="2066" w:type="dxa"/>
            <w:vAlign w:val="center"/>
          </w:tcPr>
          <w:p>
            <w:pPr>
              <w:spacing w:line="360" w:lineRule="auto"/>
              <w:contextualSpacing/>
              <w:jc w:val="center"/>
              <w:rPr>
                <w:rFonts w:ascii="宋体" w:hAnsi="宋体" w:cs="宋体"/>
                <w:sz w:val="24"/>
                <w:szCs w:val="20"/>
              </w:rPr>
            </w:pPr>
          </w:p>
        </w:tc>
      </w:tr>
    </w:tbl>
    <w:p>
      <w:pPr>
        <w:spacing w:line="360" w:lineRule="auto"/>
        <w:contextualSpacing/>
        <w:jc w:val="left"/>
        <w:rPr>
          <w:rFonts w:ascii="楷体" w:hAnsi="楷体" w:eastAsia="楷体" w:cs="宋体"/>
          <w:b/>
          <w:sz w:val="24"/>
          <w:szCs w:val="20"/>
        </w:rPr>
      </w:pPr>
      <w:r>
        <w:rPr>
          <w:rFonts w:hint="eastAsia" w:ascii="楷体" w:hAnsi="楷体" w:eastAsia="楷体" w:cs="宋体"/>
          <w:b/>
          <w:sz w:val="24"/>
          <w:szCs w:val="20"/>
        </w:rPr>
        <w:t>注：</w:t>
      </w:r>
    </w:p>
    <w:p>
      <w:pPr>
        <w:spacing w:line="360" w:lineRule="auto"/>
        <w:contextualSpacing/>
        <w:jc w:val="left"/>
        <w:rPr>
          <w:rFonts w:ascii="楷体" w:hAnsi="楷体" w:eastAsia="楷体" w:cs="宋体"/>
          <w:sz w:val="24"/>
          <w:szCs w:val="20"/>
        </w:rPr>
      </w:pPr>
      <w:r>
        <w:rPr>
          <w:rFonts w:ascii="楷体" w:hAnsi="楷体" w:eastAsia="楷体" w:cs="宋体"/>
          <w:sz w:val="24"/>
          <w:szCs w:val="20"/>
        </w:rPr>
        <w:t>1.在填写时，如本表格不适合供应商的实际情况，可根据本表格式自行制表填写。</w:t>
      </w:r>
    </w:p>
    <w:p>
      <w:pPr>
        <w:spacing w:line="360" w:lineRule="auto"/>
        <w:contextualSpacing/>
        <w:jc w:val="left"/>
        <w:rPr>
          <w:rFonts w:ascii="楷体" w:hAnsi="楷体" w:eastAsia="楷体" w:cs="宋体"/>
          <w:sz w:val="24"/>
          <w:szCs w:val="20"/>
        </w:rPr>
      </w:pPr>
      <w:r>
        <w:rPr>
          <w:rFonts w:ascii="楷体" w:hAnsi="楷体" w:eastAsia="楷体" w:cs="宋体"/>
          <w:sz w:val="24"/>
          <w:szCs w:val="20"/>
        </w:rPr>
        <w:t>2.供应商应当附本表所</w:t>
      </w:r>
      <w:r>
        <w:rPr>
          <w:rFonts w:hint="eastAsia" w:ascii="楷体" w:hAnsi="楷体" w:eastAsia="楷体" w:cs="宋体"/>
          <w:sz w:val="24"/>
          <w:szCs w:val="20"/>
        </w:rPr>
        <w:t>列证书的复印件并加盖供应商公章。</w:t>
      </w:r>
    </w:p>
    <w:p>
      <w:pPr>
        <w:pStyle w:val="14"/>
      </w:pPr>
    </w:p>
    <w:p>
      <w:pPr>
        <w:spacing w:line="360" w:lineRule="auto"/>
        <w:ind w:firstLine="3120" w:firstLineChars="1300"/>
        <w:contextualSpacing/>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z w:val="24"/>
        </w:rPr>
        <w:t>）</w:t>
      </w:r>
      <w:r>
        <w:rPr>
          <w:rFonts w:hint="eastAsia" w:ascii="宋体" w:hAnsi="宋体" w:cs="宋体"/>
          <w:spacing w:val="20"/>
          <w:sz w:val="24"/>
        </w:rPr>
        <w:t>：</w:t>
      </w:r>
      <w:r>
        <w:rPr>
          <w:rFonts w:hint="eastAsia" w:ascii="宋体" w:hAnsi="宋体" w:cs="宋体"/>
          <w:spacing w:val="20"/>
          <w:sz w:val="24"/>
          <w:u w:val="single"/>
        </w:rPr>
        <w:t xml:space="preserve">        </w:t>
      </w:r>
    </w:p>
    <w:p>
      <w:pPr>
        <w:spacing w:line="360" w:lineRule="auto"/>
        <w:ind w:firstLine="3080" w:firstLineChars="1100"/>
        <w:contextualSpacing/>
        <w:jc w:val="left"/>
        <w:rPr>
          <w:rFonts w:ascii="宋体" w:hAnsi="宋体" w:cs="宋体"/>
          <w:spacing w:val="20"/>
          <w:sz w:val="24"/>
        </w:rPr>
      </w:pPr>
      <w:r>
        <w:rPr>
          <w:rFonts w:hint="eastAsia" w:ascii="宋体" w:hAnsi="宋体" w:cs="宋体"/>
          <w:spacing w:val="20"/>
          <w:sz w:val="24"/>
        </w:rPr>
        <w:t>供应商（公章）：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pacing w:line="360" w:lineRule="auto"/>
        <w:ind w:firstLine="3080" w:firstLineChars="1100"/>
        <w:contextualSpacing/>
        <w:jc w:val="left"/>
        <w:rPr>
          <w:rFonts w:ascii="宋体" w:hAnsi="宋体" w:cs="宋体"/>
          <w:sz w:val="24"/>
          <w:szCs w:val="20"/>
        </w:rPr>
      </w:pPr>
      <w:r>
        <w:rPr>
          <w:rFonts w:hint="eastAsia" w:ascii="宋体" w:hAnsi="宋体" w:cs="宋体"/>
          <w:spacing w:val="20"/>
          <w:sz w:val="24"/>
        </w:rPr>
        <w:t>日 期：年</w:t>
      </w:r>
      <w:r>
        <w:rPr>
          <w:rFonts w:hint="eastAsia" w:ascii="宋体" w:hAnsi="宋体" w:cs="宋体"/>
          <w:spacing w:val="20"/>
          <w:sz w:val="24"/>
          <w:u w:val="single"/>
        </w:rPr>
        <w:t xml:space="preserve"> </w:t>
      </w:r>
      <w:r>
        <w:rPr>
          <w:rFonts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ascii="宋体" w:hAnsi="宋体" w:cs="宋体"/>
          <w:spacing w:val="20"/>
          <w:sz w:val="24"/>
          <w:u w:val="single"/>
        </w:rPr>
        <w:t xml:space="preserve"> </w:t>
      </w:r>
      <w:r>
        <w:rPr>
          <w:rFonts w:hint="eastAsia" w:ascii="宋体" w:hAnsi="宋体" w:cs="宋体"/>
          <w:spacing w:val="20"/>
          <w:sz w:val="24"/>
        </w:rPr>
        <w:t>日</w:t>
      </w:r>
    </w:p>
    <w:p>
      <w:pPr>
        <w:snapToGrid w:val="0"/>
        <w:spacing w:before="50" w:after="156" w:afterLines="50"/>
        <w:jc w:val="left"/>
        <w:rPr>
          <w:rFonts w:ascii="宋体" w:hAnsi="宋体" w:cs="宋体"/>
          <w:sz w:val="24"/>
          <w:szCs w:val="20"/>
        </w:rPr>
      </w:pPr>
    </w:p>
    <w:p>
      <w:pPr>
        <w:snapToGrid w:val="0"/>
        <w:spacing w:before="50" w:after="50" w:line="360" w:lineRule="auto"/>
        <w:ind w:right="-817" w:rightChars="-389" w:firstLine="5461" w:firstLineChars="1700"/>
        <w:rPr>
          <w:rFonts w:ascii="宋体" w:hAnsi="宋体" w:cs="宋体"/>
          <w:b/>
          <w:sz w:val="32"/>
          <w:szCs w:val="32"/>
        </w:rPr>
      </w:pPr>
    </w:p>
    <w:p>
      <w:pPr>
        <w:rPr>
          <w:rFonts w:ascii="宋体" w:hAnsi="宋体" w:cs="宋体"/>
          <w:szCs w:val="21"/>
        </w:rPr>
      </w:pPr>
      <w:r>
        <w:rPr>
          <w:rFonts w:hint="eastAsia" w:ascii="宋体" w:hAnsi="宋体" w:cs="宋体"/>
          <w:b/>
          <w:bCs/>
          <w:sz w:val="24"/>
        </w:rPr>
        <w:br w:type="page"/>
      </w:r>
      <w:r>
        <w:rPr>
          <w:rFonts w:hint="eastAsia" w:ascii="宋体" w:hAnsi="宋体" w:cs="宋体"/>
          <w:b/>
          <w:bCs/>
          <w:sz w:val="24"/>
        </w:rPr>
        <w:t>其他文书、文件格式</w:t>
      </w:r>
    </w:p>
    <w:p>
      <w:pPr>
        <w:spacing w:line="360" w:lineRule="auto"/>
        <w:jc w:val="center"/>
        <w:rPr>
          <w:rFonts w:ascii="宋体" w:hAnsi="宋体" w:cs="宋体"/>
          <w:b/>
          <w:bCs/>
          <w:sz w:val="32"/>
          <w:szCs w:val="32"/>
        </w:rPr>
      </w:pPr>
      <w:r>
        <w:rPr>
          <w:rFonts w:hint="eastAsia" w:ascii="宋体" w:hAnsi="宋体" w:cs="宋体"/>
          <w:b/>
          <w:sz w:val="44"/>
          <w:szCs w:val="44"/>
        </w:rPr>
        <w:t>质疑函</w:t>
      </w:r>
      <w:r>
        <w:rPr>
          <w:rFonts w:hint="eastAsia" w:ascii="宋体" w:hAnsi="宋体" w:cs="宋体"/>
          <w:sz w:val="28"/>
          <w:szCs w:val="28"/>
        </w:rPr>
        <w:t>（格式，响应文件中不需要提供）</w:t>
      </w:r>
    </w:p>
    <w:p>
      <w:pPr>
        <w:pStyle w:val="18"/>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pPr>
        <w:pStyle w:val="18"/>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pPr>
        <w:pStyle w:val="18"/>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8"/>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18"/>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pPr>
        <w:pStyle w:val="18"/>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pPr>
        <w:pStyle w:val="18"/>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8"/>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pPr>
        <w:pStyle w:val="18"/>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pPr>
        <w:pStyle w:val="18"/>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pPr>
        <w:pStyle w:val="18"/>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pPr>
        <w:pStyle w:val="18"/>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pPr>
        <w:pStyle w:val="18"/>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pPr>
        <w:pStyle w:val="18"/>
        <w:spacing w:line="360" w:lineRule="auto"/>
        <w:ind w:left="25" w:leftChars="12" w:firstLine="472" w:firstLineChars="196"/>
        <w:contextualSpacing/>
        <w:rPr>
          <w:rFonts w:hAnsi="宋体" w:cs="宋体"/>
          <w:b/>
          <w:sz w:val="24"/>
          <w:szCs w:val="24"/>
        </w:rPr>
      </w:pPr>
      <w:r>
        <w:rPr>
          <w:rFonts w:hint="eastAsia" w:hAnsi="宋体" w:cs="宋体"/>
          <w:b/>
          <w:sz w:val="24"/>
          <w:szCs w:val="24"/>
        </w:rPr>
        <w:t>三、质疑事项具体内容</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四、与质疑事项相关的质疑请求：</w:t>
      </w:r>
    </w:p>
    <w:p>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18"/>
        <w:spacing w:line="360" w:lineRule="auto"/>
        <w:ind w:left="25" w:leftChars="12" w:firstLine="352" w:firstLineChars="147"/>
        <w:contextualSpacing/>
        <w:rPr>
          <w:rFonts w:hAnsi="宋体" w:cs="宋体"/>
          <w:sz w:val="24"/>
          <w:szCs w:val="24"/>
        </w:rPr>
      </w:pPr>
    </w:p>
    <w:p>
      <w:pPr>
        <w:pStyle w:val="18"/>
        <w:spacing w:line="360" w:lineRule="auto"/>
        <w:ind w:left="25" w:leftChars="12" w:firstLine="472" w:firstLineChars="197"/>
        <w:contextualSpacing/>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r>
        <w:rPr>
          <w:rFonts w:hAnsi="宋体" w:cs="宋体"/>
          <w:sz w:val="24"/>
          <w:szCs w:val="24"/>
          <w:u w:val="single"/>
        </w:rPr>
        <w:t xml:space="preserve">              </w:t>
      </w:r>
    </w:p>
    <w:p>
      <w:pPr>
        <w:pStyle w:val="18"/>
        <w:spacing w:line="360" w:lineRule="auto"/>
        <w:ind w:firstLine="480" w:firstLineChars="200"/>
        <w:contextualSpacing/>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p>
      <w:pPr>
        <w:pStyle w:val="14"/>
      </w:pPr>
    </w:p>
    <w:p>
      <w:pPr>
        <w:pStyle w:val="18"/>
        <w:spacing w:line="360" w:lineRule="auto"/>
        <w:ind w:firstLine="482" w:firstLineChars="200"/>
        <w:contextualSpacing/>
        <w:rPr>
          <w:rFonts w:ascii="楷体" w:hAnsi="楷体" w:eastAsia="楷体" w:cs="宋体"/>
          <w:b/>
          <w:sz w:val="24"/>
          <w:szCs w:val="24"/>
        </w:rPr>
      </w:pPr>
      <w:r>
        <w:rPr>
          <w:rFonts w:hint="eastAsia" w:ascii="楷体" w:hAnsi="楷体" w:eastAsia="楷体" w:cs="宋体"/>
          <w:b/>
          <w:sz w:val="24"/>
          <w:szCs w:val="24"/>
        </w:rPr>
        <w:t>说明：</w:t>
      </w:r>
    </w:p>
    <w:p>
      <w:pPr>
        <w:pStyle w:val="18"/>
        <w:spacing w:line="360" w:lineRule="auto"/>
        <w:ind w:left="25" w:leftChars="12" w:firstLine="354" w:firstLineChars="147"/>
        <w:contextualSpacing/>
        <w:rPr>
          <w:rFonts w:ascii="楷体" w:hAnsi="楷体" w:eastAsia="楷体" w:cs="宋体"/>
          <w:b/>
          <w:bCs/>
          <w:sz w:val="24"/>
          <w:szCs w:val="24"/>
        </w:rPr>
      </w:pPr>
      <w:r>
        <w:rPr>
          <w:rFonts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pPr>
        <w:pStyle w:val="18"/>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2.质疑供应商若委托代理人进行质疑的，</w:t>
      </w:r>
      <w:r>
        <w:rPr>
          <w:rFonts w:hint="eastAsia" w:ascii="楷体" w:hAnsi="楷体" w:eastAsia="楷体" w:cs="宋体"/>
          <w:b/>
          <w:sz w:val="24"/>
          <w:szCs w:val="24"/>
        </w:rPr>
        <w:t>质疑函应按要求列明“授权代表”的有关内容，并在附件中提交由质疑供应商签署的授权委托书。授权委托书应载明代理人的姓名或者名称、代理事项、具体权限、期限和相关事项。</w:t>
      </w:r>
    </w:p>
    <w:p>
      <w:pPr>
        <w:pStyle w:val="18"/>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3.质疑函的质疑事项应具体、明确，并有必要的事实依据和法律依据。</w:t>
      </w:r>
    </w:p>
    <w:p>
      <w:pPr>
        <w:pStyle w:val="18"/>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4.质疑函的质疑请求应与质疑事项相关。</w:t>
      </w:r>
    </w:p>
    <w:p>
      <w:pPr>
        <w:pStyle w:val="18"/>
        <w:spacing w:line="360" w:lineRule="auto"/>
        <w:ind w:left="25" w:leftChars="12" w:firstLine="354" w:firstLineChars="147"/>
        <w:contextualSpacing/>
        <w:rPr>
          <w:rFonts w:ascii="楷体" w:hAnsi="楷体" w:eastAsia="楷体" w:cs="宋体"/>
          <w:b/>
          <w:sz w:val="24"/>
          <w:szCs w:val="24"/>
        </w:rPr>
      </w:pPr>
      <w:r>
        <w:rPr>
          <w:rFonts w:ascii="楷体" w:hAnsi="楷体" w:eastAsia="楷体" w:cs="宋体"/>
          <w:b/>
          <w:sz w:val="24"/>
          <w:szCs w:val="24"/>
        </w:rPr>
        <w:t>5.质疑供应商为法人或者其他组织的，</w:t>
      </w:r>
      <w:r>
        <w:rPr>
          <w:rFonts w:hint="eastAsia" w:ascii="楷体" w:hAnsi="楷体" w:eastAsia="楷体" w:cs="宋体"/>
          <w:b/>
          <w:sz w:val="24"/>
          <w:szCs w:val="24"/>
        </w:rPr>
        <w:t>质疑函应由法定代表人、主要负责人，或者其授权代表签字或者盖章，并加盖公章。</w:t>
      </w:r>
    </w:p>
    <w:p>
      <w:pPr>
        <w:pStyle w:val="18"/>
        <w:snapToGrid w:val="0"/>
        <w:rPr>
          <w:rFonts w:hAnsi="宋体" w:cs="宋体"/>
          <w:b/>
          <w:sz w:val="24"/>
          <w:szCs w:val="24"/>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rPr>
          <w:rFonts w:ascii="宋体" w:hAnsi="宋体" w:cs="宋体"/>
          <w:sz w:val="32"/>
          <w:szCs w:val="40"/>
        </w:rPr>
      </w:pPr>
    </w:p>
    <w:p>
      <w:pPr>
        <w:spacing w:line="360" w:lineRule="auto"/>
        <w:jc w:val="center"/>
        <w:rPr>
          <w:rFonts w:ascii="宋体" w:hAnsi="宋体" w:cs="宋体"/>
          <w:sz w:val="24"/>
        </w:rPr>
      </w:pPr>
      <w:r>
        <w:rPr>
          <w:rFonts w:hint="eastAsia" w:ascii="宋体" w:hAnsi="宋体" w:cs="宋体"/>
          <w:sz w:val="44"/>
          <w:szCs w:val="44"/>
        </w:rPr>
        <w:br w:type="page"/>
      </w:r>
      <w:r>
        <w:rPr>
          <w:rFonts w:hint="eastAsia" w:ascii="宋体" w:hAnsi="宋体" w:cs="宋体"/>
          <w:sz w:val="44"/>
          <w:szCs w:val="44"/>
        </w:rPr>
        <w:t>投诉书</w:t>
      </w:r>
      <w:r>
        <w:rPr>
          <w:rFonts w:hint="eastAsia" w:ascii="宋体" w:hAnsi="宋体" w:cs="宋体"/>
          <w:sz w:val="28"/>
          <w:szCs w:val="28"/>
        </w:rPr>
        <w:t>（格式，响应文件中不需要提供）</w:t>
      </w:r>
    </w:p>
    <w:p>
      <w:pPr>
        <w:pStyle w:val="18"/>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pPr>
        <w:pStyle w:val="18"/>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pPr>
        <w:pStyle w:val="18"/>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18"/>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8"/>
        <w:snapToGrid w:val="0"/>
        <w:spacing w:line="360" w:lineRule="auto"/>
        <w:ind w:firstLine="480" w:firstLineChars="200"/>
        <w:rPr>
          <w:rFonts w:hAnsi="宋体" w:cs="宋体"/>
          <w:bCs/>
          <w:sz w:val="24"/>
          <w:szCs w:val="24"/>
        </w:rPr>
      </w:pPr>
      <w:r>
        <w:rPr>
          <w:rFonts w:hint="eastAsia" w:hAnsi="宋体" w:cs="宋体"/>
          <w:bCs/>
          <w:sz w:val="24"/>
          <w:szCs w:val="24"/>
        </w:rPr>
        <w:t>被投诉人1：</w:t>
      </w:r>
    </w:p>
    <w:p>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18"/>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18"/>
        <w:snapToGrid w:val="0"/>
        <w:spacing w:line="360" w:lineRule="auto"/>
        <w:ind w:firstLine="480" w:firstLineChars="200"/>
        <w:rPr>
          <w:rFonts w:hAnsi="宋体" w:cs="宋体"/>
          <w:bCs/>
          <w:sz w:val="24"/>
          <w:szCs w:val="24"/>
        </w:rPr>
      </w:pPr>
      <w:r>
        <w:rPr>
          <w:rFonts w:hint="eastAsia" w:hAnsi="宋体" w:cs="宋体"/>
          <w:bCs/>
          <w:sz w:val="24"/>
          <w:szCs w:val="24"/>
        </w:rPr>
        <w:t>被投诉人2：</w:t>
      </w:r>
    </w:p>
    <w:p>
      <w:pPr>
        <w:pStyle w:val="18"/>
        <w:snapToGrid w:val="0"/>
        <w:spacing w:line="360" w:lineRule="auto"/>
        <w:ind w:firstLine="480" w:firstLineChars="200"/>
        <w:rPr>
          <w:rFonts w:hAnsi="宋体" w:cs="宋体"/>
          <w:bCs/>
          <w:sz w:val="24"/>
          <w:szCs w:val="24"/>
        </w:rPr>
      </w:pPr>
      <w:r>
        <w:rPr>
          <w:rFonts w:hint="eastAsia" w:hAnsi="宋体" w:cs="宋体"/>
          <w:bCs/>
          <w:sz w:val="24"/>
          <w:szCs w:val="24"/>
        </w:rPr>
        <w:t>……</w:t>
      </w:r>
    </w:p>
    <w:p>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pPr>
        <w:pStyle w:val="18"/>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pPr>
        <w:pStyle w:val="18"/>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pPr>
        <w:pStyle w:val="18"/>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pPr>
        <w:pStyle w:val="18"/>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pPr>
        <w:pStyle w:val="18"/>
        <w:spacing w:line="360" w:lineRule="auto"/>
        <w:ind w:left="25" w:leftChars="12" w:firstLine="472" w:firstLineChars="197"/>
        <w:rPr>
          <w:rFonts w:hAnsi="宋体" w:cs="宋体"/>
          <w:bCs/>
          <w:sz w:val="24"/>
          <w:szCs w:val="24"/>
          <w:u w:val="single"/>
        </w:rPr>
      </w:pPr>
      <w:r>
        <w:rPr>
          <w:rFonts w:hint="eastAsia" w:hAnsi="宋体" w:cs="宋体"/>
          <w:bCs/>
          <w:sz w:val="24"/>
          <w:szCs w:val="24"/>
        </w:rPr>
        <w:t>竞争性磋商文件公告：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18"/>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18"/>
        <w:spacing w:line="360" w:lineRule="auto"/>
        <w:ind w:left="25" w:leftChars="12" w:firstLine="472" w:firstLineChars="196"/>
        <w:rPr>
          <w:rFonts w:hAnsi="宋体" w:cs="宋体"/>
          <w:b/>
          <w:sz w:val="24"/>
          <w:szCs w:val="24"/>
        </w:rPr>
      </w:pPr>
      <w:r>
        <w:rPr>
          <w:rFonts w:hint="eastAsia" w:hAnsi="宋体" w:cs="宋体"/>
          <w:b/>
          <w:sz w:val="24"/>
          <w:szCs w:val="24"/>
        </w:rPr>
        <w:t>三、质疑基本情况</w:t>
      </w:r>
    </w:p>
    <w:p>
      <w:pPr>
        <w:pStyle w:val="18"/>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pPr>
        <w:pStyle w:val="18"/>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pPr>
        <w:pStyle w:val="18"/>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pPr>
        <w:pStyle w:val="18"/>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pPr>
        <w:pStyle w:val="18"/>
        <w:spacing w:line="360" w:lineRule="auto"/>
        <w:ind w:left="25" w:leftChars="12" w:firstLine="472" w:firstLineChars="196"/>
        <w:rPr>
          <w:rFonts w:hAnsi="宋体" w:cs="宋体"/>
          <w:b/>
          <w:sz w:val="24"/>
          <w:szCs w:val="24"/>
        </w:rPr>
      </w:pPr>
      <w:r>
        <w:rPr>
          <w:rFonts w:hint="eastAsia" w:hAnsi="宋体" w:cs="宋体"/>
          <w:b/>
          <w:sz w:val="24"/>
          <w:szCs w:val="24"/>
        </w:rPr>
        <w:t>四、投诉事项具体内容</w:t>
      </w:r>
    </w:p>
    <w:p>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pPr>
        <w:pStyle w:val="18"/>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pPr>
        <w:pStyle w:val="18"/>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pPr>
        <w:pStyle w:val="18"/>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pPr>
        <w:pStyle w:val="18"/>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pPr>
        <w:pStyle w:val="18"/>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pPr>
        <w:pStyle w:val="18"/>
        <w:spacing w:line="360" w:lineRule="auto"/>
        <w:ind w:left="25" w:leftChars="12" w:firstLine="472" w:firstLineChars="197"/>
        <w:rPr>
          <w:rFonts w:hAnsi="宋体" w:cs="宋体"/>
          <w:bCs/>
          <w:sz w:val="24"/>
          <w:szCs w:val="24"/>
        </w:rPr>
      </w:pPr>
      <w:r>
        <w:rPr>
          <w:rFonts w:hint="eastAsia" w:hAnsi="宋体" w:cs="宋体"/>
          <w:bCs/>
          <w:sz w:val="24"/>
          <w:szCs w:val="24"/>
        </w:rPr>
        <w:t>……</w:t>
      </w:r>
    </w:p>
    <w:p>
      <w:pPr>
        <w:pStyle w:val="18"/>
        <w:spacing w:line="360" w:lineRule="auto"/>
        <w:ind w:left="25" w:leftChars="12" w:firstLine="472" w:firstLineChars="196"/>
        <w:rPr>
          <w:rFonts w:hAnsi="宋体" w:cs="宋体"/>
          <w:b/>
          <w:sz w:val="24"/>
          <w:szCs w:val="24"/>
        </w:rPr>
      </w:pPr>
      <w:r>
        <w:rPr>
          <w:rFonts w:hint="eastAsia" w:hAnsi="宋体" w:cs="宋体"/>
          <w:b/>
          <w:sz w:val="24"/>
          <w:szCs w:val="24"/>
        </w:rPr>
        <w:t>五、与投诉事项相关的投诉请求：</w:t>
      </w:r>
    </w:p>
    <w:p>
      <w:pPr>
        <w:pStyle w:val="18"/>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18"/>
        <w:spacing w:line="360" w:lineRule="auto"/>
        <w:ind w:left="25" w:leftChars="12" w:firstLine="352" w:firstLineChars="147"/>
        <w:rPr>
          <w:rFonts w:hAnsi="宋体" w:cs="宋体"/>
          <w:sz w:val="24"/>
          <w:szCs w:val="24"/>
        </w:rPr>
      </w:pPr>
    </w:p>
    <w:p>
      <w:pPr>
        <w:pStyle w:val="18"/>
        <w:spacing w:line="360" w:lineRule="auto"/>
        <w:ind w:left="25" w:leftChars="12" w:firstLine="472" w:firstLineChars="197"/>
        <w:rPr>
          <w:rFonts w:hAnsi="宋体" w:cs="宋体"/>
          <w:sz w:val="24"/>
          <w:szCs w:val="24"/>
          <w:u w:val="single"/>
        </w:rPr>
      </w:pPr>
      <w:r>
        <w:rPr>
          <w:rFonts w:hint="eastAsia" w:hAnsi="宋体" w:cs="宋体"/>
          <w:sz w:val="24"/>
          <w:szCs w:val="24"/>
        </w:rPr>
        <w:t>签字（签章）：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公章：</w:t>
      </w:r>
      <w:r>
        <w:rPr>
          <w:rFonts w:hint="eastAsia" w:hAnsi="宋体" w:cs="宋体"/>
          <w:sz w:val="24"/>
          <w:szCs w:val="24"/>
          <w:u w:val="single"/>
        </w:rPr>
        <w:t xml:space="preserve"> </w:t>
      </w:r>
      <w:r>
        <w:rPr>
          <w:rFonts w:hAnsi="宋体" w:cs="宋体"/>
          <w:sz w:val="24"/>
          <w:szCs w:val="24"/>
          <w:u w:val="single"/>
        </w:rPr>
        <w:t xml:space="preserve">         </w:t>
      </w:r>
    </w:p>
    <w:p>
      <w:pPr>
        <w:pStyle w:val="18"/>
        <w:spacing w:line="360" w:lineRule="auto"/>
        <w:ind w:left="25" w:leftChars="12" w:firstLine="352" w:firstLineChars="147"/>
        <w:rPr>
          <w:rFonts w:hAnsi="宋体" w:cs="宋体"/>
          <w:sz w:val="24"/>
          <w:szCs w:val="24"/>
        </w:rPr>
      </w:pPr>
    </w:p>
    <w:p>
      <w:pPr>
        <w:pStyle w:val="18"/>
        <w:spacing w:line="360" w:lineRule="auto"/>
        <w:ind w:left="25" w:leftChars="12" w:firstLine="472" w:firstLineChars="197"/>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日</w:t>
      </w:r>
    </w:p>
    <w:p>
      <w:pPr>
        <w:pStyle w:val="18"/>
        <w:spacing w:line="360" w:lineRule="auto"/>
        <w:ind w:left="25" w:leftChars="12" w:firstLine="472" w:firstLineChars="197"/>
        <w:rPr>
          <w:rFonts w:hAnsi="宋体" w:cs="宋体"/>
          <w:b/>
          <w:sz w:val="24"/>
          <w:szCs w:val="24"/>
        </w:rPr>
      </w:pPr>
      <w:r>
        <w:rPr>
          <w:rFonts w:hint="eastAsia" w:hAnsi="宋体" w:cs="宋体"/>
          <w:bCs/>
          <w:sz w:val="24"/>
          <w:szCs w:val="24"/>
        </w:rPr>
        <w:t xml:space="preserve">                                                                                 </w:t>
      </w:r>
    </w:p>
    <w:p>
      <w:pPr>
        <w:pStyle w:val="18"/>
        <w:snapToGrid w:val="0"/>
        <w:spacing w:line="360" w:lineRule="auto"/>
        <w:rPr>
          <w:rFonts w:ascii="楷体" w:hAnsi="楷体" w:eastAsia="楷体" w:cs="宋体"/>
          <w:b/>
          <w:sz w:val="24"/>
          <w:szCs w:val="24"/>
        </w:rPr>
      </w:pPr>
      <w:r>
        <w:rPr>
          <w:rFonts w:hint="eastAsia" w:ascii="楷体" w:hAnsi="楷体" w:eastAsia="楷体" w:cs="宋体"/>
          <w:b/>
          <w:sz w:val="24"/>
          <w:szCs w:val="24"/>
        </w:rPr>
        <w:t>说明：</w:t>
      </w:r>
    </w:p>
    <w:p>
      <w:pPr>
        <w:pStyle w:val="18"/>
        <w:spacing w:line="360" w:lineRule="auto"/>
        <w:ind w:left="25" w:leftChars="12" w:firstLine="354" w:firstLineChars="147"/>
        <w:rPr>
          <w:rFonts w:ascii="楷体" w:hAnsi="楷体" w:eastAsia="楷体" w:cs="宋体"/>
          <w:b/>
          <w:bCs/>
          <w:sz w:val="24"/>
          <w:szCs w:val="24"/>
        </w:rPr>
      </w:pPr>
      <w:r>
        <w:rPr>
          <w:rFonts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pPr>
        <w:pStyle w:val="18"/>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8"/>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3.投诉书应简要列明质疑事项，质疑函、质疑答复等作为附件材料提供。</w:t>
      </w:r>
    </w:p>
    <w:p>
      <w:pPr>
        <w:pStyle w:val="18"/>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4.投诉书的投诉事项应具体、明确，并有必要的事实依据和法律依据。</w:t>
      </w:r>
    </w:p>
    <w:p>
      <w:pPr>
        <w:pStyle w:val="18"/>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5.投诉书的投诉请求应与投诉事项相关。</w:t>
      </w:r>
    </w:p>
    <w:p>
      <w:pPr>
        <w:pStyle w:val="18"/>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6.投诉人为法人或者其他组织的，投诉书应由法定代表人、主要负责人，或者其授权代表签字或者盖章，并加盖公章。</w:t>
      </w:r>
    </w:p>
    <w:p>
      <w:pPr>
        <w:pStyle w:val="18"/>
        <w:spacing w:line="360" w:lineRule="auto"/>
        <w:ind w:left="25" w:leftChars="12" w:firstLine="352" w:firstLineChars="147"/>
        <w:rPr>
          <w:rFonts w:hAnsi="宋体" w:cs="宋体"/>
          <w:sz w:val="24"/>
          <w:szCs w:val="24"/>
        </w:rPr>
      </w:pPr>
      <w:bookmarkStart w:id="148" w:name="_Toc74323461"/>
    </w:p>
    <w:p>
      <w:pPr>
        <w:pStyle w:val="3"/>
        <w:spacing w:before="0" w:after="0" w:line="460" w:lineRule="exact"/>
        <w:jc w:val="center"/>
        <w:rPr>
          <w:rFonts w:ascii="宋体" w:hAnsi="宋体" w:cs="宋体"/>
        </w:rPr>
      </w:pPr>
      <w:r>
        <w:rPr>
          <w:rFonts w:hint="eastAsia" w:ascii="宋体" w:hAnsi="宋体" w:cs="宋体"/>
        </w:rPr>
        <w:t xml:space="preserve">第六章 </w:t>
      </w:r>
      <w:bookmarkEnd w:id="148"/>
      <w:r>
        <w:rPr>
          <w:rFonts w:hint="eastAsia" w:ascii="宋体" w:hAnsi="宋体" w:cs="宋体"/>
        </w:rPr>
        <w:t>拟签订的合同文本</w:t>
      </w:r>
    </w:p>
    <w:p>
      <w:pPr>
        <w:jc w:val="center"/>
        <w:rPr>
          <w:b/>
          <w:bCs/>
          <w:kern w:val="44"/>
          <w:sz w:val="44"/>
          <w:szCs w:val="44"/>
        </w:rPr>
      </w:pPr>
    </w:p>
    <w:p>
      <w:pPr>
        <w:jc w:val="center"/>
        <w:rPr>
          <w:rFonts w:ascii="黑体" w:hAnsi="黑体" w:eastAsia="黑体"/>
          <w:sz w:val="32"/>
          <w:szCs w:val="32"/>
        </w:rPr>
      </w:pPr>
      <w:r>
        <w:rPr>
          <w:rFonts w:hint="eastAsia"/>
          <w:b/>
          <w:bCs/>
          <w:kern w:val="44"/>
          <w:sz w:val="44"/>
          <w:szCs w:val="44"/>
        </w:rPr>
        <w:t>合同文本</w:t>
      </w:r>
    </w:p>
    <w:p>
      <w:pPr>
        <w:spacing w:line="520" w:lineRule="exact"/>
        <w:rPr>
          <w:rFonts w:ascii="宋体" w:hAnsi="宋体" w:cs="Courier New"/>
          <w:b/>
          <w:sz w:val="32"/>
          <w:szCs w:val="32"/>
        </w:rPr>
      </w:pPr>
      <w:r>
        <w:rPr>
          <w:rFonts w:hint="eastAsia" w:ascii="宋体" w:hAnsi="宋体" w:cs="宋体"/>
          <w:sz w:val="24"/>
        </w:rPr>
        <w:t>项目名称：</w:t>
      </w:r>
    </w:p>
    <w:p>
      <w:pPr>
        <w:spacing w:line="360" w:lineRule="auto"/>
        <w:rPr>
          <w:rFonts w:ascii="宋体" w:hAnsi="宋体"/>
          <w:sz w:val="24"/>
          <w:szCs w:val="32"/>
        </w:rPr>
      </w:pPr>
      <w:r>
        <w:rPr>
          <w:rFonts w:hint="eastAsia" w:ascii="宋体" w:hAnsi="宋体"/>
          <w:sz w:val="24"/>
          <w:szCs w:val="32"/>
        </w:rPr>
        <w:t>合同编号：</w:t>
      </w:r>
    </w:p>
    <w:p>
      <w:pPr>
        <w:spacing w:line="360" w:lineRule="auto"/>
        <w:rPr>
          <w:rFonts w:ascii="宋体" w:hAnsi="宋体"/>
          <w:sz w:val="24"/>
          <w:szCs w:val="32"/>
        </w:rPr>
      </w:pPr>
      <w:r>
        <w:rPr>
          <w:rFonts w:hint="eastAsia" w:ascii="宋体" w:hAnsi="宋体"/>
          <w:sz w:val="24"/>
          <w:szCs w:val="32"/>
        </w:rPr>
        <w:t xml:space="preserve">采购人（甲方）：广西大学                      </w:t>
      </w:r>
    </w:p>
    <w:p>
      <w:pPr>
        <w:spacing w:line="360" w:lineRule="auto"/>
        <w:rPr>
          <w:rFonts w:ascii="宋体" w:hAnsi="宋体"/>
          <w:sz w:val="24"/>
          <w:szCs w:val="32"/>
        </w:rPr>
      </w:pPr>
      <w:r>
        <w:rPr>
          <w:rFonts w:hint="eastAsia" w:ascii="宋体" w:hAnsi="宋体"/>
          <w:sz w:val="24"/>
          <w:szCs w:val="32"/>
        </w:rPr>
        <w:t xml:space="preserve">供应商（乙方）：          </w:t>
      </w:r>
    </w:p>
    <w:p>
      <w:pPr>
        <w:spacing w:line="360" w:lineRule="auto"/>
        <w:rPr>
          <w:rFonts w:ascii="宋体" w:hAnsi="宋体"/>
          <w:sz w:val="24"/>
          <w:szCs w:val="32"/>
          <w:u w:val="single"/>
        </w:rPr>
      </w:pPr>
      <w:r>
        <w:rPr>
          <w:rFonts w:hint="eastAsia" w:ascii="宋体" w:hAnsi="宋体"/>
          <w:sz w:val="24"/>
          <w:szCs w:val="32"/>
        </w:rPr>
        <w:t>签订地点：广西壮族自治区南宁市西乡塘区</w:t>
      </w:r>
    </w:p>
    <w:p>
      <w:pPr>
        <w:spacing w:line="360" w:lineRule="auto"/>
        <w:ind w:firstLine="480" w:firstLineChars="200"/>
        <w:rPr>
          <w:rFonts w:ascii="宋体" w:hAnsi="宋体"/>
          <w:sz w:val="24"/>
          <w:szCs w:val="32"/>
        </w:rPr>
      </w:pPr>
      <w:r>
        <w:rPr>
          <w:rFonts w:hint="eastAsia" w:ascii="宋体" w:hAnsi="宋体"/>
          <w:sz w:val="24"/>
          <w:szCs w:val="32"/>
        </w:rPr>
        <w:t>根据《中华人民共和国政府采购法》《中华人民共和国民法典》等法律、法规规定，按照磋商文件规定条款和成交供应商响应文件及其承诺，甲乙双方签订本合同。</w:t>
      </w:r>
    </w:p>
    <w:p>
      <w:pPr>
        <w:spacing w:line="360" w:lineRule="auto"/>
        <w:ind w:firstLine="482" w:firstLineChars="200"/>
        <w:rPr>
          <w:rFonts w:ascii="宋体" w:hAnsi="宋体"/>
          <w:b/>
          <w:sz w:val="24"/>
          <w:szCs w:val="32"/>
        </w:rPr>
      </w:pPr>
      <w:r>
        <w:rPr>
          <w:rFonts w:hint="eastAsia" w:ascii="宋体" w:hAnsi="宋体"/>
          <w:b/>
          <w:sz w:val="24"/>
          <w:szCs w:val="32"/>
        </w:rPr>
        <w:t>第一条 合同标的</w:t>
      </w:r>
    </w:p>
    <w:p>
      <w:pPr>
        <w:pStyle w:val="71"/>
        <w:numPr>
          <w:ilvl w:val="0"/>
          <w:numId w:val="2"/>
        </w:numPr>
        <w:spacing w:line="360" w:lineRule="auto"/>
        <w:ind w:firstLineChars="0"/>
        <w:rPr>
          <w:rFonts w:ascii="宋体" w:hAnsi="宋体"/>
          <w:sz w:val="24"/>
          <w:szCs w:val="32"/>
        </w:rPr>
      </w:pPr>
      <w:r>
        <w:rPr>
          <w:rFonts w:hint="eastAsia" w:ascii="宋体" w:hAnsi="宋体"/>
          <w:sz w:val="24"/>
          <w:szCs w:val="32"/>
        </w:rPr>
        <w:t>项目一览表</w:t>
      </w:r>
    </w:p>
    <w:tbl>
      <w:tblPr>
        <w:tblStyle w:val="29"/>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标的名称</w:t>
            </w: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服务要求</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单  价</w:t>
            </w:r>
          </w:p>
          <w:p>
            <w:pPr>
              <w:jc w:val="center"/>
              <w:rPr>
                <w:rFonts w:ascii="宋体" w:hAnsi="宋体" w:cs="宋体"/>
                <w:b/>
                <w:szCs w:val="21"/>
              </w:rPr>
            </w:pPr>
            <w:r>
              <w:rPr>
                <w:rFonts w:hint="eastAsia" w:ascii="宋体" w:hAnsi="宋体" w:cs="宋体"/>
                <w:b/>
                <w:szCs w:val="21"/>
              </w:rPr>
              <w:t>（元/人民币）</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单项合计</w:t>
            </w:r>
          </w:p>
          <w:p>
            <w:pPr>
              <w:jc w:val="center"/>
              <w:rPr>
                <w:rFonts w:ascii="宋体" w:hAnsi="宋体" w:cs="宋体"/>
                <w:b/>
                <w:szCs w:val="21"/>
              </w:rPr>
            </w:pPr>
            <w:r>
              <w:rPr>
                <w:rFonts w:hint="eastAsia" w:ascii="宋体" w:hAnsi="宋体" w:cs="宋体"/>
                <w:b/>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合计金额（人民币大写）：</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（小写¥</w:t>
            </w:r>
            <w:r>
              <w:rPr>
                <w:rFonts w:ascii="宋体" w:hAnsi="宋体" w:cs="宋体"/>
                <w:szCs w:val="21"/>
                <w:u w:val="single"/>
              </w:rPr>
              <w:t xml:space="preserve">           .**</w:t>
            </w:r>
            <w:r>
              <w:rPr>
                <w:rFonts w:hint="eastAsia" w:ascii="宋体" w:hAnsi="宋体" w:cs="宋体"/>
                <w:szCs w:val="21"/>
              </w:rPr>
              <w:t xml:space="preserve">）              </w:t>
            </w:r>
          </w:p>
        </w:tc>
      </w:tr>
    </w:tbl>
    <w:p>
      <w:pPr>
        <w:spacing w:line="420"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2.合同合计金额包括但不限于满足本次响应全部采购需求所应提供的服务，以及伴随的货物和工程（如有）的价格；包含1）产品部件（“表3  维保运行耗材、维修配件、备品备件清单”所列耗材、配件、备品备件）和维保服务的价格；2）成交供应商专用工具、维保人员人工费用、保险、交通费、伙食费、调试、技术支持、管理服务成本、检测、预验收及履约验收、税费及其他所有成本费用的总和。甲方不再支</w:t>
      </w:r>
      <w:r>
        <w:rPr>
          <w:rFonts w:hint="eastAsia" w:ascii="宋体" w:hAnsi="宋体" w:cs="宋体"/>
          <w:sz w:val="24"/>
        </w:rPr>
        <w:t>付合同合计金额以外的其他费用。</w:t>
      </w:r>
    </w:p>
    <w:p>
      <w:pPr>
        <w:spacing w:line="360" w:lineRule="auto"/>
        <w:ind w:firstLine="420"/>
        <w:rPr>
          <w:rFonts w:ascii="宋体" w:hAnsi="宋体"/>
          <w:b/>
          <w:sz w:val="24"/>
        </w:rPr>
      </w:pPr>
      <w:r>
        <w:rPr>
          <w:rFonts w:hint="eastAsia" w:ascii="宋体" w:hAnsi="宋体"/>
          <w:b/>
          <w:sz w:val="24"/>
        </w:rPr>
        <w:t>第二条 质量要求</w:t>
      </w:r>
    </w:p>
    <w:p>
      <w:pPr>
        <w:snapToGrid w:val="0"/>
        <w:spacing w:line="360" w:lineRule="auto"/>
        <w:ind w:firstLine="480" w:firstLineChars="200"/>
        <w:rPr>
          <w:rFonts w:ascii="宋体" w:hAnsi="宋体"/>
          <w:sz w:val="24"/>
        </w:rPr>
      </w:pPr>
      <w:r>
        <w:rPr>
          <w:rFonts w:hint="eastAsia" w:ascii="宋体" w:hAnsi="宋体"/>
          <w:sz w:val="24"/>
        </w:rPr>
        <w:t>乙方所提供的服务及服务内容必须与响应文件承诺相一致，有国家强制性标准的，必须符合国家强制性标准的规定；没有国家强制性标准但有其他强制性标准的，必须符合其他强制性标准的规定。</w:t>
      </w:r>
    </w:p>
    <w:p>
      <w:pPr>
        <w:spacing w:line="360" w:lineRule="auto"/>
        <w:ind w:firstLine="482" w:firstLineChars="200"/>
        <w:rPr>
          <w:rFonts w:ascii="宋体" w:hAnsi="宋体"/>
          <w:sz w:val="24"/>
        </w:rPr>
      </w:pPr>
      <w:r>
        <w:rPr>
          <w:rFonts w:hint="eastAsia" w:ascii="宋体" w:hAnsi="宋体"/>
          <w:b/>
          <w:sz w:val="24"/>
        </w:rPr>
        <w:t>第三条 权利保证</w:t>
      </w:r>
    </w:p>
    <w:p>
      <w:pPr>
        <w:snapToGrid w:val="0"/>
        <w:spacing w:line="360" w:lineRule="auto"/>
        <w:ind w:firstLine="480" w:firstLineChars="200"/>
        <w:rPr>
          <w:rFonts w:ascii="宋体" w:hAnsi="宋体"/>
          <w:sz w:val="24"/>
        </w:rPr>
      </w:pPr>
      <w:r>
        <w:rPr>
          <w:rFonts w:hint="eastAsia" w:ascii="宋体" w:hAnsi="宋体"/>
          <w:sz w:val="24"/>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80" w:firstLineChars="200"/>
        <w:rPr>
          <w:rFonts w:ascii="宋体" w:hAnsi="宋体"/>
          <w:sz w:val="24"/>
        </w:rPr>
      </w:pPr>
      <w:r>
        <w:rPr>
          <w:rFonts w:hint="eastAsia" w:ascii="宋体" w:hAnsi="宋体"/>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82" w:firstLineChars="200"/>
        <w:rPr>
          <w:rFonts w:ascii="宋体" w:hAnsi="宋体"/>
          <w:b/>
          <w:sz w:val="24"/>
        </w:rPr>
      </w:pPr>
      <w:r>
        <w:rPr>
          <w:rFonts w:hint="eastAsia" w:ascii="宋体" w:hAnsi="宋体"/>
          <w:b/>
          <w:sz w:val="24"/>
        </w:rPr>
        <w:t>第四条 交付和验收等</w:t>
      </w:r>
    </w:p>
    <w:p>
      <w:pPr>
        <w:snapToGrid w:val="0"/>
        <w:spacing w:line="360" w:lineRule="auto"/>
        <w:ind w:firstLine="480" w:firstLineChars="200"/>
        <w:rPr>
          <w:rFonts w:ascii="宋体" w:hAnsi="宋体"/>
          <w:sz w:val="24"/>
        </w:rPr>
      </w:pPr>
      <w:r>
        <w:rPr>
          <w:rFonts w:hint="eastAsia" w:ascii="宋体" w:hAnsi="宋体"/>
          <w:sz w:val="24"/>
        </w:rPr>
        <w:t>1.交付时间：</w:t>
      </w:r>
      <w:r>
        <w:rPr>
          <w:rFonts w:ascii="宋体" w:hAnsi="宋体"/>
          <w:sz w:val="24"/>
        </w:rPr>
        <w:t>**********</w:t>
      </w:r>
      <w:r>
        <w:rPr>
          <w:rFonts w:hint="eastAsia" w:ascii="宋体" w:hAnsi="宋体"/>
          <w:sz w:val="24"/>
          <w:u w:val="single"/>
        </w:rPr>
        <w:t>。</w:t>
      </w:r>
    </w:p>
    <w:p>
      <w:pPr>
        <w:snapToGrid w:val="0"/>
        <w:spacing w:line="360" w:lineRule="auto"/>
        <w:ind w:firstLine="480" w:firstLineChars="200"/>
        <w:rPr>
          <w:rFonts w:ascii="宋体" w:hAnsi="宋体"/>
          <w:b/>
          <w:sz w:val="24"/>
        </w:rPr>
      </w:pPr>
      <w:r>
        <w:rPr>
          <w:rFonts w:hint="eastAsia" w:ascii="宋体" w:hAnsi="宋体"/>
          <w:sz w:val="24"/>
        </w:rPr>
        <w:t xml:space="preserve"> </w:t>
      </w:r>
      <w:r>
        <w:rPr>
          <w:rFonts w:ascii="宋体" w:hAnsi="宋体"/>
          <w:b/>
          <w:sz w:val="24"/>
        </w:rPr>
        <w:t xml:space="preserve"> </w:t>
      </w:r>
      <w:r>
        <w:rPr>
          <w:rFonts w:hint="eastAsia" w:ascii="宋体" w:hAnsi="宋体"/>
          <w:b/>
          <w:sz w:val="24"/>
        </w:rPr>
        <w:t>交付地点：</w:t>
      </w:r>
      <w:r>
        <w:rPr>
          <w:rFonts w:hint="eastAsia" w:ascii="宋体" w:hAnsi="宋体"/>
          <w:b/>
          <w:sz w:val="24"/>
          <w:u w:val="single"/>
        </w:rPr>
        <w:t>南宁市甲方指定地点。</w:t>
      </w:r>
    </w:p>
    <w:p>
      <w:pPr>
        <w:snapToGrid w:val="0"/>
        <w:spacing w:line="360" w:lineRule="auto"/>
        <w:ind w:firstLine="480" w:firstLineChars="200"/>
        <w:rPr>
          <w:rFonts w:ascii="宋体" w:hAnsi="宋体"/>
          <w:sz w:val="24"/>
        </w:rPr>
      </w:pPr>
      <w:r>
        <w:rPr>
          <w:rFonts w:hint="eastAsia" w:ascii="宋体" w:hAnsi="宋体"/>
          <w:sz w:val="24"/>
        </w:rPr>
        <w:t>2.乙方应按响应文件的承诺向甲方提供相应的服务，并提供所服务内容的相关技术资料。</w:t>
      </w:r>
    </w:p>
    <w:p>
      <w:pPr>
        <w:spacing w:line="360" w:lineRule="auto"/>
        <w:ind w:firstLine="480" w:firstLineChars="200"/>
        <w:rPr>
          <w:rFonts w:ascii="宋体" w:hAnsi="宋体"/>
          <w:sz w:val="24"/>
        </w:rPr>
      </w:pPr>
      <w:r>
        <w:rPr>
          <w:rFonts w:hint="eastAsia" w:ascii="宋体" w:hAnsi="宋体"/>
          <w:sz w:val="24"/>
        </w:rPr>
        <w:t>3.乙方提供不符合响应文件和本合同规定的服务成果或提供虚假承诺等虚假材料的，甲方有权拒绝验收并认定乙方违约，甲方有权单方面解除合同，乙方承担所有责任和费用，甲方保留进一步追究责任的权利。</w:t>
      </w:r>
    </w:p>
    <w:p>
      <w:pPr>
        <w:spacing w:line="360" w:lineRule="auto"/>
        <w:ind w:firstLine="480" w:firstLineChars="200"/>
        <w:rPr>
          <w:rFonts w:ascii="宋体" w:hAnsi="宋体"/>
          <w:sz w:val="24"/>
        </w:rPr>
      </w:pPr>
      <w:r>
        <w:rPr>
          <w:rFonts w:hint="eastAsia" w:ascii="宋体" w:hAnsi="宋体"/>
          <w:sz w:val="24"/>
        </w:rPr>
        <w:t>4.乙方完成服务后应及时书面通知甲方进行验收，甲方应在收到通知后</w:t>
      </w:r>
      <w:r>
        <w:rPr>
          <w:rFonts w:ascii="宋体" w:hAnsi="宋体"/>
          <w:sz w:val="24"/>
        </w:rPr>
        <w:t>7</w:t>
      </w:r>
      <w:r>
        <w:rPr>
          <w:rFonts w:hint="eastAsia" w:ascii="宋体" w:hAnsi="宋体"/>
          <w:sz w:val="24"/>
        </w:rPr>
        <w:t>个工作日内组织开展验收（预验收）。验收合格后由甲乙双方签署验收单并加盖采购人公章，甲乙双方各执壹份。</w:t>
      </w:r>
      <w:r>
        <w:rPr>
          <w:rFonts w:hint="eastAsia" w:ascii="宋体" w:hAnsi="宋体" w:cs="宋体"/>
          <w:sz w:val="24"/>
        </w:rPr>
        <w:t>甲方预验收及履约验收过程中所产生的一切费用均由乙方承担。</w:t>
      </w:r>
    </w:p>
    <w:p>
      <w:pPr>
        <w:spacing w:line="360" w:lineRule="auto"/>
        <w:ind w:firstLine="480" w:firstLineChars="200"/>
        <w:rPr>
          <w:rFonts w:ascii="宋体" w:hAnsi="宋体"/>
          <w:spacing w:val="-6"/>
          <w:sz w:val="24"/>
        </w:rPr>
      </w:pPr>
      <w:r>
        <w:rPr>
          <w:rFonts w:hint="eastAsia" w:ascii="宋体" w:hAnsi="宋体"/>
          <w:sz w:val="24"/>
        </w:rPr>
        <w:t>5.甲乙双方应按照</w:t>
      </w:r>
      <w:r>
        <w:rPr>
          <w:rFonts w:hint="eastAsia" w:ascii="宋体" w:hAnsi="宋体" w:cs="宋体"/>
          <w:sz w:val="24"/>
        </w:rPr>
        <w:t>《广西大学采购合同履约验收管理办法（试行）》、</w:t>
      </w:r>
      <w:r>
        <w:rPr>
          <w:rFonts w:hint="eastAsia" w:ascii="宋体" w:hAnsi="宋体"/>
          <w:spacing w:val="-6"/>
          <w:sz w:val="24"/>
        </w:rPr>
        <w:t>合同、磋商文件、响应文件验收。</w:t>
      </w:r>
    </w:p>
    <w:p>
      <w:pPr>
        <w:snapToGrid w:val="0"/>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预验收未通过或者履约验收未通过的，应限期整改，整改完成后重新组织履约验收。整改后仍不能通过验收的，甲方将有权解除合同，并依法追究相关责任。详细预验收及验收程序按《广西大学采购合同履约验收管理办法（试行）》执行。</w:t>
      </w:r>
    </w:p>
    <w:p>
      <w:pPr>
        <w:spacing w:line="360" w:lineRule="auto"/>
        <w:ind w:firstLine="480" w:firstLineChars="200"/>
        <w:rPr>
          <w:rFonts w:ascii="宋体" w:hAnsi="宋体"/>
          <w:spacing w:val="-6"/>
          <w:sz w:val="24"/>
        </w:rPr>
      </w:pPr>
      <w:r>
        <w:rPr>
          <w:rFonts w:ascii="宋体" w:hAnsi="宋体"/>
          <w:sz w:val="24"/>
        </w:rPr>
        <w:t>7</w:t>
      </w:r>
      <w:r>
        <w:rPr>
          <w:rFonts w:hint="eastAsia" w:ascii="宋体" w:hAnsi="宋体"/>
          <w:sz w:val="24"/>
        </w:rPr>
        <w:t>.甲方在验收后如发现乙方提供的服务成果不满足响应文件</w:t>
      </w:r>
      <w:r>
        <w:rPr>
          <w:rFonts w:hint="eastAsia" w:ascii="宋体" w:hAnsi="宋体"/>
          <w:spacing w:val="-6"/>
          <w:sz w:val="24"/>
        </w:rPr>
        <w:t>及本合同规定的可暂缓向乙方付款，直到乙方及时完善并提交相应的服务成果且经甲方验收合格后，方可办理付款。</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.甲方验收时以书面形式提出异议的，乙方应自收到甲方书面异议后</w:t>
      </w:r>
      <w:r>
        <w:rPr>
          <w:rFonts w:ascii="宋体" w:hAnsi="宋体"/>
          <w:sz w:val="24"/>
        </w:rPr>
        <w:t>7</w:t>
      </w:r>
      <w:r>
        <w:rPr>
          <w:rFonts w:hint="eastAsia" w:ascii="宋体" w:hAnsi="宋体"/>
          <w:sz w:val="24"/>
        </w:rPr>
        <w:t>个工作日内及时予以解决，否则甲方有权不出具服务验收合格单。</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验收时乙方必须在现场，验收完毕后作出验收结果报告；验收过程所产生的一切费用均由乙方承担。</w:t>
      </w:r>
    </w:p>
    <w:p>
      <w:pPr>
        <w:pStyle w:val="14"/>
        <w:ind w:firstLine="480" w:firstLineChars="200"/>
      </w:pPr>
      <w:r>
        <w:rPr>
          <w:rFonts w:ascii="宋体" w:hAnsi="宋体" w:cs="宋体"/>
          <w:sz w:val="24"/>
        </w:rPr>
        <w:t>10.</w:t>
      </w:r>
      <w:r>
        <w:rPr>
          <w:rFonts w:hint="eastAsia" w:ascii="宋体" w:hAnsi="宋体" w:cs="宋体"/>
          <w:sz w:val="24"/>
        </w:rPr>
        <w:t>本合同的验收条款与采购需求商务条款中的验收要求互为补充。</w:t>
      </w:r>
    </w:p>
    <w:p>
      <w:pPr>
        <w:snapToGrid w:val="0"/>
        <w:spacing w:line="360" w:lineRule="auto"/>
        <w:ind w:firstLine="482" w:firstLineChars="200"/>
        <w:rPr>
          <w:rFonts w:ascii="宋体" w:hAnsi="宋体"/>
          <w:b/>
          <w:sz w:val="24"/>
        </w:rPr>
      </w:pPr>
      <w:r>
        <w:rPr>
          <w:rFonts w:hint="eastAsia" w:ascii="宋体" w:hAnsi="宋体"/>
          <w:b/>
          <w:sz w:val="24"/>
        </w:rPr>
        <w:t>第五条  售后服务及培训</w:t>
      </w:r>
    </w:p>
    <w:p>
      <w:pPr>
        <w:spacing w:line="360" w:lineRule="auto"/>
        <w:ind w:firstLine="456" w:firstLineChars="200"/>
        <w:rPr>
          <w:rFonts w:ascii="宋体" w:hAnsi="宋体"/>
          <w:spacing w:val="-6"/>
          <w:sz w:val="24"/>
        </w:rPr>
      </w:pPr>
      <w:r>
        <w:rPr>
          <w:rFonts w:hint="eastAsia" w:ascii="宋体" w:hAnsi="宋体"/>
          <w:spacing w:val="-6"/>
          <w:sz w:val="24"/>
        </w:rPr>
        <w:t>1.乙方应按照国家有关法律法规和本合同所附的《服务方案》要求为甲方提供相应的售后服务。</w:t>
      </w:r>
    </w:p>
    <w:p>
      <w:pPr>
        <w:spacing w:line="360" w:lineRule="auto"/>
        <w:ind w:firstLine="480" w:firstLineChars="200"/>
        <w:rPr>
          <w:rFonts w:ascii="宋体" w:hAnsi="宋体"/>
          <w:sz w:val="24"/>
        </w:rPr>
      </w:pPr>
      <w:r>
        <w:rPr>
          <w:rFonts w:hint="eastAsia" w:ascii="宋体" w:hAnsi="宋体"/>
          <w:sz w:val="24"/>
        </w:rPr>
        <w:t>2.甲方应提供必要测试条件（如场地、电源、水源等）。</w:t>
      </w:r>
    </w:p>
    <w:p>
      <w:pPr>
        <w:spacing w:line="360" w:lineRule="auto"/>
        <w:ind w:firstLine="480" w:firstLineChars="200"/>
        <w:rPr>
          <w:rFonts w:ascii="宋体" w:hAnsi="宋体"/>
          <w:sz w:val="24"/>
        </w:rPr>
      </w:pPr>
      <w:r>
        <w:rPr>
          <w:rFonts w:hint="eastAsia" w:ascii="宋体" w:hAnsi="宋体"/>
          <w:sz w:val="24"/>
        </w:rPr>
        <w:t>3.乙方负责甲方有关人员的培训。培训时间、地点：</w:t>
      </w:r>
      <w:r>
        <w:rPr>
          <w:rFonts w:hint="eastAsia" w:ascii="宋体" w:hAnsi="宋体"/>
          <w:sz w:val="24"/>
          <w:u w:val="single"/>
        </w:rPr>
        <w:t>按照甲方需求和通知</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第六条 付款方式</w:t>
      </w:r>
    </w:p>
    <w:p>
      <w:pPr>
        <w:spacing w:line="360" w:lineRule="auto"/>
        <w:ind w:firstLine="480" w:firstLineChars="200"/>
        <w:rPr>
          <w:rFonts w:ascii="宋体" w:hAnsi="宋体"/>
          <w:sz w:val="24"/>
        </w:rPr>
      </w:pPr>
      <w:r>
        <w:rPr>
          <w:rFonts w:hint="eastAsia" w:ascii="宋体" w:hAnsi="宋体"/>
          <w:sz w:val="24"/>
        </w:rPr>
        <w:t>（1）本项目无预付款。</w:t>
      </w:r>
    </w:p>
    <w:p>
      <w:pPr>
        <w:spacing w:line="360" w:lineRule="auto"/>
        <w:ind w:firstLine="480" w:firstLineChars="200"/>
        <w:rPr>
          <w:rFonts w:ascii="宋体" w:hAnsi="宋体"/>
          <w:sz w:val="24"/>
        </w:rPr>
      </w:pPr>
      <w:r>
        <w:rPr>
          <w:rFonts w:hint="eastAsia" w:ascii="宋体" w:hAnsi="宋体"/>
          <w:sz w:val="24"/>
        </w:rPr>
        <w:t>（2）维保服务款：分三次付款。</w:t>
      </w:r>
    </w:p>
    <w:p>
      <w:pPr>
        <w:spacing w:line="360" w:lineRule="auto"/>
        <w:ind w:firstLine="480" w:firstLineChars="200"/>
        <w:rPr>
          <w:rFonts w:ascii="宋体" w:hAnsi="宋体"/>
          <w:sz w:val="24"/>
        </w:rPr>
      </w:pPr>
      <w:r>
        <w:rPr>
          <w:rFonts w:hint="eastAsia" w:ascii="宋体" w:hAnsi="宋体"/>
          <w:sz w:val="24"/>
        </w:rPr>
        <w:t>第一次：服务期满4个月，乙方向甲方提交维保工作请款申请、维保服务记录表及发票，甲方根据考核结果在20个工作日内支付合同额30%。</w:t>
      </w:r>
    </w:p>
    <w:p>
      <w:pPr>
        <w:spacing w:line="360" w:lineRule="auto"/>
        <w:ind w:firstLine="480" w:firstLineChars="200"/>
        <w:rPr>
          <w:rFonts w:ascii="宋体" w:hAnsi="宋体"/>
          <w:sz w:val="24"/>
        </w:rPr>
      </w:pPr>
      <w:r>
        <w:rPr>
          <w:rFonts w:hint="eastAsia" w:ascii="宋体" w:hAnsi="宋体"/>
          <w:sz w:val="24"/>
        </w:rPr>
        <w:t>第二次：服务期满8个月，乙方向甲方提交维保工作请款申请、维保服务记录表及发票，甲方根据考核结果在</w:t>
      </w:r>
      <w:r>
        <w:rPr>
          <w:rFonts w:ascii="宋体" w:hAnsi="宋体"/>
          <w:sz w:val="24"/>
        </w:rPr>
        <w:t>20</w:t>
      </w:r>
      <w:r>
        <w:rPr>
          <w:rFonts w:hint="eastAsia" w:ascii="宋体" w:hAnsi="宋体"/>
          <w:sz w:val="24"/>
        </w:rPr>
        <w:t>个工作日内支付合同额30%。</w:t>
      </w:r>
    </w:p>
    <w:p>
      <w:pPr>
        <w:spacing w:line="360" w:lineRule="auto"/>
        <w:ind w:firstLine="480" w:firstLineChars="200"/>
        <w:rPr>
          <w:rFonts w:ascii="宋体" w:hAnsi="宋体"/>
          <w:sz w:val="24"/>
        </w:rPr>
      </w:pPr>
      <w:r>
        <w:rPr>
          <w:rFonts w:hint="eastAsia" w:ascii="宋体" w:hAnsi="宋体"/>
          <w:sz w:val="24"/>
        </w:rPr>
        <w:t>第三次：服务期满12个月，甲方对中标人的维保情况进行考核，年度得分≥总分*90%，不扣合同金额（备品备件内容按照实际使用数量结算）。年度得分＜总分*90%，按比例扣除合同金额（备品备件内容按照实际使用数量结算）。实际应付款=合同款的40%－备品备件实际使用差额（备品备件清单数量与实际使用数量间的差额）-考核评分应扣除的合同金额(详见附件 表5)。在项目通过验收后，甲方才支付实际应付款。</w:t>
      </w:r>
    </w:p>
    <w:p>
      <w:pPr>
        <w:spacing w:line="360" w:lineRule="auto"/>
        <w:ind w:firstLine="480" w:firstLineChars="200"/>
        <w:rPr>
          <w:rFonts w:ascii="宋体" w:hAnsi="宋体"/>
          <w:sz w:val="24"/>
        </w:rPr>
      </w:pPr>
      <w:r>
        <w:rPr>
          <w:rFonts w:hint="eastAsia" w:ascii="宋体" w:hAnsi="宋体"/>
          <w:sz w:val="24"/>
        </w:rPr>
        <w:t>服务款项以银行转账方式支付。支付时，乙方须提交合同复印件、开具正式有效的等额增值税普通发票、加盖单位公章</w:t>
      </w:r>
    </w:p>
    <w:p>
      <w:pPr>
        <w:spacing w:line="360" w:lineRule="auto"/>
        <w:ind w:firstLine="482" w:firstLineChars="200"/>
        <w:rPr>
          <w:rFonts w:ascii="宋体" w:hAnsi="宋体"/>
          <w:b/>
          <w:sz w:val="24"/>
        </w:rPr>
      </w:pPr>
      <w:r>
        <w:rPr>
          <w:rFonts w:hint="eastAsia" w:ascii="宋体" w:hAnsi="宋体"/>
          <w:b/>
          <w:sz w:val="24"/>
        </w:rPr>
        <w:t>第七条 履约保证金</w:t>
      </w:r>
    </w:p>
    <w:p>
      <w:pPr>
        <w:snapToGrid w:val="0"/>
        <w:spacing w:line="460" w:lineRule="exact"/>
        <w:ind w:firstLine="480" w:firstLineChars="200"/>
        <w:rPr>
          <w:rFonts w:ascii="宋体" w:hAnsi="宋体" w:cs="宋体"/>
          <w:sz w:val="24"/>
          <w:u w:val="single"/>
        </w:rPr>
      </w:pPr>
      <w:r>
        <w:rPr>
          <w:rFonts w:hint="eastAsia" w:ascii="宋体" w:hAnsi="宋体" w:cs="宋体"/>
          <w:sz w:val="24"/>
          <w:u w:val="single"/>
        </w:rPr>
        <w:t>1.履约保证金金额：</w:t>
      </w:r>
      <w:r>
        <w:rPr>
          <w:rFonts w:hint="eastAsia" w:ascii="宋体" w:hAnsi="宋体" w:cs="宋体"/>
          <w:sz w:val="24"/>
          <w:u w:val="single"/>
          <w:lang w:eastAsia="zh-Hans"/>
        </w:rPr>
        <w:t>合同</w:t>
      </w:r>
      <w:r>
        <w:rPr>
          <w:rFonts w:hint="eastAsia" w:ascii="宋体" w:hAnsi="宋体" w:cs="宋体"/>
          <w:sz w:val="24"/>
          <w:u w:val="single"/>
        </w:rPr>
        <w:t>总</w:t>
      </w:r>
      <w:r>
        <w:rPr>
          <w:rFonts w:hint="eastAsia" w:ascii="宋体" w:hAnsi="宋体" w:cs="宋体"/>
          <w:sz w:val="24"/>
          <w:u w:val="single"/>
          <w:lang w:eastAsia="zh-Hans"/>
        </w:rPr>
        <w:t>金额的</w:t>
      </w:r>
      <w:r>
        <w:rPr>
          <w:rFonts w:hint="eastAsia" w:ascii="宋体" w:hAnsi="宋体" w:cs="宋体"/>
          <w:sz w:val="24"/>
          <w:u w:val="single"/>
        </w:rPr>
        <w:t xml:space="preserve">  </w:t>
      </w:r>
      <w:r>
        <w:rPr>
          <w:rFonts w:hint="eastAsia" w:ascii="宋体" w:hAnsi="宋体" w:cs="宋体"/>
          <w:sz w:val="24"/>
          <w:u w:val="single"/>
          <w:lang w:eastAsia="zh-Hans"/>
        </w:rPr>
        <w:t>%</w:t>
      </w:r>
      <w:r>
        <w:rPr>
          <w:rFonts w:hint="eastAsia" w:ascii="宋体" w:hAnsi="宋体" w:cs="宋体"/>
          <w:sz w:val="24"/>
          <w:u w:val="single"/>
        </w:rPr>
        <w:t>（</w:t>
      </w:r>
      <w:r>
        <w:rPr>
          <w:rFonts w:hint="eastAsia" w:ascii="宋体" w:hAnsi="宋体" w:cs="宋体"/>
          <w:b/>
          <w:bCs/>
          <w:sz w:val="24"/>
          <w:u w:val="single"/>
        </w:rPr>
        <w:t>¥</w:t>
      </w:r>
      <w:r>
        <w:rPr>
          <w:rFonts w:ascii="宋体" w:hAnsi="宋体" w:cs="宋体"/>
          <w:b/>
          <w:bCs/>
          <w:sz w:val="24"/>
          <w:u w:val="single"/>
        </w:rPr>
        <w:t xml:space="preserve">     </w:t>
      </w:r>
      <w:r>
        <w:rPr>
          <w:rFonts w:hint="eastAsia" w:ascii="宋体" w:hAnsi="宋体" w:cs="宋体"/>
          <w:b/>
          <w:bCs/>
          <w:sz w:val="24"/>
          <w:u w:val="single"/>
        </w:rPr>
        <w:t xml:space="preserve"> </w:t>
      </w:r>
      <w:r>
        <w:rPr>
          <w:rFonts w:ascii="宋体" w:hAnsi="宋体" w:cs="宋体"/>
          <w:b/>
          <w:bCs/>
          <w:sz w:val="24"/>
          <w:u w:val="single"/>
        </w:rPr>
        <w:t>.**</w:t>
      </w:r>
      <w:r>
        <w:rPr>
          <w:rFonts w:hint="eastAsia" w:ascii="宋体" w:hAnsi="宋体" w:cs="宋体"/>
          <w:sz w:val="24"/>
          <w:u w:val="single"/>
        </w:rPr>
        <w:t xml:space="preserve">），即人民币（大写） </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乙方在签订合同时交至指定账户（履约保证金缴纳时须备注项目编号及项目名称：</w:t>
      </w:r>
      <w:r>
        <w:rPr>
          <w:rFonts w:ascii="宋体" w:hAnsi="宋体" w:cs="宋体"/>
          <w:sz w:val="24"/>
          <w:u w:val="single"/>
        </w:rPr>
        <w:t>********-C3-******-****</w:t>
      </w:r>
      <w:r>
        <w:rPr>
          <w:rFonts w:hint="eastAsia" w:ascii="宋体" w:hAnsi="宋体" w:cs="宋体"/>
          <w:sz w:val="24"/>
          <w:u w:val="single"/>
        </w:rPr>
        <w:t>（项目名称）</w:t>
      </w:r>
      <w:r>
        <w:rPr>
          <w:rFonts w:hint="eastAsia" w:ascii="宋体" w:hAnsi="宋体" w:cs="宋体"/>
          <w:sz w:val="24"/>
        </w:rPr>
        <w:t>履约保证金。）</w:t>
      </w:r>
    </w:p>
    <w:p>
      <w:pPr>
        <w:snapToGrid w:val="0"/>
        <w:spacing w:line="460" w:lineRule="exact"/>
        <w:ind w:firstLine="480" w:firstLineChars="200"/>
        <w:rPr>
          <w:rFonts w:ascii="宋体" w:hAnsi="宋体" w:cs="宋体"/>
          <w:sz w:val="24"/>
        </w:rPr>
      </w:pPr>
      <w:r>
        <w:rPr>
          <w:rFonts w:hint="eastAsia" w:ascii="宋体" w:hAnsi="宋体" w:cs="宋体"/>
          <w:sz w:val="24"/>
        </w:rPr>
        <w:t>2.履约保证金递交方式：银行转账、保函等非现金方式。由乙方在签订合同时按规定的金额直接缴入以下甲方账户或将保函原件交付采购人。</w:t>
      </w:r>
    </w:p>
    <w:p>
      <w:pPr>
        <w:snapToGrid w:val="0"/>
        <w:spacing w:line="460" w:lineRule="exact"/>
        <w:ind w:firstLine="480" w:firstLineChars="200"/>
        <w:rPr>
          <w:rFonts w:ascii="宋体" w:hAnsi="宋体" w:cs="宋体"/>
          <w:sz w:val="24"/>
        </w:rPr>
      </w:pPr>
      <w:r>
        <w:rPr>
          <w:rFonts w:hint="eastAsia" w:ascii="宋体" w:hAnsi="宋体" w:cs="宋体"/>
          <w:sz w:val="24"/>
        </w:rPr>
        <w:t>3.履约保证金退付方式、时间及条件：乙方若不能完全履行合同，履约保证金不予退还；乙方若完全履行合同，服务验收合格后，乙方凭履约保证金缴款凭证、退付意见书到甲方财务部门办理无息退还手续。由乙方向甲方提供《广西壮族自治区政府采购项目合同验收书》或甲方的验收报告（甲方提供格式）、《政府采购项目履约保证金退付意见书》，甲方在收到合格材料后办理退还手续（不计利息）。</w:t>
      </w:r>
    </w:p>
    <w:p>
      <w:pPr>
        <w:snapToGrid w:val="0"/>
        <w:spacing w:line="460" w:lineRule="exact"/>
        <w:ind w:firstLine="480" w:firstLineChars="200"/>
        <w:rPr>
          <w:rFonts w:ascii="宋体" w:hAnsi="宋体" w:cs="宋体"/>
          <w:sz w:val="24"/>
        </w:rPr>
      </w:pPr>
      <w:r>
        <w:rPr>
          <w:rFonts w:hint="eastAsia" w:ascii="宋体" w:hAnsi="宋体" w:cs="宋体"/>
          <w:sz w:val="24"/>
        </w:rPr>
        <w:t>4.备注：</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1）履约保证金必须足额缴纳，或出具的保函额度必须足额且保函有效期不能低于合同履行期限（即签订采购合同之日起至履行完合同约定的权利及义务之日止），否则视为无效履约保证金</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（2）采用保函的，必须为无条件保函，否则视为无效履约保证金</w:t>
      </w:r>
    </w:p>
    <w:p>
      <w:pPr>
        <w:snapToGrid w:val="0"/>
        <w:spacing w:line="460" w:lineRule="exact"/>
        <w:ind w:firstLine="482" w:firstLineChars="200"/>
        <w:rPr>
          <w:rFonts w:ascii="宋体" w:hAnsi="宋体" w:cs="宋体"/>
          <w:b/>
          <w:sz w:val="24"/>
        </w:rPr>
      </w:pPr>
      <w:r>
        <w:rPr>
          <w:rFonts w:hint="eastAsia" w:ascii="宋体" w:hAnsi="宋体" w:cs="宋体"/>
          <w:b/>
          <w:color w:val="000000" w:themeColor="text1"/>
          <w:sz w:val="24"/>
          <w14:textFill>
            <w14:solidFill>
              <w14:schemeClr w14:val="tx1"/>
            </w14:solidFill>
          </w14:textFill>
        </w:rPr>
        <w:t>（</w:t>
      </w:r>
      <w:r>
        <w:rPr>
          <w:rFonts w:ascii="宋体" w:hAnsi="宋体" w:cs="宋体"/>
          <w:b/>
          <w:color w:val="000000" w:themeColor="text1"/>
          <w:sz w:val="24"/>
          <w14:textFill>
            <w14:solidFill>
              <w14:schemeClr w14:val="tx1"/>
            </w14:solidFill>
          </w14:textFill>
        </w:rPr>
        <w:t>3）履约保证金缴纳时须明确备注项目</w:t>
      </w:r>
      <w:r>
        <w:rPr>
          <w:rFonts w:hint="eastAsia" w:ascii="宋体" w:hAnsi="宋体" w:cs="宋体"/>
          <w:b/>
          <w:color w:val="000000" w:themeColor="text1"/>
          <w:sz w:val="24"/>
          <w14:textFill>
            <w14:solidFill>
              <w14:schemeClr w14:val="tx1"/>
            </w14:solidFill>
          </w14:textFill>
        </w:rPr>
        <w:t>名称（编号</w:t>
      </w:r>
      <w:r>
        <w:rPr>
          <w:rFonts w:hint="eastAsia" w:ascii="宋体" w:hAnsi="宋体" w:cs="宋体"/>
          <w:b/>
          <w:sz w:val="24"/>
        </w:rPr>
        <w:t>）：</w:t>
      </w:r>
      <w:r>
        <w:rPr>
          <w:rFonts w:ascii="宋体" w:hAnsi="宋体" w:cs="宋体"/>
          <w:b/>
          <w:sz w:val="24"/>
          <w:u w:val="single"/>
        </w:rPr>
        <w:t>*********</w:t>
      </w:r>
      <w:r>
        <w:rPr>
          <w:rFonts w:hint="eastAsia" w:ascii="宋体" w:hAnsi="宋体" w:cs="宋体"/>
          <w:b/>
          <w:sz w:val="24"/>
        </w:rPr>
        <w:t>（</w:t>
      </w:r>
      <w:r>
        <w:rPr>
          <w:rFonts w:ascii="宋体" w:hAnsi="宋体" w:cs="宋体"/>
          <w:b/>
          <w:sz w:val="24"/>
        </w:rPr>
        <w:t>GXZC2023-C3-000000-****</w:t>
      </w:r>
      <w:r>
        <w:rPr>
          <w:rFonts w:hint="eastAsia" w:ascii="宋体" w:hAnsi="宋体" w:cs="宋体"/>
          <w:b/>
          <w:sz w:val="24"/>
        </w:rPr>
        <w:t>）履约保证金。</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（4）甲方账户信息如下：</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统一社会信用代码：124500004985009929</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户名： 广西大学</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开户行：中国银行广西南宁市西大支行（行号：104611010324）</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账号： 618 457 484 938</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地址：广西壮族自治区南宁市大学东路100号  联系电话：3232888</w:t>
      </w:r>
    </w:p>
    <w:p>
      <w:pPr>
        <w:snapToGrid w:val="0"/>
        <w:spacing w:line="42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签订合同后，如乙方不按双方签订的合同规定履约，则其全部履约保证金甲方不予退还；履约保证金不足以赔偿甲方损失的，按实际损失赔偿。</w:t>
      </w:r>
    </w:p>
    <w:p>
      <w:pPr>
        <w:spacing w:line="360" w:lineRule="auto"/>
        <w:ind w:firstLine="482" w:firstLineChars="200"/>
        <w:rPr>
          <w:rFonts w:ascii="宋体" w:hAnsi="宋体"/>
          <w:b/>
          <w:sz w:val="24"/>
        </w:rPr>
      </w:pPr>
      <w:r>
        <w:rPr>
          <w:rFonts w:hint="eastAsia" w:ascii="宋体" w:hAnsi="宋体"/>
          <w:b/>
          <w:sz w:val="24"/>
        </w:rPr>
        <w:t>第八条  税费</w:t>
      </w:r>
    </w:p>
    <w:p>
      <w:pPr>
        <w:spacing w:line="360" w:lineRule="auto"/>
        <w:ind w:firstLine="480" w:firstLineChars="200"/>
        <w:rPr>
          <w:rFonts w:ascii="宋体" w:hAnsi="宋体"/>
          <w:sz w:val="24"/>
        </w:rPr>
      </w:pPr>
      <w:r>
        <w:rPr>
          <w:rFonts w:hint="eastAsia" w:ascii="宋体" w:hAnsi="宋体"/>
          <w:sz w:val="24"/>
        </w:rPr>
        <w:t>本合同执行中相关的一切税费均由乙方负担，合同另有约定的除外。</w:t>
      </w:r>
      <w:r>
        <w:rPr>
          <w:rFonts w:hint="eastAsia" w:ascii="宋体" w:hAnsi="宋体" w:cs="宋体"/>
          <w:sz w:val="24"/>
        </w:rPr>
        <w:t>合同执行期间税费发生变化的，由乙方承担。</w:t>
      </w:r>
    </w:p>
    <w:p>
      <w:pPr>
        <w:spacing w:line="360" w:lineRule="auto"/>
        <w:ind w:firstLine="482" w:firstLineChars="200"/>
        <w:rPr>
          <w:rFonts w:ascii="宋体" w:hAnsi="宋体"/>
          <w:b/>
          <w:sz w:val="24"/>
        </w:rPr>
      </w:pPr>
      <w:r>
        <w:rPr>
          <w:rFonts w:hint="eastAsia" w:ascii="宋体" w:hAnsi="宋体"/>
          <w:b/>
          <w:sz w:val="24"/>
        </w:rPr>
        <w:t>第九条 违约责任</w:t>
      </w:r>
    </w:p>
    <w:p>
      <w:pPr>
        <w:pStyle w:val="18"/>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w:t>
      </w:r>
      <w:r>
        <w:rPr>
          <w:rFonts w:hint="eastAsia" w:hAnsi="宋体"/>
          <w:sz w:val="24"/>
          <w:szCs w:val="24"/>
        </w:rPr>
        <w:t>合同一方不履行合同义务、履行合同义务不符合约定或者违反合同项下所作保证的， 应向对方承担继续履行、采取改进、更换等补救措施或者赔偿损失等违约责任。</w:t>
      </w:r>
    </w:p>
    <w:p>
      <w:pPr>
        <w:pStyle w:val="18"/>
        <w:snapToGrid w:val="0"/>
        <w:spacing w:line="360" w:lineRule="auto"/>
        <w:ind w:firstLine="470" w:firstLineChars="196"/>
        <w:rPr>
          <w:rFonts w:hAnsi="宋体"/>
          <w:sz w:val="24"/>
          <w:szCs w:val="24"/>
        </w:rPr>
      </w:pPr>
      <w:r>
        <w:rPr>
          <w:rFonts w:hint="eastAsia" w:hAnsi="宋体"/>
          <w:sz w:val="24"/>
          <w:szCs w:val="24"/>
        </w:rPr>
        <w:t>2.乙方提供的服务如侵犯了第三方合法权益而引发的任何纠纷或者诉讼，均由乙方负责交涉并承担全部责任。</w:t>
      </w:r>
    </w:p>
    <w:p>
      <w:pPr>
        <w:pStyle w:val="18"/>
        <w:snapToGrid w:val="0"/>
        <w:spacing w:line="360" w:lineRule="auto"/>
        <w:ind w:firstLine="470" w:firstLineChars="196"/>
        <w:rPr>
          <w:rFonts w:hAnsi="宋体"/>
          <w:sz w:val="24"/>
          <w:szCs w:val="24"/>
        </w:rPr>
      </w:pPr>
      <w:r>
        <w:rPr>
          <w:rFonts w:hAnsi="宋体"/>
          <w:sz w:val="24"/>
          <w:szCs w:val="24"/>
        </w:rPr>
        <w:t>3</w:t>
      </w:r>
      <w:r>
        <w:rPr>
          <w:rFonts w:hint="eastAsia" w:hAnsi="宋体"/>
          <w:sz w:val="24"/>
          <w:szCs w:val="24"/>
        </w:rPr>
        <w:t>.乙方未能按时交付服务的，应向甲方支付迟延交付违约金。迟延交付违约金的计算方法如下：</w:t>
      </w:r>
    </w:p>
    <w:p>
      <w:pPr>
        <w:pStyle w:val="18"/>
        <w:snapToGrid w:val="0"/>
        <w:spacing w:line="360" w:lineRule="auto"/>
        <w:ind w:firstLine="470" w:firstLineChars="196"/>
        <w:rPr>
          <w:rFonts w:hAnsi="宋体"/>
          <w:sz w:val="24"/>
          <w:szCs w:val="24"/>
        </w:rPr>
      </w:pPr>
      <w:r>
        <w:rPr>
          <w:rFonts w:hint="eastAsia" w:hAnsi="宋体"/>
          <w:sz w:val="24"/>
          <w:szCs w:val="24"/>
        </w:rPr>
        <w:t>（1）从迟交的第1日到第3</w:t>
      </w:r>
      <w:r>
        <w:rPr>
          <w:rFonts w:hAnsi="宋体"/>
          <w:sz w:val="24"/>
          <w:szCs w:val="24"/>
        </w:rPr>
        <w:t>0</w:t>
      </w:r>
      <w:r>
        <w:rPr>
          <w:rFonts w:hint="eastAsia" w:hAnsi="宋体"/>
          <w:sz w:val="24"/>
          <w:szCs w:val="24"/>
        </w:rPr>
        <w:t>日，每日迟延交付违约金为合同总价的1.5‰；</w:t>
      </w:r>
    </w:p>
    <w:p>
      <w:pPr>
        <w:pStyle w:val="18"/>
        <w:snapToGrid w:val="0"/>
        <w:spacing w:line="360" w:lineRule="auto"/>
        <w:ind w:firstLine="470" w:firstLineChars="196"/>
        <w:rPr>
          <w:rFonts w:hAnsi="宋体"/>
          <w:sz w:val="24"/>
          <w:szCs w:val="24"/>
        </w:rPr>
      </w:pPr>
      <w:r>
        <w:rPr>
          <w:rFonts w:hint="eastAsia" w:hAnsi="宋体"/>
          <w:sz w:val="24"/>
          <w:szCs w:val="24"/>
        </w:rPr>
        <w:t>（2）从迟交的第3</w:t>
      </w:r>
      <w:r>
        <w:rPr>
          <w:rFonts w:hAnsi="宋体"/>
          <w:sz w:val="24"/>
          <w:szCs w:val="24"/>
        </w:rPr>
        <w:t>1</w:t>
      </w:r>
      <w:r>
        <w:rPr>
          <w:rFonts w:hint="eastAsia" w:hAnsi="宋体"/>
          <w:sz w:val="24"/>
          <w:szCs w:val="24"/>
        </w:rPr>
        <w:t>日到第6</w:t>
      </w:r>
      <w:r>
        <w:rPr>
          <w:rFonts w:hAnsi="宋体"/>
          <w:sz w:val="24"/>
          <w:szCs w:val="24"/>
        </w:rPr>
        <w:t>0</w:t>
      </w:r>
      <w:r>
        <w:rPr>
          <w:rFonts w:hint="eastAsia" w:hAnsi="宋体"/>
          <w:sz w:val="24"/>
          <w:szCs w:val="24"/>
        </w:rPr>
        <w:t>日，每日迟延交付违约金为合同总价的3‰；</w:t>
      </w:r>
    </w:p>
    <w:p>
      <w:pPr>
        <w:pStyle w:val="18"/>
        <w:snapToGrid w:val="0"/>
        <w:spacing w:line="360" w:lineRule="auto"/>
        <w:ind w:firstLine="470" w:firstLineChars="196"/>
        <w:rPr>
          <w:rFonts w:hAnsi="宋体"/>
          <w:sz w:val="24"/>
          <w:szCs w:val="24"/>
        </w:rPr>
      </w:pPr>
      <w:r>
        <w:rPr>
          <w:rFonts w:hint="eastAsia" w:hAnsi="宋体"/>
          <w:sz w:val="24"/>
          <w:szCs w:val="24"/>
        </w:rPr>
        <w:t>（3）从迟交的第6</w:t>
      </w:r>
      <w:r>
        <w:rPr>
          <w:rFonts w:hAnsi="宋体"/>
          <w:sz w:val="24"/>
          <w:szCs w:val="24"/>
        </w:rPr>
        <w:t>1</w:t>
      </w:r>
      <w:r>
        <w:rPr>
          <w:rFonts w:hint="eastAsia" w:hAnsi="宋体"/>
          <w:sz w:val="24"/>
          <w:szCs w:val="24"/>
        </w:rPr>
        <w:t>日起，每日迟延交付违约金为合同总价的5‰。</w:t>
      </w:r>
    </w:p>
    <w:p>
      <w:pPr>
        <w:pStyle w:val="18"/>
        <w:snapToGrid w:val="0"/>
        <w:spacing w:line="360" w:lineRule="auto"/>
        <w:ind w:firstLine="470" w:firstLineChars="196"/>
        <w:rPr>
          <w:rFonts w:hAnsi="宋体"/>
          <w:sz w:val="24"/>
          <w:szCs w:val="24"/>
        </w:rPr>
      </w:pPr>
      <w:r>
        <w:rPr>
          <w:rFonts w:hint="eastAsia" w:hAnsi="宋体"/>
          <w:sz w:val="24"/>
          <w:szCs w:val="24"/>
        </w:rPr>
        <w:t>迟延交付违约金的总额不得超过合同总价的30%。迟延交付违约金的支付不能免除乙方继续完成相关合同约定的服务的义务，但如迟延交付必然导致验收等工作推迟的，相关工作应相应顺延。</w:t>
      </w:r>
    </w:p>
    <w:p>
      <w:pPr>
        <w:pStyle w:val="18"/>
        <w:snapToGrid w:val="0"/>
        <w:spacing w:line="360" w:lineRule="auto"/>
        <w:ind w:firstLine="470" w:firstLineChars="196"/>
        <w:rPr>
          <w:rFonts w:hAnsi="宋体"/>
          <w:sz w:val="24"/>
          <w:szCs w:val="24"/>
        </w:rPr>
      </w:pPr>
      <w:r>
        <w:rPr>
          <w:rFonts w:hAnsi="宋体"/>
          <w:sz w:val="24"/>
          <w:szCs w:val="24"/>
        </w:rPr>
        <w:t>4</w:t>
      </w:r>
      <w:r>
        <w:rPr>
          <w:rFonts w:hint="eastAsia" w:hAnsi="宋体"/>
          <w:sz w:val="24"/>
          <w:szCs w:val="24"/>
        </w:rPr>
        <w:t>.甲方未能按合同约定支付合同价款的，应向乙方支付延迟付款违约金。迟延付款违约金的计算方法如下：</w:t>
      </w:r>
    </w:p>
    <w:p>
      <w:pPr>
        <w:pStyle w:val="18"/>
        <w:snapToGrid w:val="0"/>
        <w:spacing w:line="360" w:lineRule="auto"/>
        <w:ind w:firstLine="470" w:firstLineChars="196"/>
        <w:rPr>
          <w:rFonts w:hAnsi="宋体"/>
          <w:sz w:val="24"/>
          <w:szCs w:val="24"/>
        </w:rPr>
      </w:pPr>
      <w:r>
        <w:rPr>
          <w:rFonts w:hint="eastAsia" w:hAnsi="宋体"/>
          <w:sz w:val="24"/>
          <w:szCs w:val="24"/>
        </w:rPr>
        <w:t>（1）从迟交的第1日到第3</w:t>
      </w:r>
      <w:r>
        <w:rPr>
          <w:rFonts w:hAnsi="宋体"/>
          <w:sz w:val="24"/>
          <w:szCs w:val="24"/>
        </w:rPr>
        <w:t>0</w:t>
      </w:r>
      <w:r>
        <w:rPr>
          <w:rFonts w:hint="eastAsia" w:hAnsi="宋体"/>
          <w:sz w:val="24"/>
          <w:szCs w:val="24"/>
        </w:rPr>
        <w:t>日，每日迟延付款违约金为迟延付款金额的1.5‰；</w:t>
      </w:r>
    </w:p>
    <w:p>
      <w:pPr>
        <w:pStyle w:val="18"/>
        <w:snapToGrid w:val="0"/>
        <w:spacing w:line="360" w:lineRule="auto"/>
        <w:ind w:firstLine="470" w:firstLineChars="196"/>
        <w:rPr>
          <w:rFonts w:hAnsi="宋体"/>
          <w:sz w:val="24"/>
          <w:szCs w:val="24"/>
        </w:rPr>
      </w:pPr>
      <w:r>
        <w:rPr>
          <w:rFonts w:hint="eastAsia" w:hAnsi="宋体"/>
          <w:sz w:val="24"/>
          <w:szCs w:val="24"/>
        </w:rPr>
        <w:t>（2）从迟交的第3</w:t>
      </w:r>
      <w:r>
        <w:rPr>
          <w:rFonts w:hAnsi="宋体"/>
          <w:sz w:val="24"/>
          <w:szCs w:val="24"/>
        </w:rPr>
        <w:t>1</w:t>
      </w:r>
      <w:r>
        <w:rPr>
          <w:rFonts w:hint="eastAsia" w:hAnsi="宋体"/>
          <w:sz w:val="24"/>
          <w:szCs w:val="24"/>
        </w:rPr>
        <w:t>日到第6</w:t>
      </w:r>
      <w:r>
        <w:rPr>
          <w:rFonts w:hAnsi="宋体"/>
          <w:sz w:val="24"/>
          <w:szCs w:val="24"/>
        </w:rPr>
        <w:t>0</w:t>
      </w:r>
      <w:r>
        <w:rPr>
          <w:rFonts w:hint="eastAsia" w:hAnsi="宋体"/>
          <w:sz w:val="24"/>
          <w:szCs w:val="24"/>
        </w:rPr>
        <w:t>日，每日迟延付款违约金为迟延付款金额的3‰；</w:t>
      </w:r>
    </w:p>
    <w:p>
      <w:pPr>
        <w:pStyle w:val="18"/>
        <w:snapToGrid w:val="0"/>
        <w:spacing w:line="360" w:lineRule="auto"/>
        <w:ind w:firstLine="470" w:firstLineChars="196"/>
        <w:rPr>
          <w:rFonts w:hAnsi="宋体"/>
          <w:sz w:val="24"/>
          <w:szCs w:val="24"/>
        </w:rPr>
      </w:pPr>
      <w:r>
        <w:rPr>
          <w:rFonts w:hint="eastAsia" w:hAnsi="宋体"/>
          <w:sz w:val="24"/>
          <w:szCs w:val="24"/>
        </w:rPr>
        <w:t>（3）从迟交的第6</w:t>
      </w:r>
      <w:r>
        <w:rPr>
          <w:rFonts w:hAnsi="宋体"/>
          <w:sz w:val="24"/>
          <w:szCs w:val="24"/>
        </w:rPr>
        <w:t>1</w:t>
      </w:r>
      <w:r>
        <w:rPr>
          <w:rFonts w:hint="eastAsia" w:hAnsi="宋体"/>
          <w:sz w:val="24"/>
          <w:szCs w:val="24"/>
        </w:rPr>
        <w:t>日起，每日迟延付款违约金为迟延付款金额的5‰。</w:t>
      </w:r>
    </w:p>
    <w:p>
      <w:pPr>
        <w:pStyle w:val="18"/>
        <w:snapToGrid w:val="0"/>
        <w:spacing w:line="360" w:lineRule="auto"/>
        <w:ind w:firstLine="470" w:firstLineChars="196"/>
        <w:rPr>
          <w:rFonts w:hAnsi="宋体"/>
          <w:sz w:val="24"/>
          <w:szCs w:val="24"/>
        </w:rPr>
      </w:pPr>
      <w:r>
        <w:rPr>
          <w:rFonts w:hint="eastAsia" w:hAnsi="宋体"/>
          <w:sz w:val="24"/>
          <w:szCs w:val="24"/>
        </w:rPr>
        <w:t>迟延付款违约金的总额不得超过迟延付款金额的30% 。</w:t>
      </w:r>
    </w:p>
    <w:p>
      <w:pPr>
        <w:pStyle w:val="18"/>
        <w:snapToGrid w:val="0"/>
        <w:spacing w:line="360" w:lineRule="auto"/>
        <w:ind w:firstLine="470" w:firstLineChars="196"/>
        <w:rPr>
          <w:rFonts w:hAnsi="宋体"/>
          <w:sz w:val="24"/>
          <w:szCs w:val="24"/>
        </w:rPr>
      </w:pPr>
      <w:r>
        <w:rPr>
          <w:rFonts w:hAnsi="宋体"/>
          <w:sz w:val="24"/>
          <w:szCs w:val="24"/>
        </w:rPr>
        <w:t>5</w:t>
      </w:r>
      <w:r>
        <w:rPr>
          <w:rFonts w:hint="eastAsia" w:hAnsi="宋体"/>
          <w:sz w:val="24"/>
          <w:szCs w:val="24"/>
        </w:rPr>
        <w:t>.乙方未按本合同和投标文件承诺提供售后服务的，乙方应按本合同总价的</w:t>
      </w:r>
      <w:r>
        <w:rPr>
          <w:rFonts w:hAnsi="宋体"/>
          <w:sz w:val="24"/>
          <w:szCs w:val="24"/>
        </w:rPr>
        <w:t>5</w:t>
      </w:r>
      <w:r>
        <w:rPr>
          <w:rFonts w:hint="eastAsia" w:hAnsi="宋体"/>
          <w:sz w:val="24"/>
          <w:szCs w:val="24"/>
        </w:rPr>
        <w:t>%向甲方支付违约金。</w:t>
      </w:r>
    </w:p>
    <w:p>
      <w:pPr>
        <w:pStyle w:val="18"/>
        <w:snapToGrid w:val="0"/>
        <w:spacing w:line="360" w:lineRule="auto"/>
        <w:ind w:firstLine="470" w:firstLineChars="196"/>
        <w:rPr>
          <w:rFonts w:hAnsi="宋体"/>
          <w:sz w:val="24"/>
          <w:szCs w:val="24"/>
        </w:rPr>
      </w:pPr>
      <w:r>
        <w:rPr>
          <w:rFonts w:hAnsi="宋体"/>
          <w:sz w:val="24"/>
          <w:szCs w:val="24"/>
        </w:rPr>
        <w:t>6</w:t>
      </w:r>
      <w:r>
        <w:rPr>
          <w:rFonts w:hint="eastAsia" w:hAnsi="宋体"/>
          <w:sz w:val="24"/>
          <w:szCs w:val="24"/>
        </w:rPr>
        <w:t>.</w:t>
      </w:r>
      <w:r>
        <w:rPr>
          <w:rFonts w:hint="eastAsia" w:hAnsi="宋体"/>
          <w:sz w:val="24"/>
        </w:rPr>
        <w:t>乙方违约，甲方对本合同享有单方解除权。</w:t>
      </w:r>
    </w:p>
    <w:p>
      <w:pPr>
        <w:pStyle w:val="18"/>
        <w:snapToGrid w:val="0"/>
        <w:spacing w:line="360" w:lineRule="auto"/>
        <w:ind w:firstLine="470" w:firstLineChars="196"/>
        <w:rPr>
          <w:rFonts w:hAnsi="宋体"/>
          <w:sz w:val="24"/>
          <w:szCs w:val="24"/>
        </w:rPr>
      </w:pPr>
      <w:r>
        <w:rPr>
          <w:rFonts w:hAnsi="宋体"/>
          <w:sz w:val="24"/>
        </w:rPr>
        <w:t>7</w:t>
      </w:r>
      <w:r>
        <w:rPr>
          <w:rFonts w:hint="eastAsia" w:hAnsi="宋体"/>
          <w:sz w:val="24"/>
        </w:rPr>
        <w:t>.</w:t>
      </w:r>
      <w:r>
        <w:rPr>
          <w:rFonts w:hint="eastAsia" w:hAnsi="宋体"/>
          <w:sz w:val="24"/>
          <w:szCs w:val="24"/>
        </w:rPr>
        <w:t>因某一方原因导致变更、中止或者终止本合同的，该方应当对另一方受到的损失予以赔偿或者补偿。</w:t>
      </w:r>
    </w:p>
    <w:p>
      <w:pPr>
        <w:pStyle w:val="18"/>
        <w:snapToGrid w:val="0"/>
        <w:spacing w:line="360" w:lineRule="auto"/>
        <w:ind w:firstLine="470" w:firstLineChars="196"/>
        <w:rPr>
          <w:rFonts w:hAnsi="宋体" w:cs="宋体"/>
          <w:sz w:val="24"/>
          <w:szCs w:val="24"/>
        </w:rPr>
      </w:pPr>
      <w:r>
        <w:rPr>
          <w:rFonts w:hAnsi="宋体" w:cs="宋体"/>
          <w:sz w:val="24"/>
          <w:szCs w:val="24"/>
        </w:rPr>
        <w:t>8</w:t>
      </w:r>
      <w:r>
        <w:rPr>
          <w:rFonts w:hint="eastAsia" w:hAnsi="宋体" w:cs="宋体"/>
          <w:sz w:val="24"/>
          <w:szCs w:val="24"/>
        </w:rPr>
        <w:t>.乙方提供的服务在质量保证期内造成质量问题的，由乙方负责，费用从余款或者履约保证金中扣除，不足另补。</w:t>
      </w:r>
    </w:p>
    <w:p>
      <w:pPr>
        <w:pStyle w:val="18"/>
        <w:snapToGrid w:val="0"/>
        <w:spacing w:line="360" w:lineRule="auto"/>
        <w:ind w:firstLine="470" w:firstLineChars="196"/>
        <w:rPr>
          <w:rFonts w:hAnsi="宋体"/>
          <w:sz w:val="24"/>
        </w:rPr>
      </w:pPr>
      <w:r>
        <w:rPr>
          <w:rFonts w:hAnsi="宋体"/>
          <w:sz w:val="24"/>
        </w:rPr>
        <w:t>9</w:t>
      </w:r>
      <w:r>
        <w:rPr>
          <w:rFonts w:hint="eastAsia" w:hAnsi="宋体"/>
          <w:sz w:val="24"/>
        </w:rPr>
        <w:t>.甲乙双方有其他违约行为的，由违约方向对方支付违约货款额的5%，违约货款额的5%不足以赔偿经济损失的，须按实际损失作出赔偿。若双方通过诉讼解决合同纠纷，败诉方还应承担胜诉方在诉讼期间支出的相关费用（包括但不限于诉讼费、律师费、诉讼期间差旅费、鉴定费、执行费、保全费、保全保险费等）。</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.其他违约责任按《中华人民共和国民法典》处理。</w:t>
      </w:r>
    </w:p>
    <w:p>
      <w:pPr>
        <w:spacing w:line="360" w:lineRule="auto"/>
        <w:ind w:firstLine="482" w:firstLineChars="200"/>
        <w:rPr>
          <w:rFonts w:ascii="宋体" w:hAnsi="宋体"/>
          <w:b/>
          <w:sz w:val="24"/>
        </w:rPr>
      </w:pPr>
      <w:r>
        <w:rPr>
          <w:rFonts w:hint="eastAsia" w:ascii="宋体" w:hAnsi="宋体"/>
          <w:b/>
          <w:sz w:val="24"/>
        </w:rPr>
        <w:t>第十条  不可抗力事件处理</w:t>
      </w:r>
    </w:p>
    <w:p>
      <w:pPr>
        <w:spacing w:line="360" w:lineRule="auto"/>
        <w:ind w:firstLine="480" w:firstLineChars="200"/>
        <w:rPr>
          <w:rFonts w:ascii="宋体" w:hAnsi="宋体"/>
          <w:b/>
          <w:sz w:val="24"/>
        </w:rPr>
      </w:pPr>
      <w:r>
        <w:rPr>
          <w:rFonts w:hint="eastAsia" w:ascii="宋体" w:hAnsi="宋体" w:cs="宋体"/>
          <w:kern w:val="0"/>
          <w:sz w:val="24"/>
        </w:rPr>
        <w:t>1.在合同有效期内，任何一方因不可抗力事件导致不能履行合同，则合同履行期可延长，其延长期与不可抗力影响期相同。</w:t>
      </w:r>
    </w:p>
    <w:p>
      <w:pPr>
        <w:spacing w:line="360" w:lineRule="auto"/>
        <w:ind w:firstLine="480" w:firstLineChars="200"/>
        <w:rPr>
          <w:rFonts w:ascii="宋体" w:hAnsi="宋体"/>
          <w:sz w:val="24"/>
        </w:rPr>
      </w:pPr>
      <w:r>
        <w:rPr>
          <w:rFonts w:hint="eastAsia" w:ascii="宋体" w:hAnsi="宋体"/>
          <w:sz w:val="24"/>
        </w:rPr>
        <w:t>2.不可抗力事件发生后，应立即通知对方，并寄送有关权威机构出具的证明。</w:t>
      </w:r>
    </w:p>
    <w:p>
      <w:pPr>
        <w:spacing w:line="360" w:lineRule="auto"/>
        <w:ind w:firstLine="480" w:firstLineChars="200"/>
        <w:rPr>
          <w:rFonts w:ascii="宋体" w:hAnsi="宋体"/>
          <w:sz w:val="24"/>
        </w:rPr>
      </w:pPr>
      <w:r>
        <w:rPr>
          <w:rFonts w:hint="eastAsia" w:ascii="宋体" w:hAnsi="宋体"/>
          <w:sz w:val="24"/>
        </w:rPr>
        <w:t>3.不可抗力事件延续</w:t>
      </w:r>
      <w:r>
        <w:rPr>
          <w:rFonts w:ascii="宋体" w:hAnsi="宋体"/>
          <w:sz w:val="24"/>
        </w:rPr>
        <w:t>60</w:t>
      </w:r>
      <w:r>
        <w:rPr>
          <w:rFonts w:hint="eastAsia" w:ascii="宋体" w:hAnsi="宋体"/>
          <w:sz w:val="24"/>
        </w:rPr>
        <w:t>天以上，双方应通过友好协商，确定是否继续履行合同。</w:t>
      </w:r>
    </w:p>
    <w:p>
      <w:pPr>
        <w:spacing w:line="360" w:lineRule="auto"/>
        <w:ind w:firstLine="482" w:firstLineChars="200"/>
        <w:rPr>
          <w:rFonts w:ascii="宋体" w:hAnsi="宋体"/>
          <w:sz w:val="24"/>
        </w:rPr>
      </w:pPr>
      <w:r>
        <w:rPr>
          <w:rFonts w:hint="eastAsia" w:ascii="宋体" w:hAnsi="宋体"/>
          <w:b/>
          <w:sz w:val="24"/>
        </w:rPr>
        <w:t>第十一条  合同争议解决</w:t>
      </w:r>
    </w:p>
    <w:p>
      <w:pPr>
        <w:spacing w:line="360" w:lineRule="auto"/>
        <w:ind w:firstLine="480" w:firstLineChars="200"/>
        <w:rPr>
          <w:rFonts w:ascii="宋体" w:hAnsi="宋体"/>
          <w:sz w:val="24"/>
        </w:rPr>
      </w:pPr>
      <w:r>
        <w:rPr>
          <w:rFonts w:hint="eastAsia" w:ascii="宋体" w:hAnsi="宋体"/>
          <w:sz w:val="24"/>
        </w:rPr>
        <w:t>1.因服务质量问题发生争议的，应邀请国家认可的质量检测机构进行鉴定。服务符合标准的，鉴定费由甲方承担；服务不符合标准的，鉴定费由乙方承担。</w:t>
      </w:r>
    </w:p>
    <w:p>
      <w:pPr>
        <w:spacing w:line="360" w:lineRule="auto"/>
        <w:ind w:firstLine="480" w:firstLineChars="200"/>
        <w:rPr>
          <w:rFonts w:ascii="宋体" w:hAnsi="宋体"/>
          <w:sz w:val="24"/>
        </w:rPr>
      </w:pPr>
      <w:r>
        <w:rPr>
          <w:rFonts w:hint="eastAsia" w:ascii="宋体" w:hAnsi="宋体"/>
          <w:sz w:val="24"/>
        </w:rPr>
        <w:t>2.因履行本合同引起的或者与本合同有关的争议，甲乙双方应首先通过友好协商解决，如果协商不能解决，任何一方可向甲方所在地有管辖权的人民法院提起诉讼。</w:t>
      </w:r>
    </w:p>
    <w:p>
      <w:pPr>
        <w:spacing w:line="360" w:lineRule="auto"/>
        <w:ind w:firstLine="480" w:firstLineChars="200"/>
        <w:rPr>
          <w:rFonts w:ascii="宋体" w:hAnsi="宋体"/>
          <w:sz w:val="24"/>
        </w:rPr>
      </w:pPr>
      <w:r>
        <w:rPr>
          <w:rFonts w:hint="eastAsia" w:ascii="宋体" w:hAnsi="宋体"/>
          <w:sz w:val="24"/>
        </w:rPr>
        <w:t>3.诉讼期间，本合同无争议部分须继续履行。</w:t>
      </w:r>
    </w:p>
    <w:p>
      <w:pPr>
        <w:spacing w:line="360" w:lineRule="auto"/>
        <w:ind w:firstLine="482" w:firstLineChars="200"/>
        <w:rPr>
          <w:rFonts w:ascii="宋体" w:hAnsi="宋体"/>
          <w:b/>
          <w:sz w:val="24"/>
        </w:rPr>
      </w:pPr>
      <w:r>
        <w:rPr>
          <w:rFonts w:hint="eastAsia" w:ascii="宋体" w:hAnsi="宋体"/>
          <w:b/>
          <w:sz w:val="24"/>
        </w:rPr>
        <w:t>第十二条  合同生效及其他</w:t>
      </w:r>
    </w:p>
    <w:p>
      <w:pPr>
        <w:spacing w:line="360" w:lineRule="auto"/>
        <w:ind w:firstLine="480" w:firstLineChars="200"/>
        <w:rPr>
          <w:rFonts w:ascii="宋体" w:hAnsi="宋体"/>
          <w:sz w:val="24"/>
        </w:rPr>
      </w:pPr>
      <w:r>
        <w:rPr>
          <w:rFonts w:hint="eastAsia" w:ascii="宋体" w:hAnsi="宋体"/>
          <w:sz w:val="24"/>
        </w:rPr>
        <w:t>1.合同自双方法定代表人或者授权代表签字并加盖单位公章或合同专用章之日起生效（委托代理人签字的须后附授权委托书，格式自拟）。</w:t>
      </w:r>
    </w:p>
    <w:p>
      <w:pPr>
        <w:pStyle w:val="18"/>
        <w:snapToGrid w:val="0"/>
        <w:spacing w:line="460" w:lineRule="exact"/>
        <w:ind w:firstLine="480" w:firstLineChars="200"/>
        <w:rPr>
          <w:rFonts w:hAnsi="宋体" w:cs="宋体"/>
          <w:kern w:val="2"/>
          <w:sz w:val="24"/>
          <w:szCs w:val="24"/>
        </w:rPr>
      </w:pPr>
      <w:r>
        <w:rPr>
          <w:rFonts w:hint="eastAsia" w:hAnsi="宋体" w:cs="宋体"/>
          <w:kern w:val="2"/>
          <w:sz w:val="24"/>
          <w:szCs w:val="24"/>
        </w:rPr>
        <w:t>2.本合同未尽事宜，遵照《中华人民共和国民法典》有关条文执行。</w:t>
      </w:r>
    </w:p>
    <w:p>
      <w:pPr>
        <w:pStyle w:val="18"/>
        <w:snapToGrid w:val="0"/>
        <w:spacing w:line="460" w:lineRule="exact"/>
        <w:ind w:firstLine="480" w:firstLineChars="200"/>
        <w:rPr>
          <w:rFonts w:hAnsi="宋体" w:cs="宋体"/>
          <w:sz w:val="24"/>
          <w:szCs w:val="24"/>
          <w:lang w:val="zh-CN"/>
        </w:rPr>
      </w:pPr>
      <w:r>
        <w:rPr>
          <w:rFonts w:hint="eastAsia" w:hAnsi="宋体" w:cs="宋体"/>
          <w:kern w:val="2"/>
          <w:sz w:val="24"/>
          <w:szCs w:val="24"/>
        </w:rPr>
        <w:t>3</w:t>
      </w:r>
      <w:r>
        <w:rPr>
          <w:rFonts w:hAnsi="宋体" w:cs="宋体"/>
          <w:kern w:val="2"/>
          <w:sz w:val="24"/>
          <w:szCs w:val="24"/>
        </w:rPr>
        <w:t>.</w:t>
      </w:r>
      <w:r>
        <w:rPr>
          <w:rFonts w:hint="eastAsia" w:hAnsi="宋体" w:cs="宋体"/>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pPr>
        <w:spacing w:line="360" w:lineRule="auto"/>
        <w:ind w:firstLine="482" w:firstLineChars="200"/>
        <w:rPr>
          <w:rFonts w:ascii="宋体" w:hAnsi="宋体"/>
          <w:b/>
          <w:sz w:val="24"/>
        </w:rPr>
      </w:pPr>
      <w:r>
        <w:rPr>
          <w:rFonts w:hint="eastAsia" w:ascii="宋体" w:hAnsi="宋体"/>
          <w:b/>
          <w:sz w:val="24"/>
        </w:rPr>
        <w:t>第十三条 合同的变更、终止与转让</w:t>
      </w:r>
    </w:p>
    <w:p>
      <w:pPr>
        <w:spacing w:line="360" w:lineRule="auto"/>
        <w:ind w:firstLine="480" w:firstLineChars="200"/>
        <w:rPr>
          <w:rFonts w:ascii="宋体" w:hAnsi="宋体"/>
          <w:sz w:val="24"/>
        </w:rPr>
      </w:pPr>
      <w:r>
        <w:rPr>
          <w:rFonts w:hint="eastAsia" w:ascii="宋体" w:hAnsi="宋体"/>
          <w:sz w:val="24"/>
        </w:rPr>
        <w:t>1.除《中华人民共和国政府采购法》第五十条规定的情形外，本合同一经签订，甲乙双方不得擅自变更、中止或者终止。</w:t>
      </w:r>
    </w:p>
    <w:p>
      <w:pPr>
        <w:spacing w:line="360" w:lineRule="auto"/>
        <w:ind w:firstLine="480" w:firstLineChars="200"/>
        <w:rPr>
          <w:rFonts w:ascii="宋体" w:hAnsi="宋体"/>
          <w:sz w:val="24"/>
        </w:rPr>
      </w:pPr>
      <w:r>
        <w:rPr>
          <w:rFonts w:hint="eastAsia" w:ascii="宋体" w:hAnsi="宋体"/>
          <w:sz w:val="24"/>
        </w:rPr>
        <w:t>2.乙方不得擅自转让其应履行的合同义务。</w:t>
      </w:r>
    </w:p>
    <w:p>
      <w:pPr>
        <w:spacing w:line="360" w:lineRule="auto"/>
        <w:ind w:firstLine="482" w:firstLineChars="200"/>
        <w:rPr>
          <w:rFonts w:ascii="宋体" w:hAnsi="宋体"/>
          <w:b/>
          <w:sz w:val="24"/>
        </w:rPr>
      </w:pPr>
      <w:r>
        <w:rPr>
          <w:rFonts w:hint="eastAsia" w:ascii="宋体" w:hAnsi="宋体"/>
          <w:b/>
          <w:sz w:val="24"/>
        </w:rPr>
        <w:t>第十四条 签订本合同依据</w:t>
      </w:r>
    </w:p>
    <w:p>
      <w:pPr>
        <w:spacing w:line="360" w:lineRule="auto"/>
        <w:ind w:firstLine="480" w:firstLineChars="200"/>
        <w:rPr>
          <w:rFonts w:ascii="宋体" w:hAnsi="宋体"/>
          <w:sz w:val="24"/>
        </w:rPr>
      </w:pPr>
      <w:r>
        <w:rPr>
          <w:rFonts w:hint="eastAsia" w:ascii="宋体" w:hAnsi="宋体"/>
          <w:sz w:val="24"/>
        </w:rPr>
        <w:t>1.中标通知书</w:t>
      </w:r>
    </w:p>
    <w:p>
      <w:pPr>
        <w:spacing w:line="360" w:lineRule="auto"/>
        <w:ind w:firstLine="480" w:firstLineChars="200"/>
        <w:rPr>
          <w:rFonts w:ascii="宋体" w:hAnsi="宋体"/>
          <w:sz w:val="24"/>
        </w:rPr>
      </w:pPr>
      <w:r>
        <w:rPr>
          <w:rFonts w:hint="eastAsia" w:ascii="宋体" w:hAnsi="宋体"/>
          <w:sz w:val="24"/>
        </w:rPr>
        <w:t>2.采购需求</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.竞争性磋商报价表</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.商务要求偏离表和服务需求偏离表</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.服务方案</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.响应文件中的其他相关文件</w:t>
      </w:r>
    </w:p>
    <w:p>
      <w:pPr>
        <w:spacing w:line="360" w:lineRule="auto"/>
        <w:ind w:firstLine="480" w:firstLineChars="200"/>
        <w:rPr>
          <w:rFonts w:ascii="宋体" w:hAnsi="宋体"/>
          <w:sz w:val="24"/>
        </w:rPr>
      </w:pPr>
      <w:r>
        <w:rPr>
          <w:rFonts w:hint="eastAsia" w:ascii="宋体" w:hAnsi="宋体"/>
          <w:sz w:val="24"/>
        </w:rPr>
        <w:t>上述合同文件互相补充和解释。如果合同文件之间存在矛盾或者不一致之处，以上述文件的排列顺序在先者为准。</w:t>
      </w:r>
    </w:p>
    <w:p>
      <w:pPr>
        <w:spacing w:line="360" w:lineRule="auto"/>
        <w:ind w:firstLine="482" w:firstLineChars="200"/>
        <w:rPr>
          <w:rFonts w:ascii="宋体" w:hAnsi="宋体"/>
          <w:sz w:val="24"/>
        </w:rPr>
      </w:pPr>
      <w:r>
        <w:rPr>
          <w:rFonts w:hint="eastAsia" w:ascii="宋体" w:hAnsi="宋体"/>
          <w:b/>
          <w:sz w:val="24"/>
        </w:rPr>
        <w:t xml:space="preserve">第十五条 </w:t>
      </w:r>
      <w:r>
        <w:rPr>
          <w:rFonts w:hint="eastAsia" w:ascii="宋体" w:hAnsi="宋体"/>
          <w:sz w:val="24"/>
        </w:rPr>
        <w:t>本合同一式柒份，具有同等法律效力，甲方伍份，乙方壹份，采购代理机构壹份。</w:t>
      </w:r>
    </w:p>
    <w:p>
      <w:pPr>
        <w:spacing w:line="460" w:lineRule="exact"/>
        <w:ind w:firstLine="480" w:firstLineChars="200"/>
        <w:rPr>
          <w:rFonts w:ascii="宋体" w:hAnsi="宋体" w:cs="宋体"/>
          <w:sz w:val="24"/>
        </w:rPr>
      </w:pPr>
      <w:r>
        <w:rPr>
          <w:rFonts w:hint="eastAsia" w:ascii="宋体" w:hAnsi="宋体" w:cs="宋体"/>
          <w:sz w:val="24"/>
        </w:rPr>
        <w:t>以下无正文。</w:t>
      </w:r>
    </w:p>
    <w:p>
      <w:pPr>
        <w:pStyle w:val="14"/>
      </w:pP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甲方：</w:t>
            </w:r>
            <w:bookmarkStart w:id="149" w:name="OLE_LINK1"/>
            <w:r>
              <w:rPr>
                <w:rFonts w:hint="eastAsia" w:ascii="宋体" w:hAnsi="宋体" w:cs="宋体"/>
                <w:kern w:val="0"/>
                <w:sz w:val="24"/>
              </w:rPr>
              <w:t>（盖章）</w:t>
            </w:r>
            <w:bookmarkEnd w:id="149"/>
          </w:p>
          <w:p>
            <w:pPr>
              <w:snapToGrid w:val="0"/>
              <w:spacing w:line="360" w:lineRule="auto"/>
              <w:rPr>
                <w:rFonts w:ascii="宋体" w:hAnsi="宋体" w:cs="宋体"/>
                <w:kern w:val="0"/>
                <w:sz w:val="24"/>
              </w:rPr>
            </w:pPr>
            <w:r>
              <w:rPr>
                <w:rFonts w:hint="eastAsia" w:ascii="宋体" w:hAnsi="宋体" w:cs="宋体"/>
                <w:kern w:val="0"/>
                <w:sz w:val="24"/>
              </w:rPr>
              <w:t>广西大学</w:t>
            </w:r>
          </w:p>
          <w:p>
            <w:pPr>
              <w:snapToGrid w:val="0"/>
              <w:spacing w:line="360" w:lineRule="auto"/>
              <w:ind w:firstLine="1080" w:firstLineChars="450"/>
              <w:jc w:val="right"/>
              <w:rPr>
                <w:rFonts w:ascii="宋体" w:hAnsi="宋体" w:cs="宋体"/>
                <w:kern w:val="0"/>
                <w:sz w:val="24"/>
              </w:rPr>
            </w:pPr>
            <w:r>
              <w:rPr>
                <w:rFonts w:hint="eastAsia" w:ascii="宋体" w:hAnsi="宋体" w:cs="宋体"/>
                <w:kern w:val="0"/>
                <w:sz w:val="24"/>
              </w:rPr>
              <w:t xml:space="preserve"> 年   月   日</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 xml:space="preserve">乙方：   （盖章）              </w:t>
            </w:r>
          </w:p>
          <w:p>
            <w:pPr>
              <w:snapToGrid w:val="0"/>
              <w:spacing w:line="360" w:lineRule="auto"/>
              <w:rPr>
                <w:rFonts w:ascii="宋体" w:hAnsi="宋体" w:cs="宋体"/>
                <w:kern w:val="0"/>
                <w:sz w:val="24"/>
              </w:rPr>
            </w:pPr>
          </w:p>
          <w:p>
            <w:pPr>
              <w:snapToGrid w:val="0"/>
              <w:spacing w:line="360" w:lineRule="auto"/>
              <w:jc w:val="right"/>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单位地址：广西壮族自治区南宁市大学东路100号</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法定代表人（签字）：</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委托代理人（签字）：</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电话：0771-32*****</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邮箱：</w:t>
            </w:r>
            <w:r>
              <w:rPr>
                <w:rFonts w:ascii="宋体" w:hAnsi="宋体" w:cs="宋体"/>
                <w:kern w:val="0"/>
                <w:sz w:val="24"/>
              </w:rPr>
              <w:t>gxdxsbk@163.com</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cs="宋体"/>
                <w:kern w:val="0"/>
                <w:sz w:val="24"/>
              </w:rPr>
              <w:t xml:space="preserve">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开户银行：中国银行广西南宁市西大支行</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账号：618 457 484 938</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邮政编码：530004</w:t>
            </w:r>
          </w:p>
        </w:tc>
        <w:tc>
          <w:tcPr>
            <w:tcW w:w="45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 xml:space="preserve">邮政编码： </w:t>
            </w:r>
          </w:p>
        </w:tc>
      </w:tr>
    </w:tbl>
    <w:p>
      <w:pPr>
        <w:jc w:val="center"/>
        <w:rPr>
          <w:rFonts w:ascii="宋体" w:hAnsi="宋体" w:cs="@方正仿宋简体"/>
          <w:b/>
          <w:bCs/>
          <w:kern w:val="0"/>
          <w:sz w:val="32"/>
          <w:szCs w:val="32"/>
        </w:rPr>
      </w:pPr>
    </w:p>
    <w:p>
      <w:pPr>
        <w:jc w:val="center"/>
        <w:rPr>
          <w:rFonts w:ascii="宋体" w:hAnsi="宋体" w:cs="@方正仿宋简体"/>
          <w:b/>
          <w:bCs/>
          <w:kern w:val="0"/>
          <w:sz w:val="32"/>
          <w:szCs w:val="32"/>
        </w:rPr>
      </w:pPr>
    </w:p>
    <w:p>
      <w:pPr>
        <w:pStyle w:val="14"/>
      </w:pPr>
    </w:p>
    <w:p>
      <w:pPr>
        <w:pStyle w:val="15"/>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5"/>
      </w:pPr>
    </w:p>
    <w:p/>
    <w:p>
      <w:pPr>
        <w:pStyle w:val="14"/>
      </w:pPr>
    </w:p>
    <w:p>
      <w:pPr>
        <w:pStyle w:val="14"/>
      </w:pPr>
    </w:p>
    <w:p>
      <w:pPr>
        <w:jc w:val="center"/>
        <w:rPr>
          <w:rFonts w:ascii="宋体" w:hAnsi="宋体"/>
          <w:sz w:val="32"/>
          <w:szCs w:val="32"/>
        </w:rPr>
      </w:pPr>
      <w:r>
        <w:rPr>
          <w:rFonts w:hint="eastAsia" w:ascii="宋体" w:hAnsi="宋体" w:cs="@方正仿宋简体"/>
          <w:b/>
          <w:bCs/>
          <w:kern w:val="0"/>
          <w:sz w:val="32"/>
          <w:szCs w:val="32"/>
        </w:rPr>
        <w:t>广西大学政府采购项目履约保证金退付意见书</w:t>
      </w:r>
    </w:p>
    <w:tbl>
      <w:tblPr>
        <w:tblStyle w:val="29"/>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Merge w:val="restart"/>
            <w:vAlign w:val="center"/>
          </w:tcPr>
          <w:p>
            <w:pPr>
              <w:jc w:val="center"/>
              <w:rPr>
                <w:rFonts w:ascii="宋体" w:hAnsi="宋体"/>
                <w:sz w:val="24"/>
              </w:rPr>
            </w:pPr>
            <w:r>
              <w:rPr>
                <w:rFonts w:hint="eastAsia" w:ascii="宋体" w:hAnsi="宋体"/>
                <w:sz w:val="24"/>
              </w:rPr>
              <w:t>供</w:t>
            </w:r>
          </w:p>
          <w:p>
            <w:pPr>
              <w:jc w:val="center"/>
              <w:rPr>
                <w:rFonts w:ascii="宋体" w:hAnsi="宋体"/>
                <w:sz w:val="24"/>
              </w:rPr>
            </w:pPr>
            <w:r>
              <w:rPr>
                <w:rFonts w:hint="eastAsia" w:ascii="宋体" w:hAnsi="宋体"/>
                <w:sz w:val="24"/>
              </w:rPr>
              <w:t>应</w:t>
            </w:r>
          </w:p>
          <w:p>
            <w:pPr>
              <w:jc w:val="center"/>
              <w:rPr>
                <w:rFonts w:ascii="宋体" w:hAnsi="宋体"/>
                <w:sz w:val="24"/>
              </w:rPr>
            </w:pPr>
            <w:r>
              <w:rPr>
                <w:rFonts w:hint="eastAsia" w:ascii="宋体" w:hAnsi="宋体"/>
                <w:sz w:val="24"/>
              </w:rPr>
              <w:t>商</w:t>
            </w:r>
          </w:p>
          <w:p>
            <w:pPr>
              <w:jc w:val="center"/>
              <w:rPr>
                <w:rFonts w:ascii="宋体" w:hAnsi="宋体"/>
                <w:sz w:val="24"/>
              </w:rPr>
            </w:pPr>
            <w:r>
              <w:rPr>
                <w:rFonts w:hint="eastAsia" w:ascii="宋体" w:hAnsi="宋体"/>
                <w:sz w:val="24"/>
              </w:rPr>
              <w:t>申</w:t>
            </w:r>
          </w:p>
          <w:p>
            <w:pPr>
              <w:jc w:val="center"/>
              <w:rPr>
                <w:rFonts w:ascii="宋体" w:hAnsi="宋体"/>
                <w:sz w:val="24"/>
              </w:rPr>
            </w:pPr>
            <w:r>
              <w:rPr>
                <w:rFonts w:hint="eastAsia" w:ascii="宋体" w:hAnsi="宋体"/>
                <w:sz w:val="24"/>
              </w:rPr>
              <w:t>请</w:t>
            </w:r>
          </w:p>
        </w:tc>
        <w:tc>
          <w:tcPr>
            <w:tcW w:w="7462" w:type="dxa"/>
            <w:vAlign w:val="center"/>
          </w:tcPr>
          <w:p>
            <w:pPr>
              <w:rPr>
                <w:rFonts w:ascii="宋体" w:hAnsi="宋体"/>
                <w:sz w:val="24"/>
              </w:rPr>
            </w:pPr>
            <w:r>
              <w:rPr>
                <w:rFonts w:hint="eastAsia" w:ascii="宋体" w:hAnsi="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88" w:type="dxa"/>
            <w:vMerge w:val="continue"/>
          </w:tcPr>
          <w:p>
            <w:pPr>
              <w:rPr>
                <w:rFonts w:ascii="宋体" w:hAnsi="宋体"/>
                <w:sz w:val="24"/>
              </w:rPr>
            </w:pPr>
          </w:p>
        </w:tc>
        <w:tc>
          <w:tcPr>
            <w:tcW w:w="7462" w:type="dxa"/>
            <w:vAlign w:val="center"/>
          </w:tcPr>
          <w:p>
            <w:pPr>
              <w:rPr>
                <w:rFonts w:ascii="宋体" w:hAnsi="宋体"/>
                <w:sz w:val="24"/>
              </w:rPr>
            </w:pPr>
            <w:r>
              <w:rPr>
                <w:rFonts w:hint="eastAsia" w:ascii="宋体" w:hAnsi="宋体"/>
                <w:sz w:val="24"/>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1588" w:type="dxa"/>
            <w:vMerge w:val="continue"/>
          </w:tcPr>
          <w:p>
            <w:pPr>
              <w:rPr>
                <w:rFonts w:ascii="宋体" w:hAnsi="宋体"/>
                <w:sz w:val="24"/>
              </w:rPr>
            </w:pPr>
          </w:p>
        </w:tc>
        <w:tc>
          <w:tcPr>
            <w:tcW w:w="7462" w:type="dxa"/>
          </w:tcPr>
          <w:p>
            <w:pPr>
              <w:rPr>
                <w:rFonts w:ascii="宋体" w:hAnsi="宋体"/>
                <w:sz w:val="24"/>
              </w:rPr>
            </w:pPr>
          </w:p>
          <w:p>
            <w:pPr>
              <w:ind w:firstLine="600" w:firstLineChars="250"/>
              <w:rPr>
                <w:rFonts w:ascii="宋体" w:hAnsi="宋体"/>
                <w:sz w:val="24"/>
              </w:rPr>
            </w:pPr>
            <w:r>
              <w:rPr>
                <w:rFonts w:hint="eastAsia" w:ascii="宋体" w:hAnsi="宋体"/>
                <w:sz w:val="24"/>
              </w:rPr>
              <w:t>该项目已于</w:t>
            </w:r>
            <w:r>
              <w:rPr>
                <w:rFonts w:hint="eastAsia" w:ascii="宋体" w:hAnsi="宋体"/>
                <w:sz w:val="24"/>
                <w:u w:val="single"/>
              </w:rPr>
              <w:t xml:space="preserve">   年    月   日</w:t>
            </w:r>
            <w:r>
              <w:rPr>
                <w:rFonts w:hint="eastAsia" w:ascii="宋体" w:hAnsi="宋体"/>
                <w:sz w:val="24"/>
              </w:rPr>
              <w:t xml:space="preserve">按合同要求履约完成。根据合同规定，可将履约保证金（大写）人民币 </w:t>
            </w:r>
            <w:r>
              <w:rPr>
                <w:rFonts w:hint="eastAsia" w:ascii="宋体" w:hAnsi="宋体"/>
                <w:sz w:val="24"/>
                <w:u w:val="single"/>
              </w:rPr>
              <w:t xml:space="preserve">                 （小写）￥              </w:t>
            </w:r>
            <w:r>
              <w:rPr>
                <w:rFonts w:ascii="宋体" w:hAnsi="宋体"/>
                <w:sz w:val="24"/>
                <w:u w:val="single"/>
              </w:rPr>
              <w:t>.00</w:t>
            </w:r>
            <w:r>
              <w:rPr>
                <w:rFonts w:hint="eastAsia" w:ascii="宋体" w:hAnsi="宋体"/>
                <w:sz w:val="24"/>
              </w:rPr>
              <w:t>退付到达以下帐户：</w:t>
            </w:r>
          </w:p>
          <w:p>
            <w:pPr>
              <w:rPr>
                <w:rFonts w:ascii="宋体" w:hAnsi="宋体"/>
                <w:sz w:val="24"/>
              </w:rPr>
            </w:pPr>
          </w:p>
          <w:p>
            <w:pPr>
              <w:spacing w:line="420" w:lineRule="exact"/>
              <w:rPr>
                <w:rFonts w:ascii="宋体" w:hAnsi="宋体"/>
                <w:sz w:val="24"/>
              </w:rPr>
            </w:pPr>
            <w:r>
              <w:rPr>
                <w:rFonts w:hint="eastAsia" w:ascii="宋体" w:hAnsi="宋体"/>
                <w:sz w:val="24"/>
              </w:rPr>
              <w:t>单位名称：</w:t>
            </w:r>
          </w:p>
          <w:p>
            <w:pPr>
              <w:spacing w:line="420" w:lineRule="exact"/>
              <w:rPr>
                <w:rFonts w:ascii="宋体" w:hAnsi="宋体"/>
                <w:sz w:val="24"/>
              </w:rPr>
            </w:pPr>
            <w:r>
              <w:rPr>
                <w:rFonts w:hint="eastAsia" w:ascii="宋体" w:hAnsi="宋体"/>
                <w:sz w:val="24"/>
              </w:rPr>
              <w:t>开户银行：</w:t>
            </w:r>
          </w:p>
          <w:p>
            <w:pPr>
              <w:spacing w:line="420" w:lineRule="exact"/>
              <w:rPr>
                <w:rFonts w:ascii="宋体" w:hAnsi="宋体"/>
                <w:sz w:val="24"/>
              </w:rPr>
            </w:pPr>
            <w:r>
              <w:rPr>
                <w:rFonts w:hint="eastAsia" w:ascii="宋体" w:hAnsi="宋体"/>
                <w:sz w:val="24"/>
              </w:rPr>
              <w:t>银行帐号：</w:t>
            </w:r>
          </w:p>
          <w:p>
            <w:pPr>
              <w:rPr>
                <w:rFonts w:ascii="宋体" w:hAnsi="宋体"/>
                <w:sz w:val="24"/>
              </w:rPr>
            </w:pPr>
          </w:p>
          <w:p>
            <w:pPr>
              <w:spacing w:line="420" w:lineRule="exact"/>
              <w:rPr>
                <w:rFonts w:ascii="宋体" w:hAnsi="宋体"/>
                <w:sz w:val="24"/>
              </w:rPr>
            </w:pPr>
            <w:r>
              <w:rPr>
                <w:rFonts w:hint="eastAsia" w:ascii="宋体" w:hAnsi="宋体"/>
                <w:sz w:val="24"/>
              </w:rPr>
              <w:t>联系人：</w:t>
            </w:r>
          </w:p>
          <w:p>
            <w:pPr>
              <w:spacing w:line="420" w:lineRule="exact"/>
              <w:rPr>
                <w:rFonts w:ascii="宋体" w:hAnsi="宋体"/>
                <w:sz w:val="24"/>
              </w:rPr>
            </w:pPr>
            <w:r>
              <w:rPr>
                <w:rFonts w:hint="eastAsia" w:ascii="宋体" w:hAnsi="宋体"/>
                <w:sz w:val="24"/>
              </w:rPr>
              <w:t>联系电话：</w:t>
            </w:r>
          </w:p>
          <w:p>
            <w:pPr>
              <w:rPr>
                <w:rFonts w:ascii="宋体" w:hAnsi="宋体"/>
                <w:sz w:val="24"/>
              </w:rPr>
            </w:pPr>
          </w:p>
          <w:p>
            <w:pPr>
              <w:spacing w:line="420" w:lineRule="exact"/>
              <w:rPr>
                <w:rFonts w:ascii="宋体" w:hAnsi="宋体"/>
                <w:sz w:val="24"/>
              </w:rPr>
            </w:pPr>
            <w:r>
              <w:rPr>
                <w:rFonts w:hint="eastAsia" w:ascii="宋体" w:hAnsi="宋体"/>
                <w:sz w:val="24"/>
              </w:rPr>
              <w:t xml:space="preserve">                               供应商（签章）：</w:t>
            </w:r>
          </w:p>
          <w:p>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pPr>
              <w:jc w:val="center"/>
              <w:rPr>
                <w:rFonts w:ascii="宋体" w:hAnsi="宋体"/>
                <w:sz w:val="24"/>
              </w:rPr>
            </w:pPr>
            <w:r>
              <w:rPr>
                <w:rFonts w:hint="eastAsia" w:ascii="宋体" w:hAnsi="宋体"/>
                <w:sz w:val="24"/>
              </w:rPr>
              <w:t>使</w:t>
            </w:r>
          </w:p>
          <w:p>
            <w:pPr>
              <w:jc w:val="center"/>
              <w:rPr>
                <w:rFonts w:ascii="宋体" w:hAnsi="宋体"/>
                <w:sz w:val="24"/>
              </w:rPr>
            </w:pPr>
            <w:r>
              <w:rPr>
                <w:rFonts w:hint="eastAsia" w:ascii="宋体" w:hAnsi="宋体"/>
                <w:sz w:val="24"/>
              </w:rPr>
              <w:t>用</w:t>
            </w:r>
          </w:p>
          <w:p>
            <w:pPr>
              <w:jc w:val="center"/>
              <w:rPr>
                <w:rFonts w:ascii="宋体" w:hAnsi="宋体"/>
                <w:sz w:val="24"/>
              </w:rPr>
            </w:pPr>
            <w:r>
              <w:rPr>
                <w:rFonts w:hint="eastAsia" w:ascii="宋体" w:hAnsi="宋体"/>
                <w:sz w:val="24"/>
              </w:rPr>
              <w:t>单</w:t>
            </w:r>
          </w:p>
          <w:p>
            <w:pPr>
              <w:jc w:val="center"/>
              <w:rPr>
                <w:rFonts w:ascii="宋体" w:hAnsi="宋体"/>
                <w:sz w:val="24"/>
              </w:rPr>
            </w:pPr>
            <w:r>
              <w:rPr>
                <w:rFonts w:hint="eastAsia" w:ascii="宋体" w:hAnsi="宋体"/>
                <w:sz w:val="24"/>
              </w:rPr>
              <w:t>位</w:t>
            </w:r>
          </w:p>
          <w:p>
            <w:pPr>
              <w:jc w:val="center"/>
              <w:rPr>
                <w:rFonts w:ascii="宋体" w:hAnsi="宋体"/>
                <w:sz w:val="24"/>
              </w:rPr>
            </w:pPr>
            <w:r>
              <w:rPr>
                <w:rFonts w:hint="eastAsia" w:ascii="宋体" w:hAnsi="宋体"/>
                <w:sz w:val="24"/>
              </w:rPr>
              <w:t>意</w:t>
            </w:r>
          </w:p>
          <w:p>
            <w:pPr>
              <w:jc w:val="center"/>
              <w:rPr>
                <w:rFonts w:ascii="宋体" w:hAnsi="宋体"/>
                <w:sz w:val="24"/>
              </w:rPr>
            </w:pPr>
            <w:r>
              <w:rPr>
                <w:rFonts w:hint="eastAsia" w:ascii="宋体" w:hAnsi="宋体"/>
                <w:sz w:val="24"/>
              </w:rPr>
              <w:t>见</w:t>
            </w:r>
          </w:p>
        </w:tc>
        <w:tc>
          <w:tcPr>
            <w:tcW w:w="7462" w:type="dxa"/>
          </w:tcPr>
          <w:p>
            <w:pPr>
              <w:rPr>
                <w:rFonts w:ascii="宋体" w:hAnsi="宋体"/>
                <w:sz w:val="24"/>
              </w:rPr>
            </w:pPr>
            <w:r>
              <w:rPr>
                <w:rFonts w:hint="eastAsia" w:ascii="宋体" w:hAnsi="宋体"/>
                <w:sz w:val="24"/>
              </w:rPr>
              <w:t>（退付意见：是否同意退付履约保证金）</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项目负责人意见：</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联系人及电话：</w:t>
            </w:r>
          </w:p>
          <w:p>
            <w:pPr>
              <w:rPr>
                <w:rFonts w:ascii="宋体" w:hAnsi="宋体"/>
                <w:sz w:val="24"/>
              </w:rPr>
            </w:pPr>
          </w:p>
          <w:p>
            <w:pPr>
              <w:rPr>
                <w:rFonts w:ascii="宋体" w:hAnsi="宋体"/>
                <w:sz w:val="24"/>
              </w:rPr>
            </w:pPr>
            <w:r>
              <w:rPr>
                <w:rFonts w:hint="eastAsia" w:ascii="宋体" w:hAnsi="宋体"/>
                <w:sz w:val="24"/>
              </w:rPr>
              <w:t xml:space="preserve">                                单位（签章）：</w:t>
            </w:r>
          </w:p>
          <w:p>
            <w:pPr>
              <w:spacing w:line="42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588" w:type="dxa"/>
            <w:vAlign w:val="center"/>
          </w:tcPr>
          <w:p>
            <w:pPr>
              <w:jc w:val="center"/>
              <w:rPr>
                <w:rFonts w:ascii="宋体" w:hAnsi="宋体"/>
                <w:sz w:val="24"/>
              </w:rPr>
            </w:pPr>
            <w:r>
              <w:rPr>
                <w:rFonts w:hint="eastAsia" w:ascii="宋体" w:hAnsi="宋体"/>
                <w:sz w:val="24"/>
              </w:rPr>
              <w:t>国有资产与实验室管理处(招标与采购管理中心)意见</w:t>
            </w:r>
          </w:p>
        </w:tc>
        <w:tc>
          <w:tcPr>
            <w:tcW w:w="7462" w:type="dxa"/>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w:t>
            </w:r>
          </w:p>
          <w:p>
            <w:pPr>
              <w:rPr>
                <w:rFonts w:ascii="宋体" w:hAnsi="宋体"/>
                <w:sz w:val="24"/>
              </w:rPr>
            </w:pPr>
          </w:p>
          <w:p>
            <w:pPr>
              <w:ind w:firstLine="3840" w:firstLineChars="1600"/>
              <w:rPr>
                <w:rFonts w:ascii="宋体" w:hAnsi="宋体"/>
                <w:sz w:val="24"/>
              </w:rPr>
            </w:pPr>
            <w:r>
              <w:rPr>
                <w:rFonts w:hint="eastAsia" w:ascii="宋体" w:hAnsi="宋体"/>
                <w:sz w:val="24"/>
              </w:rPr>
              <w:t>单位（签章）：</w:t>
            </w:r>
          </w:p>
          <w:p>
            <w:pPr>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napToGrid w:val="0"/>
        <w:jc w:val="center"/>
        <w:rPr>
          <w:rFonts w:ascii="宋体" w:hAnsi="宋体" w:cs="宋体"/>
          <w:bCs/>
          <w:sz w:val="32"/>
          <w:szCs w:val="32"/>
        </w:rPr>
      </w:pPr>
    </w:p>
    <w:p>
      <w:pPr>
        <w:spacing w:line="460" w:lineRule="exact"/>
      </w:pPr>
    </w:p>
    <w:sectPr>
      <w:headerReference r:id="rId8" w:type="first"/>
      <w:footerReference r:id="rId10" w:type="first"/>
      <w:headerReference r:id="rId7" w:type="default"/>
      <w:footerReference r:id="rId9" w:type="default"/>
      <w:pgSz w:w="11906" w:h="16838"/>
      <w:pgMar w:top="1417" w:right="1417" w:bottom="1417" w:left="141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notosansmonocjksc">
    <w:altName w:val="微软雅黑"/>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简体">
    <w:altName w:val="@SimSun-ExtB"/>
    <w:panose1 w:val="00000000000000000000"/>
    <w:charset w:val="86"/>
    <w:family w:val="auto"/>
    <w:pitch w:val="default"/>
    <w:sig w:usb0="00000000" w:usb1="00000000" w:usb2="00000012"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BU+a0AAAAAMBAAAPAAAAAAAAAAEAIAAAACIAAABkcnMvZG93&#10;bnJldi54bWxQSwECFAAUAAAACACHTuJAFydTEAgCAAACBAAADgAAAAAAAAABACAAAAAfAQAAZHJz&#10;L2Uyb0RvYy54bWxQSwUGAAAAAAYABgBZAQAAmQU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1270" r="635" b="6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2"/>
                            <w:jc w:val="center"/>
                          </w:pPr>
                          <w:r>
                            <w:fldChar w:fldCharType="begin"/>
                          </w:r>
                          <w:r>
                            <w:instrText xml:space="preserve"> PAGE  \* MERGEFORMAT </w:instrText>
                          </w:r>
                          <w:r>
                            <w:fldChar w:fldCharType="separate"/>
                          </w:r>
                          <w:r>
                            <w:t>123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ORYcvMPAgAADwQAAA4AAAAAAAAAAQAgAAAA&#10;HwEAAGRycy9lMm9Eb2MueG1sUEsFBgAAAAAGAAYAWQEAAKA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123</w:t>
                    </w:r>
                    <w:r>
                      <w:fldChar w:fldCharType="end"/>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u01psPAgAADwQAAA4AAAAAAAAAAQAgAAAA&#10;HwEAAGRycy9lMm9Eb2MueG1sUEsFBgAAAAAGAAYAWQEAAKA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B1B90"/>
    <w:multiLevelType w:val="singleLevel"/>
    <w:tmpl w:val="EC7B1B90"/>
    <w:lvl w:ilvl="0" w:tentative="0">
      <w:start w:val="1"/>
      <w:numFmt w:val="decimal"/>
      <w:lvlText w:val="%1."/>
      <w:lvlJc w:val="left"/>
      <w:pPr>
        <w:tabs>
          <w:tab w:val="left" w:pos="312"/>
        </w:tabs>
      </w:pPr>
    </w:lvl>
  </w:abstractNum>
  <w:abstractNum w:abstractNumId="1">
    <w:nsid w:val="53A47D56"/>
    <w:multiLevelType w:val="multilevel"/>
    <w:tmpl w:val="53A47D5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kN2ViODExMTQ2NDBiYjcxMmIzNTI3NWIxYmEzZDMifQ=="/>
  </w:docVars>
  <w:rsids>
    <w:rsidRoot w:val="00B409A4"/>
    <w:rsid w:val="000042F5"/>
    <w:rsid w:val="00013937"/>
    <w:rsid w:val="0003117E"/>
    <w:rsid w:val="0003179F"/>
    <w:rsid w:val="000420F1"/>
    <w:rsid w:val="000442B2"/>
    <w:rsid w:val="00045203"/>
    <w:rsid w:val="000457AC"/>
    <w:rsid w:val="00052FA8"/>
    <w:rsid w:val="000578CA"/>
    <w:rsid w:val="00081C9B"/>
    <w:rsid w:val="00094DA1"/>
    <w:rsid w:val="000C509F"/>
    <w:rsid w:val="000C5B27"/>
    <w:rsid w:val="000D047C"/>
    <w:rsid w:val="000D0979"/>
    <w:rsid w:val="0010086F"/>
    <w:rsid w:val="001129BA"/>
    <w:rsid w:val="001205C9"/>
    <w:rsid w:val="0012137C"/>
    <w:rsid w:val="00142117"/>
    <w:rsid w:val="001469F3"/>
    <w:rsid w:val="00152D06"/>
    <w:rsid w:val="00153135"/>
    <w:rsid w:val="001539B0"/>
    <w:rsid w:val="00157C13"/>
    <w:rsid w:val="0016042A"/>
    <w:rsid w:val="0016142E"/>
    <w:rsid w:val="00173BFA"/>
    <w:rsid w:val="00173D29"/>
    <w:rsid w:val="0017572B"/>
    <w:rsid w:val="001934CD"/>
    <w:rsid w:val="00195EA5"/>
    <w:rsid w:val="001A2F05"/>
    <w:rsid w:val="001B3836"/>
    <w:rsid w:val="001D4FF9"/>
    <w:rsid w:val="001F2E23"/>
    <w:rsid w:val="001F3A9E"/>
    <w:rsid w:val="002061DC"/>
    <w:rsid w:val="0020630A"/>
    <w:rsid w:val="00231BE2"/>
    <w:rsid w:val="00263E0B"/>
    <w:rsid w:val="00267E08"/>
    <w:rsid w:val="0027471E"/>
    <w:rsid w:val="00293C5F"/>
    <w:rsid w:val="002968F2"/>
    <w:rsid w:val="00297AB2"/>
    <w:rsid w:val="002C267F"/>
    <w:rsid w:val="002C27BE"/>
    <w:rsid w:val="002E107C"/>
    <w:rsid w:val="002E5873"/>
    <w:rsid w:val="002E70B1"/>
    <w:rsid w:val="002F045B"/>
    <w:rsid w:val="002F2376"/>
    <w:rsid w:val="002F38FC"/>
    <w:rsid w:val="002F44F7"/>
    <w:rsid w:val="003254D5"/>
    <w:rsid w:val="0033163E"/>
    <w:rsid w:val="00334216"/>
    <w:rsid w:val="00334AF5"/>
    <w:rsid w:val="00345BE0"/>
    <w:rsid w:val="00351793"/>
    <w:rsid w:val="00380705"/>
    <w:rsid w:val="00384653"/>
    <w:rsid w:val="00385ADE"/>
    <w:rsid w:val="00390839"/>
    <w:rsid w:val="00391FCC"/>
    <w:rsid w:val="00393306"/>
    <w:rsid w:val="00394C62"/>
    <w:rsid w:val="003A0ED5"/>
    <w:rsid w:val="003A2F9D"/>
    <w:rsid w:val="003A62B3"/>
    <w:rsid w:val="003A6E56"/>
    <w:rsid w:val="003B459D"/>
    <w:rsid w:val="003B6402"/>
    <w:rsid w:val="003B6F63"/>
    <w:rsid w:val="003B7C96"/>
    <w:rsid w:val="003C7126"/>
    <w:rsid w:val="003D4494"/>
    <w:rsid w:val="003D7AA9"/>
    <w:rsid w:val="003F18CC"/>
    <w:rsid w:val="00404036"/>
    <w:rsid w:val="004178E4"/>
    <w:rsid w:val="00422A3F"/>
    <w:rsid w:val="00441E5D"/>
    <w:rsid w:val="00443F38"/>
    <w:rsid w:val="004501C2"/>
    <w:rsid w:val="00460538"/>
    <w:rsid w:val="00460B41"/>
    <w:rsid w:val="004621D7"/>
    <w:rsid w:val="00474FE8"/>
    <w:rsid w:val="00477D0E"/>
    <w:rsid w:val="00493A57"/>
    <w:rsid w:val="004A3C75"/>
    <w:rsid w:val="004A40F1"/>
    <w:rsid w:val="004A47A4"/>
    <w:rsid w:val="004A4DD3"/>
    <w:rsid w:val="004B1B49"/>
    <w:rsid w:val="004B580B"/>
    <w:rsid w:val="004C2FCF"/>
    <w:rsid w:val="004C53C1"/>
    <w:rsid w:val="004D0060"/>
    <w:rsid w:val="004D29DE"/>
    <w:rsid w:val="004D7EE2"/>
    <w:rsid w:val="004E29A5"/>
    <w:rsid w:val="004F1291"/>
    <w:rsid w:val="004F3669"/>
    <w:rsid w:val="004F40EC"/>
    <w:rsid w:val="004F551F"/>
    <w:rsid w:val="004F7C58"/>
    <w:rsid w:val="0051048D"/>
    <w:rsid w:val="005109A1"/>
    <w:rsid w:val="00510FE4"/>
    <w:rsid w:val="00515EBE"/>
    <w:rsid w:val="005316F1"/>
    <w:rsid w:val="005631DB"/>
    <w:rsid w:val="005667A8"/>
    <w:rsid w:val="005848D8"/>
    <w:rsid w:val="00595C3E"/>
    <w:rsid w:val="005A703B"/>
    <w:rsid w:val="005B0A93"/>
    <w:rsid w:val="005C4037"/>
    <w:rsid w:val="005C50D8"/>
    <w:rsid w:val="005D793E"/>
    <w:rsid w:val="005E0B09"/>
    <w:rsid w:val="005F186A"/>
    <w:rsid w:val="00602F64"/>
    <w:rsid w:val="00607ACF"/>
    <w:rsid w:val="006103CF"/>
    <w:rsid w:val="00610C10"/>
    <w:rsid w:val="00622C8E"/>
    <w:rsid w:val="00631F41"/>
    <w:rsid w:val="00634D55"/>
    <w:rsid w:val="00662702"/>
    <w:rsid w:val="00686B94"/>
    <w:rsid w:val="00690F7A"/>
    <w:rsid w:val="00697FEB"/>
    <w:rsid w:val="006B1B34"/>
    <w:rsid w:val="006C49C6"/>
    <w:rsid w:val="006C5D12"/>
    <w:rsid w:val="006C7F9A"/>
    <w:rsid w:val="006D0252"/>
    <w:rsid w:val="006D684C"/>
    <w:rsid w:val="006D7DA1"/>
    <w:rsid w:val="006F0B25"/>
    <w:rsid w:val="007117C0"/>
    <w:rsid w:val="007337EE"/>
    <w:rsid w:val="00733FF6"/>
    <w:rsid w:val="00740D49"/>
    <w:rsid w:val="00747F79"/>
    <w:rsid w:val="00754D96"/>
    <w:rsid w:val="00766A36"/>
    <w:rsid w:val="007801C8"/>
    <w:rsid w:val="007878EF"/>
    <w:rsid w:val="00794272"/>
    <w:rsid w:val="007A0403"/>
    <w:rsid w:val="007A2F15"/>
    <w:rsid w:val="007B496E"/>
    <w:rsid w:val="007B49F9"/>
    <w:rsid w:val="007B5CEA"/>
    <w:rsid w:val="007B7BDB"/>
    <w:rsid w:val="007B7D09"/>
    <w:rsid w:val="007C079F"/>
    <w:rsid w:val="007C1337"/>
    <w:rsid w:val="007C65FB"/>
    <w:rsid w:val="007D0550"/>
    <w:rsid w:val="007D3C00"/>
    <w:rsid w:val="007D7DD1"/>
    <w:rsid w:val="007F6E4B"/>
    <w:rsid w:val="0080016A"/>
    <w:rsid w:val="008002FC"/>
    <w:rsid w:val="0082505C"/>
    <w:rsid w:val="0083159E"/>
    <w:rsid w:val="00844347"/>
    <w:rsid w:val="008501B1"/>
    <w:rsid w:val="0087375F"/>
    <w:rsid w:val="00884A9F"/>
    <w:rsid w:val="008A3DE0"/>
    <w:rsid w:val="008B2231"/>
    <w:rsid w:val="008D484B"/>
    <w:rsid w:val="008E55CC"/>
    <w:rsid w:val="008F4C27"/>
    <w:rsid w:val="008F7ED2"/>
    <w:rsid w:val="00904C99"/>
    <w:rsid w:val="009064F3"/>
    <w:rsid w:val="00921552"/>
    <w:rsid w:val="00925823"/>
    <w:rsid w:val="00927668"/>
    <w:rsid w:val="00931421"/>
    <w:rsid w:val="0094048F"/>
    <w:rsid w:val="00943B3A"/>
    <w:rsid w:val="00952222"/>
    <w:rsid w:val="00953F4B"/>
    <w:rsid w:val="00970EA2"/>
    <w:rsid w:val="00977A1B"/>
    <w:rsid w:val="009818D3"/>
    <w:rsid w:val="00982078"/>
    <w:rsid w:val="00985C0D"/>
    <w:rsid w:val="00991454"/>
    <w:rsid w:val="009A415F"/>
    <w:rsid w:val="009A5299"/>
    <w:rsid w:val="009A56AB"/>
    <w:rsid w:val="009B2CDD"/>
    <w:rsid w:val="009B6D10"/>
    <w:rsid w:val="009D38FD"/>
    <w:rsid w:val="009F1EC5"/>
    <w:rsid w:val="00A02FD8"/>
    <w:rsid w:val="00A156CE"/>
    <w:rsid w:val="00A35716"/>
    <w:rsid w:val="00A424E4"/>
    <w:rsid w:val="00A60E40"/>
    <w:rsid w:val="00A613B3"/>
    <w:rsid w:val="00A61526"/>
    <w:rsid w:val="00A64ADF"/>
    <w:rsid w:val="00A64C47"/>
    <w:rsid w:val="00A74E39"/>
    <w:rsid w:val="00A832C6"/>
    <w:rsid w:val="00A835EA"/>
    <w:rsid w:val="00A87624"/>
    <w:rsid w:val="00A96DE4"/>
    <w:rsid w:val="00AB0ADF"/>
    <w:rsid w:val="00AB6EDD"/>
    <w:rsid w:val="00AD615F"/>
    <w:rsid w:val="00AF0270"/>
    <w:rsid w:val="00AF07CB"/>
    <w:rsid w:val="00AF58FE"/>
    <w:rsid w:val="00B005E9"/>
    <w:rsid w:val="00B00FF6"/>
    <w:rsid w:val="00B0462D"/>
    <w:rsid w:val="00B079C7"/>
    <w:rsid w:val="00B144BD"/>
    <w:rsid w:val="00B14AAD"/>
    <w:rsid w:val="00B24C49"/>
    <w:rsid w:val="00B30AD8"/>
    <w:rsid w:val="00B36033"/>
    <w:rsid w:val="00B409A4"/>
    <w:rsid w:val="00B64E15"/>
    <w:rsid w:val="00B665DE"/>
    <w:rsid w:val="00B701E4"/>
    <w:rsid w:val="00B83EF6"/>
    <w:rsid w:val="00B92192"/>
    <w:rsid w:val="00BA4700"/>
    <w:rsid w:val="00BA4D5C"/>
    <w:rsid w:val="00BB2CB9"/>
    <w:rsid w:val="00BB339C"/>
    <w:rsid w:val="00BC01AC"/>
    <w:rsid w:val="00BE0B56"/>
    <w:rsid w:val="00BE3E5C"/>
    <w:rsid w:val="00BF2089"/>
    <w:rsid w:val="00BF52A2"/>
    <w:rsid w:val="00C0189B"/>
    <w:rsid w:val="00C079C0"/>
    <w:rsid w:val="00C07EA8"/>
    <w:rsid w:val="00C07FBD"/>
    <w:rsid w:val="00C22AB7"/>
    <w:rsid w:val="00C31789"/>
    <w:rsid w:val="00C32BBF"/>
    <w:rsid w:val="00C420F1"/>
    <w:rsid w:val="00C476EB"/>
    <w:rsid w:val="00C54288"/>
    <w:rsid w:val="00C71884"/>
    <w:rsid w:val="00C73234"/>
    <w:rsid w:val="00C75246"/>
    <w:rsid w:val="00C75F53"/>
    <w:rsid w:val="00C765AF"/>
    <w:rsid w:val="00C81DBB"/>
    <w:rsid w:val="00C93EB7"/>
    <w:rsid w:val="00C95168"/>
    <w:rsid w:val="00CA4006"/>
    <w:rsid w:val="00CB1FAB"/>
    <w:rsid w:val="00CB22E9"/>
    <w:rsid w:val="00CD4088"/>
    <w:rsid w:val="00CE2C5B"/>
    <w:rsid w:val="00D01D5F"/>
    <w:rsid w:val="00D03049"/>
    <w:rsid w:val="00D208C5"/>
    <w:rsid w:val="00D22E16"/>
    <w:rsid w:val="00D33AC2"/>
    <w:rsid w:val="00D355A7"/>
    <w:rsid w:val="00D35C7C"/>
    <w:rsid w:val="00D4584F"/>
    <w:rsid w:val="00D5541A"/>
    <w:rsid w:val="00D62EDF"/>
    <w:rsid w:val="00D6600A"/>
    <w:rsid w:val="00D72960"/>
    <w:rsid w:val="00D739AB"/>
    <w:rsid w:val="00D8326F"/>
    <w:rsid w:val="00D861D2"/>
    <w:rsid w:val="00D86669"/>
    <w:rsid w:val="00D97F07"/>
    <w:rsid w:val="00DA0395"/>
    <w:rsid w:val="00DA7057"/>
    <w:rsid w:val="00DB3B9B"/>
    <w:rsid w:val="00DC0480"/>
    <w:rsid w:val="00DC423D"/>
    <w:rsid w:val="00DD7BED"/>
    <w:rsid w:val="00DE3FFD"/>
    <w:rsid w:val="00DE68E0"/>
    <w:rsid w:val="00DF13CA"/>
    <w:rsid w:val="00E03FCB"/>
    <w:rsid w:val="00E06115"/>
    <w:rsid w:val="00E169C5"/>
    <w:rsid w:val="00E34CE1"/>
    <w:rsid w:val="00E460F5"/>
    <w:rsid w:val="00E50738"/>
    <w:rsid w:val="00E50FC9"/>
    <w:rsid w:val="00E6619B"/>
    <w:rsid w:val="00E913B1"/>
    <w:rsid w:val="00EA0422"/>
    <w:rsid w:val="00EA4104"/>
    <w:rsid w:val="00EA5DFD"/>
    <w:rsid w:val="00EB4AE1"/>
    <w:rsid w:val="00EC575C"/>
    <w:rsid w:val="00ED49C5"/>
    <w:rsid w:val="00ED6F5F"/>
    <w:rsid w:val="00EE765E"/>
    <w:rsid w:val="00F049E0"/>
    <w:rsid w:val="00F07501"/>
    <w:rsid w:val="00F22140"/>
    <w:rsid w:val="00F34120"/>
    <w:rsid w:val="00F365C1"/>
    <w:rsid w:val="00F42F1E"/>
    <w:rsid w:val="00F50D87"/>
    <w:rsid w:val="00F5113C"/>
    <w:rsid w:val="00F521F0"/>
    <w:rsid w:val="00F61B4E"/>
    <w:rsid w:val="00F7304C"/>
    <w:rsid w:val="00F760AB"/>
    <w:rsid w:val="00FB7612"/>
    <w:rsid w:val="00FD6FD5"/>
    <w:rsid w:val="00FE00D4"/>
    <w:rsid w:val="00FF3755"/>
    <w:rsid w:val="017B1E7D"/>
    <w:rsid w:val="042F48EA"/>
    <w:rsid w:val="056B42F1"/>
    <w:rsid w:val="05F64DE3"/>
    <w:rsid w:val="06CE671F"/>
    <w:rsid w:val="077A1969"/>
    <w:rsid w:val="07E7642F"/>
    <w:rsid w:val="092867FA"/>
    <w:rsid w:val="0A6071C9"/>
    <w:rsid w:val="0BE42C2F"/>
    <w:rsid w:val="0DF55E62"/>
    <w:rsid w:val="13893C35"/>
    <w:rsid w:val="1590649E"/>
    <w:rsid w:val="18C8295E"/>
    <w:rsid w:val="1BCA3EED"/>
    <w:rsid w:val="1DA575B0"/>
    <w:rsid w:val="1DAB69AB"/>
    <w:rsid w:val="20255F30"/>
    <w:rsid w:val="216878AF"/>
    <w:rsid w:val="216C375D"/>
    <w:rsid w:val="24A4042D"/>
    <w:rsid w:val="258C65A2"/>
    <w:rsid w:val="25B73A53"/>
    <w:rsid w:val="262A0621"/>
    <w:rsid w:val="27230518"/>
    <w:rsid w:val="296460EB"/>
    <w:rsid w:val="2C7204B7"/>
    <w:rsid w:val="2D764C6E"/>
    <w:rsid w:val="2DF2466A"/>
    <w:rsid w:val="2E0D7340"/>
    <w:rsid w:val="2F6F6858"/>
    <w:rsid w:val="306C60CD"/>
    <w:rsid w:val="38450968"/>
    <w:rsid w:val="395A27A5"/>
    <w:rsid w:val="3A1976E0"/>
    <w:rsid w:val="3AF24E44"/>
    <w:rsid w:val="3B781A65"/>
    <w:rsid w:val="3D2A5D69"/>
    <w:rsid w:val="3D2F7742"/>
    <w:rsid w:val="3D3A6003"/>
    <w:rsid w:val="3E8A33A6"/>
    <w:rsid w:val="470F7538"/>
    <w:rsid w:val="476870E2"/>
    <w:rsid w:val="4796230C"/>
    <w:rsid w:val="4E52468C"/>
    <w:rsid w:val="4E633605"/>
    <w:rsid w:val="504937E0"/>
    <w:rsid w:val="512C2BBC"/>
    <w:rsid w:val="519A642C"/>
    <w:rsid w:val="54E41652"/>
    <w:rsid w:val="565F1B7C"/>
    <w:rsid w:val="595E2BE2"/>
    <w:rsid w:val="596A6FB5"/>
    <w:rsid w:val="602F0272"/>
    <w:rsid w:val="6093689A"/>
    <w:rsid w:val="61DC639E"/>
    <w:rsid w:val="63B870FD"/>
    <w:rsid w:val="65187A69"/>
    <w:rsid w:val="67646811"/>
    <w:rsid w:val="681744E0"/>
    <w:rsid w:val="6EA47E92"/>
    <w:rsid w:val="769B632B"/>
    <w:rsid w:val="77FD4D9B"/>
    <w:rsid w:val="799257FF"/>
    <w:rsid w:val="7B863D0D"/>
    <w:rsid w:val="7B8657AD"/>
    <w:rsid w:val="7F8A7231"/>
    <w:rsid w:val="7F8F211F"/>
    <w:rsid w:val="7FA3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autoRedefine/>
    <w:qFormat/>
    <w:uiPriority w:val="0"/>
    <w:pPr>
      <w:keepNext/>
      <w:keepLines/>
      <w:spacing w:before="260" w:after="260" w:line="416" w:lineRule="auto"/>
      <w:outlineLvl w:val="1"/>
    </w:pPr>
    <w:rPr>
      <w:rFonts w:ascii="Cambria" w:hAnsi="Cambria"/>
      <w:b/>
      <w:bCs/>
      <w:sz w:val="32"/>
      <w:szCs w:val="32"/>
    </w:rPr>
  </w:style>
  <w:style w:type="paragraph" w:styleId="5">
    <w:name w:val="heading 4"/>
    <w:basedOn w:val="1"/>
    <w:next w:val="1"/>
    <w:link w:val="39"/>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0"/>
    <w:autoRedefine/>
    <w:qFormat/>
    <w:uiPriority w:val="9"/>
    <w:pPr>
      <w:keepNext/>
      <w:keepLines/>
      <w:spacing w:before="280" w:after="290" w:line="376" w:lineRule="auto"/>
      <w:outlineLvl w:val="4"/>
    </w:pPr>
    <w:rPr>
      <w:b/>
      <w:bCs/>
      <w:sz w:val="28"/>
      <w:szCs w:val="28"/>
    </w:rPr>
  </w:style>
  <w:style w:type="paragraph" w:styleId="8">
    <w:name w:val="heading 7"/>
    <w:basedOn w:val="1"/>
    <w:next w:val="1"/>
    <w:link w:val="41"/>
    <w:autoRedefine/>
    <w:qFormat/>
    <w:uiPriority w:val="0"/>
    <w:pPr>
      <w:keepNext/>
      <w:keepLines/>
      <w:spacing w:before="240" w:after="64" w:line="320" w:lineRule="auto"/>
      <w:outlineLvl w:val="6"/>
    </w:pPr>
    <w:rPr>
      <w:b/>
      <w:bCs/>
      <w:sz w:val="24"/>
    </w:rPr>
  </w:style>
  <w:style w:type="paragraph" w:styleId="9">
    <w:name w:val="heading 8"/>
    <w:basedOn w:val="1"/>
    <w:next w:val="1"/>
    <w:link w:val="42"/>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footer"/>
    <w:basedOn w:val="1"/>
    <w:link w:val="3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Normal Indent"/>
    <w:basedOn w:val="1"/>
    <w:autoRedefine/>
    <w:qFormat/>
    <w:uiPriority w:val="0"/>
    <w:pPr>
      <w:ind w:firstLine="420"/>
    </w:pPr>
    <w:rPr>
      <w:szCs w:val="20"/>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47"/>
    <w:autoRedefine/>
    <w:qFormat/>
    <w:uiPriority w:val="0"/>
    <w:pPr>
      <w:jc w:val="left"/>
    </w:pPr>
  </w:style>
  <w:style w:type="paragraph" w:styleId="13">
    <w:name w:val="Body Text 3"/>
    <w:basedOn w:val="1"/>
    <w:link w:val="48"/>
    <w:autoRedefine/>
    <w:unhideWhenUsed/>
    <w:qFormat/>
    <w:uiPriority w:val="99"/>
    <w:pPr>
      <w:spacing w:after="120"/>
    </w:pPr>
    <w:rPr>
      <w:sz w:val="16"/>
      <w:szCs w:val="16"/>
    </w:rPr>
  </w:style>
  <w:style w:type="paragraph" w:styleId="14">
    <w:name w:val="Body Text"/>
    <w:basedOn w:val="1"/>
    <w:next w:val="15"/>
    <w:link w:val="44"/>
    <w:autoRedefine/>
    <w:unhideWhenUsed/>
    <w:qFormat/>
    <w:uiPriority w:val="0"/>
    <w:pPr>
      <w:spacing w:after="120"/>
    </w:pPr>
  </w:style>
  <w:style w:type="paragraph" w:styleId="15">
    <w:name w:val="Title"/>
    <w:basedOn w:val="1"/>
    <w:next w:val="1"/>
    <w:link w:val="45"/>
    <w:autoRedefine/>
    <w:qFormat/>
    <w:uiPriority w:val="0"/>
    <w:pPr>
      <w:spacing w:before="240" w:after="60"/>
      <w:jc w:val="center"/>
      <w:outlineLvl w:val="0"/>
    </w:pPr>
    <w:rPr>
      <w:rFonts w:ascii="Arial" w:hAnsi="Arial" w:cs="Arial"/>
      <w:b/>
      <w:bCs/>
      <w:sz w:val="32"/>
      <w:szCs w:val="32"/>
    </w:rPr>
  </w:style>
  <w:style w:type="paragraph" w:styleId="16">
    <w:name w:val="Body Text Indent"/>
    <w:basedOn w:val="1"/>
    <w:link w:val="49"/>
    <w:autoRedefine/>
    <w:qFormat/>
    <w:uiPriority w:val="0"/>
    <w:pPr>
      <w:ind w:firstLine="830" w:firstLineChars="352"/>
    </w:pPr>
    <w:rPr>
      <w:rFonts w:ascii="仿宋_GB2312" w:eastAsia="仿宋_GB2312"/>
      <w:kern w:val="0"/>
      <w:sz w:val="32"/>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Plain Text"/>
    <w:basedOn w:val="1"/>
    <w:next w:val="1"/>
    <w:link w:val="51"/>
    <w:autoRedefine/>
    <w:qFormat/>
    <w:uiPriority w:val="0"/>
    <w:rPr>
      <w:rFonts w:ascii="宋体" w:hAnsi="Courier New"/>
      <w:kern w:val="0"/>
      <w:sz w:val="20"/>
      <w:szCs w:val="21"/>
    </w:rPr>
  </w:style>
  <w:style w:type="paragraph" w:styleId="19">
    <w:name w:val="Date"/>
    <w:basedOn w:val="1"/>
    <w:next w:val="1"/>
    <w:link w:val="52"/>
    <w:autoRedefine/>
    <w:unhideWhenUsed/>
    <w:qFormat/>
    <w:uiPriority w:val="99"/>
    <w:pPr>
      <w:ind w:left="100" w:leftChars="2500"/>
    </w:pPr>
  </w:style>
  <w:style w:type="paragraph" w:styleId="20">
    <w:name w:val="Body Text Indent 2"/>
    <w:basedOn w:val="1"/>
    <w:link w:val="83"/>
    <w:autoRedefine/>
    <w:semiHidden/>
    <w:unhideWhenUsed/>
    <w:qFormat/>
    <w:uiPriority w:val="99"/>
    <w:pPr>
      <w:spacing w:after="120" w:line="480" w:lineRule="auto"/>
      <w:ind w:left="420" w:leftChars="200"/>
    </w:pPr>
  </w:style>
  <w:style w:type="paragraph" w:styleId="21">
    <w:name w:val="Balloon Text"/>
    <w:basedOn w:val="1"/>
    <w:link w:val="53"/>
    <w:autoRedefine/>
    <w:semiHidden/>
    <w:qFormat/>
    <w:uiPriority w:val="0"/>
    <w:rPr>
      <w:sz w:val="18"/>
      <w:szCs w:val="18"/>
    </w:rPr>
  </w:style>
  <w:style w:type="paragraph" w:styleId="22">
    <w:name w:val="header"/>
    <w:basedOn w:val="1"/>
    <w:link w:val="3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toc 1"/>
    <w:basedOn w:val="1"/>
    <w:next w:val="1"/>
    <w:autoRedefine/>
    <w:unhideWhenUsed/>
    <w:qFormat/>
    <w:uiPriority w:val="39"/>
  </w:style>
  <w:style w:type="paragraph" w:styleId="24">
    <w:name w:val="footnote text"/>
    <w:basedOn w:val="1"/>
    <w:link w:val="82"/>
    <w:autoRedefine/>
    <w:unhideWhenUsed/>
    <w:qFormat/>
    <w:uiPriority w:val="99"/>
    <w:pPr>
      <w:snapToGrid w:val="0"/>
      <w:jc w:val="left"/>
    </w:pPr>
    <w:rPr>
      <w:sz w:val="18"/>
      <w:szCs w:val="18"/>
    </w:rPr>
  </w:style>
  <w:style w:type="paragraph" w:styleId="25">
    <w:name w:val="toc 2"/>
    <w:basedOn w:val="1"/>
    <w:next w:val="1"/>
    <w:autoRedefine/>
    <w:unhideWhenUsed/>
    <w:qFormat/>
    <w:uiPriority w:val="39"/>
    <w:pPr>
      <w:tabs>
        <w:tab w:val="right" w:leader="dot" w:pos="8296"/>
      </w:tabs>
      <w:ind w:left="420" w:leftChars="200"/>
    </w:pPr>
  </w:style>
  <w:style w:type="paragraph" w:styleId="26">
    <w:name w:val="Normal (Web)"/>
    <w:basedOn w:val="1"/>
    <w:autoRedefine/>
    <w:unhideWhenUsed/>
    <w:qFormat/>
    <w:uiPriority w:val="99"/>
    <w:rPr>
      <w:rFonts w:ascii="Calibri" w:hAnsi="Calibri"/>
      <w:kern w:val="0"/>
      <w:sz w:val="24"/>
    </w:rPr>
  </w:style>
  <w:style w:type="paragraph" w:styleId="27">
    <w:name w:val="annotation subject"/>
    <w:basedOn w:val="12"/>
    <w:next w:val="12"/>
    <w:link w:val="54"/>
    <w:autoRedefine/>
    <w:qFormat/>
    <w:uiPriority w:val="99"/>
    <w:rPr>
      <w:b/>
      <w:bCs/>
    </w:rPr>
  </w:style>
  <w:style w:type="paragraph" w:styleId="28">
    <w:name w:val="Body Text First Indent 2"/>
    <w:basedOn w:val="16"/>
    <w:next w:val="1"/>
    <w:link w:val="55"/>
    <w:autoRedefine/>
    <w:qFormat/>
    <w:uiPriority w:val="99"/>
    <w:pPr>
      <w:ind w:firstLine="420" w:firstLineChars="200"/>
    </w:pPr>
    <w:rPr>
      <w:rFonts w:ascii="宋体" w:hAnsi="Courier New"/>
      <w:spacing w:val="-4"/>
      <w:sz w:val="18"/>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autoRedefine/>
    <w:unhideWhenUsed/>
    <w:qFormat/>
    <w:uiPriority w:val="99"/>
    <w:rPr>
      <w:vertAlign w:val="superscript"/>
    </w:rPr>
  </w:style>
  <w:style w:type="character" w:styleId="33">
    <w:name w:val="Hyperlink"/>
    <w:autoRedefine/>
    <w:unhideWhenUsed/>
    <w:qFormat/>
    <w:uiPriority w:val="99"/>
    <w:rPr>
      <w:color w:val="0000FF"/>
      <w:u w:val="single"/>
    </w:rPr>
  </w:style>
  <w:style w:type="character" w:styleId="34">
    <w:name w:val="annotation reference"/>
    <w:autoRedefine/>
    <w:qFormat/>
    <w:uiPriority w:val="0"/>
    <w:rPr>
      <w:sz w:val="21"/>
      <w:szCs w:val="21"/>
    </w:rPr>
  </w:style>
  <w:style w:type="character" w:customStyle="1" w:styleId="35">
    <w:name w:val="页眉 字符"/>
    <w:basedOn w:val="31"/>
    <w:link w:val="22"/>
    <w:autoRedefine/>
    <w:qFormat/>
    <w:uiPriority w:val="99"/>
    <w:rPr>
      <w:sz w:val="18"/>
      <w:szCs w:val="18"/>
    </w:rPr>
  </w:style>
  <w:style w:type="character" w:customStyle="1" w:styleId="36">
    <w:name w:val="页脚 字符"/>
    <w:basedOn w:val="31"/>
    <w:link w:val="2"/>
    <w:autoRedefine/>
    <w:qFormat/>
    <w:uiPriority w:val="99"/>
    <w:rPr>
      <w:sz w:val="18"/>
      <w:szCs w:val="18"/>
    </w:rPr>
  </w:style>
  <w:style w:type="character" w:customStyle="1" w:styleId="37">
    <w:name w:val="标题 1 字符"/>
    <w:basedOn w:val="31"/>
    <w:link w:val="3"/>
    <w:autoRedefine/>
    <w:qFormat/>
    <w:uiPriority w:val="9"/>
    <w:rPr>
      <w:rFonts w:ascii="Times New Roman" w:hAnsi="Times New Roman" w:eastAsia="宋体" w:cs="Times New Roman"/>
      <w:b/>
      <w:bCs/>
      <w:kern w:val="44"/>
      <w:sz w:val="44"/>
      <w:szCs w:val="44"/>
    </w:rPr>
  </w:style>
  <w:style w:type="character" w:customStyle="1" w:styleId="38">
    <w:name w:val="标题 2 字符"/>
    <w:basedOn w:val="31"/>
    <w:link w:val="4"/>
    <w:autoRedefine/>
    <w:qFormat/>
    <w:uiPriority w:val="0"/>
    <w:rPr>
      <w:rFonts w:ascii="Cambria" w:hAnsi="Cambria" w:eastAsia="宋体" w:cs="Times New Roman"/>
      <w:b/>
      <w:bCs/>
      <w:sz w:val="32"/>
      <w:szCs w:val="32"/>
    </w:rPr>
  </w:style>
  <w:style w:type="character" w:customStyle="1" w:styleId="39">
    <w:name w:val="标题 4 字符"/>
    <w:basedOn w:val="31"/>
    <w:link w:val="5"/>
    <w:autoRedefine/>
    <w:qFormat/>
    <w:uiPriority w:val="0"/>
    <w:rPr>
      <w:rFonts w:ascii="Arial" w:hAnsi="Times New Roman" w:eastAsia="黑体" w:cs="Times New Roman"/>
      <w:kern w:val="0"/>
      <w:sz w:val="28"/>
      <w:szCs w:val="20"/>
    </w:rPr>
  </w:style>
  <w:style w:type="character" w:customStyle="1" w:styleId="40">
    <w:name w:val="标题 5 字符"/>
    <w:basedOn w:val="31"/>
    <w:link w:val="6"/>
    <w:autoRedefine/>
    <w:qFormat/>
    <w:uiPriority w:val="9"/>
    <w:rPr>
      <w:rFonts w:ascii="Times New Roman" w:hAnsi="Times New Roman" w:eastAsia="宋体" w:cs="Times New Roman"/>
      <w:b/>
      <w:bCs/>
      <w:sz w:val="28"/>
      <w:szCs w:val="28"/>
    </w:rPr>
  </w:style>
  <w:style w:type="character" w:customStyle="1" w:styleId="41">
    <w:name w:val="标题 7 字符"/>
    <w:basedOn w:val="31"/>
    <w:link w:val="8"/>
    <w:autoRedefine/>
    <w:qFormat/>
    <w:uiPriority w:val="0"/>
    <w:rPr>
      <w:rFonts w:ascii="Times New Roman" w:hAnsi="Times New Roman" w:eastAsia="宋体" w:cs="Times New Roman"/>
      <w:b/>
      <w:bCs/>
      <w:sz w:val="24"/>
      <w:szCs w:val="24"/>
    </w:rPr>
  </w:style>
  <w:style w:type="character" w:customStyle="1" w:styleId="42">
    <w:name w:val="标题 8 字符"/>
    <w:basedOn w:val="31"/>
    <w:link w:val="9"/>
    <w:autoRedefine/>
    <w:qFormat/>
    <w:uiPriority w:val="9"/>
    <w:rPr>
      <w:rFonts w:ascii="等线 Light" w:hAnsi="等线 Light" w:eastAsia="等线 Light" w:cs="Times New Roman"/>
      <w:sz w:val="24"/>
      <w:szCs w:val="24"/>
    </w:rPr>
  </w:style>
  <w:style w:type="character" w:customStyle="1" w:styleId="43">
    <w:name w:val="正文文本 字符"/>
    <w:basedOn w:val="31"/>
    <w:autoRedefine/>
    <w:qFormat/>
    <w:uiPriority w:val="0"/>
    <w:rPr>
      <w:rFonts w:ascii="Times New Roman" w:hAnsi="Times New Roman" w:eastAsia="宋体" w:cs="Times New Roman"/>
      <w:szCs w:val="24"/>
    </w:rPr>
  </w:style>
  <w:style w:type="character" w:customStyle="1" w:styleId="44">
    <w:name w:val="正文文本 字符1"/>
    <w:link w:val="14"/>
    <w:autoRedefine/>
    <w:qFormat/>
    <w:uiPriority w:val="0"/>
    <w:rPr>
      <w:rFonts w:ascii="Times New Roman" w:hAnsi="Times New Roman" w:eastAsia="宋体" w:cs="Times New Roman"/>
      <w:szCs w:val="24"/>
    </w:rPr>
  </w:style>
  <w:style w:type="character" w:customStyle="1" w:styleId="45">
    <w:name w:val="标题 字符"/>
    <w:basedOn w:val="31"/>
    <w:link w:val="15"/>
    <w:autoRedefine/>
    <w:qFormat/>
    <w:uiPriority w:val="0"/>
    <w:rPr>
      <w:rFonts w:ascii="Arial" w:hAnsi="Arial" w:eastAsia="宋体" w:cs="Arial"/>
      <w:b/>
      <w:bCs/>
      <w:sz w:val="32"/>
      <w:szCs w:val="32"/>
    </w:rPr>
  </w:style>
  <w:style w:type="character" w:customStyle="1" w:styleId="46">
    <w:name w:val="批注文字 字符"/>
    <w:basedOn w:val="31"/>
    <w:autoRedefine/>
    <w:qFormat/>
    <w:uiPriority w:val="0"/>
    <w:rPr>
      <w:rFonts w:ascii="Times New Roman" w:hAnsi="Times New Roman" w:eastAsia="宋体" w:cs="Times New Roman"/>
      <w:szCs w:val="24"/>
    </w:rPr>
  </w:style>
  <w:style w:type="character" w:customStyle="1" w:styleId="47">
    <w:name w:val="批注文字 字符2"/>
    <w:link w:val="12"/>
    <w:autoRedefine/>
    <w:qFormat/>
    <w:uiPriority w:val="0"/>
    <w:rPr>
      <w:rFonts w:ascii="Times New Roman" w:hAnsi="Times New Roman" w:eastAsia="宋体" w:cs="Times New Roman"/>
      <w:szCs w:val="24"/>
    </w:rPr>
  </w:style>
  <w:style w:type="character" w:customStyle="1" w:styleId="48">
    <w:name w:val="正文文本 3 字符"/>
    <w:basedOn w:val="31"/>
    <w:link w:val="13"/>
    <w:autoRedefine/>
    <w:qFormat/>
    <w:uiPriority w:val="99"/>
    <w:rPr>
      <w:rFonts w:ascii="Times New Roman" w:hAnsi="Times New Roman" w:eastAsia="宋体" w:cs="Times New Roman"/>
      <w:sz w:val="16"/>
      <w:szCs w:val="16"/>
    </w:rPr>
  </w:style>
  <w:style w:type="character" w:customStyle="1" w:styleId="49">
    <w:name w:val="正文文本缩进 字符"/>
    <w:basedOn w:val="31"/>
    <w:link w:val="16"/>
    <w:autoRedefine/>
    <w:qFormat/>
    <w:uiPriority w:val="0"/>
    <w:rPr>
      <w:rFonts w:ascii="仿宋_GB2312" w:hAnsi="Times New Roman" w:eastAsia="仿宋_GB2312" w:cs="Times New Roman"/>
      <w:kern w:val="0"/>
      <w:sz w:val="32"/>
      <w:szCs w:val="20"/>
    </w:rPr>
  </w:style>
  <w:style w:type="character" w:customStyle="1" w:styleId="50">
    <w:name w:val="纯文本 字符"/>
    <w:basedOn w:val="31"/>
    <w:autoRedefine/>
    <w:qFormat/>
    <w:uiPriority w:val="0"/>
    <w:rPr>
      <w:rFonts w:hAnsi="Courier New" w:cs="Courier New" w:asciiTheme="minorEastAsia"/>
      <w:szCs w:val="24"/>
    </w:rPr>
  </w:style>
  <w:style w:type="character" w:customStyle="1" w:styleId="51">
    <w:name w:val="纯文本 字符3"/>
    <w:link w:val="18"/>
    <w:autoRedefine/>
    <w:qFormat/>
    <w:uiPriority w:val="0"/>
    <w:rPr>
      <w:rFonts w:ascii="宋体" w:hAnsi="Courier New" w:eastAsia="宋体" w:cs="Times New Roman"/>
      <w:kern w:val="0"/>
      <w:sz w:val="20"/>
      <w:szCs w:val="21"/>
    </w:rPr>
  </w:style>
  <w:style w:type="character" w:customStyle="1" w:styleId="52">
    <w:name w:val="日期 字符"/>
    <w:basedOn w:val="31"/>
    <w:link w:val="19"/>
    <w:autoRedefine/>
    <w:qFormat/>
    <w:uiPriority w:val="99"/>
    <w:rPr>
      <w:rFonts w:ascii="Times New Roman" w:hAnsi="Times New Roman" w:eastAsia="宋体" w:cs="Times New Roman"/>
      <w:szCs w:val="24"/>
    </w:rPr>
  </w:style>
  <w:style w:type="character" w:customStyle="1" w:styleId="53">
    <w:name w:val="批注框文本 字符"/>
    <w:basedOn w:val="31"/>
    <w:link w:val="21"/>
    <w:autoRedefine/>
    <w:semiHidden/>
    <w:qFormat/>
    <w:uiPriority w:val="0"/>
    <w:rPr>
      <w:rFonts w:ascii="Times New Roman" w:hAnsi="Times New Roman" w:eastAsia="宋体" w:cs="Times New Roman"/>
      <w:sz w:val="18"/>
      <w:szCs w:val="18"/>
    </w:rPr>
  </w:style>
  <w:style w:type="character" w:customStyle="1" w:styleId="54">
    <w:name w:val="批注主题 字符"/>
    <w:basedOn w:val="46"/>
    <w:link w:val="27"/>
    <w:autoRedefine/>
    <w:qFormat/>
    <w:uiPriority w:val="99"/>
    <w:rPr>
      <w:rFonts w:ascii="Times New Roman" w:hAnsi="Times New Roman" w:eastAsia="宋体" w:cs="Times New Roman"/>
      <w:b/>
      <w:bCs/>
      <w:szCs w:val="24"/>
    </w:rPr>
  </w:style>
  <w:style w:type="character" w:customStyle="1" w:styleId="55">
    <w:name w:val="正文首行缩进 2 字符"/>
    <w:basedOn w:val="49"/>
    <w:link w:val="28"/>
    <w:autoRedefine/>
    <w:qFormat/>
    <w:uiPriority w:val="99"/>
    <w:rPr>
      <w:rFonts w:ascii="宋体" w:hAnsi="Courier New" w:eastAsia="仿宋_GB2312" w:cs="Times New Roman"/>
      <w:spacing w:val="-4"/>
      <w:kern w:val="0"/>
      <w:sz w:val="18"/>
      <w:szCs w:val="20"/>
    </w:rPr>
  </w:style>
  <w:style w:type="character" w:customStyle="1" w:styleId="56">
    <w:name w:val="纯文本 字符1"/>
    <w:autoRedefine/>
    <w:qFormat/>
    <w:uiPriority w:val="0"/>
    <w:rPr>
      <w:rFonts w:ascii="宋体" w:hAnsi="Courier New"/>
    </w:rPr>
  </w:style>
  <w:style w:type="character" w:customStyle="1" w:styleId="57">
    <w:name w:val="正文文本 Char"/>
    <w:autoRedefine/>
    <w:qFormat/>
    <w:uiPriority w:val="0"/>
    <w:rPr>
      <w:rFonts w:ascii="Times New Roman" w:hAnsi="Times New Roman"/>
      <w:kern w:val="2"/>
      <w:sz w:val="21"/>
      <w:szCs w:val="24"/>
    </w:rPr>
  </w:style>
  <w:style w:type="character" w:customStyle="1" w:styleId="58">
    <w:name w:val="纯文本 字符2"/>
    <w:autoRedefine/>
    <w:qFormat/>
    <w:uiPriority w:val="0"/>
    <w:rPr>
      <w:rFonts w:ascii="宋体" w:hAnsi="Courier New" w:eastAsia="宋体" w:cs="Courier New"/>
      <w:szCs w:val="21"/>
    </w:rPr>
  </w:style>
  <w:style w:type="character" w:customStyle="1" w:styleId="59">
    <w:name w:val="apple-style-span"/>
    <w:autoRedefine/>
    <w:qFormat/>
    <w:uiPriority w:val="0"/>
  </w:style>
  <w:style w:type="character" w:customStyle="1" w:styleId="60">
    <w:name w:val="批注文字 Char"/>
    <w:autoRedefine/>
    <w:qFormat/>
    <w:uiPriority w:val="0"/>
    <w:rPr>
      <w:rFonts w:ascii="Times New Roman" w:hAnsi="Times New Roman"/>
      <w:kern w:val="2"/>
      <w:sz w:val="21"/>
      <w:szCs w:val="24"/>
    </w:rPr>
  </w:style>
  <w:style w:type="character" w:customStyle="1" w:styleId="6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textcontents"/>
    <w:autoRedefine/>
    <w:qFormat/>
    <w:uiPriority w:val="0"/>
  </w:style>
  <w:style w:type="character" w:customStyle="1" w:styleId="63">
    <w:name w:val="标题 1 字符1"/>
    <w:autoRedefine/>
    <w:qFormat/>
    <w:uiPriority w:val="0"/>
    <w:rPr>
      <w:b/>
      <w:bCs/>
      <w:kern w:val="44"/>
      <w:sz w:val="44"/>
      <w:szCs w:val="44"/>
    </w:rPr>
  </w:style>
  <w:style w:type="character" w:customStyle="1" w:styleId="64">
    <w:name w:val="批注文字 Char2"/>
    <w:autoRedefine/>
    <w:qFormat/>
    <w:uiPriority w:val="0"/>
    <w:rPr>
      <w:rFonts w:ascii="Times New Roman" w:hAnsi="Times New Roman"/>
      <w:kern w:val="2"/>
      <w:sz w:val="21"/>
      <w:szCs w:val="24"/>
    </w:rPr>
  </w:style>
  <w:style w:type="character" w:customStyle="1" w:styleId="65">
    <w:name w:val="标题 2 Char"/>
    <w:autoRedefine/>
    <w:qFormat/>
    <w:uiPriority w:val="0"/>
    <w:rPr>
      <w:rFonts w:ascii="Cambria" w:hAnsi="Cambria" w:eastAsia="宋体" w:cs="Times New Roman"/>
      <w:b/>
      <w:bCs/>
      <w:kern w:val="2"/>
      <w:sz w:val="32"/>
      <w:szCs w:val="32"/>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标题 8 Char"/>
    <w:autoRedefine/>
    <w:qFormat/>
    <w:uiPriority w:val="0"/>
    <w:rPr>
      <w:rFonts w:ascii="Arial" w:hAnsi="Arial" w:eastAsia="黑体"/>
      <w:kern w:val="2"/>
      <w:sz w:val="24"/>
      <w:szCs w:val="24"/>
    </w:rPr>
  </w:style>
  <w:style w:type="character" w:customStyle="1" w:styleId="68">
    <w:name w:val="font51"/>
    <w:autoRedefine/>
    <w:qFormat/>
    <w:uiPriority w:val="0"/>
    <w:rPr>
      <w:rFonts w:hint="default" w:ascii="Times New Roman" w:hAnsi="Times New Roman" w:cs="Times New Roman"/>
      <w:b/>
      <w:color w:val="000000"/>
      <w:sz w:val="18"/>
      <w:szCs w:val="18"/>
      <w:u w:val="none"/>
    </w:rPr>
  </w:style>
  <w:style w:type="character" w:customStyle="1" w:styleId="69">
    <w:name w:val="批注文字 字符1"/>
    <w:autoRedefine/>
    <w:qFormat/>
    <w:uiPriority w:val="0"/>
    <w:rPr>
      <w:rFonts w:ascii="Times New Roman" w:hAnsi="Times New Roman"/>
      <w:kern w:val="2"/>
      <w:sz w:val="21"/>
      <w:szCs w:val="24"/>
    </w:rPr>
  </w:style>
  <w:style w:type="paragraph" w:customStyle="1" w:styleId="7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71">
    <w:name w:val="List Paragraph"/>
    <w:basedOn w:val="1"/>
    <w:autoRedefine/>
    <w:qFormat/>
    <w:uiPriority w:val="34"/>
    <w:pPr>
      <w:ind w:firstLine="420" w:firstLineChars="200"/>
    </w:pPr>
  </w:style>
  <w:style w:type="paragraph" w:customStyle="1" w:styleId="7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3">
    <w:name w:val="Title1"/>
    <w:basedOn w:val="1"/>
    <w:next w:val="1"/>
    <w:autoRedefine/>
    <w:qFormat/>
    <w:uiPriority w:val="0"/>
    <w:pPr>
      <w:jc w:val="center"/>
      <w:outlineLvl w:val="0"/>
    </w:pPr>
    <w:rPr>
      <w:rFonts w:ascii="Calibri Light" w:hAnsi="Calibri Light" w:eastAsia="Arial Unicode MS"/>
      <w:b/>
    </w:rPr>
  </w:style>
  <w:style w:type="paragraph" w:customStyle="1" w:styleId="74">
    <w:name w:val="默认段落字体 Para Char Char Char Char Char Char Char Char Char1 Char Char Char Char"/>
    <w:basedOn w:val="1"/>
    <w:autoRedefine/>
    <w:qFormat/>
    <w:uiPriority w:val="0"/>
    <w:rPr>
      <w:rFonts w:ascii="Tahoma" w:hAnsi="Tahoma"/>
      <w:sz w:val="24"/>
      <w:szCs w:val="20"/>
    </w:rPr>
  </w:style>
  <w:style w:type="paragraph" w:customStyle="1" w:styleId="75">
    <w:name w:val="样式 0正文 + 首行缩进:  2 字符1"/>
    <w:basedOn w:val="1"/>
    <w:autoRedefine/>
    <w:qFormat/>
    <w:uiPriority w:val="99"/>
    <w:pPr>
      <w:spacing w:line="360" w:lineRule="auto"/>
      <w:ind w:firstLine="200" w:firstLineChars="200"/>
    </w:pPr>
    <w:rPr>
      <w:szCs w:val="20"/>
    </w:rPr>
  </w:style>
  <w:style w:type="paragraph" w:customStyle="1" w:styleId="76">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Table Paragraph"/>
    <w:basedOn w:val="1"/>
    <w:autoRedefine/>
    <w:qFormat/>
    <w:uiPriority w:val="1"/>
    <w:pPr>
      <w:jc w:val="left"/>
    </w:pPr>
    <w:rPr>
      <w:rFonts w:ascii="Calibri" w:hAnsi="Calibri"/>
      <w:kern w:val="0"/>
      <w:sz w:val="22"/>
      <w:szCs w:val="22"/>
      <w:lang w:eastAsia="en-US"/>
    </w:rPr>
  </w:style>
  <w:style w:type="paragraph" w:customStyle="1" w:styleId="78">
    <w:name w:val="正文-公11"/>
    <w:basedOn w:val="1"/>
    <w:autoRedefine/>
    <w:qFormat/>
    <w:uiPriority w:val="0"/>
    <w:pPr>
      <w:ind w:firstLine="200" w:firstLineChars="200"/>
      <w:jc w:val="left"/>
    </w:pPr>
    <w:rPr>
      <w:rFonts w:eastAsia="仿宋_GB2312"/>
    </w:rPr>
  </w:style>
  <w:style w:type="paragraph" w:customStyle="1" w:styleId="79">
    <w:name w:val="my正文"/>
    <w:basedOn w:val="1"/>
    <w:link w:val="80"/>
    <w:autoRedefine/>
    <w:qFormat/>
    <w:uiPriority w:val="0"/>
    <w:pPr>
      <w:spacing w:line="360" w:lineRule="auto"/>
      <w:ind w:firstLine="480" w:firstLineChars="200"/>
    </w:pPr>
    <w:rPr>
      <w:sz w:val="24"/>
      <w:lang w:val="zh-CN"/>
    </w:rPr>
  </w:style>
  <w:style w:type="character" w:customStyle="1" w:styleId="80">
    <w:name w:val="my正文 Char"/>
    <w:link w:val="79"/>
    <w:autoRedefine/>
    <w:qFormat/>
    <w:uiPriority w:val="0"/>
    <w:rPr>
      <w:rFonts w:ascii="Times New Roman" w:hAnsi="Times New Roman" w:eastAsia="宋体" w:cs="Times New Roman"/>
      <w:sz w:val="24"/>
      <w:szCs w:val="24"/>
      <w:lang w:val="zh-CN"/>
    </w:rPr>
  </w:style>
  <w:style w:type="character" w:customStyle="1" w:styleId="81">
    <w:name w:val="纯文本 Char2"/>
    <w:autoRedefine/>
    <w:qFormat/>
    <w:uiPriority w:val="0"/>
    <w:rPr>
      <w:rFonts w:ascii="宋体" w:hAnsi="Courier New" w:eastAsia="宋体" w:cs="Courier New"/>
      <w:szCs w:val="21"/>
    </w:rPr>
  </w:style>
  <w:style w:type="character" w:customStyle="1" w:styleId="82">
    <w:name w:val="脚注文本 字符"/>
    <w:basedOn w:val="31"/>
    <w:link w:val="24"/>
    <w:autoRedefine/>
    <w:qFormat/>
    <w:uiPriority w:val="99"/>
    <w:rPr>
      <w:rFonts w:ascii="Times New Roman" w:hAnsi="Times New Roman" w:eastAsia="宋体" w:cs="Times New Roman"/>
      <w:sz w:val="18"/>
      <w:szCs w:val="18"/>
    </w:rPr>
  </w:style>
  <w:style w:type="character" w:customStyle="1" w:styleId="83">
    <w:name w:val="正文文本缩进 2 字符"/>
    <w:basedOn w:val="31"/>
    <w:link w:val="20"/>
    <w:autoRedefine/>
    <w:semiHidden/>
    <w:qFormat/>
    <w:uiPriority w:val="99"/>
    <w:rPr>
      <w:rFonts w:ascii="Times New Roman" w:hAnsi="Times New Roman" w:eastAsia="宋体" w:cs="Times New Roman"/>
      <w:szCs w:val="24"/>
    </w:rPr>
  </w:style>
  <w:style w:type="paragraph" w:customStyle="1" w:styleId="84">
    <w:name w:val="正文1"/>
    <w:basedOn w:val="1"/>
    <w:autoRedefine/>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7F979-F3ED-4608-85F4-BF89ECA24EF2}">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124</Pages>
  <Words>14048</Words>
  <Characters>80078</Characters>
  <Lines>667</Lines>
  <Paragraphs>187</Paragraphs>
  <TotalTime>426</TotalTime>
  <ScaleCrop>false</ScaleCrop>
  <LinksUpToDate>false</LinksUpToDate>
  <CharactersWithSpaces>93939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2025-07-03T01:23:00Z</dcterms:created>
  <dc:creator>TSE James</dc:creator>
  <cp:lastModifiedBy>杨春健</cp:lastModifiedBy>
  <dcterms:modified xsi:type="dcterms:W3CDTF">2025-07-14T09:24:17Z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B93AC13CEB054F4687715733BF8553C1_13</vt:lpwstr>
  </property>
  <property fmtid="{D5CDD505-2E9C-101B-9397-08002B2CF9AE}" pid="4" name="KSOTemplateDocerSaveRecord">
    <vt:lpwstr>eyJoZGlkIjoiMTk0YjQ4Y2ViZDc4YWI3ZTBiMTEyMjdlYTQxNmRmNzYiLCJ1c2VySWQiOiI1MDE5NjAzMDQifQ==</vt:lpwstr>
  </property>
</Properties>
</file>