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line="360" w:lineRule="auto"/>
        <w:jc w:val="center"/>
        <w:rPr>
          <w:rFonts w:hint="default" w:ascii="宋体" w:hAnsi="宋体" w:eastAsia="宋体" w:cs="Times New Roman"/>
          <w:color w:val="auto"/>
          <w:sz w:val="72"/>
          <w:szCs w:val="72"/>
          <w:highlight w:val="none"/>
          <w:lang w:val="en-US" w:eastAsia="zh-CN"/>
        </w:rPr>
      </w:pPr>
      <w:r>
        <w:rPr>
          <w:rFonts w:hint="eastAsia" w:ascii="宋体" w:hAnsi="宋体" w:eastAsia="宋体" w:cs="Times New Roman"/>
          <w:color w:val="auto"/>
          <w:sz w:val="72"/>
          <w:szCs w:val="72"/>
          <w:highlight w:val="none"/>
          <w:lang w:val="en-US" w:eastAsia="zh-CN"/>
        </w:rPr>
        <w:t>广西科联招标中心有限公司</w:t>
      </w:r>
    </w:p>
    <w:p>
      <w:pPr>
        <w:spacing w:before="156" w:beforeLines="50" w:line="360" w:lineRule="auto"/>
        <w:jc w:val="center"/>
        <w:rPr>
          <w:rFonts w:hint="eastAsia" w:ascii="宋体" w:hAnsi="宋体" w:eastAsia="宋体" w:cs="宋体"/>
          <w:color w:val="auto"/>
          <w:sz w:val="52"/>
          <w:szCs w:val="52"/>
          <w:highlight w:val="none"/>
        </w:rPr>
      </w:pPr>
    </w:p>
    <w:p>
      <w:pPr>
        <w:snapToGrid w:val="0"/>
        <w:spacing w:before="156" w:beforeLines="50" w:line="360" w:lineRule="auto"/>
        <w:jc w:val="center"/>
        <w:rPr>
          <w:rFonts w:hint="eastAsia" w:ascii="宋体" w:hAnsi="宋体" w:eastAsia="宋体" w:cs="宋体"/>
          <w:color w:val="auto"/>
          <w:sz w:val="36"/>
          <w:szCs w:val="36"/>
          <w:highlight w:val="none"/>
        </w:rPr>
      </w:pPr>
    </w:p>
    <w:p>
      <w:pPr>
        <w:snapToGrid w:val="0"/>
        <w:spacing w:before="156" w:beforeLines="50" w:line="360" w:lineRule="auto"/>
        <w:jc w:val="center"/>
        <w:rPr>
          <w:rFonts w:hint="eastAsia" w:ascii="宋体" w:hAnsi="宋体" w:eastAsia="宋体" w:cs="宋体"/>
          <w:color w:val="auto"/>
          <w:sz w:val="44"/>
          <w:szCs w:val="44"/>
          <w:highlight w:val="none"/>
        </w:rPr>
      </w:pPr>
      <w:r>
        <w:rPr>
          <w:rFonts w:hint="eastAsia" w:ascii="宋体" w:hAnsi="宋体" w:eastAsia="宋体" w:cs="宋体"/>
          <w:color w:val="auto"/>
          <w:sz w:val="72"/>
          <w:szCs w:val="72"/>
          <w:highlight w:val="none"/>
        </w:rPr>
        <w:t>竞争性谈判文件</w:t>
      </w:r>
    </w:p>
    <w:p>
      <w:pPr>
        <w:spacing w:before="312" w:beforeLines="100" w:after="156" w:afterLines="50"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（全流程电子化评标）</w:t>
      </w:r>
    </w:p>
    <w:p>
      <w:pPr>
        <w:spacing w:line="360" w:lineRule="auto"/>
        <w:rPr>
          <w:rFonts w:hint="eastAsia" w:ascii="宋体" w:hAnsi="宋体" w:eastAsia="宋体" w:cs="宋体"/>
          <w:b/>
          <w:color w:val="auto"/>
          <w:sz w:val="32"/>
          <w:szCs w:val="32"/>
          <w:highlight w:val="none"/>
        </w:rPr>
      </w:pPr>
    </w:p>
    <w:p>
      <w:pPr>
        <w:spacing w:line="360" w:lineRule="auto"/>
        <w:jc w:val="center"/>
        <w:rPr>
          <w:rFonts w:hint="eastAsia" w:ascii="宋体" w:hAnsi="宋体" w:eastAsia="宋体" w:cs="宋体"/>
          <w:b/>
          <w:color w:val="auto"/>
          <w:sz w:val="32"/>
          <w:szCs w:val="32"/>
          <w:highlight w:val="none"/>
        </w:rPr>
      </w:pPr>
    </w:p>
    <w:p>
      <w:pPr>
        <w:snapToGrid w:val="0"/>
        <w:spacing w:before="50" w:after="120" w:line="360" w:lineRule="auto"/>
        <w:jc w:val="center"/>
        <w:rPr>
          <w:rFonts w:hint="eastAsia" w:ascii="宋体" w:hAnsi="宋体" w:eastAsia="宋体" w:cs="宋体"/>
          <w:b/>
          <w:bCs/>
          <w:color w:val="auto"/>
          <w:kern w:val="0"/>
          <w:sz w:val="30"/>
          <w:szCs w:val="30"/>
          <w:highlight w:val="none"/>
        </w:rPr>
      </w:pPr>
      <w:r>
        <w:rPr>
          <w:rFonts w:hint="eastAsia" w:ascii="宋体" w:hAnsi="宋体" w:eastAsia="宋体" w:cs="宋体"/>
          <w:b/>
          <w:bCs/>
          <w:color w:val="auto"/>
          <w:kern w:val="0"/>
          <w:sz w:val="30"/>
          <w:szCs w:val="30"/>
          <w:highlight w:val="none"/>
          <w:lang w:val="zh-CN"/>
        </w:rPr>
        <w:t>项目</w:t>
      </w:r>
      <w:r>
        <w:rPr>
          <w:rFonts w:hint="eastAsia" w:ascii="宋体" w:hAnsi="宋体" w:eastAsia="宋体" w:cs="宋体"/>
          <w:b/>
          <w:bCs/>
          <w:color w:val="auto"/>
          <w:w w:val="95"/>
          <w:kern w:val="0"/>
          <w:sz w:val="30"/>
          <w:szCs w:val="30"/>
          <w:highlight w:val="none"/>
          <w:lang w:val="zh-CN"/>
        </w:rPr>
        <w:t>名称</w:t>
      </w:r>
      <w:r>
        <w:rPr>
          <w:rFonts w:hint="eastAsia" w:ascii="宋体" w:hAnsi="宋体" w:eastAsia="宋体" w:cs="宋体"/>
          <w:b/>
          <w:bCs/>
          <w:color w:val="auto"/>
          <w:kern w:val="0"/>
          <w:sz w:val="30"/>
          <w:szCs w:val="30"/>
          <w:highlight w:val="none"/>
          <w:lang w:val="zh-CN"/>
        </w:rPr>
        <w:t>：</w:t>
      </w:r>
      <w:bookmarkStart w:id="0" w:name="OLE_LINK9"/>
      <w:r>
        <w:rPr>
          <w:rFonts w:hint="eastAsia" w:ascii="宋体" w:hAnsi="宋体" w:eastAsia="宋体" w:cs="宋体"/>
          <w:b/>
          <w:bCs/>
          <w:color w:val="auto"/>
          <w:kern w:val="0"/>
          <w:sz w:val="30"/>
          <w:szCs w:val="30"/>
          <w:highlight w:val="none"/>
          <w:lang w:val="zh-CN"/>
        </w:rPr>
        <w:t>网络基础设备、网络安全设备和监控设备采购项目</w:t>
      </w:r>
    </w:p>
    <w:bookmarkEnd w:id="0"/>
    <w:p>
      <w:pPr>
        <w:snapToGrid w:val="0"/>
        <w:spacing w:before="156" w:beforeLines="50" w:line="360" w:lineRule="auto"/>
        <w:jc w:val="center"/>
        <w:rPr>
          <w:rFonts w:hint="eastAsia" w:ascii="宋体" w:hAnsi="宋体" w:eastAsia="宋体" w:cs="宋体"/>
          <w:b/>
          <w:color w:val="auto"/>
          <w:sz w:val="30"/>
          <w:szCs w:val="48"/>
          <w:highlight w:val="none"/>
        </w:rPr>
      </w:pPr>
      <w:r>
        <w:rPr>
          <w:rFonts w:hint="eastAsia" w:ascii="宋体" w:hAnsi="宋体" w:eastAsia="宋体" w:cs="宋体"/>
          <w:b/>
          <w:bCs/>
          <w:color w:val="auto"/>
          <w:w w:val="95"/>
          <w:sz w:val="30"/>
          <w:szCs w:val="30"/>
          <w:highlight w:val="none"/>
        </w:rPr>
        <w:t>项目</w:t>
      </w:r>
      <w:r>
        <w:rPr>
          <w:rFonts w:hint="eastAsia" w:ascii="宋体" w:hAnsi="宋体" w:eastAsia="宋体" w:cs="宋体"/>
          <w:b/>
          <w:bCs/>
          <w:color w:val="auto"/>
          <w:sz w:val="30"/>
          <w:szCs w:val="30"/>
          <w:highlight w:val="none"/>
        </w:rPr>
        <w:t>编号</w:t>
      </w:r>
      <w:r>
        <w:rPr>
          <w:rFonts w:hint="eastAsia" w:ascii="宋体" w:hAnsi="宋体" w:eastAsia="宋体" w:cs="宋体"/>
          <w:b/>
          <w:bCs/>
          <w:color w:val="auto"/>
          <w:w w:val="95"/>
          <w:sz w:val="30"/>
          <w:szCs w:val="30"/>
          <w:highlight w:val="none"/>
        </w:rPr>
        <w:t>：</w:t>
      </w:r>
      <w:r>
        <w:rPr>
          <w:rFonts w:hint="eastAsia" w:ascii="宋体" w:hAnsi="宋体" w:eastAsia="宋体" w:cs="宋体"/>
          <w:b/>
          <w:color w:val="auto"/>
          <w:sz w:val="30"/>
          <w:szCs w:val="48"/>
          <w:highlight w:val="none"/>
          <w:u w:val="none"/>
          <w:lang w:eastAsia="zh-CN"/>
        </w:rPr>
        <w:t>GXZC2025-J1-003820-GXKL</w:t>
      </w:r>
    </w:p>
    <w:p>
      <w:pPr>
        <w:snapToGrid w:val="0"/>
        <w:spacing w:before="50" w:after="120" w:line="360" w:lineRule="auto"/>
        <w:ind w:firstLine="1125" w:firstLineChars="393"/>
        <w:rPr>
          <w:rFonts w:hint="eastAsia" w:ascii="宋体" w:hAnsi="宋体" w:eastAsia="宋体" w:cs="宋体"/>
          <w:b/>
          <w:bCs/>
          <w:color w:val="auto"/>
          <w:w w:val="95"/>
          <w:kern w:val="0"/>
          <w:sz w:val="30"/>
          <w:szCs w:val="30"/>
          <w:highlight w:val="none"/>
          <w:lang w:val="zh-CN"/>
        </w:rPr>
      </w:pPr>
    </w:p>
    <w:p>
      <w:pPr>
        <w:snapToGrid w:val="0"/>
        <w:spacing w:before="50" w:after="120" w:line="360" w:lineRule="auto"/>
        <w:ind w:firstLine="1125" w:firstLineChars="393"/>
        <w:rPr>
          <w:rFonts w:hint="eastAsia" w:ascii="宋体" w:hAnsi="宋体" w:eastAsia="宋体" w:cs="宋体"/>
          <w:b/>
          <w:bCs/>
          <w:color w:val="auto"/>
          <w:w w:val="95"/>
          <w:kern w:val="0"/>
          <w:sz w:val="30"/>
          <w:szCs w:val="30"/>
          <w:highlight w:val="none"/>
          <w:lang w:val="zh-CN"/>
        </w:rPr>
      </w:pPr>
    </w:p>
    <w:p>
      <w:pPr>
        <w:snapToGrid w:val="0"/>
        <w:spacing w:before="50" w:after="120" w:line="360" w:lineRule="auto"/>
        <w:jc w:val="center"/>
        <w:rPr>
          <w:rFonts w:hint="eastAsia" w:ascii="宋体" w:hAnsi="宋体" w:eastAsia="宋体" w:cs="宋体"/>
          <w:b/>
          <w:bCs/>
          <w:color w:val="auto"/>
          <w:w w:val="95"/>
          <w:kern w:val="0"/>
          <w:sz w:val="30"/>
          <w:szCs w:val="30"/>
          <w:highlight w:val="none"/>
          <w:lang w:val="zh-CN"/>
        </w:rPr>
      </w:pPr>
      <w:r>
        <w:rPr>
          <w:rFonts w:hint="eastAsia" w:ascii="宋体" w:hAnsi="宋体" w:eastAsia="宋体" w:cs="宋体"/>
          <w:b/>
          <w:bCs/>
          <w:color w:val="auto"/>
          <w:w w:val="95"/>
          <w:kern w:val="0"/>
          <w:sz w:val="30"/>
          <w:szCs w:val="30"/>
          <w:highlight w:val="none"/>
          <w:lang w:val="zh-CN"/>
        </w:rPr>
        <w:t>采购人：广西壮族自治区计量检测研究院</w:t>
      </w:r>
    </w:p>
    <w:p>
      <w:pPr>
        <w:snapToGrid w:val="0"/>
        <w:spacing w:before="50" w:after="120" w:line="360" w:lineRule="auto"/>
        <w:jc w:val="center"/>
        <w:rPr>
          <w:rFonts w:hint="eastAsia" w:ascii="宋体" w:hAnsi="宋体" w:eastAsia="宋体" w:cs="宋体"/>
          <w:b/>
          <w:bCs/>
          <w:color w:val="auto"/>
          <w:w w:val="95"/>
          <w:kern w:val="0"/>
          <w:sz w:val="30"/>
          <w:szCs w:val="30"/>
          <w:highlight w:val="none"/>
          <w:lang w:val="zh-CN"/>
        </w:rPr>
      </w:pPr>
      <w:r>
        <w:rPr>
          <w:rFonts w:hint="eastAsia" w:ascii="宋体" w:hAnsi="宋体" w:eastAsia="宋体" w:cs="宋体"/>
          <w:b/>
          <w:bCs/>
          <w:color w:val="auto"/>
          <w:w w:val="95"/>
          <w:kern w:val="0"/>
          <w:sz w:val="30"/>
          <w:szCs w:val="30"/>
          <w:highlight w:val="none"/>
          <w:lang w:val="zh-CN"/>
        </w:rPr>
        <w:t>采购代理机构：</w:t>
      </w:r>
      <w:bookmarkStart w:id="1" w:name="PO_3000001866_PM031"/>
      <w:r>
        <w:rPr>
          <w:rFonts w:hint="eastAsia" w:ascii="宋体" w:hAnsi="宋体" w:eastAsia="宋体" w:cs="宋体"/>
          <w:b/>
          <w:bCs/>
          <w:color w:val="auto"/>
          <w:w w:val="95"/>
          <w:kern w:val="0"/>
          <w:sz w:val="30"/>
          <w:szCs w:val="30"/>
          <w:highlight w:val="none"/>
          <w:lang w:val="zh-CN"/>
        </w:rPr>
        <w:t>广西科联招标中心有限公司</w:t>
      </w:r>
      <w:bookmarkEnd w:id="1"/>
    </w:p>
    <w:p>
      <w:pPr>
        <w:spacing w:line="360" w:lineRule="auto"/>
        <w:jc w:val="center"/>
        <w:rPr>
          <w:rFonts w:hint="eastAsia" w:ascii="宋体" w:hAnsi="宋体" w:eastAsia="宋体" w:cs="宋体"/>
          <w:b/>
          <w:color w:val="auto"/>
          <w:sz w:val="32"/>
          <w:szCs w:val="32"/>
          <w:highlight w:val="none"/>
        </w:rPr>
      </w:pPr>
    </w:p>
    <w:p>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2025年</w:t>
      </w:r>
      <w:r>
        <w:rPr>
          <w:rFonts w:hint="eastAsia" w:ascii="宋体" w:hAnsi="宋体" w:eastAsia="宋体" w:cs="宋体"/>
          <w:b/>
          <w:color w:val="auto"/>
          <w:sz w:val="32"/>
          <w:szCs w:val="32"/>
          <w:highlight w:val="none"/>
          <w:lang w:val="en-US" w:eastAsia="zh-CN"/>
        </w:rPr>
        <w:t>12</w:t>
      </w:r>
      <w:r>
        <w:rPr>
          <w:rFonts w:hint="eastAsia" w:ascii="宋体" w:hAnsi="宋体" w:eastAsia="宋体" w:cs="宋体"/>
          <w:b/>
          <w:color w:val="auto"/>
          <w:sz w:val="32"/>
          <w:szCs w:val="32"/>
          <w:highlight w:val="none"/>
        </w:rPr>
        <w:t>月</w:t>
      </w:r>
    </w:p>
    <w:p>
      <w:pPr>
        <w:ind w:firstLine="803"/>
        <w:jc w:val="center"/>
        <w:rPr>
          <w:rFonts w:hint="eastAsia" w:ascii="宋体" w:hAnsi="宋体" w:eastAsia="宋体" w:cs="宋体"/>
          <w:b/>
          <w:color w:val="auto"/>
          <w:sz w:val="32"/>
          <w:szCs w:val="32"/>
          <w:highlight w:val="none"/>
          <w:lang w:val="zh-CN"/>
        </w:rPr>
        <w:sectPr>
          <w:headerReference r:id="rId4" w:type="first"/>
          <w:footerReference r:id="rId6" w:type="first"/>
          <w:headerReference r:id="rId3" w:type="default"/>
          <w:footerReference r:id="rId5" w:type="default"/>
          <w:pgSz w:w="11906" w:h="16838"/>
          <w:pgMar w:top="1440" w:right="1440" w:bottom="1440" w:left="1587" w:header="851" w:footer="992" w:gutter="0"/>
          <w:pgNumType w:start="0"/>
          <w:cols w:space="720" w:num="1"/>
          <w:titlePg/>
          <w:docGrid w:type="lines" w:linePitch="312" w:charSpace="0"/>
        </w:sectPr>
      </w:pPr>
    </w:p>
    <w:p>
      <w:pPr>
        <w:spacing w:line="400" w:lineRule="exact"/>
        <w:jc w:val="left"/>
        <w:rPr>
          <w:rFonts w:hint="eastAsia" w:ascii="宋体" w:hAnsi="宋体" w:eastAsia="宋体" w:cs="Times New Roman"/>
          <w:b/>
          <w:color w:val="auto"/>
          <w:sz w:val="32"/>
          <w:szCs w:val="32"/>
          <w:highlight w:val="none"/>
        </w:rPr>
      </w:pPr>
    </w:p>
    <w:p>
      <w:pPr>
        <w:spacing w:line="360" w:lineRule="auto"/>
        <w:jc w:val="center"/>
        <w:rPr>
          <w:rFonts w:hint="eastAsia" w:ascii="宋体" w:hAnsi="宋体" w:eastAsia="宋体" w:cs="Times New Roman"/>
          <w:b/>
          <w:color w:val="auto"/>
          <w:sz w:val="44"/>
          <w:szCs w:val="44"/>
          <w:highlight w:val="none"/>
        </w:rPr>
      </w:pPr>
      <w:r>
        <w:rPr>
          <w:rFonts w:hint="eastAsia" w:ascii="宋体" w:hAnsi="宋体" w:eastAsia="宋体" w:cs="Times New Roman"/>
          <w:b/>
          <w:color w:val="auto"/>
          <w:sz w:val="44"/>
          <w:szCs w:val="44"/>
          <w:highlight w:val="none"/>
        </w:rPr>
        <w:t>目   录</w:t>
      </w:r>
    </w:p>
    <w:p>
      <w:pPr>
        <w:spacing w:line="400" w:lineRule="exact"/>
        <w:jc w:val="center"/>
        <w:rPr>
          <w:rFonts w:hint="eastAsia" w:ascii="宋体" w:hAnsi="宋体" w:eastAsia="宋体" w:cs="Times New Roman"/>
          <w:b/>
          <w:color w:val="auto"/>
          <w:sz w:val="44"/>
          <w:szCs w:val="44"/>
          <w:highlight w:val="none"/>
        </w:rPr>
      </w:pPr>
    </w:p>
    <w:p>
      <w:pPr>
        <w:pStyle w:val="23"/>
        <w:tabs>
          <w:tab w:val="right" w:leader="dot" w:pos="8879"/>
        </w:tabs>
        <w:rPr>
          <w:rFonts w:hint="eastAsia" w:ascii="宋体" w:hAnsi="宋体" w:eastAsia="宋体" w:cs="宋体"/>
          <w:b/>
          <w:color w:val="auto"/>
          <w:sz w:val="28"/>
          <w:szCs w:val="28"/>
          <w:highlight w:val="none"/>
        </w:rPr>
      </w:pPr>
    </w:p>
    <w:p>
      <w:pPr>
        <w:pStyle w:val="23"/>
        <w:tabs>
          <w:tab w:val="right" w:leader="dot" w:pos="8879"/>
        </w:tabs>
        <w:spacing w:line="360" w:lineRule="auto"/>
        <w:rPr>
          <w:rFonts w:hint="eastAsia" w:asciiTheme="majorEastAsia" w:hAnsiTheme="majorEastAsia" w:eastAsiaTheme="majorEastAsia" w:cstheme="majorEastAsia"/>
          <w:b/>
          <w:bCs/>
          <w:color w:val="auto"/>
          <w:sz w:val="28"/>
          <w:szCs w:val="28"/>
          <w:highlight w:val="none"/>
        </w:rPr>
      </w:pPr>
      <w:r>
        <w:rPr>
          <w:rFonts w:hint="eastAsia" w:ascii="宋体" w:hAnsi="宋体" w:eastAsia="宋体" w:cs="宋体"/>
          <w:b/>
          <w:color w:val="auto"/>
          <w:sz w:val="28"/>
          <w:szCs w:val="28"/>
          <w:highlight w:val="none"/>
        </w:rPr>
        <w:fldChar w:fldCharType="begin"/>
      </w:r>
      <w:r>
        <w:rPr>
          <w:rFonts w:hint="eastAsia" w:ascii="宋体" w:hAnsi="宋体" w:eastAsia="宋体" w:cs="宋体"/>
          <w:b/>
          <w:color w:val="auto"/>
          <w:sz w:val="28"/>
          <w:szCs w:val="28"/>
          <w:highlight w:val="none"/>
        </w:rPr>
        <w:instrText xml:space="preserve">TOC \o "1-1" \h \u </w:instrText>
      </w:r>
      <w:r>
        <w:rPr>
          <w:rFonts w:hint="eastAsia" w:ascii="宋体" w:hAnsi="宋体" w:eastAsia="宋体" w:cs="宋体"/>
          <w:b/>
          <w:color w:val="auto"/>
          <w:sz w:val="28"/>
          <w:szCs w:val="28"/>
          <w:highlight w:val="none"/>
        </w:rPr>
        <w:fldChar w:fldCharType="separate"/>
      </w:r>
      <w:r>
        <w:rPr>
          <w:color w:val="auto"/>
          <w:sz w:val="22"/>
          <w:szCs w:val="24"/>
          <w:highlight w:val="none"/>
        </w:rPr>
        <w:fldChar w:fldCharType="begin"/>
      </w:r>
      <w:r>
        <w:rPr>
          <w:color w:val="auto"/>
          <w:sz w:val="22"/>
          <w:szCs w:val="24"/>
          <w:highlight w:val="none"/>
        </w:rPr>
        <w:instrText xml:space="preserve"> HYPERLINK \l "_Toc28468" </w:instrText>
      </w:r>
      <w:r>
        <w:rPr>
          <w:color w:val="auto"/>
          <w:sz w:val="22"/>
          <w:szCs w:val="24"/>
          <w:highlight w:val="none"/>
        </w:rPr>
        <w:fldChar w:fldCharType="separate"/>
      </w:r>
      <w:r>
        <w:rPr>
          <w:rFonts w:hint="eastAsia" w:asciiTheme="majorEastAsia" w:hAnsiTheme="majorEastAsia" w:eastAsiaTheme="majorEastAsia" w:cstheme="majorEastAsia"/>
          <w:b/>
          <w:bCs/>
          <w:color w:val="auto"/>
          <w:kern w:val="44"/>
          <w:sz w:val="28"/>
          <w:szCs w:val="28"/>
          <w:highlight w:val="none"/>
          <w:lang w:val="zh-CN"/>
        </w:rPr>
        <w:t>第一章 竞争性谈判公告</w:t>
      </w:r>
      <w:r>
        <w:rPr>
          <w:rFonts w:hint="eastAsia" w:asciiTheme="majorEastAsia" w:hAnsiTheme="majorEastAsia" w:eastAsiaTheme="majorEastAsia" w:cstheme="majorEastAsia"/>
          <w:b/>
          <w:bCs/>
          <w:color w:val="auto"/>
          <w:sz w:val="28"/>
          <w:szCs w:val="28"/>
          <w:highlight w:val="none"/>
        </w:rPr>
        <w:tab/>
      </w:r>
      <w:r>
        <w:rPr>
          <w:rFonts w:hint="eastAsia" w:asciiTheme="majorEastAsia" w:hAnsiTheme="majorEastAsia" w:eastAsiaTheme="majorEastAsia" w:cstheme="majorEastAsia"/>
          <w:b/>
          <w:bCs/>
          <w:color w:val="auto"/>
          <w:sz w:val="28"/>
          <w:szCs w:val="28"/>
          <w:highlight w:val="none"/>
        </w:rPr>
        <w:fldChar w:fldCharType="begin"/>
      </w:r>
      <w:r>
        <w:rPr>
          <w:rFonts w:hint="eastAsia" w:asciiTheme="majorEastAsia" w:hAnsiTheme="majorEastAsia" w:eastAsiaTheme="majorEastAsia" w:cstheme="majorEastAsia"/>
          <w:b/>
          <w:bCs/>
          <w:color w:val="auto"/>
          <w:sz w:val="28"/>
          <w:szCs w:val="28"/>
          <w:highlight w:val="none"/>
        </w:rPr>
        <w:instrText xml:space="preserve"> PAGEREF _Toc28468 </w:instrText>
      </w:r>
      <w:r>
        <w:rPr>
          <w:rFonts w:hint="eastAsia" w:asciiTheme="majorEastAsia" w:hAnsiTheme="majorEastAsia" w:eastAsiaTheme="majorEastAsia" w:cstheme="majorEastAsia"/>
          <w:b/>
          <w:bCs/>
          <w:color w:val="auto"/>
          <w:sz w:val="28"/>
          <w:szCs w:val="28"/>
          <w:highlight w:val="none"/>
        </w:rPr>
        <w:fldChar w:fldCharType="separate"/>
      </w:r>
      <w:r>
        <w:rPr>
          <w:rFonts w:hint="eastAsia" w:asciiTheme="majorEastAsia" w:hAnsiTheme="majorEastAsia" w:eastAsiaTheme="majorEastAsia" w:cstheme="majorEastAsia"/>
          <w:b/>
          <w:bCs/>
          <w:color w:val="auto"/>
          <w:sz w:val="28"/>
          <w:szCs w:val="28"/>
          <w:highlight w:val="none"/>
        </w:rPr>
        <w:t>2</w:t>
      </w:r>
      <w:r>
        <w:rPr>
          <w:rFonts w:hint="eastAsia" w:asciiTheme="majorEastAsia" w:hAnsiTheme="majorEastAsia" w:eastAsiaTheme="majorEastAsia" w:cstheme="majorEastAsia"/>
          <w:b/>
          <w:bCs/>
          <w:color w:val="auto"/>
          <w:sz w:val="28"/>
          <w:szCs w:val="28"/>
          <w:highlight w:val="none"/>
        </w:rPr>
        <w:fldChar w:fldCharType="end"/>
      </w:r>
      <w:r>
        <w:rPr>
          <w:rFonts w:hint="eastAsia" w:asciiTheme="majorEastAsia" w:hAnsiTheme="majorEastAsia" w:eastAsiaTheme="majorEastAsia" w:cstheme="majorEastAsia"/>
          <w:b/>
          <w:bCs/>
          <w:color w:val="auto"/>
          <w:sz w:val="28"/>
          <w:szCs w:val="28"/>
          <w:highlight w:val="none"/>
        </w:rPr>
        <w:fldChar w:fldCharType="end"/>
      </w:r>
    </w:p>
    <w:p>
      <w:pPr>
        <w:pStyle w:val="23"/>
        <w:tabs>
          <w:tab w:val="right" w:leader="dot" w:pos="8879"/>
        </w:tabs>
        <w:spacing w:line="360" w:lineRule="auto"/>
        <w:rPr>
          <w:rFonts w:hint="eastAsia" w:asciiTheme="majorEastAsia" w:hAnsiTheme="majorEastAsia" w:eastAsiaTheme="majorEastAsia" w:cstheme="majorEastAsia"/>
          <w:b/>
          <w:bCs/>
          <w:color w:val="auto"/>
          <w:sz w:val="28"/>
          <w:szCs w:val="28"/>
          <w:highlight w:val="none"/>
        </w:rPr>
      </w:pPr>
      <w:r>
        <w:rPr>
          <w:color w:val="auto"/>
          <w:sz w:val="22"/>
          <w:szCs w:val="24"/>
          <w:highlight w:val="none"/>
        </w:rPr>
        <w:fldChar w:fldCharType="begin"/>
      </w:r>
      <w:r>
        <w:rPr>
          <w:color w:val="auto"/>
          <w:sz w:val="22"/>
          <w:szCs w:val="24"/>
          <w:highlight w:val="none"/>
        </w:rPr>
        <w:instrText xml:space="preserve"> HYPERLINK \l "_Toc7676" </w:instrText>
      </w:r>
      <w:r>
        <w:rPr>
          <w:color w:val="auto"/>
          <w:sz w:val="22"/>
          <w:szCs w:val="24"/>
          <w:highlight w:val="none"/>
        </w:rPr>
        <w:fldChar w:fldCharType="separate"/>
      </w:r>
      <w:r>
        <w:rPr>
          <w:rFonts w:hint="eastAsia" w:asciiTheme="majorEastAsia" w:hAnsiTheme="majorEastAsia" w:eastAsiaTheme="majorEastAsia" w:cstheme="majorEastAsia"/>
          <w:b/>
          <w:bCs/>
          <w:color w:val="auto"/>
          <w:kern w:val="44"/>
          <w:sz w:val="28"/>
          <w:szCs w:val="28"/>
          <w:highlight w:val="none"/>
          <w:lang w:val="zh-CN"/>
        </w:rPr>
        <w:t>第二章 采购需求</w:t>
      </w:r>
      <w:r>
        <w:rPr>
          <w:rFonts w:hint="eastAsia" w:asciiTheme="majorEastAsia" w:hAnsiTheme="majorEastAsia" w:eastAsiaTheme="majorEastAsia" w:cstheme="majorEastAsia"/>
          <w:b/>
          <w:bCs/>
          <w:color w:val="auto"/>
          <w:sz w:val="28"/>
          <w:szCs w:val="28"/>
          <w:highlight w:val="none"/>
        </w:rPr>
        <w:tab/>
      </w:r>
      <w:r>
        <w:rPr>
          <w:rFonts w:hint="eastAsia" w:asciiTheme="majorEastAsia" w:hAnsiTheme="majorEastAsia" w:eastAsiaTheme="majorEastAsia" w:cstheme="majorEastAsia"/>
          <w:b/>
          <w:bCs/>
          <w:color w:val="auto"/>
          <w:sz w:val="28"/>
          <w:szCs w:val="28"/>
          <w:highlight w:val="none"/>
        </w:rPr>
        <w:fldChar w:fldCharType="begin"/>
      </w:r>
      <w:r>
        <w:rPr>
          <w:rFonts w:hint="eastAsia" w:asciiTheme="majorEastAsia" w:hAnsiTheme="majorEastAsia" w:eastAsiaTheme="majorEastAsia" w:cstheme="majorEastAsia"/>
          <w:b/>
          <w:bCs/>
          <w:color w:val="auto"/>
          <w:sz w:val="28"/>
          <w:szCs w:val="28"/>
          <w:highlight w:val="none"/>
        </w:rPr>
        <w:instrText xml:space="preserve"> PAGEREF _Toc7676 </w:instrText>
      </w:r>
      <w:r>
        <w:rPr>
          <w:rFonts w:hint="eastAsia" w:asciiTheme="majorEastAsia" w:hAnsiTheme="majorEastAsia" w:eastAsiaTheme="majorEastAsia" w:cstheme="majorEastAsia"/>
          <w:b/>
          <w:bCs/>
          <w:color w:val="auto"/>
          <w:sz w:val="28"/>
          <w:szCs w:val="28"/>
          <w:highlight w:val="none"/>
        </w:rPr>
        <w:fldChar w:fldCharType="separate"/>
      </w:r>
      <w:r>
        <w:rPr>
          <w:rFonts w:hint="eastAsia" w:asciiTheme="majorEastAsia" w:hAnsiTheme="majorEastAsia" w:eastAsiaTheme="majorEastAsia" w:cstheme="majorEastAsia"/>
          <w:b/>
          <w:bCs/>
          <w:color w:val="auto"/>
          <w:sz w:val="28"/>
          <w:szCs w:val="28"/>
          <w:highlight w:val="none"/>
        </w:rPr>
        <w:t>6</w:t>
      </w:r>
      <w:r>
        <w:rPr>
          <w:rFonts w:hint="eastAsia" w:asciiTheme="majorEastAsia" w:hAnsiTheme="majorEastAsia" w:eastAsiaTheme="majorEastAsia" w:cstheme="majorEastAsia"/>
          <w:b/>
          <w:bCs/>
          <w:color w:val="auto"/>
          <w:sz w:val="28"/>
          <w:szCs w:val="28"/>
          <w:highlight w:val="none"/>
        </w:rPr>
        <w:fldChar w:fldCharType="end"/>
      </w:r>
      <w:r>
        <w:rPr>
          <w:rFonts w:hint="eastAsia" w:asciiTheme="majorEastAsia" w:hAnsiTheme="majorEastAsia" w:eastAsiaTheme="majorEastAsia" w:cstheme="majorEastAsia"/>
          <w:b/>
          <w:bCs/>
          <w:color w:val="auto"/>
          <w:sz w:val="28"/>
          <w:szCs w:val="28"/>
          <w:highlight w:val="none"/>
        </w:rPr>
        <w:fldChar w:fldCharType="end"/>
      </w:r>
    </w:p>
    <w:p>
      <w:pPr>
        <w:pStyle w:val="23"/>
        <w:tabs>
          <w:tab w:val="right" w:leader="dot" w:pos="8879"/>
        </w:tabs>
        <w:spacing w:line="360" w:lineRule="auto"/>
        <w:rPr>
          <w:rFonts w:hint="eastAsia" w:asciiTheme="majorEastAsia" w:hAnsiTheme="majorEastAsia" w:eastAsiaTheme="majorEastAsia" w:cstheme="majorEastAsia"/>
          <w:b/>
          <w:bCs/>
          <w:color w:val="auto"/>
          <w:sz w:val="28"/>
          <w:szCs w:val="28"/>
          <w:highlight w:val="none"/>
        </w:rPr>
      </w:pPr>
      <w:r>
        <w:rPr>
          <w:color w:val="auto"/>
          <w:sz w:val="22"/>
          <w:szCs w:val="24"/>
          <w:highlight w:val="none"/>
        </w:rPr>
        <w:fldChar w:fldCharType="begin"/>
      </w:r>
      <w:r>
        <w:rPr>
          <w:color w:val="auto"/>
          <w:sz w:val="22"/>
          <w:szCs w:val="24"/>
          <w:highlight w:val="none"/>
        </w:rPr>
        <w:instrText xml:space="preserve"> HYPERLINK \l "_Toc16363" </w:instrText>
      </w:r>
      <w:r>
        <w:rPr>
          <w:color w:val="auto"/>
          <w:sz w:val="22"/>
          <w:szCs w:val="24"/>
          <w:highlight w:val="none"/>
        </w:rPr>
        <w:fldChar w:fldCharType="separate"/>
      </w:r>
      <w:r>
        <w:rPr>
          <w:rFonts w:hint="eastAsia" w:asciiTheme="majorEastAsia" w:hAnsiTheme="majorEastAsia" w:eastAsiaTheme="majorEastAsia" w:cstheme="majorEastAsia"/>
          <w:b/>
          <w:bCs/>
          <w:color w:val="auto"/>
          <w:kern w:val="44"/>
          <w:sz w:val="28"/>
          <w:szCs w:val="28"/>
          <w:highlight w:val="none"/>
          <w:lang w:val="zh-CN"/>
        </w:rPr>
        <w:t>第三章 供应商须知</w:t>
      </w:r>
      <w:r>
        <w:rPr>
          <w:rFonts w:hint="eastAsia" w:asciiTheme="majorEastAsia" w:hAnsiTheme="majorEastAsia" w:eastAsiaTheme="majorEastAsia" w:cstheme="majorEastAsia"/>
          <w:b/>
          <w:bCs/>
          <w:color w:val="auto"/>
          <w:sz w:val="28"/>
          <w:szCs w:val="28"/>
          <w:highlight w:val="none"/>
        </w:rPr>
        <w:tab/>
      </w:r>
      <w:r>
        <w:rPr>
          <w:rFonts w:hint="eastAsia" w:asciiTheme="majorEastAsia" w:hAnsiTheme="majorEastAsia" w:eastAsiaTheme="majorEastAsia" w:cstheme="majorEastAsia"/>
          <w:b/>
          <w:bCs/>
          <w:color w:val="auto"/>
          <w:sz w:val="28"/>
          <w:szCs w:val="28"/>
          <w:highlight w:val="none"/>
        </w:rPr>
        <w:fldChar w:fldCharType="begin"/>
      </w:r>
      <w:r>
        <w:rPr>
          <w:rFonts w:hint="eastAsia" w:asciiTheme="majorEastAsia" w:hAnsiTheme="majorEastAsia" w:eastAsiaTheme="majorEastAsia" w:cstheme="majorEastAsia"/>
          <w:b/>
          <w:bCs/>
          <w:color w:val="auto"/>
          <w:sz w:val="28"/>
          <w:szCs w:val="28"/>
          <w:highlight w:val="none"/>
        </w:rPr>
        <w:instrText xml:space="preserve"> PAGEREF _Toc16363 </w:instrText>
      </w:r>
      <w:r>
        <w:rPr>
          <w:rFonts w:hint="eastAsia" w:asciiTheme="majorEastAsia" w:hAnsiTheme="majorEastAsia" w:eastAsiaTheme="majorEastAsia" w:cstheme="majorEastAsia"/>
          <w:b/>
          <w:bCs/>
          <w:color w:val="auto"/>
          <w:sz w:val="28"/>
          <w:szCs w:val="28"/>
          <w:highlight w:val="none"/>
        </w:rPr>
        <w:fldChar w:fldCharType="separate"/>
      </w:r>
      <w:r>
        <w:rPr>
          <w:rFonts w:hint="eastAsia" w:asciiTheme="majorEastAsia" w:hAnsiTheme="majorEastAsia" w:eastAsiaTheme="majorEastAsia" w:cstheme="majorEastAsia"/>
          <w:b/>
          <w:bCs/>
          <w:color w:val="auto"/>
          <w:sz w:val="28"/>
          <w:szCs w:val="28"/>
          <w:highlight w:val="none"/>
        </w:rPr>
        <w:t>39</w:t>
      </w:r>
      <w:r>
        <w:rPr>
          <w:rFonts w:hint="eastAsia" w:asciiTheme="majorEastAsia" w:hAnsiTheme="majorEastAsia" w:eastAsiaTheme="majorEastAsia" w:cstheme="majorEastAsia"/>
          <w:b/>
          <w:bCs/>
          <w:color w:val="auto"/>
          <w:sz w:val="28"/>
          <w:szCs w:val="28"/>
          <w:highlight w:val="none"/>
        </w:rPr>
        <w:fldChar w:fldCharType="end"/>
      </w:r>
      <w:r>
        <w:rPr>
          <w:rFonts w:hint="eastAsia" w:asciiTheme="majorEastAsia" w:hAnsiTheme="majorEastAsia" w:eastAsiaTheme="majorEastAsia" w:cstheme="majorEastAsia"/>
          <w:b/>
          <w:bCs/>
          <w:color w:val="auto"/>
          <w:sz w:val="28"/>
          <w:szCs w:val="28"/>
          <w:highlight w:val="none"/>
        </w:rPr>
        <w:fldChar w:fldCharType="end"/>
      </w:r>
    </w:p>
    <w:p>
      <w:pPr>
        <w:pStyle w:val="23"/>
        <w:tabs>
          <w:tab w:val="right" w:leader="dot" w:pos="8879"/>
        </w:tabs>
        <w:spacing w:line="360" w:lineRule="auto"/>
        <w:rPr>
          <w:rFonts w:hint="eastAsia" w:asciiTheme="majorEastAsia" w:hAnsiTheme="majorEastAsia" w:eastAsiaTheme="majorEastAsia" w:cstheme="majorEastAsia"/>
          <w:b/>
          <w:bCs/>
          <w:color w:val="auto"/>
          <w:sz w:val="28"/>
          <w:szCs w:val="28"/>
          <w:highlight w:val="none"/>
        </w:rPr>
      </w:pPr>
      <w:r>
        <w:rPr>
          <w:color w:val="auto"/>
          <w:sz w:val="22"/>
          <w:szCs w:val="24"/>
          <w:highlight w:val="none"/>
        </w:rPr>
        <w:fldChar w:fldCharType="begin"/>
      </w:r>
      <w:r>
        <w:rPr>
          <w:color w:val="auto"/>
          <w:sz w:val="22"/>
          <w:szCs w:val="24"/>
          <w:highlight w:val="none"/>
        </w:rPr>
        <w:instrText xml:space="preserve"> HYPERLINK \l "_Toc17139" </w:instrText>
      </w:r>
      <w:r>
        <w:rPr>
          <w:color w:val="auto"/>
          <w:sz w:val="22"/>
          <w:szCs w:val="24"/>
          <w:highlight w:val="none"/>
        </w:rPr>
        <w:fldChar w:fldCharType="separate"/>
      </w:r>
      <w:r>
        <w:rPr>
          <w:rFonts w:hint="eastAsia" w:asciiTheme="majorEastAsia" w:hAnsiTheme="majorEastAsia" w:eastAsiaTheme="majorEastAsia" w:cstheme="majorEastAsia"/>
          <w:b/>
          <w:bCs/>
          <w:color w:val="auto"/>
          <w:sz w:val="28"/>
          <w:szCs w:val="28"/>
          <w:highlight w:val="none"/>
          <w:lang w:val="zh-CN"/>
        </w:rPr>
        <w:t>第四章 评审程序、评审方法和成交标准</w:t>
      </w:r>
      <w:r>
        <w:rPr>
          <w:rFonts w:hint="eastAsia" w:asciiTheme="majorEastAsia" w:hAnsiTheme="majorEastAsia" w:eastAsiaTheme="majorEastAsia" w:cstheme="majorEastAsia"/>
          <w:b/>
          <w:bCs/>
          <w:color w:val="auto"/>
          <w:sz w:val="28"/>
          <w:szCs w:val="28"/>
          <w:highlight w:val="none"/>
        </w:rPr>
        <w:tab/>
      </w:r>
      <w:r>
        <w:rPr>
          <w:rFonts w:hint="eastAsia" w:asciiTheme="majorEastAsia" w:hAnsiTheme="majorEastAsia" w:eastAsiaTheme="majorEastAsia" w:cstheme="majorEastAsia"/>
          <w:b/>
          <w:bCs/>
          <w:color w:val="auto"/>
          <w:sz w:val="28"/>
          <w:szCs w:val="28"/>
          <w:highlight w:val="none"/>
        </w:rPr>
        <w:fldChar w:fldCharType="begin"/>
      </w:r>
      <w:r>
        <w:rPr>
          <w:rFonts w:hint="eastAsia" w:asciiTheme="majorEastAsia" w:hAnsiTheme="majorEastAsia" w:eastAsiaTheme="majorEastAsia" w:cstheme="majorEastAsia"/>
          <w:b/>
          <w:bCs/>
          <w:color w:val="auto"/>
          <w:sz w:val="28"/>
          <w:szCs w:val="28"/>
          <w:highlight w:val="none"/>
        </w:rPr>
        <w:instrText xml:space="preserve"> PAGEREF _Toc17139 </w:instrText>
      </w:r>
      <w:r>
        <w:rPr>
          <w:rFonts w:hint="eastAsia" w:asciiTheme="majorEastAsia" w:hAnsiTheme="majorEastAsia" w:eastAsiaTheme="majorEastAsia" w:cstheme="majorEastAsia"/>
          <w:b/>
          <w:bCs/>
          <w:color w:val="auto"/>
          <w:sz w:val="28"/>
          <w:szCs w:val="28"/>
          <w:highlight w:val="none"/>
        </w:rPr>
        <w:fldChar w:fldCharType="separate"/>
      </w:r>
      <w:r>
        <w:rPr>
          <w:rFonts w:hint="eastAsia" w:asciiTheme="majorEastAsia" w:hAnsiTheme="majorEastAsia" w:eastAsiaTheme="majorEastAsia" w:cstheme="majorEastAsia"/>
          <w:b/>
          <w:bCs/>
          <w:color w:val="auto"/>
          <w:sz w:val="28"/>
          <w:szCs w:val="28"/>
          <w:highlight w:val="none"/>
        </w:rPr>
        <w:t>59</w:t>
      </w:r>
      <w:r>
        <w:rPr>
          <w:rFonts w:hint="eastAsia" w:asciiTheme="majorEastAsia" w:hAnsiTheme="majorEastAsia" w:eastAsiaTheme="majorEastAsia" w:cstheme="majorEastAsia"/>
          <w:b/>
          <w:bCs/>
          <w:color w:val="auto"/>
          <w:sz w:val="28"/>
          <w:szCs w:val="28"/>
          <w:highlight w:val="none"/>
        </w:rPr>
        <w:fldChar w:fldCharType="end"/>
      </w:r>
      <w:r>
        <w:rPr>
          <w:rFonts w:hint="eastAsia" w:asciiTheme="majorEastAsia" w:hAnsiTheme="majorEastAsia" w:eastAsiaTheme="majorEastAsia" w:cstheme="majorEastAsia"/>
          <w:b/>
          <w:bCs/>
          <w:color w:val="auto"/>
          <w:sz w:val="28"/>
          <w:szCs w:val="28"/>
          <w:highlight w:val="none"/>
        </w:rPr>
        <w:fldChar w:fldCharType="end"/>
      </w:r>
    </w:p>
    <w:p>
      <w:pPr>
        <w:pStyle w:val="23"/>
        <w:tabs>
          <w:tab w:val="right" w:leader="dot" w:pos="8879"/>
        </w:tabs>
        <w:spacing w:line="360" w:lineRule="auto"/>
        <w:rPr>
          <w:rFonts w:hint="eastAsia" w:asciiTheme="majorEastAsia" w:hAnsiTheme="majorEastAsia" w:eastAsiaTheme="majorEastAsia" w:cstheme="majorEastAsia"/>
          <w:b/>
          <w:bCs/>
          <w:color w:val="auto"/>
          <w:sz w:val="28"/>
          <w:szCs w:val="28"/>
          <w:highlight w:val="none"/>
        </w:rPr>
      </w:pPr>
      <w:r>
        <w:rPr>
          <w:color w:val="auto"/>
          <w:sz w:val="22"/>
          <w:szCs w:val="24"/>
          <w:highlight w:val="none"/>
        </w:rPr>
        <w:fldChar w:fldCharType="begin"/>
      </w:r>
      <w:r>
        <w:rPr>
          <w:color w:val="auto"/>
          <w:sz w:val="22"/>
          <w:szCs w:val="24"/>
          <w:highlight w:val="none"/>
        </w:rPr>
        <w:instrText xml:space="preserve"> HYPERLINK \l "_Toc25678" </w:instrText>
      </w:r>
      <w:r>
        <w:rPr>
          <w:color w:val="auto"/>
          <w:sz w:val="22"/>
          <w:szCs w:val="24"/>
          <w:highlight w:val="none"/>
        </w:rPr>
        <w:fldChar w:fldCharType="separate"/>
      </w:r>
      <w:r>
        <w:rPr>
          <w:rFonts w:hint="eastAsia" w:asciiTheme="majorEastAsia" w:hAnsiTheme="majorEastAsia" w:eastAsiaTheme="majorEastAsia" w:cstheme="majorEastAsia"/>
          <w:b/>
          <w:bCs/>
          <w:color w:val="auto"/>
          <w:kern w:val="44"/>
          <w:sz w:val="28"/>
          <w:szCs w:val="28"/>
          <w:highlight w:val="none"/>
          <w:lang w:val="zh-CN"/>
        </w:rPr>
        <w:t>第五章 响应文件格式</w:t>
      </w:r>
      <w:r>
        <w:rPr>
          <w:rFonts w:hint="eastAsia" w:asciiTheme="majorEastAsia" w:hAnsiTheme="majorEastAsia" w:eastAsiaTheme="majorEastAsia" w:cstheme="majorEastAsia"/>
          <w:b/>
          <w:bCs/>
          <w:color w:val="auto"/>
          <w:sz w:val="28"/>
          <w:szCs w:val="28"/>
          <w:highlight w:val="none"/>
        </w:rPr>
        <w:tab/>
      </w:r>
      <w:r>
        <w:rPr>
          <w:rFonts w:hint="eastAsia" w:asciiTheme="majorEastAsia" w:hAnsiTheme="majorEastAsia" w:eastAsiaTheme="majorEastAsia" w:cstheme="majorEastAsia"/>
          <w:b/>
          <w:bCs/>
          <w:color w:val="auto"/>
          <w:sz w:val="28"/>
          <w:szCs w:val="28"/>
          <w:highlight w:val="none"/>
        </w:rPr>
        <w:fldChar w:fldCharType="begin"/>
      </w:r>
      <w:r>
        <w:rPr>
          <w:rFonts w:hint="eastAsia" w:asciiTheme="majorEastAsia" w:hAnsiTheme="majorEastAsia" w:eastAsiaTheme="majorEastAsia" w:cstheme="majorEastAsia"/>
          <w:b/>
          <w:bCs/>
          <w:color w:val="auto"/>
          <w:sz w:val="28"/>
          <w:szCs w:val="28"/>
          <w:highlight w:val="none"/>
        </w:rPr>
        <w:instrText xml:space="preserve"> PAGEREF _Toc25678 </w:instrText>
      </w:r>
      <w:r>
        <w:rPr>
          <w:rFonts w:hint="eastAsia" w:asciiTheme="majorEastAsia" w:hAnsiTheme="majorEastAsia" w:eastAsiaTheme="majorEastAsia" w:cstheme="majorEastAsia"/>
          <w:b/>
          <w:bCs/>
          <w:color w:val="auto"/>
          <w:sz w:val="28"/>
          <w:szCs w:val="28"/>
          <w:highlight w:val="none"/>
        </w:rPr>
        <w:fldChar w:fldCharType="separate"/>
      </w:r>
      <w:r>
        <w:rPr>
          <w:rFonts w:hint="eastAsia" w:asciiTheme="majorEastAsia" w:hAnsiTheme="majorEastAsia" w:eastAsiaTheme="majorEastAsia" w:cstheme="majorEastAsia"/>
          <w:b/>
          <w:bCs/>
          <w:color w:val="auto"/>
          <w:sz w:val="28"/>
          <w:szCs w:val="28"/>
          <w:highlight w:val="none"/>
        </w:rPr>
        <w:t>65</w:t>
      </w:r>
      <w:r>
        <w:rPr>
          <w:rFonts w:hint="eastAsia" w:asciiTheme="majorEastAsia" w:hAnsiTheme="majorEastAsia" w:eastAsiaTheme="majorEastAsia" w:cstheme="majorEastAsia"/>
          <w:b/>
          <w:bCs/>
          <w:color w:val="auto"/>
          <w:sz w:val="28"/>
          <w:szCs w:val="28"/>
          <w:highlight w:val="none"/>
        </w:rPr>
        <w:fldChar w:fldCharType="end"/>
      </w:r>
      <w:r>
        <w:rPr>
          <w:rFonts w:hint="eastAsia" w:asciiTheme="majorEastAsia" w:hAnsiTheme="majorEastAsia" w:eastAsiaTheme="majorEastAsia" w:cstheme="majorEastAsia"/>
          <w:b/>
          <w:bCs/>
          <w:color w:val="auto"/>
          <w:sz w:val="28"/>
          <w:szCs w:val="28"/>
          <w:highlight w:val="none"/>
        </w:rPr>
        <w:fldChar w:fldCharType="end"/>
      </w:r>
    </w:p>
    <w:p>
      <w:pPr>
        <w:pStyle w:val="23"/>
        <w:tabs>
          <w:tab w:val="right" w:leader="dot" w:pos="8879"/>
        </w:tabs>
        <w:spacing w:line="360" w:lineRule="auto"/>
        <w:rPr>
          <w:rFonts w:hint="eastAsia" w:asciiTheme="majorEastAsia" w:hAnsiTheme="majorEastAsia" w:eastAsiaTheme="majorEastAsia" w:cstheme="majorEastAsia"/>
          <w:b/>
          <w:bCs/>
          <w:color w:val="auto"/>
          <w:sz w:val="28"/>
          <w:szCs w:val="28"/>
          <w:highlight w:val="none"/>
        </w:rPr>
      </w:pPr>
      <w:r>
        <w:rPr>
          <w:color w:val="auto"/>
          <w:sz w:val="22"/>
          <w:szCs w:val="24"/>
          <w:highlight w:val="none"/>
        </w:rPr>
        <w:fldChar w:fldCharType="begin"/>
      </w:r>
      <w:r>
        <w:rPr>
          <w:color w:val="auto"/>
          <w:sz w:val="22"/>
          <w:szCs w:val="24"/>
          <w:highlight w:val="none"/>
        </w:rPr>
        <w:instrText xml:space="preserve"> HYPERLINK \l "_Toc4631" </w:instrText>
      </w:r>
      <w:r>
        <w:rPr>
          <w:color w:val="auto"/>
          <w:sz w:val="22"/>
          <w:szCs w:val="24"/>
          <w:highlight w:val="none"/>
        </w:rPr>
        <w:fldChar w:fldCharType="separate"/>
      </w:r>
      <w:r>
        <w:rPr>
          <w:rFonts w:hint="eastAsia" w:asciiTheme="majorEastAsia" w:hAnsiTheme="majorEastAsia" w:eastAsiaTheme="majorEastAsia" w:cstheme="majorEastAsia"/>
          <w:b/>
          <w:bCs/>
          <w:color w:val="auto"/>
          <w:kern w:val="44"/>
          <w:sz w:val="28"/>
          <w:szCs w:val="28"/>
          <w:highlight w:val="none"/>
          <w:lang w:val="zh-CN"/>
        </w:rPr>
        <w:t>第六章 合同文本</w:t>
      </w:r>
      <w:r>
        <w:rPr>
          <w:rFonts w:hint="eastAsia" w:asciiTheme="majorEastAsia" w:hAnsiTheme="majorEastAsia" w:eastAsiaTheme="majorEastAsia" w:cstheme="majorEastAsia"/>
          <w:b/>
          <w:bCs/>
          <w:color w:val="auto"/>
          <w:sz w:val="28"/>
          <w:szCs w:val="28"/>
          <w:highlight w:val="none"/>
        </w:rPr>
        <w:tab/>
      </w:r>
      <w:r>
        <w:rPr>
          <w:rFonts w:hint="eastAsia" w:asciiTheme="majorEastAsia" w:hAnsiTheme="majorEastAsia" w:eastAsiaTheme="majorEastAsia" w:cstheme="majorEastAsia"/>
          <w:b/>
          <w:bCs/>
          <w:color w:val="auto"/>
          <w:sz w:val="28"/>
          <w:szCs w:val="28"/>
          <w:highlight w:val="none"/>
        </w:rPr>
        <w:fldChar w:fldCharType="begin"/>
      </w:r>
      <w:r>
        <w:rPr>
          <w:rFonts w:hint="eastAsia" w:asciiTheme="majorEastAsia" w:hAnsiTheme="majorEastAsia" w:eastAsiaTheme="majorEastAsia" w:cstheme="majorEastAsia"/>
          <w:b/>
          <w:bCs/>
          <w:color w:val="auto"/>
          <w:sz w:val="28"/>
          <w:szCs w:val="28"/>
          <w:highlight w:val="none"/>
        </w:rPr>
        <w:instrText xml:space="preserve"> PAGEREF _Toc4631 </w:instrText>
      </w:r>
      <w:r>
        <w:rPr>
          <w:rFonts w:hint="eastAsia" w:asciiTheme="majorEastAsia" w:hAnsiTheme="majorEastAsia" w:eastAsiaTheme="majorEastAsia" w:cstheme="majorEastAsia"/>
          <w:b/>
          <w:bCs/>
          <w:color w:val="auto"/>
          <w:sz w:val="28"/>
          <w:szCs w:val="28"/>
          <w:highlight w:val="none"/>
        </w:rPr>
        <w:fldChar w:fldCharType="separate"/>
      </w:r>
      <w:r>
        <w:rPr>
          <w:rFonts w:hint="eastAsia" w:asciiTheme="majorEastAsia" w:hAnsiTheme="majorEastAsia" w:eastAsiaTheme="majorEastAsia" w:cstheme="majorEastAsia"/>
          <w:b/>
          <w:bCs/>
          <w:color w:val="auto"/>
          <w:sz w:val="28"/>
          <w:szCs w:val="28"/>
          <w:highlight w:val="none"/>
        </w:rPr>
        <w:t>94</w:t>
      </w:r>
      <w:r>
        <w:rPr>
          <w:rFonts w:hint="eastAsia" w:asciiTheme="majorEastAsia" w:hAnsiTheme="majorEastAsia" w:eastAsiaTheme="majorEastAsia" w:cstheme="majorEastAsia"/>
          <w:b/>
          <w:bCs/>
          <w:color w:val="auto"/>
          <w:sz w:val="28"/>
          <w:szCs w:val="28"/>
          <w:highlight w:val="none"/>
        </w:rPr>
        <w:fldChar w:fldCharType="end"/>
      </w:r>
      <w:r>
        <w:rPr>
          <w:rFonts w:hint="eastAsia" w:asciiTheme="majorEastAsia" w:hAnsiTheme="majorEastAsia" w:eastAsiaTheme="majorEastAsia" w:cstheme="majorEastAsia"/>
          <w:b/>
          <w:bCs/>
          <w:color w:val="auto"/>
          <w:sz w:val="28"/>
          <w:szCs w:val="28"/>
          <w:highlight w:val="none"/>
        </w:rPr>
        <w:fldChar w:fldCharType="end"/>
      </w:r>
    </w:p>
    <w:p>
      <w:pPr>
        <w:pStyle w:val="23"/>
        <w:tabs>
          <w:tab w:val="right" w:leader="dot" w:pos="8879"/>
        </w:tabs>
        <w:spacing w:line="360" w:lineRule="auto"/>
        <w:rPr>
          <w:color w:val="auto"/>
          <w:sz w:val="22"/>
          <w:szCs w:val="24"/>
          <w:highlight w:val="none"/>
        </w:rPr>
      </w:pPr>
      <w:r>
        <w:rPr>
          <w:color w:val="auto"/>
          <w:sz w:val="22"/>
          <w:szCs w:val="24"/>
          <w:highlight w:val="none"/>
        </w:rPr>
        <w:fldChar w:fldCharType="begin"/>
      </w:r>
      <w:r>
        <w:rPr>
          <w:color w:val="auto"/>
          <w:sz w:val="22"/>
          <w:szCs w:val="24"/>
          <w:highlight w:val="none"/>
        </w:rPr>
        <w:instrText xml:space="preserve"> HYPERLINK \l "_Toc24483" </w:instrText>
      </w:r>
      <w:r>
        <w:rPr>
          <w:color w:val="auto"/>
          <w:sz w:val="22"/>
          <w:szCs w:val="24"/>
          <w:highlight w:val="none"/>
        </w:rPr>
        <w:fldChar w:fldCharType="separate"/>
      </w:r>
      <w:r>
        <w:rPr>
          <w:rFonts w:hint="eastAsia" w:asciiTheme="majorEastAsia" w:hAnsiTheme="majorEastAsia" w:eastAsiaTheme="majorEastAsia" w:cstheme="majorEastAsia"/>
          <w:b/>
          <w:bCs/>
          <w:color w:val="auto"/>
          <w:kern w:val="44"/>
          <w:sz w:val="28"/>
          <w:szCs w:val="28"/>
          <w:highlight w:val="none"/>
          <w:lang w:val="zh-CN"/>
        </w:rPr>
        <w:t>第七章 质疑、投诉材料格式</w:t>
      </w:r>
      <w:r>
        <w:rPr>
          <w:rFonts w:hint="eastAsia" w:asciiTheme="majorEastAsia" w:hAnsiTheme="majorEastAsia" w:eastAsiaTheme="majorEastAsia" w:cstheme="majorEastAsia"/>
          <w:b/>
          <w:bCs/>
          <w:color w:val="auto"/>
          <w:sz w:val="28"/>
          <w:szCs w:val="28"/>
          <w:highlight w:val="none"/>
        </w:rPr>
        <w:tab/>
      </w:r>
      <w:r>
        <w:rPr>
          <w:rFonts w:hint="eastAsia" w:asciiTheme="majorEastAsia" w:hAnsiTheme="majorEastAsia" w:eastAsiaTheme="majorEastAsia" w:cstheme="majorEastAsia"/>
          <w:b/>
          <w:bCs/>
          <w:color w:val="auto"/>
          <w:sz w:val="28"/>
          <w:szCs w:val="28"/>
          <w:highlight w:val="none"/>
        </w:rPr>
        <w:fldChar w:fldCharType="begin"/>
      </w:r>
      <w:r>
        <w:rPr>
          <w:rFonts w:hint="eastAsia" w:asciiTheme="majorEastAsia" w:hAnsiTheme="majorEastAsia" w:eastAsiaTheme="majorEastAsia" w:cstheme="majorEastAsia"/>
          <w:b/>
          <w:bCs/>
          <w:color w:val="auto"/>
          <w:sz w:val="28"/>
          <w:szCs w:val="28"/>
          <w:highlight w:val="none"/>
        </w:rPr>
        <w:instrText xml:space="preserve"> PAGEREF _Toc24483 </w:instrText>
      </w:r>
      <w:r>
        <w:rPr>
          <w:rFonts w:hint="eastAsia" w:asciiTheme="majorEastAsia" w:hAnsiTheme="majorEastAsia" w:eastAsiaTheme="majorEastAsia" w:cstheme="majorEastAsia"/>
          <w:b/>
          <w:bCs/>
          <w:color w:val="auto"/>
          <w:sz w:val="28"/>
          <w:szCs w:val="28"/>
          <w:highlight w:val="none"/>
        </w:rPr>
        <w:fldChar w:fldCharType="separate"/>
      </w:r>
      <w:r>
        <w:rPr>
          <w:rFonts w:hint="eastAsia" w:asciiTheme="majorEastAsia" w:hAnsiTheme="majorEastAsia" w:eastAsiaTheme="majorEastAsia" w:cstheme="majorEastAsia"/>
          <w:b/>
          <w:bCs/>
          <w:color w:val="auto"/>
          <w:sz w:val="28"/>
          <w:szCs w:val="28"/>
          <w:highlight w:val="none"/>
        </w:rPr>
        <w:t>102</w:t>
      </w:r>
      <w:r>
        <w:rPr>
          <w:rFonts w:hint="eastAsia" w:asciiTheme="majorEastAsia" w:hAnsiTheme="majorEastAsia" w:eastAsiaTheme="majorEastAsia" w:cstheme="majorEastAsia"/>
          <w:b/>
          <w:bCs/>
          <w:color w:val="auto"/>
          <w:sz w:val="28"/>
          <w:szCs w:val="28"/>
          <w:highlight w:val="none"/>
        </w:rPr>
        <w:fldChar w:fldCharType="end"/>
      </w:r>
      <w:r>
        <w:rPr>
          <w:rFonts w:hint="eastAsia" w:asciiTheme="majorEastAsia" w:hAnsiTheme="majorEastAsia" w:eastAsiaTheme="majorEastAsia" w:cstheme="majorEastAsia"/>
          <w:b/>
          <w:bCs/>
          <w:color w:val="auto"/>
          <w:sz w:val="28"/>
          <w:szCs w:val="28"/>
          <w:highlight w:val="none"/>
        </w:rPr>
        <w:fldChar w:fldCharType="end"/>
      </w:r>
    </w:p>
    <w:p>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color w:val="auto"/>
          <w:sz w:val="28"/>
          <w:szCs w:val="28"/>
          <w:highlight w:val="none"/>
        </w:rPr>
        <w:fldChar w:fldCharType="end"/>
      </w:r>
    </w:p>
    <w:p>
      <w:pPr>
        <w:spacing w:line="400" w:lineRule="exact"/>
        <w:jc w:val="center"/>
        <w:rPr>
          <w:rFonts w:hint="eastAsia" w:ascii="宋体" w:hAnsi="宋体" w:eastAsia="宋体" w:cs="Times New Roman"/>
          <w:b/>
          <w:color w:val="auto"/>
          <w:sz w:val="32"/>
          <w:szCs w:val="32"/>
          <w:highlight w:val="none"/>
        </w:rPr>
      </w:pPr>
    </w:p>
    <w:p>
      <w:pPr>
        <w:spacing w:line="400" w:lineRule="exact"/>
        <w:jc w:val="center"/>
        <w:rPr>
          <w:rFonts w:hint="eastAsia" w:ascii="宋体" w:hAnsi="宋体" w:eastAsia="宋体" w:cs="Times New Roman"/>
          <w:b/>
          <w:color w:val="auto"/>
          <w:sz w:val="32"/>
          <w:szCs w:val="32"/>
          <w:highlight w:val="none"/>
        </w:rPr>
      </w:pPr>
    </w:p>
    <w:p>
      <w:pPr>
        <w:spacing w:line="400" w:lineRule="exact"/>
        <w:rPr>
          <w:rFonts w:hint="eastAsia" w:ascii="宋体" w:hAnsi="宋体" w:eastAsia="宋体" w:cs="Times New Roman"/>
          <w:b/>
          <w:color w:val="auto"/>
          <w:sz w:val="32"/>
          <w:szCs w:val="32"/>
          <w:highlight w:val="none"/>
        </w:rPr>
        <w:sectPr>
          <w:footerReference r:id="rId8" w:type="first"/>
          <w:footerReference r:id="rId7" w:type="default"/>
          <w:pgSz w:w="11906" w:h="16838"/>
          <w:pgMar w:top="1440" w:right="1440" w:bottom="1440" w:left="1587" w:header="851" w:footer="992" w:gutter="0"/>
          <w:cols w:space="720" w:num="1"/>
          <w:titlePg/>
          <w:docGrid w:type="lines" w:linePitch="312" w:charSpace="0"/>
        </w:sectPr>
      </w:pPr>
    </w:p>
    <w:p>
      <w:pPr>
        <w:keepNext/>
        <w:keepLines/>
        <w:spacing w:before="340" w:after="330" w:line="400" w:lineRule="exact"/>
        <w:jc w:val="center"/>
        <w:outlineLvl w:val="0"/>
        <w:rPr>
          <w:rFonts w:ascii="Times New Roman" w:hAnsi="Times New Roman" w:eastAsia="宋体" w:cs="Times New Roman"/>
          <w:b/>
          <w:bCs/>
          <w:color w:val="auto"/>
          <w:kern w:val="44"/>
          <w:sz w:val="44"/>
          <w:szCs w:val="44"/>
          <w:highlight w:val="none"/>
          <w:lang w:val="zh-CN"/>
        </w:rPr>
      </w:pPr>
      <w:bookmarkStart w:id="2" w:name="_Toc7085"/>
      <w:bookmarkStart w:id="3" w:name="_Toc32002"/>
      <w:bookmarkStart w:id="4" w:name="_Toc6626"/>
      <w:bookmarkStart w:id="5" w:name="_Toc2567"/>
      <w:bookmarkStart w:id="6" w:name="_Toc28468"/>
      <w:bookmarkStart w:id="7" w:name="_Toc21011"/>
      <w:bookmarkStart w:id="8" w:name="_Toc21558"/>
      <w:bookmarkStart w:id="9" w:name="_Toc15375"/>
      <w:bookmarkStart w:id="10" w:name="_Toc80205920"/>
      <w:r>
        <w:rPr>
          <w:rFonts w:hint="eastAsia" w:ascii="Times New Roman" w:hAnsi="Times New Roman" w:eastAsia="宋体" w:cs="Times New Roman"/>
          <w:b/>
          <w:bCs/>
          <w:color w:val="auto"/>
          <w:kern w:val="44"/>
          <w:sz w:val="44"/>
          <w:szCs w:val="44"/>
          <w:highlight w:val="none"/>
          <w:lang w:val="zh-CN"/>
        </w:rPr>
        <w:t>第一章 竞争性谈判公告</w:t>
      </w:r>
      <w:bookmarkEnd w:id="2"/>
      <w:bookmarkEnd w:id="3"/>
      <w:bookmarkEnd w:id="4"/>
      <w:bookmarkEnd w:id="5"/>
      <w:bookmarkEnd w:id="6"/>
      <w:bookmarkEnd w:id="7"/>
      <w:bookmarkEnd w:id="8"/>
      <w:bookmarkEnd w:id="9"/>
      <w:bookmarkEnd w:id="10"/>
      <w:bookmarkStart w:id="11" w:name="_Toc44229878"/>
      <w:bookmarkStart w:id="12" w:name="_Toc28359089"/>
      <w:bookmarkStart w:id="13" w:name="_Toc35393629"/>
      <w:bookmarkStart w:id="14" w:name="_Toc28359012"/>
      <w:bookmarkStart w:id="15" w:name="_Toc35393798"/>
      <w:bookmarkStart w:id="16" w:name="_Toc28359081"/>
      <w:bookmarkStart w:id="17" w:name="_Toc35393792"/>
      <w:bookmarkStart w:id="18" w:name="_Toc28359004"/>
      <w:bookmarkStart w:id="19" w:name="_Toc35393623"/>
    </w:p>
    <w:tbl>
      <w:tblPr>
        <w:tblStyle w:val="29"/>
        <w:tblW w:w="98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9" w:type="dxa"/>
          </w:tcPr>
          <w:p>
            <w:pPr>
              <w:spacing w:line="360" w:lineRule="auto"/>
              <w:ind w:firstLine="420" w:firstLineChars="200"/>
              <w:rPr>
                <w:color w:val="auto"/>
                <w:szCs w:val="21"/>
                <w:highlight w:val="none"/>
              </w:rPr>
            </w:pPr>
            <w:r>
              <w:rPr>
                <w:rFonts w:hint="eastAsia"/>
                <w:color w:val="auto"/>
                <w:szCs w:val="21"/>
                <w:highlight w:val="none"/>
              </w:rPr>
              <w:t>项目概况</w:t>
            </w:r>
          </w:p>
          <w:p>
            <w:pPr>
              <w:spacing w:line="360" w:lineRule="auto"/>
              <w:ind w:firstLine="420" w:firstLineChars="200"/>
              <w:rPr>
                <w:rFonts w:hint="eastAsia" w:ascii="黑体" w:hAnsi="黑体" w:eastAsia="黑体" w:cs="宋体"/>
                <w:bCs/>
                <w:color w:val="auto"/>
                <w:sz w:val="24"/>
                <w:highlight w:val="none"/>
              </w:rPr>
            </w:pPr>
            <w:r>
              <w:rPr>
                <w:rFonts w:hint="eastAsia" w:asciiTheme="minorEastAsia" w:hAnsiTheme="minorEastAsia" w:eastAsiaTheme="minorEastAsia" w:cstheme="minorEastAsia"/>
                <w:color w:val="auto"/>
                <w:szCs w:val="21"/>
                <w:highlight w:val="none"/>
                <w:u w:val="single"/>
                <w:lang w:eastAsia="zh-CN"/>
              </w:rPr>
              <w:t>网络基础设备、网络安全设备和监控设备采购项目</w:t>
            </w:r>
            <w:r>
              <w:rPr>
                <w:rFonts w:hint="eastAsia" w:asciiTheme="minorEastAsia" w:hAnsiTheme="minorEastAsia" w:eastAsiaTheme="minorEastAsia" w:cstheme="minorEastAsia"/>
                <w:color w:val="auto"/>
                <w:szCs w:val="21"/>
                <w:highlight w:val="none"/>
              </w:rPr>
              <w:t>的潜在供应商应在广西政府采购云平台（</w:t>
            </w:r>
            <w:r>
              <w:rPr>
                <w:rStyle w:val="32"/>
                <w:rFonts w:hint="eastAsia" w:asciiTheme="minorEastAsia" w:hAnsiTheme="minorEastAsia" w:eastAsiaTheme="minorEastAsia" w:cstheme="minorEastAsia"/>
                <w:b w:val="0"/>
                <w:bCs/>
                <w:color w:val="auto"/>
                <w:szCs w:val="21"/>
                <w:highlight w:val="none"/>
              </w:rPr>
              <w:t>https://www.gcy.zfcg.gxzf.gov.cn</w:t>
            </w:r>
            <w:r>
              <w:rPr>
                <w:rStyle w:val="32"/>
                <w:rFonts w:hint="eastAsia" w:asciiTheme="minorEastAsia" w:hAnsiTheme="minorEastAsia" w:cstheme="minorEastAsia"/>
                <w:b w:val="0"/>
                <w:bCs/>
                <w:color w:val="auto"/>
                <w:szCs w:val="21"/>
                <w:highlight w:val="none"/>
                <w:lang w:eastAsia="zh-CN"/>
              </w:rPr>
              <w:t>）</w:t>
            </w:r>
            <w:r>
              <w:rPr>
                <w:rFonts w:hint="eastAsia" w:asciiTheme="minorEastAsia" w:hAnsiTheme="minorEastAsia" w:eastAsiaTheme="minorEastAsia" w:cstheme="minorEastAsia"/>
                <w:color w:val="auto"/>
                <w:szCs w:val="21"/>
                <w:highlight w:val="none"/>
              </w:rPr>
              <w:t>获取采购文件，并于2025年</w:t>
            </w:r>
            <w:r>
              <w:rPr>
                <w:rFonts w:hint="eastAsia" w:asciiTheme="minorEastAsia" w:hAnsiTheme="minorEastAsia" w:cstheme="minorEastAsia"/>
                <w:color w:val="auto"/>
                <w:szCs w:val="21"/>
                <w:highlight w:val="none"/>
                <w:lang w:val="en-US" w:eastAsia="zh-CN"/>
              </w:rPr>
              <w:t>12</w:t>
            </w:r>
            <w:r>
              <w:rPr>
                <w:rFonts w:hint="eastAsia" w:asciiTheme="minorEastAsia" w:hAnsiTheme="minorEastAsia" w:eastAsiaTheme="minorEastAsia" w:cstheme="minorEastAsia"/>
                <w:color w:val="auto"/>
                <w:szCs w:val="21"/>
                <w:highlight w:val="none"/>
              </w:rPr>
              <w:t>月</w:t>
            </w:r>
            <w:r>
              <w:rPr>
                <w:rFonts w:hint="eastAsia" w:asciiTheme="minorEastAsia" w:hAnsiTheme="minorEastAsia" w:cstheme="minorEastAsia"/>
                <w:color w:val="auto"/>
                <w:szCs w:val="21"/>
                <w:highlight w:val="none"/>
                <w:lang w:val="en-US" w:eastAsia="zh-CN"/>
              </w:rPr>
              <w:t>12</w:t>
            </w:r>
            <w:r>
              <w:rPr>
                <w:rFonts w:hint="eastAsia" w:asciiTheme="minorEastAsia" w:hAnsiTheme="minorEastAsia" w:eastAsiaTheme="minorEastAsia" w:cstheme="minorEastAsia"/>
                <w:color w:val="auto"/>
                <w:szCs w:val="21"/>
                <w:highlight w:val="none"/>
              </w:rPr>
              <w:t>日</w:t>
            </w:r>
            <w:r>
              <w:rPr>
                <w:rFonts w:hint="eastAsia" w:asciiTheme="minorEastAsia" w:hAnsiTheme="minorEastAsia" w:cstheme="minorEastAsia"/>
                <w:color w:val="auto"/>
                <w:szCs w:val="21"/>
                <w:highlight w:val="none"/>
                <w:lang w:val="en-US" w:eastAsia="zh-CN"/>
              </w:rPr>
              <w:t>15:</w:t>
            </w:r>
            <w:r>
              <w:rPr>
                <w:rFonts w:hint="eastAsia" w:asciiTheme="minorEastAsia" w:hAnsiTheme="minorEastAsia" w:eastAsiaTheme="minorEastAsia" w:cstheme="minorEastAsia"/>
                <w:color w:val="auto"/>
                <w:szCs w:val="21"/>
                <w:highlight w:val="none"/>
              </w:rPr>
              <w:t>00 （北京时间）前提交响应文件。</w:t>
            </w:r>
          </w:p>
        </w:tc>
      </w:tr>
    </w:tbl>
    <w:p>
      <w:pPr>
        <w:rPr>
          <w:rFonts w:ascii="Times New Roman" w:hAnsi="Times New Roman" w:eastAsia="宋体" w:cs="Times New Roman"/>
          <w:color w:val="auto"/>
          <w:szCs w:val="24"/>
          <w:highlight w:val="none"/>
        </w:rPr>
      </w:pPr>
    </w:p>
    <w:p>
      <w:pPr>
        <w:spacing w:line="360" w:lineRule="auto"/>
        <w:rPr>
          <w:rFonts w:ascii="Times New Roman" w:hAnsi="Times New Roman" w:eastAsia="宋体" w:cs="Times New Roman"/>
          <w:color w:val="auto"/>
          <w:szCs w:val="24"/>
          <w:highlight w:val="none"/>
        </w:rPr>
      </w:pPr>
      <w:r>
        <w:rPr>
          <w:rFonts w:hint="eastAsia" w:ascii="黑体" w:hAnsi="黑体" w:eastAsia="黑体" w:cs="宋体"/>
          <w:bCs/>
          <w:color w:val="auto"/>
          <w:sz w:val="24"/>
          <w:szCs w:val="24"/>
          <w:highlight w:val="none"/>
        </w:rPr>
        <w:t>一、项目基本情况</w:t>
      </w:r>
      <w:bookmarkEnd w:id="11"/>
      <w:bookmarkEnd w:id="12"/>
      <w:bookmarkEnd w:id="13"/>
      <w:bookmarkEnd w:id="14"/>
      <w:bookmarkEnd w:id="15"/>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项目编号：</w:t>
      </w:r>
      <w:r>
        <w:rPr>
          <w:rFonts w:hint="eastAsia" w:ascii="宋体" w:hAnsi="宋体" w:eastAsia="宋体" w:cs="Times New Roman"/>
          <w:color w:val="auto"/>
          <w:szCs w:val="21"/>
          <w:highlight w:val="none"/>
          <w:lang w:eastAsia="zh-CN"/>
        </w:rPr>
        <w:t xml:space="preserve"> GXZC2025-J1-003820-GXKL</w:t>
      </w:r>
      <w:r>
        <w:rPr>
          <w:rFonts w:ascii="宋体" w:hAnsi="宋体" w:eastAsia="宋体" w:cs="Times New Roman"/>
          <w:color w:val="auto"/>
          <w:szCs w:val="21"/>
          <w:highlight w:val="none"/>
        </w:rPr>
        <w:tab/>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项目名称：</w:t>
      </w:r>
      <w:bookmarkStart w:id="20" w:name="OLE_LINK8"/>
      <w:r>
        <w:rPr>
          <w:rFonts w:hint="eastAsia" w:ascii="宋体" w:hAnsi="宋体" w:eastAsia="宋体" w:cs="Times New Roman"/>
          <w:color w:val="auto"/>
          <w:szCs w:val="21"/>
          <w:highlight w:val="none"/>
        </w:rPr>
        <w:t>网络基础设备、网络安全设备和监控设备采购项目</w:t>
      </w:r>
      <w:bookmarkEnd w:id="20"/>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采购方式：竞争性谈判</w:t>
      </w:r>
    </w:p>
    <w:p>
      <w:pPr>
        <w:spacing w:line="360" w:lineRule="auto"/>
        <w:ind w:firstLine="420" w:firstLineChars="200"/>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rPr>
        <w:t>预算总金额（元）：</w:t>
      </w:r>
      <w:r>
        <w:rPr>
          <w:rFonts w:hint="eastAsia" w:ascii="宋体" w:hAnsi="宋体" w:eastAsia="宋体" w:cs="Times New Roman"/>
          <w:color w:val="auto"/>
          <w:szCs w:val="21"/>
          <w:highlight w:val="none"/>
          <w:lang w:val="en-US" w:eastAsia="zh-CN"/>
        </w:rPr>
        <w:t>1345900.00</w:t>
      </w:r>
    </w:p>
    <w:p>
      <w:pPr>
        <w:spacing w:line="360" w:lineRule="auto"/>
        <w:ind w:firstLine="420" w:firstLineChars="200"/>
        <w:rPr>
          <w:color w:val="auto"/>
          <w:szCs w:val="21"/>
          <w:highlight w:val="none"/>
        </w:rPr>
      </w:pPr>
      <w:r>
        <w:rPr>
          <w:rFonts w:hint="eastAsia" w:ascii="宋体" w:hAnsi="宋体" w:eastAsia="宋体" w:cs="Times New Roman"/>
          <w:color w:val="auto"/>
          <w:szCs w:val="21"/>
          <w:highlight w:val="none"/>
        </w:rPr>
        <w:t>采购需求：</w:t>
      </w:r>
    </w:p>
    <w:p>
      <w:pPr>
        <w:spacing w:line="360" w:lineRule="auto"/>
        <w:ind w:firstLine="420" w:firstLineChars="200"/>
        <w:rPr>
          <w:rFonts w:hint="default" w:ascii="宋体" w:hAnsi="宋体" w:eastAsia="宋体" w:cs="宋体"/>
          <w:color w:val="auto"/>
          <w:szCs w:val="21"/>
          <w:highlight w:val="none"/>
          <w:lang w:val="en-US" w:eastAsia="zh-CN"/>
        </w:rPr>
      </w:pPr>
      <w:bookmarkStart w:id="21" w:name="_Toc44229879"/>
      <w:bookmarkStart w:id="22" w:name="_Toc35393630"/>
      <w:bookmarkStart w:id="23" w:name="_Toc28359090"/>
      <w:bookmarkStart w:id="24" w:name="_Toc35393799"/>
      <w:bookmarkStart w:id="25" w:name="_Toc28359013"/>
      <w:r>
        <w:rPr>
          <w:rFonts w:hint="eastAsia" w:ascii="宋体" w:hAnsi="宋体" w:eastAsia="宋体" w:cs="宋体"/>
          <w:color w:val="auto"/>
          <w:szCs w:val="21"/>
          <w:highlight w:val="none"/>
          <w:lang w:val="en-US" w:eastAsia="zh-CN"/>
        </w:rPr>
        <w:t>标项一：</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标项名称：</w:t>
      </w:r>
      <w:bookmarkStart w:id="26" w:name="OLE_LINK2"/>
      <w:r>
        <w:rPr>
          <w:rFonts w:hint="eastAsia" w:ascii="宋体" w:hAnsi="宋体" w:eastAsia="宋体" w:cs="Times New Roman"/>
          <w:color w:val="auto"/>
          <w:szCs w:val="21"/>
          <w:highlight w:val="none"/>
        </w:rPr>
        <w:t>网络基础设备、网络安全设备采购</w:t>
      </w:r>
      <w:bookmarkEnd w:id="26"/>
      <w:r>
        <w:rPr>
          <w:rFonts w:hint="eastAsia" w:ascii="宋体" w:hAnsi="宋体" w:eastAsia="宋体" w:cs="宋体"/>
          <w:color w:val="auto"/>
          <w:szCs w:val="21"/>
          <w:highlight w:val="none"/>
        </w:rPr>
        <w:t> </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数量：1 </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预算金额（元）：812500.00</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简要规格描述或项目基本概况介绍、用途：详见</w:t>
      </w:r>
      <w:r>
        <w:rPr>
          <w:rFonts w:hint="eastAsia" w:ascii="宋体" w:hAnsi="宋体" w:eastAsia="宋体" w:cs="宋体"/>
          <w:color w:val="auto"/>
          <w:szCs w:val="21"/>
          <w:highlight w:val="none"/>
          <w:lang w:eastAsia="zh-CN"/>
        </w:rPr>
        <w:t>本公告</w:t>
      </w:r>
      <w:r>
        <w:rPr>
          <w:rFonts w:hint="eastAsia" w:ascii="宋体" w:hAnsi="宋体" w:eastAsia="宋体" w:cs="宋体"/>
          <w:color w:val="auto"/>
          <w:szCs w:val="21"/>
          <w:highlight w:val="none"/>
        </w:rPr>
        <w:t>附件《采购需求》</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最高限价（如有）：/</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default" w:ascii="宋体" w:hAnsi="宋体" w:cs="宋体" w:eastAsiaTheme="minorEastAsia"/>
          <w:color w:val="auto"/>
          <w:kern w:val="0"/>
          <w:szCs w:val="21"/>
          <w:highlight w:val="none"/>
          <w:lang w:val="en-US" w:eastAsia="zh-CN"/>
        </w:rPr>
      </w:pPr>
      <w:r>
        <w:rPr>
          <w:rFonts w:hint="eastAsia" w:ascii="宋体" w:hAnsi="宋体" w:eastAsia="宋体" w:cs="宋体"/>
          <w:color w:val="auto"/>
          <w:kern w:val="0"/>
          <w:szCs w:val="21"/>
          <w:highlight w:val="none"/>
        </w:rPr>
        <w:t>合同履行期限：</w:t>
      </w:r>
      <w:r>
        <w:rPr>
          <w:rFonts w:hint="eastAsia" w:ascii="宋体" w:hAnsi="宋体" w:eastAsia="宋体" w:cs="宋体"/>
          <w:color w:val="auto"/>
          <w:szCs w:val="21"/>
          <w:highlight w:val="none"/>
          <w:u w:val="none"/>
          <w:lang w:val="en-US" w:eastAsia="zh-CN"/>
        </w:rPr>
        <w:t>合同签订之日起</w:t>
      </w:r>
      <w:r>
        <w:rPr>
          <w:rFonts w:hint="eastAsia" w:ascii="宋体" w:hAnsi="宋体" w:cs="宋体"/>
          <w:color w:val="auto"/>
          <w:szCs w:val="21"/>
          <w:highlight w:val="none"/>
          <w:u w:val="none"/>
          <w:lang w:val="en-US" w:eastAsia="zh-CN"/>
        </w:rPr>
        <w:t>7</w:t>
      </w:r>
      <w:r>
        <w:rPr>
          <w:rFonts w:hint="eastAsia" w:ascii="宋体" w:hAnsi="宋体" w:cs="宋体"/>
          <w:color w:val="auto"/>
          <w:szCs w:val="21"/>
          <w:highlight w:val="none"/>
          <w:u w:val="none"/>
        </w:rPr>
        <w:t>个日历日内</w:t>
      </w:r>
      <w:r>
        <w:rPr>
          <w:rFonts w:hint="eastAsia" w:ascii="宋体" w:hAnsi="宋体" w:cs="宋体"/>
          <w:color w:val="auto"/>
          <w:szCs w:val="21"/>
          <w:highlight w:val="none"/>
          <w:u w:val="none"/>
          <w:lang w:val="en-US" w:eastAsia="zh-CN"/>
        </w:rPr>
        <w:t>安装完毕。</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本标项（否）接受联合体投标</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szCs w:val="21"/>
          <w:highlight w:val="none"/>
        </w:rPr>
      </w:pPr>
      <w:r>
        <w:rPr>
          <w:rFonts w:hint="eastAsia" w:ascii="宋体" w:hAnsi="宋体" w:eastAsia="宋体" w:cs="宋体"/>
          <w:color w:val="auto"/>
          <w:kern w:val="0"/>
          <w:szCs w:val="21"/>
          <w:highlight w:val="none"/>
        </w:rPr>
        <w:t>备注：无</w:t>
      </w:r>
    </w:p>
    <w:p>
      <w:pPr>
        <w:spacing w:line="360" w:lineRule="auto"/>
        <w:ind w:firstLine="420" w:firstLineChars="200"/>
        <w:rPr>
          <w:rFonts w:hint="eastAsia" w:ascii="宋体" w:hAnsi="宋体" w:eastAsia="宋体" w:cs="宋体"/>
          <w:color w:val="auto"/>
          <w:szCs w:val="21"/>
          <w:highlight w:val="none"/>
          <w:lang w:val="en-US" w:eastAsia="zh-CN"/>
        </w:rPr>
      </w:pPr>
    </w:p>
    <w:p>
      <w:pPr>
        <w:spacing w:line="360" w:lineRule="auto"/>
        <w:ind w:firstLine="420" w:firstLineChars="200"/>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标项二：</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标项名称：</w:t>
      </w:r>
      <w:bookmarkStart w:id="27" w:name="OLE_LINK3"/>
      <w:r>
        <w:rPr>
          <w:rFonts w:hint="eastAsia" w:ascii="宋体" w:hAnsi="宋体" w:eastAsia="宋体" w:cs="Times New Roman"/>
          <w:color w:val="auto"/>
          <w:szCs w:val="21"/>
          <w:highlight w:val="none"/>
        </w:rPr>
        <w:t>监控设备采购</w:t>
      </w:r>
      <w:bookmarkEnd w:id="27"/>
      <w:r>
        <w:rPr>
          <w:rFonts w:hint="eastAsia" w:ascii="宋体" w:hAnsi="宋体" w:eastAsia="宋体" w:cs="宋体"/>
          <w:color w:val="auto"/>
          <w:szCs w:val="21"/>
          <w:highlight w:val="none"/>
        </w:rPr>
        <w:t> </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数量：1 </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预算金额（元）：</w:t>
      </w:r>
      <w:r>
        <w:rPr>
          <w:rFonts w:hint="eastAsia" w:ascii="宋体" w:hAnsi="宋体" w:eastAsia="宋体" w:cs="宋体"/>
          <w:color w:val="auto"/>
          <w:szCs w:val="21"/>
          <w:highlight w:val="none"/>
          <w:lang w:val="en-US" w:eastAsia="zh-CN"/>
        </w:rPr>
        <w:t>533400</w:t>
      </w:r>
      <w:r>
        <w:rPr>
          <w:rFonts w:hint="eastAsia" w:ascii="宋体" w:hAnsi="宋体" w:eastAsia="宋体" w:cs="宋体"/>
          <w:color w:val="auto"/>
          <w:szCs w:val="21"/>
          <w:highlight w:val="none"/>
        </w:rPr>
        <w:t>.00</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简要规格描述或项目基本概况介绍、用途：详见</w:t>
      </w:r>
      <w:r>
        <w:rPr>
          <w:rFonts w:hint="eastAsia" w:ascii="宋体" w:hAnsi="宋体" w:eastAsia="宋体" w:cs="宋体"/>
          <w:color w:val="auto"/>
          <w:szCs w:val="21"/>
          <w:highlight w:val="none"/>
          <w:lang w:eastAsia="zh-CN"/>
        </w:rPr>
        <w:t>本公告</w:t>
      </w:r>
      <w:r>
        <w:rPr>
          <w:rFonts w:hint="eastAsia" w:ascii="宋体" w:hAnsi="宋体" w:eastAsia="宋体" w:cs="宋体"/>
          <w:color w:val="auto"/>
          <w:szCs w:val="21"/>
          <w:highlight w:val="none"/>
        </w:rPr>
        <w:t>附件《采购需求》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最高限价（如有）：/</w:t>
      </w:r>
    </w:p>
    <w:p>
      <w:pPr>
        <w:widowControl/>
        <w:spacing w:line="360" w:lineRule="auto"/>
        <w:ind w:firstLine="420" w:firstLineChars="200"/>
        <w:rPr>
          <w:rFonts w:hint="default" w:ascii="宋体" w:hAnsi="宋体" w:cs="宋体" w:eastAsiaTheme="minorEastAsia"/>
          <w:color w:val="auto"/>
          <w:kern w:val="0"/>
          <w:szCs w:val="21"/>
          <w:highlight w:val="none"/>
          <w:lang w:val="en-US" w:eastAsia="zh-CN"/>
        </w:rPr>
      </w:pPr>
      <w:r>
        <w:rPr>
          <w:rFonts w:hint="eastAsia" w:ascii="宋体" w:hAnsi="宋体" w:eastAsia="宋体" w:cs="宋体"/>
          <w:color w:val="auto"/>
          <w:kern w:val="0"/>
          <w:szCs w:val="21"/>
          <w:highlight w:val="none"/>
        </w:rPr>
        <w:t>合同履行期限：</w:t>
      </w:r>
      <w:bookmarkStart w:id="28" w:name="OLE_LINK4"/>
      <w:r>
        <w:rPr>
          <w:rFonts w:hint="eastAsia" w:ascii="宋体" w:hAnsi="宋体" w:eastAsia="宋体" w:cs="宋体"/>
          <w:color w:val="auto"/>
          <w:szCs w:val="21"/>
          <w:highlight w:val="none"/>
          <w:u w:val="none"/>
          <w:lang w:val="en-US" w:eastAsia="zh-CN"/>
        </w:rPr>
        <w:t>合同签订之日起</w:t>
      </w:r>
      <w:r>
        <w:rPr>
          <w:rFonts w:hint="eastAsia" w:ascii="宋体" w:hAnsi="宋体" w:cs="宋体"/>
          <w:color w:val="auto"/>
          <w:szCs w:val="21"/>
          <w:highlight w:val="none"/>
          <w:u w:val="none"/>
          <w:lang w:val="en-US" w:eastAsia="zh-CN"/>
        </w:rPr>
        <w:t>7</w:t>
      </w:r>
      <w:r>
        <w:rPr>
          <w:rFonts w:hint="eastAsia" w:ascii="宋体" w:hAnsi="宋体" w:cs="宋体"/>
          <w:color w:val="auto"/>
          <w:szCs w:val="21"/>
          <w:highlight w:val="none"/>
          <w:u w:val="none"/>
        </w:rPr>
        <w:t>个日历日内</w:t>
      </w:r>
      <w:r>
        <w:rPr>
          <w:rFonts w:hint="eastAsia" w:ascii="宋体" w:hAnsi="宋体" w:cs="宋体"/>
          <w:color w:val="auto"/>
          <w:szCs w:val="21"/>
          <w:highlight w:val="none"/>
          <w:u w:val="none"/>
          <w:lang w:val="en-US" w:eastAsia="zh-CN"/>
        </w:rPr>
        <w:t>安装完毕</w:t>
      </w:r>
      <w:bookmarkEnd w:id="28"/>
      <w:r>
        <w:rPr>
          <w:rFonts w:hint="eastAsia" w:ascii="宋体" w:hAnsi="宋体" w:cs="宋体"/>
          <w:color w:val="auto"/>
          <w:szCs w:val="21"/>
          <w:highlight w:val="none"/>
          <w:u w:val="none"/>
          <w:lang w:val="en-US" w:eastAsia="zh-CN"/>
        </w:rPr>
        <w:t>。</w:t>
      </w:r>
    </w:p>
    <w:p>
      <w:pPr>
        <w:widowControl/>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本标项（否）接受联合体投标</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宋体"/>
          <w:color w:val="auto"/>
          <w:kern w:val="0"/>
          <w:szCs w:val="21"/>
          <w:highlight w:val="none"/>
        </w:rPr>
        <w:t>备注：无</w:t>
      </w:r>
    </w:p>
    <w:p>
      <w:pPr>
        <w:spacing w:line="360" w:lineRule="auto"/>
        <w:ind w:firstLine="482" w:firstLineChars="200"/>
        <w:rPr>
          <w:rFonts w:hint="eastAsia" w:ascii="黑体" w:hAnsi="黑体" w:eastAsia="黑体" w:cs="宋体"/>
          <w:bCs/>
          <w:color w:val="auto"/>
          <w:sz w:val="24"/>
          <w:szCs w:val="24"/>
          <w:highlight w:val="none"/>
        </w:rPr>
      </w:pPr>
      <w:r>
        <w:rPr>
          <w:rFonts w:hint="eastAsia" w:ascii="黑体" w:hAnsi="黑体" w:eastAsia="黑体" w:cs="宋体"/>
          <w:b/>
          <w:color w:val="auto"/>
          <w:kern w:val="44"/>
          <w:sz w:val="24"/>
          <w:szCs w:val="24"/>
          <w:highlight w:val="none"/>
        </w:rPr>
        <w:t>二、申请人的资格</w:t>
      </w:r>
      <w:bookmarkEnd w:id="21"/>
      <w:bookmarkEnd w:id="22"/>
      <w:bookmarkEnd w:id="23"/>
      <w:bookmarkEnd w:id="24"/>
      <w:bookmarkEnd w:id="25"/>
      <w:r>
        <w:rPr>
          <w:rFonts w:hint="eastAsia" w:ascii="黑体" w:hAnsi="黑体" w:eastAsia="黑体" w:cs="宋体"/>
          <w:b/>
          <w:color w:val="auto"/>
          <w:kern w:val="44"/>
          <w:sz w:val="24"/>
          <w:szCs w:val="24"/>
          <w:highlight w:val="none"/>
        </w:rPr>
        <w:t>要求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1.满足《中华人民共和国政府采购法》第二十二条规定；</w:t>
      </w:r>
    </w:p>
    <w:p>
      <w:pPr>
        <w:spacing w:line="360"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2.落实政府采购政策需满足的资格要求：</w:t>
      </w:r>
      <w:r>
        <w:rPr>
          <w:rFonts w:hint="eastAsia" w:ascii="宋体" w:hAnsi="宋体" w:eastAsia="宋体" w:cs="宋体"/>
          <w:color w:val="auto"/>
          <w:szCs w:val="21"/>
          <w:highlight w:val="none"/>
          <w:u w:val="single"/>
        </w:rPr>
        <w:t>无；</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3.本项目的特定资格要求：无；</w:t>
      </w:r>
    </w:p>
    <w:p>
      <w:pPr>
        <w:spacing w:line="360" w:lineRule="auto"/>
        <w:ind w:firstLine="482" w:firstLineChars="200"/>
        <w:rPr>
          <w:rFonts w:hint="eastAsia" w:ascii="黑体" w:hAnsi="黑体" w:eastAsia="黑体" w:cs="Times New Roman"/>
          <w:b/>
          <w:bCs/>
          <w:color w:val="auto"/>
          <w:sz w:val="24"/>
          <w:szCs w:val="24"/>
          <w:highlight w:val="none"/>
        </w:rPr>
      </w:pPr>
      <w:r>
        <w:rPr>
          <w:rFonts w:hint="eastAsia" w:ascii="黑体" w:hAnsi="黑体" w:eastAsia="黑体" w:cs="Times New Roman"/>
          <w:b/>
          <w:bCs/>
          <w:color w:val="auto"/>
          <w:sz w:val="24"/>
          <w:szCs w:val="24"/>
          <w:highlight w:val="none"/>
        </w:rPr>
        <w:t>三、获取采购文件</w:t>
      </w:r>
      <w:bookmarkEnd w:id="16"/>
      <w:bookmarkEnd w:id="17"/>
      <w:bookmarkEnd w:id="18"/>
      <w:bookmarkEnd w:id="19"/>
    </w:p>
    <w:p>
      <w:pPr>
        <w:spacing w:line="360" w:lineRule="auto"/>
        <w:ind w:firstLine="420" w:firstLineChars="200"/>
        <w:rPr>
          <w:rFonts w:hint="eastAsia" w:ascii="宋体" w:hAnsi="宋体" w:eastAsia="宋体" w:cs="宋体"/>
          <w:bCs/>
          <w:color w:val="auto"/>
          <w:kern w:val="0"/>
          <w:szCs w:val="21"/>
          <w:highlight w:val="none"/>
        </w:rPr>
      </w:pPr>
      <w:bookmarkStart w:id="29" w:name="_Toc35393624"/>
      <w:bookmarkStart w:id="30" w:name="_Toc35393793"/>
      <w:bookmarkStart w:id="31" w:name="_Toc28359005"/>
      <w:bookmarkStart w:id="32" w:name="_Toc28359082"/>
      <w:r>
        <w:rPr>
          <w:rFonts w:hint="eastAsia" w:ascii="宋体" w:hAnsi="宋体" w:eastAsia="宋体" w:cs="宋体"/>
          <w:bCs/>
          <w:color w:val="auto"/>
          <w:kern w:val="0"/>
          <w:szCs w:val="21"/>
          <w:highlight w:val="none"/>
        </w:rPr>
        <w:t>时间：</w:t>
      </w:r>
      <w:r>
        <w:rPr>
          <w:rFonts w:hint="eastAsia" w:ascii="宋体" w:hAnsi="宋体" w:eastAsia="宋体" w:cs="宋体"/>
          <w:bCs/>
          <w:color w:val="auto"/>
          <w:kern w:val="0"/>
          <w:szCs w:val="21"/>
          <w:highlight w:val="none"/>
          <w:u w:val="single"/>
        </w:rPr>
        <w:t>2025年</w:t>
      </w:r>
      <w:r>
        <w:rPr>
          <w:rFonts w:hint="eastAsia" w:ascii="宋体" w:hAnsi="宋体" w:eastAsia="宋体" w:cs="宋体"/>
          <w:bCs/>
          <w:color w:val="auto"/>
          <w:kern w:val="0"/>
          <w:szCs w:val="21"/>
          <w:highlight w:val="none"/>
          <w:u w:val="single"/>
          <w:lang w:val="en-US" w:eastAsia="zh-CN"/>
        </w:rPr>
        <w:t>12</w:t>
      </w:r>
      <w:r>
        <w:rPr>
          <w:rFonts w:hint="eastAsia" w:ascii="宋体" w:hAnsi="宋体" w:eastAsia="宋体" w:cs="宋体"/>
          <w:bCs/>
          <w:color w:val="auto"/>
          <w:kern w:val="0"/>
          <w:szCs w:val="21"/>
          <w:highlight w:val="none"/>
          <w:u w:val="single"/>
        </w:rPr>
        <w:t>月</w:t>
      </w:r>
      <w:r>
        <w:rPr>
          <w:rFonts w:hint="eastAsia" w:ascii="宋体" w:hAnsi="宋体" w:eastAsia="宋体" w:cs="宋体"/>
          <w:bCs/>
          <w:color w:val="auto"/>
          <w:kern w:val="0"/>
          <w:szCs w:val="21"/>
          <w:highlight w:val="none"/>
          <w:u w:val="single"/>
          <w:lang w:val="en-US" w:eastAsia="zh-CN"/>
        </w:rPr>
        <w:t>8</w:t>
      </w:r>
      <w:r>
        <w:rPr>
          <w:rFonts w:hint="eastAsia" w:ascii="宋体" w:hAnsi="宋体" w:eastAsia="宋体" w:cs="宋体"/>
          <w:bCs/>
          <w:color w:val="auto"/>
          <w:kern w:val="0"/>
          <w:szCs w:val="21"/>
          <w:highlight w:val="none"/>
          <w:u w:val="single"/>
        </w:rPr>
        <w:t>日</w:t>
      </w:r>
      <w:r>
        <w:rPr>
          <w:rFonts w:hint="eastAsia" w:ascii="宋体" w:hAnsi="宋体" w:eastAsia="宋体" w:cs="宋体"/>
          <w:bCs/>
          <w:color w:val="auto"/>
          <w:kern w:val="0"/>
          <w:szCs w:val="21"/>
          <w:highlight w:val="none"/>
        </w:rPr>
        <w:t>至</w:t>
      </w:r>
      <w:r>
        <w:rPr>
          <w:rFonts w:hint="eastAsia" w:ascii="宋体" w:hAnsi="宋体" w:eastAsia="宋体" w:cs="宋体"/>
          <w:bCs/>
          <w:color w:val="auto"/>
          <w:kern w:val="0"/>
          <w:szCs w:val="21"/>
          <w:highlight w:val="none"/>
          <w:u w:val="single"/>
        </w:rPr>
        <w:t>2025年</w:t>
      </w:r>
      <w:r>
        <w:rPr>
          <w:rFonts w:hint="eastAsia" w:ascii="宋体" w:hAnsi="宋体" w:eastAsia="宋体" w:cs="宋体"/>
          <w:bCs/>
          <w:color w:val="auto"/>
          <w:kern w:val="0"/>
          <w:szCs w:val="21"/>
          <w:highlight w:val="none"/>
          <w:u w:val="single"/>
          <w:lang w:val="en-US" w:eastAsia="zh-CN"/>
        </w:rPr>
        <w:t>12</w:t>
      </w:r>
      <w:r>
        <w:rPr>
          <w:rFonts w:hint="eastAsia" w:ascii="宋体" w:hAnsi="宋体" w:eastAsia="宋体" w:cs="宋体"/>
          <w:bCs/>
          <w:color w:val="auto"/>
          <w:kern w:val="0"/>
          <w:szCs w:val="21"/>
          <w:highlight w:val="none"/>
          <w:u w:val="single"/>
        </w:rPr>
        <w:t>月</w:t>
      </w:r>
      <w:r>
        <w:rPr>
          <w:rFonts w:hint="eastAsia" w:ascii="宋体" w:hAnsi="宋体" w:eastAsia="宋体" w:cs="宋体"/>
          <w:bCs/>
          <w:color w:val="auto"/>
          <w:kern w:val="0"/>
          <w:szCs w:val="21"/>
          <w:highlight w:val="none"/>
          <w:u w:val="single"/>
          <w:lang w:val="en-US" w:eastAsia="zh-CN"/>
        </w:rPr>
        <w:t>11</w:t>
      </w:r>
      <w:r>
        <w:rPr>
          <w:rFonts w:hint="eastAsia" w:ascii="宋体" w:hAnsi="宋体" w:eastAsia="宋体" w:cs="宋体"/>
          <w:bCs/>
          <w:color w:val="auto"/>
          <w:kern w:val="0"/>
          <w:szCs w:val="21"/>
          <w:highlight w:val="none"/>
          <w:u w:val="single"/>
        </w:rPr>
        <w:t>日</w:t>
      </w:r>
      <w:r>
        <w:rPr>
          <w:rFonts w:hint="eastAsia" w:ascii="宋体" w:hAnsi="宋体" w:eastAsia="宋体" w:cs="宋体"/>
          <w:bCs/>
          <w:color w:val="auto"/>
          <w:kern w:val="0"/>
          <w:szCs w:val="21"/>
          <w:highlight w:val="none"/>
        </w:rPr>
        <w:t>，</w:t>
      </w:r>
      <w:r>
        <w:rPr>
          <w:rFonts w:hint="eastAsia" w:ascii="宋体" w:hAnsi="宋体" w:eastAsia="宋体" w:cs="宋体"/>
          <w:bCs/>
          <w:color w:val="auto"/>
          <w:kern w:val="0"/>
          <w:szCs w:val="21"/>
          <w:highlight w:val="none"/>
          <w:u w:val="single"/>
        </w:rPr>
        <w:t>每天上午00:00至11:59，下午12:00至23:59</w:t>
      </w:r>
      <w:r>
        <w:rPr>
          <w:rFonts w:hint="eastAsia" w:ascii="宋体" w:hAnsi="宋体" w:eastAsia="宋体" w:cs="宋体"/>
          <w:bCs/>
          <w:color w:val="auto"/>
          <w:kern w:val="0"/>
          <w:szCs w:val="21"/>
          <w:highlight w:val="none"/>
        </w:rPr>
        <w:t>（北京时间，法定节假日除外）</w:t>
      </w:r>
    </w:p>
    <w:p>
      <w:pPr>
        <w:spacing w:line="360" w:lineRule="auto"/>
        <w:ind w:firstLine="420" w:firstLineChars="200"/>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地点：</w:t>
      </w:r>
      <w:bookmarkStart w:id="33" w:name="OLE_LINK12"/>
      <w:r>
        <w:rPr>
          <w:rFonts w:hint="eastAsia" w:ascii="宋体" w:hAnsi="宋体" w:cs="宋体"/>
          <w:color w:val="auto"/>
          <w:szCs w:val="21"/>
          <w:highlight w:val="none"/>
        </w:rPr>
        <w:t>广西政府采购云平台（</w:t>
      </w:r>
      <w:r>
        <w:rPr>
          <w:rStyle w:val="32"/>
          <w:rFonts w:hint="eastAsia" w:ascii="宋体" w:hAnsi="宋体" w:eastAsia="宋体" w:cs="宋体"/>
          <w:b w:val="0"/>
          <w:bCs/>
          <w:color w:val="auto"/>
          <w:szCs w:val="21"/>
          <w:highlight w:val="none"/>
        </w:rPr>
        <w:t>https://www.gcy.zfcg.gxzf.gov.cn</w:t>
      </w:r>
      <w:r>
        <w:rPr>
          <w:rStyle w:val="32"/>
          <w:rFonts w:hint="eastAsia" w:ascii="宋体" w:hAnsi="宋体" w:eastAsia="宋体" w:cs="宋体"/>
          <w:b w:val="0"/>
          <w:bCs/>
          <w:color w:val="auto"/>
          <w:szCs w:val="21"/>
          <w:highlight w:val="none"/>
          <w:lang w:eastAsia="zh-CN"/>
        </w:rPr>
        <w:t>）</w:t>
      </w:r>
      <w:bookmarkEnd w:id="33"/>
    </w:p>
    <w:p>
      <w:pPr>
        <w:spacing w:line="360" w:lineRule="auto"/>
        <w:ind w:firstLine="420" w:firstLineChars="200"/>
        <w:rPr>
          <w:rFonts w:hint="eastAsia" w:ascii="宋体" w:hAnsi="宋体" w:eastAsia="宋体" w:cs="宋体"/>
          <w:b/>
          <w:bCs/>
          <w:color w:val="auto"/>
          <w:sz w:val="24"/>
          <w:szCs w:val="24"/>
          <w:highlight w:val="none"/>
        </w:rPr>
      </w:pPr>
      <w:r>
        <w:rPr>
          <w:rFonts w:hint="eastAsia" w:ascii="宋体" w:hAnsi="宋体" w:eastAsia="宋体" w:cs="宋体"/>
          <w:color w:val="auto"/>
          <w:szCs w:val="21"/>
          <w:highlight w:val="none"/>
        </w:rPr>
        <w:t>方式：</w:t>
      </w:r>
      <w:bookmarkStart w:id="34" w:name="OLE_LINK14"/>
      <w:bookmarkStart w:id="35" w:name="OLE_LINK15"/>
      <w:r>
        <w:rPr>
          <w:rFonts w:hint="eastAsia" w:ascii="宋体" w:hAnsi="宋体" w:eastAsia="宋体" w:cs="宋体"/>
          <w:color w:val="auto"/>
          <w:szCs w:val="21"/>
          <w:highlight w:val="none"/>
        </w:rPr>
        <w:t>网上下载。本项目不发放纸质采购文件，潜在供应商可自行在</w:t>
      </w:r>
      <w:r>
        <w:rPr>
          <w:rFonts w:hint="eastAsia" w:ascii="宋体" w:hAnsi="宋体" w:cs="宋体"/>
          <w:color w:val="auto"/>
          <w:szCs w:val="21"/>
          <w:highlight w:val="none"/>
        </w:rPr>
        <w:t>广西政府采购云平台（</w:t>
      </w:r>
      <w:r>
        <w:rPr>
          <w:rStyle w:val="32"/>
          <w:rFonts w:hint="eastAsia" w:ascii="宋体" w:hAnsi="宋体" w:eastAsia="宋体" w:cs="宋体"/>
          <w:b w:val="0"/>
          <w:bCs/>
          <w:color w:val="auto"/>
          <w:szCs w:val="21"/>
          <w:highlight w:val="none"/>
        </w:rPr>
        <w:t>https://www.gcy.zfcg.gxzf.gov.cn</w:t>
      </w:r>
      <w:r>
        <w:rPr>
          <w:rStyle w:val="32"/>
          <w:rFonts w:hint="eastAsia" w:ascii="宋体" w:hAnsi="宋体" w:eastAsia="宋体" w:cs="宋体"/>
          <w:b w:val="0"/>
          <w:bCs/>
          <w:color w:val="auto"/>
          <w:szCs w:val="21"/>
          <w:highlight w:val="none"/>
          <w:lang w:eastAsia="zh-CN"/>
        </w:rPr>
        <w:t>）</w:t>
      </w:r>
      <w:r>
        <w:rPr>
          <w:rFonts w:hint="eastAsia" w:ascii="宋体" w:hAnsi="宋体" w:eastAsia="宋体" w:cs="宋体"/>
          <w:color w:val="auto"/>
          <w:szCs w:val="21"/>
          <w:highlight w:val="none"/>
        </w:rPr>
        <w:t>下载采购文件（操作路径：登录</w:t>
      </w:r>
      <w:r>
        <w:rPr>
          <w:rFonts w:hint="eastAsia" w:ascii="宋体" w:hAnsi="宋体" w:cs="宋体"/>
          <w:color w:val="auto"/>
          <w:szCs w:val="21"/>
          <w:highlight w:val="none"/>
        </w:rPr>
        <w:t>广西政府采购云平台</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项目采购</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获取采购文件</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找到本项目</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点击“申请获取采购文件”），电子响应文件制作需要基于</w:t>
      </w:r>
      <w:r>
        <w:rPr>
          <w:rFonts w:hint="eastAsia" w:ascii="宋体" w:hAnsi="宋体" w:cs="宋体"/>
          <w:color w:val="auto"/>
          <w:szCs w:val="21"/>
          <w:highlight w:val="none"/>
        </w:rPr>
        <w:t>广西政府采购云平台</w:t>
      </w:r>
      <w:r>
        <w:rPr>
          <w:rFonts w:hint="eastAsia" w:ascii="宋体" w:hAnsi="宋体" w:eastAsia="宋体" w:cs="宋体"/>
          <w:color w:val="auto"/>
          <w:szCs w:val="21"/>
          <w:highlight w:val="none"/>
        </w:rPr>
        <w:t>获取的采购文件编制。</w:t>
      </w:r>
      <w:bookmarkEnd w:id="34"/>
    </w:p>
    <w:bookmarkEnd w:id="35"/>
    <w:p>
      <w:pPr>
        <w:snapToGrid w:val="0"/>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售价（元）：0</w:t>
      </w:r>
    </w:p>
    <w:p>
      <w:pPr>
        <w:spacing w:line="360" w:lineRule="auto"/>
        <w:ind w:firstLine="482" w:firstLineChars="200"/>
        <w:rPr>
          <w:rFonts w:hint="eastAsia" w:ascii="黑体" w:hAnsi="黑体" w:eastAsia="黑体" w:cs="Times New Roman"/>
          <w:b/>
          <w:bCs/>
          <w:color w:val="auto"/>
          <w:sz w:val="24"/>
          <w:szCs w:val="24"/>
          <w:highlight w:val="none"/>
        </w:rPr>
      </w:pPr>
      <w:r>
        <w:rPr>
          <w:rFonts w:hint="eastAsia" w:ascii="黑体" w:hAnsi="黑体" w:eastAsia="黑体" w:cs="Times New Roman"/>
          <w:b/>
          <w:bCs/>
          <w:color w:val="auto"/>
          <w:sz w:val="24"/>
          <w:szCs w:val="24"/>
          <w:highlight w:val="none"/>
        </w:rPr>
        <w:t>四、</w:t>
      </w:r>
      <w:bookmarkEnd w:id="29"/>
      <w:bookmarkEnd w:id="30"/>
      <w:bookmarkEnd w:id="31"/>
      <w:bookmarkEnd w:id="32"/>
      <w:r>
        <w:rPr>
          <w:rFonts w:hint="eastAsia" w:ascii="黑体" w:hAnsi="黑体" w:eastAsia="黑体" w:cs="Times New Roman"/>
          <w:b/>
          <w:bCs/>
          <w:color w:val="auto"/>
          <w:sz w:val="24"/>
          <w:szCs w:val="24"/>
          <w:highlight w:val="none"/>
        </w:rPr>
        <w:t>响应文件提交</w:t>
      </w:r>
    </w:p>
    <w:p>
      <w:pPr>
        <w:spacing w:line="360" w:lineRule="auto"/>
        <w:ind w:firstLine="420" w:firstLineChars="200"/>
        <w:rPr>
          <w:bCs/>
          <w:color w:val="auto"/>
          <w:szCs w:val="21"/>
          <w:highlight w:val="none"/>
        </w:rPr>
      </w:pPr>
      <w:r>
        <w:rPr>
          <w:rFonts w:hint="eastAsia" w:ascii="宋体" w:hAnsi="宋体" w:eastAsia="宋体" w:cs="Times New Roman"/>
          <w:color w:val="auto"/>
          <w:szCs w:val="21"/>
          <w:highlight w:val="none"/>
          <w:lang w:eastAsia="zh-CN"/>
        </w:rPr>
        <w:t>1.</w:t>
      </w:r>
      <w:r>
        <w:rPr>
          <w:rFonts w:hint="eastAsia" w:ascii="宋体" w:hAnsi="宋体" w:eastAsia="宋体" w:cs="Times New Roman"/>
          <w:color w:val="auto"/>
          <w:szCs w:val="21"/>
          <w:highlight w:val="none"/>
        </w:rPr>
        <w:t>首次响应文件提交截止时间：</w:t>
      </w:r>
      <w:r>
        <w:rPr>
          <w:rFonts w:hint="eastAsia" w:asciiTheme="minorEastAsia" w:hAnsiTheme="minorEastAsia" w:eastAsiaTheme="minorEastAsia" w:cstheme="minorEastAsia"/>
          <w:bCs/>
          <w:color w:val="auto"/>
          <w:kern w:val="0"/>
          <w:szCs w:val="21"/>
          <w:highlight w:val="none"/>
          <w:u w:val="single"/>
        </w:rPr>
        <w:t>2025年</w:t>
      </w:r>
      <w:r>
        <w:rPr>
          <w:rFonts w:hint="eastAsia" w:asciiTheme="minorEastAsia" w:hAnsiTheme="minorEastAsia" w:cstheme="minorEastAsia"/>
          <w:bCs/>
          <w:color w:val="auto"/>
          <w:kern w:val="0"/>
          <w:szCs w:val="21"/>
          <w:highlight w:val="none"/>
          <w:u w:val="single"/>
          <w:lang w:val="en-US" w:eastAsia="zh-CN"/>
        </w:rPr>
        <w:t>12</w:t>
      </w:r>
      <w:r>
        <w:rPr>
          <w:rFonts w:hint="eastAsia" w:asciiTheme="minorEastAsia" w:hAnsiTheme="minorEastAsia" w:eastAsiaTheme="minorEastAsia" w:cstheme="minorEastAsia"/>
          <w:bCs/>
          <w:color w:val="auto"/>
          <w:kern w:val="0"/>
          <w:szCs w:val="21"/>
          <w:highlight w:val="none"/>
          <w:u w:val="single"/>
        </w:rPr>
        <w:t>月</w:t>
      </w:r>
      <w:r>
        <w:rPr>
          <w:rFonts w:hint="eastAsia" w:asciiTheme="minorEastAsia" w:hAnsiTheme="minorEastAsia" w:cstheme="minorEastAsia"/>
          <w:bCs/>
          <w:color w:val="auto"/>
          <w:kern w:val="0"/>
          <w:szCs w:val="21"/>
          <w:highlight w:val="none"/>
          <w:u w:val="single"/>
          <w:lang w:val="en-US" w:eastAsia="zh-CN"/>
        </w:rPr>
        <w:t>12</w:t>
      </w:r>
      <w:r>
        <w:rPr>
          <w:rFonts w:hint="eastAsia" w:asciiTheme="minorEastAsia" w:hAnsiTheme="minorEastAsia" w:eastAsiaTheme="minorEastAsia" w:cstheme="minorEastAsia"/>
          <w:bCs/>
          <w:color w:val="auto"/>
          <w:kern w:val="0"/>
          <w:szCs w:val="21"/>
          <w:highlight w:val="none"/>
          <w:u w:val="single"/>
        </w:rPr>
        <w:t>日</w:t>
      </w:r>
      <w:r>
        <w:rPr>
          <w:rFonts w:hint="eastAsia" w:asciiTheme="minorEastAsia" w:hAnsiTheme="minorEastAsia" w:cstheme="minorEastAsia"/>
          <w:bCs/>
          <w:color w:val="auto"/>
          <w:szCs w:val="21"/>
          <w:highlight w:val="none"/>
          <w:u w:val="single"/>
          <w:lang w:val="en-US" w:eastAsia="zh-CN"/>
        </w:rPr>
        <w:t>15</w:t>
      </w:r>
      <w:r>
        <w:rPr>
          <w:rFonts w:hint="eastAsia" w:asciiTheme="minorEastAsia" w:hAnsiTheme="minorEastAsia" w:eastAsiaTheme="minorEastAsia" w:cstheme="minorEastAsia"/>
          <w:bCs/>
          <w:color w:val="auto"/>
          <w:szCs w:val="21"/>
          <w:highlight w:val="none"/>
          <w:u w:val="single"/>
        </w:rPr>
        <w:t>：00</w:t>
      </w:r>
      <w:r>
        <w:rPr>
          <w:rFonts w:hint="eastAsia"/>
          <w:bCs/>
          <w:color w:val="auto"/>
          <w:szCs w:val="21"/>
          <w:highlight w:val="none"/>
        </w:rPr>
        <w:t>（北京时间）</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eastAsia="zh-CN"/>
        </w:rPr>
        <w:t>2.</w:t>
      </w:r>
      <w:r>
        <w:rPr>
          <w:rFonts w:hint="eastAsia" w:ascii="宋体" w:hAnsi="宋体" w:eastAsia="宋体" w:cs="Times New Roman"/>
          <w:color w:val="auto"/>
          <w:szCs w:val="21"/>
          <w:highlight w:val="none"/>
        </w:rPr>
        <w:t>首次响应文件提交地点：</w:t>
      </w:r>
      <w:bookmarkStart w:id="36" w:name="OLE_LINK16"/>
      <w:r>
        <w:rPr>
          <w:rFonts w:hint="eastAsia" w:ascii="宋体" w:hAnsi="宋体" w:eastAsia="宋体" w:cs="Times New Roman"/>
          <w:color w:val="auto"/>
          <w:szCs w:val="21"/>
          <w:highlight w:val="none"/>
        </w:rPr>
        <w:t>广西政府采购云平台（https://www.gcy.zfcg.gxzf.gov.cn</w:t>
      </w:r>
      <w:r>
        <w:rPr>
          <w:rFonts w:hint="eastAsia" w:ascii="宋体" w:hAnsi="宋体" w:eastAsia="宋体" w:cs="Times New Roman"/>
          <w:color w:val="auto"/>
          <w:szCs w:val="21"/>
          <w:highlight w:val="none"/>
          <w:lang w:eastAsia="zh-CN"/>
        </w:rPr>
        <w:t>）</w:t>
      </w:r>
      <w:bookmarkEnd w:id="36"/>
    </w:p>
    <w:p>
      <w:pPr>
        <w:spacing w:line="360" w:lineRule="auto"/>
        <w:ind w:firstLine="482" w:firstLineChars="200"/>
        <w:rPr>
          <w:rFonts w:hint="eastAsia" w:ascii="黑体" w:hAnsi="黑体" w:eastAsia="黑体" w:cs="Times New Roman"/>
          <w:b/>
          <w:bCs/>
          <w:color w:val="auto"/>
          <w:sz w:val="24"/>
          <w:szCs w:val="24"/>
          <w:highlight w:val="none"/>
        </w:rPr>
      </w:pPr>
      <w:r>
        <w:rPr>
          <w:rFonts w:hint="eastAsia" w:ascii="黑体" w:hAnsi="黑体" w:eastAsia="黑体" w:cs="Times New Roman"/>
          <w:b/>
          <w:bCs/>
          <w:color w:val="auto"/>
          <w:sz w:val="24"/>
          <w:szCs w:val="24"/>
          <w:highlight w:val="none"/>
        </w:rPr>
        <w:t>五、开启（首次响应文件开启时间）</w:t>
      </w:r>
    </w:p>
    <w:p>
      <w:pPr>
        <w:spacing w:line="360" w:lineRule="auto"/>
        <w:ind w:firstLine="630" w:firstLineChars="300"/>
        <w:rPr>
          <w:rFonts w:hint="eastAsia" w:ascii="宋体" w:hAnsi="宋体" w:eastAsia="宋体" w:cs="Times New Roman"/>
          <w:bCs/>
          <w:color w:val="auto"/>
          <w:szCs w:val="21"/>
          <w:highlight w:val="none"/>
          <w:u w:val="single"/>
        </w:rPr>
      </w:pPr>
      <w:r>
        <w:rPr>
          <w:rFonts w:hint="eastAsia" w:asciiTheme="minorEastAsia" w:hAnsiTheme="minorEastAsia" w:eastAsiaTheme="minorEastAsia" w:cstheme="minorEastAsia"/>
          <w:color w:val="auto"/>
          <w:szCs w:val="21"/>
          <w:highlight w:val="none"/>
        </w:rPr>
        <w:t>时间：</w:t>
      </w:r>
      <w:bookmarkStart w:id="37" w:name="PO_3000001871_PM015_2"/>
      <w:r>
        <w:rPr>
          <w:rFonts w:hint="eastAsia" w:asciiTheme="minorEastAsia" w:hAnsiTheme="minorEastAsia" w:eastAsiaTheme="minorEastAsia" w:cstheme="minorEastAsia"/>
          <w:bCs/>
          <w:color w:val="auto"/>
          <w:kern w:val="0"/>
          <w:szCs w:val="21"/>
          <w:highlight w:val="none"/>
          <w:u w:val="single"/>
        </w:rPr>
        <w:t>2025年</w:t>
      </w:r>
      <w:r>
        <w:rPr>
          <w:rFonts w:hint="eastAsia" w:asciiTheme="minorEastAsia" w:hAnsiTheme="minorEastAsia" w:cstheme="minorEastAsia"/>
          <w:bCs/>
          <w:color w:val="auto"/>
          <w:kern w:val="0"/>
          <w:szCs w:val="21"/>
          <w:highlight w:val="none"/>
          <w:u w:val="single"/>
          <w:lang w:val="en-US" w:eastAsia="zh-CN"/>
        </w:rPr>
        <w:t>12</w:t>
      </w:r>
      <w:r>
        <w:rPr>
          <w:rFonts w:hint="eastAsia" w:asciiTheme="minorEastAsia" w:hAnsiTheme="minorEastAsia" w:eastAsiaTheme="minorEastAsia" w:cstheme="minorEastAsia"/>
          <w:bCs/>
          <w:color w:val="auto"/>
          <w:kern w:val="0"/>
          <w:szCs w:val="21"/>
          <w:highlight w:val="none"/>
          <w:u w:val="single"/>
        </w:rPr>
        <w:t>月</w:t>
      </w:r>
      <w:r>
        <w:rPr>
          <w:rFonts w:hint="eastAsia" w:asciiTheme="minorEastAsia" w:hAnsiTheme="minorEastAsia" w:cstheme="minorEastAsia"/>
          <w:bCs/>
          <w:color w:val="auto"/>
          <w:kern w:val="0"/>
          <w:szCs w:val="21"/>
          <w:highlight w:val="none"/>
          <w:u w:val="single"/>
          <w:lang w:val="en-US" w:eastAsia="zh-CN"/>
        </w:rPr>
        <w:t>12</w:t>
      </w:r>
      <w:r>
        <w:rPr>
          <w:rFonts w:hint="eastAsia" w:asciiTheme="minorEastAsia" w:hAnsiTheme="minorEastAsia" w:eastAsiaTheme="minorEastAsia" w:cstheme="minorEastAsia"/>
          <w:bCs/>
          <w:color w:val="auto"/>
          <w:kern w:val="0"/>
          <w:szCs w:val="21"/>
          <w:highlight w:val="none"/>
          <w:u w:val="single"/>
        </w:rPr>
        <w:t>日</w:t>
      </w:r>
      <w:r>
        <w:rPr>
          <w:rFonts w:hint="eastAsia" w:asciiTheme="minorEastAsia" w:hAnsiTheme="minorEastAsia" w:cstheme="minorEastAsia"/>
          <w:bCs/>
          <w:color w:val="auto"/>
          <w:kern w:val="0"/>
          <w:szCs w:val="21"/>
          <w:highlight w:val="none"/>
          <w:u w:val="single"/>
          <w:lang w:val="en-US" w:eastAsia="zh-CN"/>
        </w:rPr>
        <w:t>15</w:t>
      </w:r>
      <w:r>
        <w:rPr>
          <w:rFonts w:hint="eastAsia" w:asciiTheme="minorEastAsia" w:hAnsiTheme="minorEastAsia" w:cstheme="minorEastAsia"/>
          <w:color w:val="auto"/>
          <w:szCs w:val="21"/>
          <w:highlight w:val="none"/>
          <w:u w:val="single"/>
          <w:lang w:eastAsia="zh-CN"/>
        </w:rPr>
        <w:t>:</w:t>
      </w:r>
      <w:r>
        <w:rPr>
          <w:rFonts w:hint="eastAsia" w:asciiTheme="minorEastAsia" w:hAnsiTheme="minorEastAsia" w:eastAsiaTheme="minorEastAsia" w:cstheme="minorEastAsia"/>
          <w:color w:val="auto"/>
          <w:szCs w:val="21"/>
          <w:highlight w:val="none"/>
          <w:u w:val="single"/>
        </w:rPr>
        <w:t>00</w:t>
      </w:r>
      <w:r>
        <w:rPr>
          <w:rFonts w:hint="eastAsia" w:asciiTheme="minorEastAsia" w:hAnsiTheme="minorEastAsia" w:eastAsiaTheme="minorEastAsia" w:cstheme="minorEastAsia"/>
          <w:bCs/>
          <w:color w:val="auto"/>
          <w:szCs w:val="21"/>
          <w:highlight w:val="none"/>
        </w:rPr>
        <w:t>（北京时间</w:t>
      </w:r>
      <w:r>
        <w:rPr>
          <w:rFonts w:hint="eastAsia"/>
          <w:bCs/>
          <w:color w:val="auto"/>
          <w:szCs w:val="21"/>
          <w:highlight w:val="none"/>
        </w:rPr>
        <w:t>）</w:t>
      </w:r>
      <w:bookmarkEnd w:id="37"/>
    </w:p>
    <w:p>
      <w:pPr>
        <w:spacing w:line="360" w:lineRule="auto"/>
        <w:ind w:firstLine="630" w:firstLineChars="300"/>
        <w:rPr>
          <w:rFonts w:hint="eastAsia" w:ascii="宋体" w:hAnsi="宋体" w:eastAsia="宋体" w:cs="Times New Roman"/>
          <w:bCs/>
          <w:color w:val="auto"/>
          <w:szCs w:val="21"/>
          <w:highlight w:val="none"/>
          <w:u w:val="single"/>
        </w:rPr>
      </w:pPr>
      <w:r>
        <w:rPr>
          <w:rFonts w:hint="eastAsia" w:ascii="宋体" w:hAnsi="宋体" w:eastAsia="宋体" w:cs="Times New Roman"/>
          <w:color w:val="auto"/>
          <w:szCs w:val="21"/>
          <w:highlight w:val="none"/>
        </w:rPr>
        <w:t>地点：</w:t>
      </w:r>
      <w:bookmarkStart w:id="38" w:name="OLE_LINK17"/>
      <w:r>
        <w:rPr>
          <w:rFonts w:hint="eastAsia" w:ascii="宋体" w:hAnsi="宋体" w:eastAsia="宋体" w:cs="Times New Roman"/>
          <w:color w:val="auto"/>
          <w:szCs w:val="21"/>
          <w:highlight w:val="none"/>
        </w:rPr>
        <w:t>广西政府采购云平台（https://www.gcy.zfcg.gxzf.gov.cn</w:t>
      </w:r>
      <w:r>
        <w:rPr>
          <w:rFonts w:hint="eastAsia" w:ascii="宋体" w:hAnsi="宋体" w:eastAsia="宋体" w:cs="Times New Roman"/>
          <w:color w:val="auto"/>
          <w:szCs w:val="21"/>
          <w:highlight w:val="none"/>
          <w:lang w:eastAsia="zh-CN"/>
        </w:rPr>
        <w:t>）</w:t>
      </w:r>
      <w:bookmarkEnd w:id="38"/>
    </w:p>
    <w:p>
      <w:pPr>
        <w:spacing w:line="360" w:lineRule="auto"/>
        <w:ind w:firstLine="482" w:firstLineChars="200"/>
        <w:rPr>
          <w:rFonts w:hint="eastAsia" w:ascii="黑体" w:hAnsi="黑体" w:eastAsia="黑体" w:cs="Times New Roman"/>
          <w:b/>
          <w:bCs/>
          <w:color w:val="auto"/>
          <w:sz w:val="24"/>
          <w:szCs w:val="24"/>
          <w:highlight w:val="none"/>
        </w:rPr>
      </w:pPr>
      <w:bookmarkStart w:id="39" w:name="_Toc28359007"/>
      <w:bookmarkStart w:id="40" w:name="_Toc35393794"/>
      <w:bookmarkStart w:id="41" w:name="_Toc28359084"/>
      <w:bookmarkStart w:id="42" w:name="_Toc35393625"/>
      <w:r>
        <w:rPr>
          <w:rFonts w:hint="eastAsia" w:ascii="黑体" w:hAnsi="黑体" w:eastAsia="黑体" w:cs="Times New Roman"/>
          <w:b/>
          <w:bCs/>
          <w:color w:val="auto"/>
          <w:sz w:val="24"/>
          <w:szCs w:val="24"/>
          <w:highlight w:val="none"/>
        </w:rPr>
        <w:t>六、公告期限</w:t>
      </w:r>
      <w:bookmarkEnd w:id="39"/>
      <w:bookmarkEnd w:id="40"/>
      <w:bookmarkEnd w:id="41"/>
      <w:bookmarkEnd w:id="42"/>
    </w:p>
    <w:p>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自本公告发布之日起3个工作日。</w:t>
      </w:r>
    </w:p>
    <w:p>
      <w:pPr>
        <w:spacing w:line="360" w:lineRule="auto"/>
        <w:ind w:firstLine="482" w:firstLineChars="200"/>
        <w:rPr>
          <w:rFonts w:hint="eastAsia" w:ascii="黑体" w:hAnsi="黑体" w:eastAsia="黑体" w:cs="Times New Roman"/>
          <w:b/>
          <w:bCs/>
          <w:color w:val="auto"/>
          <w:sz w:val="24"/>
          <w:szCs w:val="24"/>
          <w:highlight w:val="none"/>
        </w:rPr>
      </w:pPr>
      <w:bookmarkStart w:id="43" w:name="_Toc35393626"/>
      <w:bookmarkStart w:id="44" w:name="_Toc35393795"/>
      <w:r>
        <w:rPr>
          <w:rFonts w:hint="eastAsia" w:ascii="黑体" w:hAnsi="黑体" w:eastAsia="黑体" w:cs="Times New Roman"/>
          <w:b/>
          <w:bCs/>
          <w:color w:val="auto"/>
          <w:sz w:val="24"/>
          <w:szCs w:val="24"/>
          <w:highlight w:val="none"/>
        </w:rPr>
        <w:t>七、其他补充事宜</w:t>
      </w:r>
      <w:bookmarkEnd w:id="43"/>
      <w:bookmarkEnd w:id="44"/>
    </w:p>
    <w:p>
      <w:pPr>
        <w:spacing w:line="360" w:lineRule="auto"/>
        <w:ind w:firstLine="420" w:firstLineChars="200"/>
        <w:rPr>
          <w:rFonts w:hint="eastAsia" w:ascii="宋体" w:hAnsi="宋体" w:eastAsia="宋体" w:cs="宋体"/>
          <w:color w:val="auto"/>
          <w:kern w:val="0"/>
          <w:szCs w:val="21"/>
          <w:highlight w:val="none"/>
          <w:u w:val="single"/>
        </w:rPr>
      </w:pPr>
      <w:r>
        <w:rPr>
          <w:rFonts w:hint="eastAsia" w:ascii="宋体" w:hAnsi="宋体" w:eastAsia="宋体" w:cs="宋体"/>
          <w:color w:val="auto"/>
          <w:kern w:val="0"/>
          <w:szCs w:val="21"/>
          <w:highlight w:val="none"/>
        </w:rPr>
        <w:t xml:space="preserve">1.谈判保证金： </w:t>
      </w:r>
    </w:p>
    <w:p>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 本项目不需要缴</w:t>
      </w:r>
      <w:r>
        <w:rPr>
          <w:rFonts w:hint="eastAsia" w:ascii="宋体" w:hAnsi="宋体" w:eastAsia="宋体" w:cs="宋体"/>
          <w:b/>
          <w:bCs/>
          <w:color w:val="auto"/>
          <w:kern w:val="0"/>
          <w:szCs w:val="21"/>
          <w:highlight w:val="none"/>
        </w:rPr>
        <w:t>纳</w:t>
      </w:r>
      <w:r>
        <w:rPr>
          <w:rFonts w:hint="eastAsia" w:ascii="宋体" w:hAnsi="宋体" w:eastAsia="宋体" w:cs="宋体"/>
          <w:b/>
          <w:bCs/>
          <w:color w:val="auto"/>
          <w:szCs w:val="21"/>
          <w:highlight w:val="none"/>
        </w:rPr>
        <w:t>谈判保证金。</w:t>
      </w:r>
    </w:p>
    <w:p>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 本项目需要缴</w:t>
      </w:r>
      <w:r>
        <w:rPr>
          <w:rFonts w:hint="eastAsia" w:ascii="宋体" w:hAnsi="宋体" w:eastAsia="宋体" w:cs="宋体"/>
          <w:b/>
          <w:bCs/>
          <w:color w:val="auto"/>
          <w:kern w:val="0"/>
          <w:szCs w:val="21"/>
          <w:highlight w:val="none"/>
        </w:rPr>
        <w:t>纳</w:t>
      </w:r>
      <w:r>
        <w:rPr>
          <w:rFonts w:hint="eastAsia" w:ascii="宋体" w:hAnsi="宋体" w:eastAsia="宋体" w:cs="宋体"/>
          <w:b/>
          <w:bCs/>
          <w:color w:val="auto"/>
          <w:szCs w:val="21"/>
          <w:highlight w:val="none"/>
        </w:rPr>
        <w:t>谈判保证金，相关要求：</w:t>
      </w:r>
    </w:p>
    <w:p>
      <w:pPr>
        <w:spacing w:line="360" w:lineRule="auto"/>
        <w:ind w:firstLine="420" w:firstLineChars="200"/>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rPr>
        <w:t>谈判保证金金额</w:t>
      </w:r>
      <w:r>
        <w:rPr>
          <w:rFonts w:hint="eastAsia" w:ascii="宋体" w:hAnsi="宋体" w:eastAsia="宋体" w:cs="宋体"/>
          <w:color w:val="auto"/>
          <w:kern w:val="0"/>
          <w:szCs w:val="21"/>
          <w:highlight w:val="none"/>
          <w:lang w:eastAsia="zh-CN"/>
        </w:rPr>
        <w:t>（人民币）</w:t>
      </w: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u w:val="none"/>
          <w:lang w:val="en-US" w:eastAsia="zh-CN"/>
        </w:rPr>
        <w:t>标项一：</w:t>
      </w:r>
      <w:r>
        <w:rPr>
          <w:rFonts w:hint="eastAsia" w:ascii="宋体" w:hAnsi="宋体" w:eastAsia="宋体" w:cs="宋体"/>
          <w:color w:val="auto"/>
          <w:szCs w:val="21"/>
          <w:highlight w:val="none"/>
          <w:u w:val="none"/>
        </w:rPr>
        <w:t>¥</w:t>
      </w:r>
      <w:r>
        <w:rPr>
          <w:rFonts w:hint="eastAsia" w:ascii="宋体" w:hAnsi="宋体" w:eastAsia="宋体" w:cs="宋体"/>
          <w:color w:val="auto"/>
          <w:szCs w:val="21"/>
          <w:highlight w:val="none"/>
          <w:u w:val="none"/>
          <w:lang w:val="en-US" w:eastAsia="zh-CN"/>
        </w:rPr>
        <w:t>8000</w:t>
      </w:r>
      <w:r>
        <w:rPr>
          <w:rFonts w:hint="eastAsia" w:ascii="宋体" w:hAnsi="宋体" w:eastAsia="宋体" w:cs="宋体"/>
          <w:color w:val="auto"/>
          <w:szCs w:val="21"/>
          <w:highlight w:val="none"/>
          <w:u w:val="none"/>
        </w:rPr>
        <w:t>.00</w:t>
      </w:r>
      <w:r>
        <w:rPr>
          <w:rFonts w:hint="eastAsia" w:ascii="宋体" w:hAnsi="宋体" w:eastAsia="宋体" w:cs="宋体"/>
          <w:color w:val="auto"/>
          <w:szCs w:val="21"/>
          <w:highlight w:val="none"/>
          <w:u w:val="none"/>
          <w:lang w:eastAsia="zh-CN"/>
        </w:rPr>
        <w:t>；</w:t>
      </w:r>
      <w:r>
        <w:rPr>
          <w:rFonts w:hint="eastAsia" w:ascii="宋体" w:hAnsi="宋体" w:eastAsia="宋体" w:cs="宋体"/>
          <w:color w:val="auto"/>
          <w:szCs w:val="21"/>
          <w:highlight w:val="none"/>
          <w:u w:val="none"/>
          <w:lang w:val="en-US" w:eastAsia="zh-CN"/>
        </w:rPr>
        <w:t>标项二：¥5000.00。</w:t>
      </w:r>
    </w:p>
    <w:p>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谈判保证金的</w:t>
      </w:r>
      <w:r>
        <w:rPr>
          <w:rFonts w:hint="eastAsia" w:ascii="宋体" w:hAnsi="宋体" w:eastAsia="宋体" w:cs="宋体"/>
          <w:color w:val="auto"/>
          <w:szCs w:val="21"/>
          <w:highlight w:val="none"/>
        </w:rPr>
        <w:t>缴</w:t>
      </w:r>
      <w:r>
        <w:rPr>
          <w:rFonts w:hint="eastAsia" w:ascii="宋体" w:hAnsi="宋体" w:eastAsia="宋体" w:cs="宋体"/>
          <w:color w:val="auto"/>
          <w:kern w:val="0"/>
          <w:szCs w:val="21"/>
          <w:highlight w:val="none"/>
        </w:rPr>
        <w:t>纳方式：银行转账、支票、汇票、本票或者金融机构、担保机构出具的保函等非现金形式提交。采用银行转账方式的，在首次响应文件提交截止时间前交至采购代理机构指定账户并且到账；缴纳谈判保证金指定账户的信息：</w:t>
      </w:r>
    </w:p>
    <w:p>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cs="宋体"/>
          <w:color w:val="auto"/>
          <w:kern w:val="0"/>
          <w:szCs w:val="21"/>
          <w:highlight w:val="none"/>
        </w:rPr>
        <w:t>开户银行：招商银行南宁市金浦路支行</w:t>
      </w:r>
    </w:p>
    <w:p>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开户名称：广西科联招标中心有限公司</w:t>
      </w:r>
    </w:p>
    <w:p>
      <w:pPr>
        <w:spacing w:line="360" w:lineRule="auto"/>
        <w:ind w:firstLine="420" w:firstLineChars="200"/>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rPr>
        <w:t>银行账号：7719011969103333000011262</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标项一</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7719011969103333000011263（标项二）</w:t>
      </w:r>
    </w:p>
    <w:p>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采用支票、汇票、本票或者保函等方式的，</w:t>
      </w:r>
      <w:r>
        <w:rPr>
          <w:rFonts w:hint="eastAsia" w:ascii="宋体" w:hAnsi="宋体"/>
          <w:color w:val="auto"/>
          <w:szCs w:val="21"/>
          <w:highlight w:val="none"/>
        </w:rPr>
        <w:t>供应商必须在首次响应文件提交截止时间前将支票、汇票、本票或者金融机构、担保机构出具的保函</w:t>
      </w:r>
      <w:r>
        <w:rPr>
          <w:rFonts w:hint="eastAsia" w:ascii="宋体" w:hAnsi="宋体" w:cs="宋体"/>
          <w:color w:val="auto"/>
          <w:szCs w:val="21"/>
          <w:highlight w:val="none"/>
        </w:rPr>
        <w:t>（</w:t>
      </w:r>
      <w:r>
        <w:rPr>
          <w:rFonts w:hint="eastAsia" w:ascii="宋体" w:hAnsi="宋体" w:cs="宋体"/>
          <w:color w:val="auto"/>
          <w:kern w:val="0"/>
          <w:szCs w:val="21"/>
          <w:highlight w:val="none"/>
        </w:rPr>
        <w:t>电子保函除外</w:t>
      </w:r>
      <w:r>
        <w:rPr>
          <w:rFonts w:hint="eastAsia" w:ascii="宋体" w:hAnsi="宋体" w:cs="宋体"/>
          <w:color w:val="auto"/>
          <w:szCs w:val="21"/>
          <w:highlight w:val="none"/>
        </w:rPr>
        <w:t>）</w:t>
      </w:r>
      <w:r>
        <w:rPr>
          <w:rFonts w:hint="eastAsia" w:ascii="宋体" w:hAnsi="宋体"/>
          <w:color w:val="auto"/>
          <w:szCs w:val="21"/>
          <w:highlight w:val="none"/>
        </w:rPr>
        <w:t>等原件提交给采购代理机构</w:t>
      </w:r>
      <w:r>
        <w:rPr>
          <w:rFonts w:hint="eastAsia" w:ascii="宋体" w:hAnsi="宋体" w:eastAsia="宋体" w:cs="宋体"/>
          <w:color w:val="auto"/>
          <w:kern w:val="0"/>
          <w:szCs w:val="21"/>
          <w:highlight w:val="none"/>
        </w:rPr>
        <w:t>。否则视为无效谈判保证金。</w:t>
      </w:r>
    </w:p>
    <w:p>
      <w:pPr>
        <w:spacing w:line="360" w:lineRule="auto"/>
        <w:ind w:firstLine="420" w:firstLineChars="200"/>
        <w:rPr>
          <w:rFonts w:hint="eastAsia" w:ascii="宋体" w:hAnsi="宋体" w:eastAsia="宋体" w:cs="宋体"/>
          <w:color w:val="auto"/>
          <w:kern w:val="0"/>
          <w:szCs w:val="21"/>
          <w:highlight w:val="none"/>
        </w:rPr>
      </w:pPr>
      <w:bookmarkStart w:id="45" w:name="_Hlk37429595"/>
      <w:bookmarkStart w:id="46" w:name="_Hlk37429585"/>
      <w:r>
        <w:rPr>
          <w:rFonts w:hint="eastAsia" w:ascii="宋体" w:hAnsi="宋体" w:eastAsia="宋体" w:cs="宋体"/>
          <w:color w:val="auto"/>
          <w:kern w:val="0"/>
          <w:szCs w:val="21"/>
          <w:highlight w:val="none"/>
        </w:rPr>
        <w:t>2.网上查询</w:t>
      </w:r>
      <w:bookmarkStart w:id="47" w:name="OLE_LINK10"/>
      <w:r>
        <w:rPr>
          <w:rFonts w:hint="eastAsia" w:ascii="宋体" w:hAnsi="宋体" w:eastAsia="宋体" w:cs="宋体"/>
          <w:color w:val="auto"/>
          <w:kern w:val="0"/>
          <w:szCs w:val="21"/>
          <w:highlight w:val="none"/>
        </w:rPr>
        <w:t>地址</w:t>
      </w:r>
    </w:p>
    <w:bookmarkEnd w:id="45"/>
    <w:bookmarkEnd w:id="46"/>
    <w:bookmarkEnd w:id="47"/>
    <w:p>
      <w:pPr>
        <w:spacing w:line="360" w:lineRule="auto"/>
        <w:ind w:firstLine="420" w:firstLineChars="200"/>
        <w:rPr>
          <w:rFonts w:hint="eastAsia" w:ascii="宋体" w:hAnsi="宋体" w:eastAsia="宋体" w:cs="宋体"/>
          <w:color w:val="auto"/>
          <w:kern w:val="0"/>
          <w:szCs w:val="21"/>
          <w:highlight w:val="none"/>
        </w:rPr>
      </w:pPr>
      <w:bookmarkStart w:id="48" w:name="_Hlk37429674"/>
      <w:r>
        <w:rPr>
          <w:rFonts w:hint="eastAsia" w:ascii="宋体" w:hAnsi="宋体" w:eastAsia="宋体" w:cs="宋体"/>
          <w:color w:val="auto"/>
          <w:kern w:val="0"/>
          <w:szCs w:val="21"/>
          <w:highlight w:val="none"/>
        </w:rPr>
        <w:t>http://www.ccgp-guangxi.gov.cn/</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中国政府采购网广西分网)</w:t>
      </w:r>
    </w:p>
    <w:p>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3.本项目需要落实的政府采购政策</w:t>
      </w:r>
    </w:p>
    <w:p>
      <w:pPr>
        <w:spacing w:line="360" w:lineRule="auto"/>
        <w:ind w:firstLine="315" w:firstLineChars="15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（1）政府采购促进中小企业发展。</w:t>
      </w:r>
    </w:p>
    <w:p>
      <w:pPr>
        <w:spacing w:line="360" w:lineRule="auto"/>
        <w:ind w:firstLine="315" w:firstLineChars="15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（2）政府采购支持采用本国产品的政策。</w:t>
      </w:r>
    </w:p>
    <w:p>
      <w:pPr>
        <w:spacing w:line="360" w:lineRule="auto"/>
        <w:ind w:firstLine="315" w:firstLineChars="15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（3）强制采购节能产品；优先采购节能产品、环境标志产品。</w:t>
      </w:r>
    </w:p>
    <w:p>
      <w:pPr>
        <w:spacing w:line="360" w:lineRule="auto"/>
        <w:ind w:firstLine="315" w:firstLineChars="15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（4）政府采购促进残疾人就业政策。</w:t>
      </w:r>
    </w:p>
    <w:p>
      <w:pPr>
        <w:spacing w:line="360" w:lineRule="auto"/>
        <w:ind w:firstLine="315" w:firstLineChars="15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（5）政府采购支持监狱企业发展。</w:t>
      </w:r>
    </w:p>
    <w:bookmarkEnd w:id="48"/>
    <w:p>
      <w:pPr>
        <w:snapToGrid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pPr>
        <w:snapToGri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5.对在“信用中国”网站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www.creditchina.gov.cn) 、中国政府采购网</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www.ccgp.gov.cn)被列入失信被执行人、重大税收违法失信主体、政府采购严重违法失信行为记录名单及其他不符合《中华人民共和国政府采购法》第二十二条规定条件的供应商，不得参与政府采购活动。</w:t>
      </w:r>
    </w:p>
    <w:p>
      <w:pPr>
        <w:spacing w:line="360" w:lineRule="auto"/>
        <w:ind w:firstLine="422" w:firstLineChars="200"/>
        <w:rPr>
          <w:rFonts w:hint="eastAsia" w:ascii="宋体" w:hAnsi="宋体" w:eastAsia="宋体" w:cs="宋体"/>
          <w:color w:val="auto"/>
          <w:kern w:val="0"/>
          <w:szCs w:val="21"/>
          <w:highlight w:val="none"/>
        </w:rPr>
      </w:pPr>
      <w:r>
        <w:rPr>
          <w:rFonts w:hint="eastAsia" w:ascii="宋体" w:hAnsi="宋体" w:eastAsia="宋体" w:cs="宋体"/>
          <w:b/>
          <w:bCs/>
          <w:color w:val="auto"/>
          <w:kern w:val="0"/>
          <w:szCs w:val="21"/>
          <w:highlight w:val="none"/>
        </w:rPr>
        <w:t>6.</w:t>
      </w:r>
      <w:r>
        <w:rPr>
          <w:rFonts w:hint="eastAsia" w:ascii="宋体" w:hAnsi="宋体" w:eastAsia="宋体" w:cs="宋体"/>
          <w:b/>
          <w:bCs/>
          <w:color w:val="auto"/>
          <w:szCs w:val="21"/>
          <w:highlight w:val="none"/>
        </w:rPr>
        <w:t>在线竞标的有关说明</w:t>
      </w:r>
      <w:r>
        <w:rPr>
          <w:rFonts w:hint="eastAsia" w:ascii="宋体" w:hAnsi="宋体" w:eastAsia="宋体" w:cs="宋体"/>
          <w:b/>
          <w:bCs/>
          <w:color w:val="auto"/>
          <w:kern w:val="0"/>
          <w:szCs w:val="21"/>
          <w:highlight w:val="none"/>
        </w:rPr>
        <w:t>：</w:t>
      </w:r>
    </w:p>
    <w:p>
      <w:pPr>
        <w:widowControl/>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（1）响应文件提交方式：本项目为全流程电子化项目，通过</w:t>
      </w:r>
      <w:r>
        <w:rPr>
          <w:rFonts w:hint="eastAsia" w:ascii="宋体" w:hAnsi="宋体" w:cs="宋体"/>
          <w:color w:val="auto"/>
          <w:szCs w:val="21"/>
          <w:highlight w:val="none"/>
        </w:rPr>
        <w:t>广西政府采购云平台（</w:t>
      </w:r>
      <w:r>
        <w:rPr>
          <w:rStyle w:val="32"/>
          <w:rFonts w:hint="eastAsia" w:ascii="宋体" w:hAnsi="宋体" w:eastAsia="宋体" w:cs="宋体"/>
          <w:b w:val="0"/>
          <w:bCs/>
          <w:color w:val="auto"/>
          <w:szCs w:val="21"/>
          <w:highlight w:val="none"/>
        </w:rPr>
        <w:t>https://www.gcy.zfcg.gxzf.gov.cn</w:t>
      </w:r>
      <w:r>
        <w:rPr>
          <w:rStyle w:val="32"/>
          <w:rFonts w:hint="eastAsia" w:ascii="宋体" w:hAnsi="宋体" w:eastAsia="宋体" w:cs="宋体"/>
          <w:b w:val="0"/>
          <w:bCs/>
          <w:color w:val="auto"/>
          <w:szCs w:val="21"/>
          <w:highlight w:val="none"/>
          <w:lang w:eastAsia="zh-CN"/>
        </w:rPr>
        <w:t>）</w:t>
      </w:r>
      <w:r>
        <w:rPr>
          <w:rFonts w:hint="eastAsia" w:ascii="宋体" w:hAnsi="宋体" w:eastAsia="宋体" w:cs="宋体"/>
          <w:color w:val="auto"/>
          <w:szCs w:val="21"/>
          <w:highlight w:val="none"/>
        </w:rPr>
        <w:t>实行在线电子响应，供应商应先安装</w:t>
      </w:r>
      <w:r>
        <w:rPr>
          <w:rFonts w:hint="eastAsia" w:ascii="宋体" w:hAnsi="宋体" w:cs="宋体"/>
          <w:color w:val="auto"/>
          <w:szCs w:val="21"/>
          <w:highlight w:val="none"/>
        </w:rPr>
        <w:t>广西政府采购云平台新版客户端（新版</w:t>
      </w:r>
      <w:r>
        <w:rPr>
          <w:rFonts w:hint="eastAsia" w:ascii="宋体" w:hAnsi="宋体" w:eastAsia="宋体" w:cs="宋体"/>
          <w:color w:val="auto"/>
          <w:szCs w:val="21"/>
          <w:highlight w:val="none"/>
        </w:rPr>
        <w:t>客户端下载路径：广西政府采购网（http://zfcg.gxzf.gov.cn</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—办事服务—下载专区</w:t>
      </w:r>
      <w:r>
        <w:rPr>
          <w:rFonts w:hint="eastAsia" w:ascii="宋体" w:hAnsi="宋体" w:cs="宋体"/>
          <w:color w:val="auto"/>
          <w:szCs w:val="21"/>
          <w:highlight w:val="none"/>
        </w:rPr>
        <w:t>）</w:t>
      </w:r>
      <w:r>
        <w:rPr>
          <w:rFonts w:hint="eastAsia" w:ascii="宋体" w:hAnsi="宋体" w:eastAsia="宋体" w:cs="宋体"/>
          <w:color w:val="auto"/>
          <w:szCs w:val="21"/>
          <w:highlight w:val="none"/>
        </w:rPr>
        <w:t>，并按照本项目采购文件和</w:t>
      </w:r>
      <w:r>
        <w:rPr>
          <w:rFonts w:hint="eastAsia" w:ascii="宋体" w:hAnsi="宋体" w:cs="宋体"/>
          <w:color w:val="auto"/>
          <w:szCs w:val="21"/>
          <w:highlight w:val="none"/>
        </w:rPr>
        <w:t>广西政府采购云平台</w:t>
      </w:r>
      <w:r>
        <w:rPr>
          <w:rFonts w:hint="eastAsia" w:ascii="宋体" w:hAnsi="宋体" w:eastAsia="宋体" w:cs="宋体"/>
          <w:color w:val="auto"/>
          <w:szCs w:val="21"/>
          <w:highlight w:val="none"/>
        </w:rPr>
        <w:t>的要求编制、加密后在响应文件提交截止时间前通过网络上传至</w:t>
      </w:r>
      <w:r>
        <w:rPr>
          <w:rFonts w:hint="eastAsia" w:ascii="宋体" w:hAnsi="宋体" w:cs="宋体"/>
          <w:color w:val="auto"/>
          <w:szCs w:val="21"/>
          <w:highlight w:val="none"/>
        </w:rPr>
        <w:t>广西政府采购云平台</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供应商在广西政府采购云平台提交电子版响应文件时，请填写参加远程采购活动经办人联系方式</w:t>
      </w:r>
      <w:r>
        <w:rPr>
          <w:rFonts w:hint="eastAsia" w:ascii="宋体" w:hAnsi="宋体" w:eastAsia="宋体" w:cs="宋体"/>
          <w:color w:val="auto"/>
          <w:szCs w:val="21"/>
          <w:highlight w:val="none"/>
        </w:rPr>
        <w:t>。</w:t>
      </w:r>
    </w:p>
    <w:p>
      <w:pPr>
        <w:widowControl/>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（2）未进行网上注册并办理数字证书（CA认证）的供应商将无法参与本项目政府采购活动，潜在供应商应当在首次响应文件提交截止时间前，完成电子交易平台上的CA数字证书办理及响应文件的提交。</w:t>
      </w:r>
    </w:p>
    <w:p>
      <w:pPr>
        <w:widowControl/>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（3）为确保网上操作合法、有效和安全，请供应商确保在电子响应过程中能够对相关数据电文进行加密和使用电子签章，妥善保管CA数字证书并使用有效的CA数字证书参与整个采购活动。</w:t>
      </w:r>
    </w:p>
    <w:p>
      <w:pPr>
        <w:spacing w:line="360" w:lineRule="auto"/>
        <w:ind w:firstLine="422" w:firstLineChars="200"/>
        <w:rPr>
          <w:rFonts w:hint="eastAsia" w:ascii="宋体" w:hAnsi="宋体" w:eastAsia="宋体" w:cs="宋体"/>
          <w:b/>
          <w:color w:val="auto"/>
          <w:szCs w:val="21"/>
          <w:highlight w:val="none"/>
          <w:u w:val="single"/>
        </w:rPr>
      </w:pPr>
      <w:r>
        <w:rPr>
          <w:rFonts w:hint="eastAsia" w:ascii="宋体" w:hAnsi="宋体" w:eastAsia="宋体" w:cs="宋体"/>
          <w:b/>
          <w:color w:val="auto"/>
          <w:szCs w:val="21"/>
          <w:highlight w:val="none"/>
          <w:u w:val="single"/>
        </w:rPr>
        <w:t>注：供应商应当在首次响应文件提交截止时间前完成电子响应文件的上传、递交，响应文件提交截止时间前可以补充、修改或者撤回响应文件。补充或者修改响应文件的，应当先行撤回原文件，补充、修改后重新上传、递交。</w:t>
      </w:r>
      <w:r>
        <w:rPr>
          <w:rFonts w:hint="eastAsia" w:ascii="宋体" w:hAnsi="宋体" w:eastAsia="宋体" w:cs="宋体"/>
          <w:b/>
          <w:color w:val="auto"/>
          <w:szCs w:val="21"/>
          <w:highlight w:val="none"/>
        </w:rPr>
        <w:t>响应文件提交</w:t>
      </w:r>
      <w:r>
        <w:rPr>
          <w:rFonts w:hint="eastAsia" w:ascii="宋体" w:hAnsi="宋体" w:eastAsia="宋体" w:cs="宋体"/>
          <w:b/>
          <w:color w:val="auto"/>
          <w:szCs w:val="21"/>
          <w:highlight w:val="none"/>
          <w:u w:val="single"/>
        </w:rPr>
        <w:t>截止时间前未完成上传、递交的，视为撤回响应文件。响应文件提交截止时间以后上传递交的响应文件的，广西政府采购云平台将予以拒收。</w:t>
      </w:r>
    </w:p>
    <w:p>
      <w:pPr>
        <w:snapToGrid w:val="0"/>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ascii="宋体" w:hAnsi="宋体" w:eastAsia="宋体" w:cs="宋体"/>
          <w:color w:val="auto"/>
          <w:kern w:val="0"/>
          <w:szCs w:val="21"/>
          <w:highlight w:val="none"/>
        </w:rPr>
        <w:t>4</w:t>
      </w:r>
      <w:r>
        <w:rPr>
          <w:rFonts w:hint="eastAsia" w:ascii="宋体" w:hAnsi="宋体" w:eastAsia="宋体" w:cs="宋体"/>
          <w:color w:val="auto"/>
          <w:kern w:val="0"/>
          <w:szCs w:val="21"/>
          <w:highlight w:val="none"/>
        </w:rPr>
        <w:t>）CA证书在线解密：首次响应文件开启时，需要供应商登录</w:t>
      </w:r>
      <w:r>
        <w:rPr>
          <w:rFonts w:hint="eastAsia" w:ascii="宋体" w:hAnsi="宋体" w:cs="宋体"/>
          <w:color w:val="auto"/>
          <w:szCs w:val="21"/>
          <w:highlight w:val="none"/>
        </w:rPr>
        <w:t>广西政府采购云平台</w:t>
      </w:r>
      <w:r>
        <w:rPr>
          <w:rFonts w:hint="eastAsia" w:ascii="宋体" w:hAnsi="宋体" w:eastAsia="宋体" w:cs="宋体"/>
          <w:color w:val="auto"/>
          <w:kern w:val="0"/>
          <w:szCs w:val="21"/>
          <w:highlight w:val="none"/>
        </w:rPr>
        <w:t>电子开标大厅按规定时间对加密的响应文件进行解密。</w:t>
      </w:r>
    </w:p>
    <w:p>
      <w:pPr>
        <w:snapToGrid w:val="0"/>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ascii="宋体" w:hAnsi="宋体" w:eastAsia="宋体" w:cs="宋体"/>
          <w:color w:val="auto"/>
          <w:kern w:val="0"/>
          <w:szCs w:val="21"/>
          <w:highlight w:val="none"/>
        </w:rPr>
        <w:t>5</w:t>
      </w:r>
      <w:r>
        <w:rPr>
          <w:rFonts w:hint="eastAsia" w:ascii="宋体" w:hAnsi="宋体" w:eastAsia="宋体" w:cs="宋体"/>
          <w:color w:val="auto"/>
          <w:kern w:val="0"/>
          <w:szCs w:val="21"/>
          <w:highlight w:val="none"/>
        </w:rPr>
        <w:t>）供应商需要在具备有摄像头及语音功能且互联网网络状况良好的电脑登录</w:t>
      </w:r>
      <w:r>
        <w:rPr>
          <w:rFonts w:hint="eastAsia" w:ascii="宋体" w:hAnsi="宋体" w:cs="宋体"/>
          <w:color w:val="auto"/>
          <w:szCs w:val="21"/>
          <w:highlight w:val="none"/>
        </w:rPr>
        <w:t>广西政府采购云平台</w:t>
      </w:r>
      <w:r>
        <w:rPr>
          <w:rFonts w:hint="eastAsia" w:ascii="宋体" w:hAnsi="宋体" w:eastAsia="宋体" w:cs="宋体"/>
          <w:color w:val="auto"/>
          <w:kern w:val="0"/>
          <w:szCs w:val="21"/>
          <w:highlight w:val="none"/>
        </w:rPr>
        <w:t>远程开标大厅参与本次谈判，否则后果自负。</w:t>
      </w:r>
    </w:p>
    <w:p>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7.若对项目采购电子交易系统操作有疑问，可登录</w:t>
      </w:r>
      <w:r>
        <w:rPr>
          <w:rFonts w:hint="eastAsia" w:ascii="宋体" w:hAnsi="宋体" w:cs="宋体"/>
          <w:color w:val="auto"/>
          <w:szCs w:val="21"/>
          <w:highlight w:val="none"/>
        </w:rPr>
        <w:t>广西政府采购云平台（</w:t>
      </w:r>
      <w:r>
        <w:rPr>
          <w:rStyle w:val="32"/>
          <w:rFonts w:hint="eastAsia" w:ascii="宋体" w:hAnsi="宋体" w:eastAsia="宋体" w:cs="宋体"/>
          <w:b w:val="0"/>
          <w:bCs/>
          <w:color w:val="auto"/>
          <w:szCs w:val="21"/>
          <w:highlight w:val="none"/>
        </w:rPr>
        <w:t>https://www.gcy.zfcg.gxzf.gov.cn</w:t>
      </w:r>
      <w:r>
        <w:rPr>
          <w:rStyle w:val="32"/>
          <w:rFonts w:hint="eastAsia" w:ascii="宋体" w:hAnsi="宋体" w:eastAsia="宋体" w:cs="宋体"/>
          <w:b w:val="0"/>
          <w:bCs/>
          <w:color w:val="auto"/>
          <w:szCs w:val="21"/>
          <w:highlight w:val="none"/>
          <w:lang w:eastAsia="zh-CN"/>
        </w:rPr>
        <w:t>）</w:t>
      </w:r>
      <w:r>
        <w:rPr>
          <w:rFonts w:hint="eastAsia" w:ascii="宋体" w:hAnsi="宋体" w:eastAsia="宋体" w:cs="宋体"/>
          <w:color w:val="auto"/>
          <w:kern w:val="0"/>
          <w:szCs w:val="21"/>
          <w:highlight w:val="none"/>
        </w:rPr>
        <w:t>，点击右侧咨询小采，获取采小蜜智能服务管家帮助，或拨打</w:t>
      </w:r>
      <w:r>
        <w:rPr>
          <w:rFonts w:hint="eastAsia" w:ascii="宋体" w:hAnsi="宋体" w:cs="宋体"/>
          <w:color w:val="auto"/>
          <w:szCs w:val="21"/>
          <w:highlight w:val="none"/>
        </w:rPr>
        <w:t>广西政府采购云平台</w:t>
      </w:r>
      <w:r>
        <w:rPr>
          <w:rFonts w:hint="eastAsia" w:ascii="宋体" w:hAnsi="宋体" w:eastAsia="宋体" w:cs="宋体"/>
          <w:color w:val="auto"/>
          <w:kern w:val="0"/>
          <w:szCs w:val="21"/>
          <w:highlight w:val="none"/>
        </w:rPr>
        <w:t>服务热线95763获取热线服务帮助。</w:t>
      </w:r>
    </w:p>
    <w:p>
      <w:pPr>
        <w:spacing w:line="360" w:lineRule="auto"/>
        <w:ind w:firstLine="482" w:firstLineChars="200"/>
        <w:rPr>
          <w:rFonts w:hint="eastAsia" w:ascii="黑体" w:hAnsi="黑体" w:eastAsia="黑体" w:cs="宋体"/>
          <w:bCs/>
          <w:color w:val="auto"/>
          <w:sz w:val="24"/>
          <w:szCs w:val="24"/>
          <w:highlight w:val="none"/>
        </w:rPr>
      </w:pPr>
      <w:r>
        <w:rPr>
          <w:rFonts w:hint="eastAsia" w:ascii="黑体" w:hAnsi="黑体" w:eastAsia="黑体" w:cs="宋体"/>
          <w:b/>
          <w:color w:val="auto"/>
          <w:kern w:val="44"/>
          <w:sz w:val="24"/>
          <w:szCs w:val="24"/>
          <w:highlight w:val="none"/>
        </w:rPr>
        <w:t>八、凡对本次采购提出询问，请按</w:t>
      </w:r>
      <w:r>
        <w:rPr>
          <w:rFonts w:ascii="黑体" w:hAnsi="黑体" w:eastAsia="黑体" w:cs="宋体"/>
          <w:b/>
          <w:color w:val="auto"/>
          <w:kern w:val="44"/>
          <w:sz w:val="24"/>
          <w:szCs w:val="24"/>
          <w:highlight w:val="none"/>
        </w:rPr>
        <w:t>以下方式</w:t>
      </w:r>
      <w:r>
        <w:rPr>
          <w:rFonts w:hint="eastAsia" w:ascii="黑体" w:hAnsi="黑体" w:eastAsia="黑体" w:cs="宋体"/>
          <w:b/>
          <w:color w:val="auto"/>
          <w:kern w:val="44"/>
          <w:sz w:val="24"/>
          <w:szCs w:val="24"/>
          <w:highlight w:val="none"/>
        </w:rPr>
        <w:t>联系。</w:t>
      </w:r>
    </w:p>
    <w:p>
      <w:pPr>
        <w:spacing w:line="360" w:lineRule="auto"/>
        <w:ind w:firstLine="420" w:firstLineChars="200"/>
        <w:jc w:val="left"/>
        <w:rPr>
          <w:rFonts w:hint="eastAsia" w:ascii="宋体" w:hAnsi="宋体" w:eastAsia="宋体" w:cs="Times New Roman"/>
          <w:color w:val="auto"/>
          <w:szCs w:val="21"/>
          <w:highlight w:val="none"/>
        </w:rPr>
      </w:pPr>
      <w:r>
        <w:rPr>
          <w:rFonts w:hint="eastAsia" w:ascii="宋体" w:hAnsi="宋体" w:eastAsia="宋体" w:cs="宋体"/>
          <w:color w:val="auto"/>
          <w:szCs w:val="21"/>
          <w:highlight w:val="none"/>
        </w:rPr>
        <w:t>1.采购人信息</w:t>
      </w:r>
    </w:p>
    <w:p>
      <w:pPr>
        <w:spacing w:line="360" w:lineRule="auto"/>
        <w:ind w:left="260" w:leftChars="124" w:firstLine="577" w:firstLineChars="275"/>
        <w:jc w:val="left"/>
        <w:rPr>
          <w:rFonts w:hint="eastAsia" w:ascii="宋体" w:hAnsi="宋体" w:eastAsia="宋体" w:cs="Times New Roman"/>
          <w:color w:val="auto"/>
          <w:szCs w:val="21"/>
          <w:highlight w:val="none"/>
          <w:u w:val="single"/>
        </w:rPr>
      </w:pPr>
      <w:r>
        <w:rPr>
          <w:rFonts w:hint="eastAsia" w:ascii="宋体" w:hAnsi="宋体" w:eastAsia="宋体" w:cs="Times New Roman"/>
          <w:color w:val="auto"/>
          <w:szCs w:val="21"/>
          <w:highlight w:val="none"/>
        </w:rPr>
        <w:t>名 称：</w:t>
      </w:r>
      <w:r>
        <w:rPr>
          <w:rFonts w:hint="eastAsia" w:ascii="宋体" w:hAnsi="宋体" w:eastAsia="宋体" w:cs="Times New Roman"/>
          <w:color w:val="auto"/>
          <w:szCs w:val="21"/>
          <w:highlight w:val="none"/>
          <w:u w:val="none"/>
        </w:rPr>
        <w:t xml:space="preserve">广西壮族自治区计量检测研究院  </w:t>
      </w:r>
    </w:p>
    <w:p>
      <w:pPr>
        <w:spacing w:line="360" w:lineRule="auto"/>
        <w:ind w:left="260" w:leftChars="124" w:firstLine="577" w:firstLineChars="275"/>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地 址：</w:t>
      </w:r>
      <w:r>
        <w:rPr>
          <w:rFonts w:hint="eastAsia" w:ascii="宋体" w:hAnsi="宋体" w:eastAsia="宋体" w:cs="Times New Roman"/>
          <w:color w:val="auto"/>
          <w:szCs w:val="21"/>
          <w:highlight w:val="none"/>
          <w:u w:val="none"/>
        </w:rPr>
        <w:t xml:space="preserve">南宁市邕宁区蒲庙镇永乐路30号   </w:t>
      </w:r>
    </w:p>
    <w:p>
      <w:pPr>
        <w:spacing w:line="360" w:lineRule="auto"/>
        <w:ind w:left="260" w:leftChars="124" w:firstLine="577" w:firstLineChars="275"/>
        <w:jc w:val="left"/>
        <w:rPr>
          <w:rFonts w:hint="eastAsia" w:ascii="宋体" w:hAnsi="宋体" w:eastAsia="宋体" w:cs="Times New Roman"/>
          <w:color w:val="auto"/>
          <w:szCs w:val="21"/>
          <w:highlight w:val="none"/>
          <w:u w:val="single"/>
        </w:rPr>
      </w:pPr>
      <w:r>
        <w:rPr>
          <w:rFonts w:hint="eastAsia" w:ascii="宋体" w:hAnsi="宋体" w:eastAsia="宋体" w:cs="Times New Roman"/>
          <w:color w:val="auto"/>
          <w:szCs w:val="21"/>
          <w:highlight w:val="none"/>
          <w:lang w:val="zh-CN"/>
        </w:rPr>
        <w:t>项目联系人：</w:t>
      </w:r>
      <w:bookmarkStart w:id="49" w:name="OLE_LINK11"/>
      <w:r>
        <w:rPr>
          <w:rFonts w:hint="eastAsia" w:ascii="宋体" w:hAnsi="宋体" w:eastAsia="宋体" w:cs="Times New Roman"/>
          <w:color w:val="auto"/>
          <w:szCs w:val="21"/>
          <w:highlight w:val="none"/>
          <w:u w:val="none"/>
        </w:rPr>
        <w:t>陈曦</w:t>
      </w:r>
      <w:bookmarkEnd w:id="49"/>
      <w:r>
        <w:rPr>
          <w:rFonts w:hint="eastAsia" w:ascii="宋体" w:hAnsi="宋体" w:eastAsia="宋体" w:cs="Times New Roman"/>
          <w:color w:val="auto"/>
          <w:szCs w:val="21"/>
          <w:highlight w:val="none"/>
          <w:u w:val="none"/>
        </w:rPr>
        <w:t xml:space="preserve">    </w:t>
      </w:r>
    </w:p>
    <w:p>
      <w:pPr>
        <w:spacing w:line="360" w:lineRule="auto"/>
        <w:ind w:left="260" w:leftChars="124" w:firstLine="577" w:firstLineChars="275"/>
        <w:jc w:val="left"/>
        <w:rPr>
          <w:rFonts w:hint="eastAsia" w:ascii="宋体" w:hAnsi="宋体" w:eastAsia="宋体" w:cs="Times New Roman"/>
          <w:color w:val="auto"/>
          <w:szCs w:val="21"/>
          <w:highlight w:val="none"/>
          <w:u w:val="none"/>
          <w:lang w:val="zh-CN"/>
        </w:rPr>
      </w:pPr>
      <w:r>
        <w:rPr>
          <w:rFonts w:hint="eastAsia" w:ascii="宋体" w:hAnsi="宋体" w:eastAsia="宋体" w:cs="Times New Roman"/>
          <w:color w:val="auto"/>
          <w:szCs w:val="21"/>
          <w:highlight w:val="none"/>
          <w:lang w:val="zh-CN"/>
        </w:rPr>
        <w:t>项目联系方式</w:t>
      </w:r>
      <w:r>
        <w:rPr>
          <w:rFonts w:hint="eastAsia" w:ascii="宋体" w:hAnsi="宋体" w:eastAsia="宋体" w:cs="Times New Roman"/>
          <w:color w:val="auto"/>
          <w:szCs w:val="21"/>
          <w:highlight w:val="none"/>
        </w:rPr>
        <w:t>：0771-5726802</w:t>
      </w:r>
    </w:p>
    <w:p>
      <w:pPr>
        <w:spacing w:line="360" w:lineRule="auto"/>
        <w:ind w:left="256" w:leftChars="122" w:firstLine="161" w:firstLineChars="77"/>
        <w:jc w:val="left"/>
        <w:rPr>
          <w:rFonts w:hint="eastAsia" w:ascii="宋体" w:hAnsi="宋体" w:eastAsia="宋体" w:cs="Times New Roman"/>
          <w:color w:val="auto"/>
          <w:szCs w:val="21"/>
          <w:highlight w:val="none"/>
        </w:rPr>
      </w:pPr>
      <w:r>
        <w:rPr>
          <w:rFonts w:hint="eastAsia" w:ascii="宋体" w:hAnsi="宋体" w:eastAsia="宋体" w:cs="宋体"/>
          <w:color w:val="auto"/>
          <w:szCs w:val="21"/>
          <w:highlight w:val="none"/>
        </w:rPr>
        <w:t>2.采购代理机构信息</w:t>
      </w:r>
    </w:p>
    <w:p>
      <w:pPr>
        <w:spacing w:line="360" w:lineRule="auto"/>
        <w:ind w:firstLine="840" w:firstLineChars="4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名    称：广西科联招标中心有限公司</w:t>
      </w:r>
    </w:p>
    <w:p>
      <w:pPr>
        <w:spacing w:line="360" w:lineRule="auto"/>
        <w:ind w:firstLine="840" w:firstLineChars="4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地　　址：广西南宁市西乡塘区大学东路170号</w:t>
      </w:r>
    </w:p>
    <w:p>
      <w:pPr>
        <w:spacing w:line="360" w:lineRule="auto"/>
        <w:ind w:firstLine="840" w:firstLineChars="400"/>
        <w:rPr>
          <w:rFonts w:hint="default"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rPr>
        <w:t>项目联系人：</w:t>
      </w:r>
      <w:r>
        <w:rPr>
          <w:rFonts w:hint="eastAsia" w:ascii="宋体" w:hAnsi="宋体" w:eastAsia="宋体" w:cs="Times New Roman"/>
          <w:color w:val="auto"/>
          <w:szCs w:val="21"/>
          <w:highlight w:val="none"/>
          <w:lang w:val="en-US" w:eastAsia="zh-CN"/>
        </w:rPr>
        <w:t>欧明聪</w:t>
      </w:r>
      <w:r>
        <w:rPr>
          <w:rFonts w:hint="eastAsia" w:ascii="宋体" w:hAnsi="宋体" w:eastAsia="宋体" w:cs="Times New Roman"/>
          <w:color w:val="auto"/>
          <w:szCs w:val="21"/>
          <w:highlight w:val="none"/>
          <w:lang w:val="en-US" w:eastAsia="zh-CN"/>
        </w:rPr>
        <w:tab/>
      </w:r>
    </w:p>
    <w:p>
      <w:pPr>
        <w:spacing w:line="360" w:lineRule="auto"/>
        <w:ind w:firstLine="840" w:firstLineChars="400"/>
        <w:rPr>
          <w:rFonts w:hint="default" w:ascii="Cambria" w:hAnsi="Cambria" w:eastAsia="宋体" w:cs="Times New Roman"/>
          <w:b/>
          <w:color w:val="auto"/>
          <w:kern w:val="44"/>
          <w:sz w:val="32"/>
          <w:szCs w:val="32"/>
          <w:highlight w:val="none"/>
          <w:lang w:val="en-US" w:eastAsia="zh-CN"/>
        </w:rPr>
      </w:pPr>
      <w:r>
        <w:rPr>
          <w:rFonts w:hint="eastAsia" w:ascii="宋体" w:hAnsi="宋体" w:eastAsia="宋体" w:cs="Times New Roman"/>
          <w:color w:val="auto"/>
          <w:szCs w:val="21"/>
          <w:highlight w:val="none"/>
        </w:rPr>
        <w:t>项目联系方式：0771-</w:t>
      </w:r>
      <w:bookmarkStart w:id="50" w:name="_Toc30021"/>
      <w:bookmarkStart w:id="51" w:name="_Toc80205921"/>
      <w:r>
        <w:rPr>
          <w:rFonts w:hint="eastAsia" w:ascii="宋体" w:hAnsi="宋体" w:eastAsia="宋体" w:cs="Times New Roman"/>
          <w:color w:val="auto"/>
          <w:szCs w:val="21"/>
          <w:highlight w:val="none"/>
          <w:lang w:val="en-US" w:eastAsia="zh-CN"/>
        </w:rPr>
        <w:t>3482237</w:t>
      </w:r>
    </w:p>
    <w:p>
      <w:pPr>
        <w:keepNext/>
        <w:keepLines/>
        <w:spacing w:before="340" w:after="330" w:line="578" w:lineRule="auto"/>
        <w:jc w:val="center"/>
        <w:outlineLvl w:val="0"/>
        <w:rPr>
          <w:rFonts w:ascii="Cambria" w:hAnsi="Cambria" w:eastAsia="宋体" w:cs="Times New Roman"/>
          <w:b/>
          <w:color w:val="auto"/>
          <w:kern w:val="44"/>
          <w:sz w:val="32"/>
          <w:szCs w:val="32"/>
          <w:highlight w:val="none"/>
          <w:lang w:val="zh-CN"/>
        </w:rPr>
        <w:sectPr>
          <w:footerReference r:id="rId9" w:type="default"/>
          <w:pgSz w:w="11910" w:h="16840"/>
          <w:pgMar w:top="1134" w:right="1316" w:bottom="1134" w:left="1354" w:header="720" w:footer="720" w:gutter="0"/>
          <w:cols w:space="720" w:num="1"/>
        </w:sectPr>
      </w:pPr>
      <w:bookmarkStart w:id="52" w:name="_Toc7360"/>
      <w:bookmarkStart w:id="53" w:name="_Toc7676"/>
      <w:bookmarkStart w:id="54" w:name="_Toc16263"/>
      <w:bookmarkStart w:id="55" w:name="_Toc30720"/>
      <w:bookmarkStart w:id="56" w:name="_Toc14086"/>
      <w:bookmarkStart w:id="57" w:name="_Toc27517"/>
      <w:bookmarkStart w:id="58" w:name="_Toc21351"/>
    </w:p>
    <w:p>
      <w:pPr>
        <w:keepNext/>
        <w:keepLines/>
        <w:spacing w:before="340" w:after="330" w:line="578" w:lineRule="auto"/>
        <w:jc w:val="center"/>
        <w:outlineLvl w:val="0"/>
        <w:rPr>
          <w:rFonts w:ascii="Times New Roman" w:hAnsi="Times New Roman" w:eastAsia="宋体" w:cs="Times New Roman"/>
          <w:b/>
          <w:bCs/>
          <w:color w:val="auto"/>
          <w:kern w:val="44"/>
          <w:sz w:val="44"/>
          <w:szCs w:val="44"/>
          <w:highlight w:val="none"/>
          <w:lang w:val="zh-CN"/>
        </w:rPr>
      </w:pPr>
      <w:r>
        <w:rPr>
          <w:rFonts w:hint="eastAsia" w:ascii="Cambria" w:hAnsi="Cambria" w:eastAsia="宋体" w:cs="Times New Roman"/>
          <w:b/>
          <w:color w:val="auto"/>
          <w:kern w:val="44"/>
          <w:sz w:val="32"/>
          <w:szCs w:val="32"/>
          <w:highlight w:val="none"/>
          <w:lang w:val="zh-CN"/>
        </w:rPr>
        <w:t xml:space="preserve">第二章 </w:t>
      </w:r>
      <w:bookmarkStart w:id="59" w:name="OLE_LINK42"/>
      <w:r>
        <w:rPr>
          <w:rFonts w:hint="eastAsia" w:ascii="Cambria" w:hAnsi="Cambria" w:eastAsia="宋体" w:cs="Times New Roman"/>
          <w:b/>
          <w:color w:val="auto"/>
          <w:kern w:val="44"/>
          <w:sz w:val="32"/>
          <w:szCs w:val="32"/>
          <w:highlight w:val="none"/>
          <w:lang w:val="zh-CN"/>
        </w:rPr>
        <w:t>采购需求</w:t>
      </w:r>
      <w:bookmarkEnd w:id="50"/>
      <w:bookmarkEnd w:id="51"/>
      <w:bookmarkEnd w:id="52"/>
      <w:bookmarkEnd w:id="53"/>
      <w:bookmarkEnd w:id="54"/>
      <w:bookmarkEnd w:id="55"/>
      <w:bookmarkEnd w:id="56"/>
      <w:bookmarkEnd w:id="57"/>
      <w:bookmarkEnd w:id="58"/>
    </w:p>
    <w:p>
      <w:pPr>
        <w:spacing w:line="440" w:lineRule="exact"/>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说明：</w:t>
      </w:r>
    </w:p>
    <w:p>
      <w:pPr>
        <w:spacing w:line="44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4"/>
          <w:highlight w:val="none"/>
        </w:rPr>
        <w:t>1. 为落实政府采购政策需满足的要求：</w:t>
      </w:r>
    </w:p>
    <w:p>
      <w:pPr>
        <w:spacing w:line="44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（1）本竞争性谈判文件所称中小企业必须符合《政府采购促进中小企业发展管理办法》（财库〔2020〕46号）的规定。</w:t>
      </w:r>
    </w:p>
    <w:p>
      <w:pPr>
        <w:spacing w:line="44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w:t>
      </w:r>
      <w:r>
        <w:rPr>
          <w:rFonts w:hint="eastAsia" w:ascii="宋体" w:hAnsi="宋体" w:eastAsia="宋体" w:cs="宋体"/>
          <w:b/>
          <w:bCs/>
          <w:color w:val="auto"/>
          <w:szCs w:val="21"/>
          <w:highlight w:val="none"/>
        </w:rPr>
        <w:t>供应商必须在响应文件中提供所竞标产品有效期内的节能产品认证证书复印件（加盖供应商公章），否则响应文件作无效处理</w:t>
      </w:r>
      <w:r>
        <w:rPr>
          <w:rFonts w:hint="eastAsia" w:ascii="宋体" w:hAnsi="宋体" w:eastAsia="宋体" w:cs="宋体"/>
          <w:color w:val="auto"/>
          <w:szCs w:val="21"/>
          <w:highlight w:val="none"/>
        </w:rPr>
        <w:t>。如本项目包含的配套货物属于品目清单内非标注“★”的产品时，应优先采购，具体详见“第四章 评审程序、评审方法和成交标准”。</w:t>
      </w:r>
    </w:p>
    <w:p>
      <w:pPr>
        <w:spacing w:line="440" w:lineRule="exact"/>
        <w:ind w:firstLine="424" w:firstLineChars="202"/>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 </w:t>
      </w:r>
      <w:r>
        <w:rPr>
          <w:rFonts w:hint="eastAsia" w:ascii="宋体" w:hAnsi="宋体" w:eastAsia="宋体" w:cs="宋体"/>
          <w:b/>
          <w:bCs/>
          <w:color w:val="auto"/>
          <w:szCs w:val="21"/>
          <w:highlight w:val="none"/>
        </w:rPr>
        <w:t>“实质性要求”是指竞争性谈判文件中已经指明不满足则响应文件作无效响应处理的条款，或者不能负偏离的条款，或者采购需求中带“</w:t>
      </w:r>
      <w:bookmarkStart w:id="60" w:name="OLE_LINK1"/>
      <w:r>
        <w:rPr>
          <w:rFonts w:hint="eastAsia" w:ascii="宋体" w:hAnsi="宋体" w:eastAsia="宋体" w:cs="宋体"/>
          <w:b/>
          <w:bCs/>
          <w:color w:val="auto"/>
          <w:szCs w:val="21"/>
          <w:highlight w:val="none"/>
        </w:rPr>
        <w:t>▲</w:t>
      </w:r>
      <w:bookmarkEnd w:id="60"/>
      <w:r>
        <w:rPr>
          <w:rFonts w:hint="eastAsia" w:ascii="宋体" w:hAnsi="宋体" w:eastAsia="宋体" w:cs="宋体"/>
          <w:b/>
          <w:bCs/>
          <w:color w:val="auto"/>
          <w:szCs w:val="21"/>
          <w:highlight w:val="none"/>
        </w:rPr>
        <w:t>”的条款。</w:t>
      </w:r>
    </w:p>
    <w:p>
      <w:pPr>
        <w:tabs>
          <w:tab w:val="left" w:pos="180"/>
          <w:tab w:val="left" w:pos="1620"/>
        </w:tabs>
        <w:spacing w:line="440" w:lineRule="exact"/>
        <w:ind w:firstLine="420" w:firstLineChars="200"/>
        <w:jc w:val="left"/>
        <w:rPr>
          <w:rFonts w:hint="default" w:ascii="宋体" w:hAnsi="宋体" w:eastAsia="宋体" w:cs="宋体"/>
          <w:b/>
          <w:bCs/>
          <w:color w:val="auto"/>
          <w:highlight w:val="none"/>
          <w:lang w:val="en-US"/>
        </w:rPr>
      </w:pPr>
      <w:bookmarkStart w:id="61" w:name="PO_3000001871_PM050"/>
      <w:r>
        <w:rPr>
          <w:rFonts w:hint="eastAsia" w:ascii="宋体" w:hAnsi="宋体" w:eastAsia="宋体" w:cs="宋体"/>
          <w:color w:val="auto"/>
          <w:highlight w:val="none"/>
        </w:rPr>
        <w:t>3.本项目中小企业划分标准所属行业名称：详见需求一览表。本项目中属于软件和信息技术服务业的标的不做中小企业划分要求</w:t>
      </w:r>
      <w:r>
        <w:rPr>
          <w:rFonts w:hint="eastAsia" w:ascii="宋体" w:hAnsi="宋体" w:eastAsia="宋体" w:cs="宋体"/>
          <w:b/>
          <w:bCs/>
          <w:color w:val="auto"/>
          <w:highlight w:val="none"/>
          <w:lang w:val="en-US" w:eastAsia="zh-CN"/>
        </w:rPr>
        <w:t>。</w:t>
      </w:r>
    </w:p>
    <w:p>
      <w:pPr>
        <w:pStyle w:val="21"/>
        <w:rPr>
          <w:rFonts w:hint="eastAsia" w:ascii="宋体" w:hAnsi="宋体" w:cs="宋体"/>
          <w:i/>
          <w:iCs/>
          <w:color w:val="auto"/>
          <w:highlight w:val="none"/>
          <w:u w:val="single"/>
          <w:lang w:val="en-US"/>
        </w:rPr>
      </w:pPr>
    </w:p>
    <w:bookmarkEnd w:id="61"/>
    <w:tbl>
      <w:tblPr>
        <w:tblStyle w:val="29"/>
        <w:tblW w:w="1012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45"/>
        <w:gridCol w:w="761"/>
        <w:gridCol w:w="753"/>
        <w:gridCol w:w="6371"/>
        <w:gridCol w:w="114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121" w:type="dxa"/>
            <w:gridSpan w:val="6"/>
            <w:tcBorders>
              <w:top w:val="single" w:color="auto" w:sz="4" w:space="0"/>
              <w:left w:val="single" w:color="auto" w:sz="4" w:space="0"/>
              <w:bottom w:val="nil"/>
              <w:right w:val="single" w:color="auto" w:sz="4" w:space="0"/>
            </w:tcBorders>
            <w:vAlign w:val="center"/>
          </w:tcPr>
          <w:p>
            <w:pPr>
              <w:spacing w:line="360" w:lineRule="auto"/>
              <w:jc w:val="left"/>
              <w:rPr>
                <w:rFonts w:hint="default" w:ascii="宋体" w:hAnsi="宋体" w:eastAsia="宋体" w:cs="宋体"/>
                <w:b/>
                <w:bCs/>
                <w:color w:val="auto"/>
                <w:szCs w:val="21"/>
                <w:highlight w:val="none"/>
                <w:lang w:val="en-US"/>
              </w:rPr>
            </w:pPr>
            <w:r>
              <w:rPr>
                <w:rFonts w:hint="eastAsia" w:ascii="宋体" w:hAnsi="宋体" w:eastAsia="宋体" w:cs="宋体"/>
                <w:b/>
                <w:bCs/>
                <w:color w:val="auto"/>
                <w:szCs w:val="21"/>
                <w:highlight w:val="none"/>
                <w:lang w:val="en-US" w:eastAsia="zh-CN"/>
              </w:rPr>
              <w:t>标项一：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restart"/>
            <w:tcBorders>
              <w:top w:val="single" w:color="auto" w:sz="4" w:space="0"/>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需求一览表</w:t>
            </w: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7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标的名称</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数量及单位</w:t>
            </w:r>
          </w:p>
        </w:tc>
        <w:tc>
          <w:tcPr>
            <w:tcW w:w="637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技术参数及配置</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中小企业划分标准所属行业名称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p>
        </w:tc>
        <w:tc>
          <w:tcPr>
            <w:tcW w:w="7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日志分析管理系统</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1台</w:t>
            </w:r>
          </w:p>
        </w:tc>
        <w:tc>
          <w:tcPr>
            <w:tcW w:w="6371"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1.性能参数：默认包含主机审计许可证书数量≥50，最大可扩展审计主机许可数≥150，数据盘≥2T*2（raid1），平均每秒处理日志数（eps）最大性能≥2500。</w:t>
            </w:r>
          </w:p>
          <w:p>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2.硬件参数：规格：2U，内存大小≥16G，硬盘容量≥128G minisata+2T SATA*2，接口≥6千兆电口+2万兆光口SFP+。</w:t>
            </w:r>
          </w:p>
          <w:p>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3.支持安全设备、网络设备、中间件、服务器、数据库、操作系统、业务系统等不少于720种日志对象的日志数据采集；</w:t>
            </w:r>
          </w:p>
          <w:p>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4.支持通过syslog、SNMP Trap、JDBC、WMI、webservice、FTP、文件\文件夹读取、Kafka等多种方式完成日志收集；</w:t>
            </w:r>
          </w:p>
          <w:p>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5.支持通过正则、分隔符、json、xml的可视方式进行自定义规则解析，支持对解析结果字段的新增、合并、映射；</w:t>
            </w:r>
          </w:p>
          <w:p>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6.▲支持日志文件备份到外置存储节点，支持NFS、NAS、ISCSI三种存储方式，并可查看外置存储容量、状态等信息。</w:t>
            </w:r>
          </w:p>
          <w:p>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支持通配符、范围搜索、字段等多种输入方式、搜索框模糊搜索、指定语段进行语法搜索；可根据时间、严重等级等进行组合查询；可根据具体设备、来源/目的所属（可具体到外网、内网资产等）、IP地址、特征ID、URL进行具体条件搜索；支持可设置定时刷新频率，根据刷新时间显示实时接入日志事件；</w:t>
            </w:r>
          </w:p>
          <w:p>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8.▲支持POC测试工具一键生成数据，验证日志数据采集是否成功，避免设备部署后采集失效但不被发现等风险，支持等保合规检测，用户可自查设备是否满足等保要求。竞标时需要提供截图证明并加盖供应商公章</w:t>
            </w:r>
            <w:r>
              <w:rPr>
                <w:rFonts w:hint="eastAsia" w:asciiTheme="minorEastAsia" w:hAnsiTheme="minorEastAsia" w:eastAsiaTheme="minorEastAsia" w:cstheme="minorEastAsia"/>
                <w:color w:val="auto"/>
                <w:highlight w:val="none"/>
                <w:lang w:eastAsia="zh-CN"/>
              </w:rPr>
              <w:t>。</w:t>
            </w:r>
          </w:p>
          <w:p>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9.▲为了数据的流动性和一致性，需与数据库安全审计和运维安全管理系统为同一品牌；</w:t>
            </w:r>
          </w:p>
          <w:p>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10.支持内置规则作为模板新建规则，支持调整规则等级，支持通过事件的任意字段制定规则创建策略，支持审计策略命中后可以定义告警并通过相应方式转发，如：邮件、短信等；</w:t>
            </w:r>
          </w:p>
          <w:p>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11.▲为了保障设备高可用，支持与本地超融合aServer-P-2000和aServer-2000兼容对接，当设备发生故障宕机时，支持在超融合上拉起日志审计虚拟机进行临时应急，保障系统的高可用性。竞标时需要提供竞标设备与采购人现有设备</w:t>
            </w:r>
            <w:r>
              <w:rPr>
                <w:rFonts w:hint="eastAsia" w:asciiTheme="minorEastAsia" w:hAnsiTheme="minorEastAsia" w:eastAsiaTheme="minorEastAsia" w:cstheme="minorEastAsia"/>
                <w:color w:val="auto"/>
                <w:highlight w:val="none"/>
                <w:lang w:val="en-US" w:eastAsia="zh-CN"/>
              </w:rPr>
              <w:t>能相互</w:t>
            </w:r>
            <w:r>
              <w:rPr>
                <w:rFonts w:hint="eastAsia" w:asciiTheme="minorEastAsia" w:hAnsiTheme="minorEastAsia" w:eastAsiaTheme="minorEastAsia" w:cstheme="minorEastAsia"/>
                <w:color w:val="auto"/>
                <w:highlight w:val="none"/>
              </w:rPr>
              <w:t>兼容</w:t>
            </w:r>
            <w:r>
              <w:rPr>
                <w:rFonts w:hint="eastAsia" w:asciiTheme="minorEastAsia" w:hAnsiTheme="minorEastAsia" w:eastAsiaTheme="minorEastAsia" w:cstheme="minorEastAsia"/>
                <w:color w:val="auto"/>
                <w:highlight w:val="none"/>
                <w:lang w:val="en-US" w:eastAsia="zh-CN"/>
              </w:rPr>
              <w:t>的</w:t>
            </w:r>
            <w:r>
              <w:rPr>
                <w:rFonts w:hint="eastAsia" w:asciiTheme="minorEastAsia" w:hAnsiTheme="minorEastAsia" w:eastAsiaTheme="minorEastAsia" w:cstheme="minorEastAsia"/>
                <w:color w:val="auto"/>
                <w:highlight w:val="none"/>
              </w:rPr>
              <w:t>承诺函并加盖供应商公章；</w:t>
            </w:r>
          </w:p>
          <w:p>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12.内置主机安全报表（linux）、主机安全报表（windows）、数据库安全报表、网络设备安全报表、应用安全报表五种；支持提供日报、周报、月报和自定义时间导出报表；</w:t>
            </w:r>
          </w:p>
          <w:p>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13.▲支持可视化展示，包括数据分布、安全事件趋势图、关联规则告警趋势图、接入设备概况等，可提供设备专项分析场景。支持对接现有防火墙AF-1000-L4570-9Q展示外部攻击场景分析、VPN账号异常场景分析、Windows服务器主机异常场景分析等，通过设备专项页面对每一台设备安全情况深度专业化分析。竞标时需要提供竞标设备与采购人现有设备能相互兼容的承诺函并加盖供应商公章；</w:t>
            </w:r>
          </w:p>
          <w:p>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14.▲为了保障数据的安全保密性与可靠性，支持日志文件备份到本地外置存储节点aStor-EDS1205，与本地存储aStor-EDS1205配套无缝对接，并可查看外置存储容量、状态等信息。</w:t>
            </w:r>
          </w:p>
          <w:p>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15.提供管理员账号创建、修改、删除，并可针对创建的管理员进行权限设置；支持IP免登录，指定IP免认证直接进入平台；支持只允许某些IP登录平台；支持页面权限配置和资产范围配置，用于管理账号权限，满足用户三权分立的需求；支持usb-key认证。</w:t>
            </w:r>
          </w:p>
          <w:p>
            <w:pPr>
              <w:spacing w:line="360" w:lineRule="auto"/>
              <w:rPr>
                <w:rFonts w:hint="eastAsia" w:ascii="宋体" w:hAnsi="宋体" w:eastAsia="宋体" w:cs="宋体"/>
                <w:color w:val="auto"/>
                <w:szCs w:val="21"/>
                <w:highlight w:val="none"/>
              </w:rPr>
            </w:pPr>
            <w:r>
              <w:rPr>
                <w:rFonts w:hint="eastAsia" w:asciiTheme="minorEastAsia" w:hAnsiTheme="minorEastAsia" w:eastAsiaTheme="minorEastAsia" w:cstheme="minorEastAsia"/>
                <w:color w:val="auto"/>
                <w:highlight w:val="none"/>
                <w:lang w:val="en-US" w:eastAsia="zh-CN"/>
              </w:rPr>
              <w:t>16.</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highlight w:val="none"/>
                <w:lang w:val="en-US" w:eastAsia="zh-CN"/>
              </w:rPr>
              <w:t>本次投标的日志分析管理系统必须与现有系统设备【品牌：深信服，型号：SIP-Logger-A600】完全兼容进行集群模式部署。竞标时需要提供竞标设备与采购人现有设备能相互兼容的承诺函并加盖供应商公章；</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w:t>
            </w:r>
          </w:p>
        </w:tc>
        <w:tc>
          <w:tcPr>
            <w:tcW w:w="7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运维安全管理系统</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1台</w:t>
            </w:r>
          </w:p>
        </w:tc>
        <w:tc>
          <w:tcPr>
            <w:tcW w:w="6371"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1.性能参数：默认包含运维授权数≥50，最大可扩展资产数≥150，图形运维最大并发数≥100，字符运维最大并发数≥200。</w:t>
            </w:r>
          </w:p>
          <w:p>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2.硬件参数：规格：1U，内存大小≥8G，硬盘容量≥2T SATA，接口≥6千兆电口。提供三年软硬件保修。</w:t>
            </w:r>
          </w:p>
          <w:p>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3.物理旁路单臂部署，以逻辑网关方式工作；不改变现有网络结构</w:t>
            </w:r>
          </w:p>
          <w:p>
            <w:pPr>
              <w:spacing w:line="360" w:lineRule="auto"/>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rPr>
              <w:t>4.▲支持通过动作流配置提供广泛的应用接入支持，无论被接入的资源如何设计登录动作，通过动作流配置都可以实现单点登录和审计接入。竞标时需要提供截图证明并加盖供应商公章</w:t>
            </w:r>
            <w:r>
              <w:rPr>
                <w:rFonts w:hint="eastAsia" w:asciiTheme="minorEastAsia" w:hAnsiTheme="minorEastAsia" w:eastAsiaTheme="minorEastAsia" w:cstheme="minorEastAsia"/>
                <w:color w:val="auto"/>
                <w:highlight w:val="none"/>
                <w:lang w:eastAsia="zh-CN"/>
              </w:rPr>
              <w:t>。</w:t>
            </w:r>
          </w:p>
          <w:p>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5.支持一对一、一对多、多对多授权，如将单个资产授权多个用户，一个用户授予多个资产，用户组向资产组授权；</w:t>
            </w:r>
          </w:p>
          <w:p>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6.同时支持本地口令认证、LDAP认证、AD认证、短信认证、Radius、usbkey、动态口令认证；</w:t>
            </w:r>
          </w:p>
          <w:p>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7.▲支持在授权基础上自定义访问审批流程，可设置一级或多级审批人，每级审批可指定通过投票数，需逐级审批通过才可最终发起运维操作。竞标时需要提供截图证明并加盖供应商公章</w:t>
            </w:r>
            <w:r>
              <w:rPr>
                <w:rFonts w:hint="eastAsia" w:asciiTheme="minorEastAsia" w:hAnsiTheme="minorEastAsia" w:eastAsiaTheme="minorEastAsia" w:cstheme="minorEastAsia"/>
                <w:color w:val="auto"/>
                <w:highlight w:val="none"/>
                <w:lang w:eastAsia="zh-CN"/>
              </w:rPr>
              <w:t>。</w:t>
            </w:r>
          </w:p>
          <w:p>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8.支持密码策略设置，可自定义密码复杂程度，可设置密码中包含数字、字母、符号及禁用关键字等内容；</w:t>
            </w:r>
          </w:p>
          <w:p>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9.支持口令有效期设置，用户账号口令到期强制用户修改自身口令；</w:t>
            </w:r>
          </w:p>
          <w:p>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w:t>
            </w:r>
            <w:r>
              <w:rPr>
                <w:rFonts w:hint="eastAsia" w:asciiTheme="minorEastAsia" w:hAnsiTheme="minorEastAsia" w:eastAsiaTheme="minorEastAsia" w:cstheme="minorEastAsia"/>
                <w:color w:val="auto"/>
                <w:highlight w:val="none"/>
                <w:lang w:val="en-US" w:eastAsia="zh-CN"/>
              </w:rPr>
              <w:t>0</w:t>
            </w:r>
            <w:r>
              <w:rPr>
                <w:rFonts w:hint="eastAsia" w:asciiTheme="minorEastAsia" w:hAnsiTheme="minorEastAsia" w:eastAsiaTheme="minorEastAsia" w:cstheme="minorEastAsia"/>
                <w:color w:val="auto"/>
                <w:highlight w:val="none"/>
              </w:rPr>
              <w:t>.支持自定义报表，可记录审计报表模板，可生成图形报表，并提供EXCAL、CSV、WORD、PDF、HTML等格式导出；</w:t>
            </w:r>
          </w:p>
          <w:p>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w:t>
            </w:r>
            <w:r>
              <w:rPr>
                <w:rFonts w:hint="eastAsia" w:asciiTheme="minorEastAsia" w:hAnsiTheme="minorEastAsia" w:eastAsiaTheme="minorEastAsia" w:cstheme="minorEastAsia"/>
                <w:color w:val="auto"/>
                <w:highlight w:val="none"/>
                <w:lang w:val="en-US" w:eastAsia="zh-CN"/>
              </w:rPr>
              <w:t>1</w:t>
            </w:r>
            <w:r>
              <w:rPr>
                <w:rFonts w:hint="eastAsia" w:asciiTheme="minorEastAsia" w:hAnsiTheme="minorEastAsia" w:eastAsiaTheme="minorEastAsia" w:cstheme="minorEastAsia"/>
                <w:color w:val="auto"/>
                <w:highlight w:val="none"/>
              </w:rPr>
              <w:t>.▲全面支持IPV6，设备自身可以配置IPV6地址供客户端访问，并且支持目标设备配置IPV6地址实现单点登录和审计。</w:t>
            </w:r>
          </w:p>
          <w:p>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w:t>
            </w:r>
            <w:r>
              <w:rPr>
                <w:rFonts w:hint="eastAsia" w:asciiTheme="minorEastAsia" w:hAnsiTheme="minorEastAsia" w:eastAsiaTheme="minorEastAsia" w:cstheme="minorEastAsia"/>
                <w:color w:val="auto"/>
                <w:highlight w:val="none"/>
                <w:lang w:val="en-US" w:eastAsia="zh-CN"/>
              </w:rPr>
              <w:t>2</w:t>
            </w:r>
            <w:r>
              <w:rPr>
                <w:rFonts w:hint="eastAsia" w:asciiTheme="minorEastAsia" w:hAnsiTheme="minorEastAsia" w:eastAsiaTheme="minorEastAsia" w:cstheme="minorEastAsia"/>
                <w:color w:val="auto"/>
                <w:highlight w:val="none"/>
              </w:rPr>
              <w:t>.全面支持Windows、linux、国产麒麟系统、Android、IOS、Mac OS等客户端，实现跨终端适应性BYOD（Bring Your Own Device）；</w:t>
            </w:r>
          </w:p>
          <w:p>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w:t>
            </w:r>
            <w:r>
              <w:rPr>
                <w:rFonts w:hint="eastAsia" w:asciiTheme="minorEastAsia" w:hAnsiTheme="minorEastAsia" w:eastAsiaTheme="minorEastAsia" w:cstheme="minorEastAsia"/>
                <w:color w:val="auto"/>
                <w:highlight w:val="none"/>
                <w:lang w:val="en-US" w:eastAsia="zh-CN"/>
              </w:rPr>
              <w:t>3</w:t>
            </w:r>
            <w:r>
              <w:rPr>
                <w:rFonts w:hint="eastAsia" w:asciiTheme="minorEastAsia" w:hAnsiTheme="minorEastAsia" w:eastAsiaTheme="minorEastAsia" w:cstheme="minorEastAsia"/>
                <w:color w:val="auto"/>
                <w:highlight w:val="none"/>
              </w:rPr>
              <w:t>.支持云端快速部署，实现远程运维管理的规范化；可按照运维人员数量，调整云端服务器配置，即可实现性能优化；</w:t>
            </w:r>
          </w:p>
          <w:p>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w:t>
            </w:r>
            <w:r>
              <w:rPr>
                <w:rFonts w:hint="eastAsia" w:asciiTheme="minorEastAsia" w:hAnsiTheme="minorEastAsia" w:eastAsiaTheme="minorEastAsia" w:cstheme="minorEastAsia"/>
                <w:color w:val="auto"/>
                <w:highlight w:val="none"/>
                <w:lang w:val="en-US" w:eastAsia="zh-CN"/>
              </w:rPr>
              <w:t>4</w:t>
            </w:r>
            <w:r>
              <w:rPr>
                <w:rFonts w:hint="eastAsia" w:asciiTheme="minorEastAsia" w:hAnsiTheme="minorEastAsia" w:eastAsiaTheme="minorEastAsia" w:cstheme="minorEastAsia"/>
                <w:color w:val="auto"/>
                <w:highlight w:val="none"/>
              </w:rPr>
              <w:t xml:space="preserve">.▲为了保障数据的安全保密性与可靠性，支持日志文件备份到本地外置存储节点aStor-EDS1205，与本地的存储aStor-EDS1205无缝兼容对接。竞标时需要提供竞标设备与采购人现有设备能相互兼容的承诺函并加盖供应商公章； </w:t>
            </w:r>
          </w:p>
          <w:p>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w:t>
            </w:r>
            <w:r>
              <w:rPr>
                <w:rFonts w:hint="eastAsia" w:asciiTheme="minorEastAsia" w:hAnsiTheme="minorEastAsia" w:eastAsiaTheme="minorEastAsia" w:cstheme="minorEastAsia"/>
                <w:color w:val="auto"/>
                <w:highlight w:val="none"/>
                <w:lang w:val="en-US" w:eastAsia="zh-CN"/>
              </w:rPr>
              <w:t>5</w:t>
            </w:r>
            <w:r>
              <w:rPr>
                <w:rFonts w:hint="eastAsia" w:asciiTheme="minorEastAsia" w:hAnsiTheme="minorEastAsia" w:eastAsiaTheme="minorEastAsia" w:cstheme="minorEastAsia"/>
                <w:color w:val="auto"/>
                <w:highlight w:val="none"/>
              </w:rPr>
              <w:t>.▲为了保障设备高可用，支持与本地超融合aServer-P-2000和aServer-2000无缝兼容对接，当设备发生故障宕机时，支持在超融合aServer-P-2000和aServer-2000上拉起堡垒机虚拟机进行临时应急，保障系统的高可用性。</w:t>
            </w:r>
          </w:p>
          <w:p>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16</w:t>
            </w:r>
            <w:r>
              <w:rPr>
                <w:rFonts w:hint="eastAsia" w:asciiTheme="minorEastAsia" w:hAnsiTheme="minorEastAsia" w:eastAsiaTheme="minorEastAsia" w:cstheme="minorEastAsia"/>
                <w:color w:val="auto"/>
                <w:highlight w:val="none"/>
              </w:rPr>
              <w:t>.支持手动和自动定期备份配置信息，支持配置信息本地备份及异地FTP备份，支持系统配置还原，可以还原至任一备份点。</w:t>
            </w:r>
          </w:p>
          <w:p>
            <w:pPr>
              <w:spacing w:line="360" w:lineRule="auto"/>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17.为保证运维系统的终端安全，需提供终端安全管理系统并满足以下要求：</w:t>
            </w:r>
          </w:p>
          <w:p>
            <w:pPr>
              <w:spacing w:line="360" w:lineRule="auto"/>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①▲提供勒索病毒整体防护体系入口，直观展示最近七天勒索病毒防护效果，包括已处置的恶意文件数量、已拦截可疑行为次数、已阻止的未知进程操作次数、已阻止的暴力破解攻击次数；</w:t>
            </w:r>
            <w:r>
              <w:rPr>
                <w:rFonts w:hint="eastAsia" w:asciiTheme="minorEastAsia" w:hAnsiTheme="minorEastAsia" w:eastAsiaTheme="minorEastAsia" w:cstheme="minorEastAsia"/>
                <w:color w:val="auto"/>
                <w:highlight w:val="none"/>
              </w:rPr>
              <w:t>竞标时需要提供截图证明并加盖供应商公章</w:t>
            </w:r>
            <w:r>
              <w:rPr>
                <w:rFonts w:hint="eastAsia" w:asciiTheme="minorEastAsia" w:hAnsiTheme="minorEastAsia" w:eastAsiaTheme="minorEastAsia" w:cstheme="minorEastAsia"/>
                <w:color w:val="auto"/>
                <w:highlight w:val="none"/>
                <w:lang w:eastAsia="zh-CN"/>
              </w:rPr>
              <w:t>。</w:t>
            </w:r>
          </w:p>
          <w:p>
            <w:pPr>
              <w:spacing w:line="360" w:lineRule="auto"/>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②</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highlight w:val="none"/>
                <w:lang w:val="en-US" w:eastAsia="zh-CN"/>
              </w:rPr>
              <w:t>勒索防护体系提供3层勒索入侵预防（漏洞检查、安全基线检查、人工智能引擎），6级勒索反加密防护（文件实时防护、勒索诱饵防护、暴力破解防护、系统可信进程防护、目录可信进程防护、远程登</w:t>
            </w:r>
            <w:r>
              <w:rPr>
                <w:rFonts w:hint="eastAsia" w:asciiTheme="minorEastAsia" w:hAnsiTheme="minorEastAsia" w:cstheme="minorEastAsia"/>
                <w:color w:val="auto"/>
                <w:highlight w:val="none"/>
                <w:lang w:val="en-US" w:eastAsia="zh-CN"/>
              </w:rPr>
              <w:t>录</w:t>
            </w:r>
            <w:r>
              <w:rPr>
                <w:rFonts w:hint="eastAsia" w:asciiTheme="minorEastAsia" w:hAnsiTheme="minorEastAsia" w:eastAsiaTheme="minorEastAsia" w:cstheme="minorEastAsia"/>
                <w:color w:val="auto"/>
                <w:highlight w:val="none"/>
                <w:lang w:val="en-US" w:eastAsia="zh-CN"/>
              </w:rPr>
              <w:t>保护），5项勒索检测与响应机制（勒索病毒检测与查杀、一键终端隔离、网端云联动、已知解密工具、威胁分析百科）；</w:t>
            </w:r>
            <w:r>
              <w:rPr>
                <w:rFonts w:hint="eastAsia" w:asciiTheme="minorEastAsia" w:hAnsiTheme="minorEastAsia" w:eastAsiaTheme="minorEastAsia" w:cstheme="minorEastAsia"/>
                <w:color w:val="auto"/>
                <w:highlight w:val="none"/>
              </w:rPr>
              <w:t>竞标时需要提供截图证明并加盖供应商公章</w:t>
            </w:r>
            <w:r>
              <w:rPr>
                <w:rFonts w:hint="eastAsia" w:asciiTheme="minorEastAsia" w:hAnsiTheme="minorEastAsia" w:eastAsiaTheme="minorEastAsia" w:cstheme="minorEastAsia"/>
                <w:color w:val="auto"/>
                <w:highlight w:val="none"/>
                <w:lang w:eastAsia="zh-CN"/>
              </w:rPr>
              <w:t>。</w:t>
            </w:r>
          </w:p>
          <w:p>
            <w:pPr>
              <w:spacing w:line="360" w:lineRule="auto"/>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③</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highlight w:val="none"/>
                <w:lang w:val="en-US" w:eastAsia="zh-CN"/>
              </w:rPr>
              <w:t>提供云鉴定服务，云鉴服务提供云端专家+沙箱+多引擎鉴定能力，在云查与情报基础上增加上述能力进行综合研判，过滤模糊判断仅提供100%必黑或必白结果，提供更精准、更可信的服务，让事件处置有依据、可闭环；</w:t>
            </w:r>
            <w:r>
              <w:rPr>
                <w:rFonts w:hint="eastAsia" w:asciiTheme="minorEastAsia" w:hAnsiTheme="minorEastAsia" w:eastAsiaTheme="minorEastAsia" w:cstheme="minorEastAsia"/>
                <w:color w:val="auto"/>
                <w:highlight w:val="none"/>
              </w:rPr>
              <w:t>竞标时需要提供截图证明并加盖供应商公章</w:t>
            </w:r>
            <w:r>
              <w:rPr>
                <w:rFonts w:hint="eastAsia" w:asciiTheme="minorEastAsia" w:hAnsiTheme="minorEastAsia" w:eastAsiaTheme="minorEastAsia" w:cstheme="minorEastAsia"/>
                <w:color w:val="auto"/>
                <w:highlight w:val="none"/>
                <w:lang w:eastAsia="zh-CN"/>
              </w:rPr>
              <w:t>。</w:t>
            </w:r>
          </w:p>
          <w:p>
            <w:pPr>
              <w:spacing w:line="360" w:lineRule="auto"/>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④▲针对Windows系统，终端将进行开发环境动态识别与安全鉴定，安全的开发编译所使用的文件及其产生的风险行为仅告警，不处置、不弹窗。以此规避开发环境部署安全软件时产生的影响，如卡顿、误报等。</w:t>
            </w:r>
            <w:r>
              <w:rPr>
                <w:rFonts w:hint="eastAsia" w:asciiTheme="minorEastAsia" w:hAnsiTheme="minorEastAsia" w:eastAsiaTheme="minorEastAsia" w:cstheme="minorEastAsia"/>
                <w:color w:val="auto"/>
                <w:highlight w:val="none"/>
              </w:rPr>
              <w:t>竞标时需要提供截图证明并加盖供应商公章</w:t>
            </w:r>
            <w:r>
              <w:rPr>
                <w:rFonts w:hint="eastAsia" w:asciiTheme="minorEastAsia" w:hAnsiTheme="minorEastAsia" w:eastAsiaTheme="minorEastAsia" w:cstheme="minorEastAsia"/>
                <w:color w:val="auto"/>
                <w:highlight w:val="none"/>
                <w:lang w:eastAsia="zh-CN"/>
              </w:rPr>
              <w:t>。</w:t>
            </w:r>
          </w:p>
          <w:p>
            <w:pPr>
              <w:spacing w:line="360" w:lineRule="auto"/>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val="en-US" w:eastAsia="zh-CN"/>
              </w:rPr>
              <w:t>⑤▲支持根据时间周期、终端名称、IP地址、处理状态等多维度的病毒查杀、勒索事件、入侵检测、漏洞扫描、基线检查(历史记录)、安全加固、远程二次认证、域名拦截、黑客工具防护等的安全日志进行查询和导出excel；</w:t>
            </w:r>
            <w:r>
              <w:rPr>
                <w:rFonts w:hint="eastAsia" w:asciiTheme="minorEastAsia" w:hAnsiTheme="minorEastAsia" w:eastAsiaTheme="minorEastAsia" w:cstheme="minorEastAsia"/>
                <w:color w:val="auto"/>
                <w:highlight w:val="none"/>
              </w:rPr>
              <w:t>竞标时需要提供截图证明并加盖供应商公章</w:t>
            </w:r>
            <w:r>
              <w:rPr>
                <w:rFonts w:hint="eastAsia" w:asciiTheme="minorEastAsia" w:hAnsiTheme="minorEastAsia" w:eastAsiaTheme="minorEastAsia" w:cstheme="minorEastAsia"/>
                <w:color w:val="auto"/>
                <w:highlight w:val="none"/>
                <w:lang w:eastAsia="zh-CN"/>
              </w:rPr>
              <w:t>。</w:t>
            </w:r>
          </w:p>
          <w:p>
            <w:pPr>
              <w:spacing w:line="360" w:lineRule="auto"/>
              <w:jc w:val="left"/>
              <w:rPr>
                <w:rFonts w:hint="eastAsia" w:ascii="宋体" w:hAnsi="宋体" w:eastAsia="宋体" w:cs="宋体"/>
                <w:color w:val="auto"/>
                <w:szCs w:val="21"/>
                <w:highlight w:val="none"/>
              </w:rPr>
            </w:pPr>
            <w:r>
              <w:rPr>
                <w:rFonts w:hint="eastAsia" w:asciiTheme="minorEastAsia" w:hAnsiTheme="minorEastAsia" w:eastAsiaTheme="minorEastAsia" w:cstheme="minorEastAsia"/>
                <w:color w:val="auto"/>
                <w:highlight w:val="none"/>
                <w:lang w:val="en-US" w:eastAsia="zh-CN"/>
              </w:rPr>
              <w:t>18.▲本次投标的运维安全管理系统必须与现有系统设备【品牌：深信服，型号：OSM-1000-B1150】完全兼容并进行主主热备模式部署。上述设备竞标时需要提供竞标设备与采购人现有设备能相互兼容的承诺函并加盖供应商公章；</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w:t>
            </w:r>
          </w:p>
        </w:tc>
        <w:tc>
          <w:tcPr>
            <w:tcW w:w="7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数据库安全审计</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1台</w:t>
            </w:r>
          </w:p>
        </w:tc>
        <w:tc>
          <w:tcPr>
            <w:tcW w:w="637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1.性能参数：最大硬件吞吐量≥3Gbps，最大纯数据库流量≥400Mb/s，数据库实例个数无限制，SQL处理性能≥30000条SQL/s，日志检索性能≥600000条/秒。</w:t>
            </w:r>
          </w:p>
          <w:p>
            <w:pPr>
              <w:spacing w:line="360" w:lineRule="auto"/>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2.硬件参数：规格：1U，内存大小≥8G，硬盘容量≥128GB SSD+4TB SATA，接口≥8千兆电口+2万兆光口SFP+。提供三年软硬件保修。</w:t>
            </w:r>
          </w:p>
          <w:p>
            <w:pPr>
              <w:spacing w:line="360" w:lineRule="auto"/>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3.采用旁路方式接入用户网络中，通过交换机镜像端口采集数据，不需要改变现有的网络体系结构，不占用数据库服务器的资源，不影响数据库性能；</w:t>
            </w:r>
          </w:p>
          <w:p>
            <w:pPr>
              <w:spacing w:line="360" w:lineRule="auto"/>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4.提供数据库多方面的审计内容，具有丰富的审计记录项，包括：内容审计、行为审计和流量审计等； </w:t>
            </w:r>
          </w:p>
          <w:p>
            <w:pPr>
              <w:spacing w:line="360" w:lineRule="auto"/>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5.对用户网络框架中的多个审计引擎进行管理。管理人员全面了解各个节点中数据库的使用状态；</w:t>
            </w:r>
          </w:p>
          <w:p>
            <w:pPr>
              <w:spacing w:line="360" w:lineRule="auto"/>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6.▲支持MySQL、SQLServer等数据库的SSL/TSL加密链路审计。支持mysql5.7 和SQLserver2019两种数据库的加密审计，加密算法支持TLS1.0、 TLS1.1对称和TLS1.2对称算法。</w:t>
            </w:r>
          </w:p>
          <w:p>
            <w:pPr>
              <w:spacing w:line="360" w:lineRule="auto"/>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7.灵活地定义审计策略，更能通过个性化分析设定策略，实现更细粒度的审计，更容易满足不同数据库系统的不同审计需求；</w:t>
            </w:r>
          </w:p>
          <w:p>
            <w:pPr>
              <w:spacing w:line="360" w:lineRule="auto"/>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8.▲支持按照业务语句模板进行操作语句翻译，可自定义业务语句模板。自定义语句模板需要包括请求时间、数据库账号、客户端工具、服务端IP、操作对象、操作命令、客户端IP、请求状态、执行时长、影响行数、规则名称、风险等级、二级操作对象、应用端账号、应用端IP。</w:t>
            </w:r>
          </w:p>
          <w:p>
            <w:pPr>
              <w:spacing w:line="360" w:lineRule="auto"/>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9.支持执行SQL语句失败分析，包括登录失败排行，SQL语句失败排行。</w:t>
            </w:r>
          </w:p>
          <w:p>
            <w:pPr>
              <w:spacing w:line="360" w:lineRule="auto"/>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10.支持指定源IP、时间日期、客户端程序、业务系统、数据库用户、操作类型等精细日志查询。</w:t>
            </w:r>
          </w:p>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highlight w:val="none"/>
              </w:rPr>
              <w:t>11.▲为了保障设备高可用，支持与本地超融合aServer-P-2000和aServer-2000无缝兼容对接，当设备发生故障宕机时，支持在超融合上拉起数据库审计虚拟机进行临时应急，保障系统的高可用性。</w:t>
            </w:r>
          </w:p>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w:t>
            </w:r>
            <w:r>
              <w:rPr>
                <w:rFonts w:hint="eastAsia" w:asciiTheme="minorEastAsia" w:hAnsiTheme="minorEastAsia" w:eastAsiaTheme="minorEastAsia" w:cstheme="minorEastAsia"/>
                <w:color w:val="auto"/>
                <w:szCs w:val="21"/>
                <w:highlight w:val="none"/>
                <w:lang w:val="en-US" w:eastAsia="zh-CN"/>
              </w:rPr>
              <w:t>.</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为了数据的流动性和一致性，需与日志分析管理系统和运维安全管理系统为同一品牌，本次投标的</w:t>
            </w:r>
            <w:r>
              <w:rPr>
                <w:rFonts w:hint="eastAsia" w:asciiTheme="minorEastAsia" w:hAnsiTheme="minorEastAsia" w:eastAsiaTheme="minorEastAsia" w:cstheme="minorEastAsia"/>
                <w:color w:val="auto"/>
                <w:szCs w:val="21"/>
                <w:highlight w:val="none"/>
                <w:lang w:val="en-US" w:eastAsia="zh-CN"/>
              </w:rPr>
              <w:t>数据库安全审计</w:t>
            </w:r>
            <w:r>
              <w:rPr>
                <w:rFonts w:hint="eastAsia" w:asciiTheme="minorEastAsia" w:hAnsiTheme="minorEastAsia" w:eastAsiaTheme="minorEastAsia" w:cstheme="minorEastAsia"/>
                <w:color w:val="auto"/>
                <w:szCs w:val="21"/>
                <w:highlight w:val="none"/>
              </w:rPr>
              <w:t>必须与现有系统设备【品牌：深信服，型号：DAS-1000-B1400】完全兼容并进行</w:t>
            </w:r>
            <w:r>
              <w:rPr>
                <w:rFonts w:hint="eastAsia" w:asciiTheme="minorEastAsia" w:hAnsiTheme="minorEastAsia" w:eastAsiaTheme="minorEastAsia" w:cstheme="minorEastAsia"/>
                <w:color w:val="auto"/>
                <w:szCs w:val="21"/>
                <w:highlight w:val="none"/>
                <w:lang w:val="en-US" w:eastAsia="zh-CN"/>
              </w:rPr>
              <w:t>多机</w:t>
            </w:r>
            <w:r>
              <w:rPr>
                <w:rFonts w:hint="eastAsia" w:asciiTheme="minorEastAsia" w:hAnsiTheme="minorEastAsia" w:eastAsiaTheme="minorEastAsia" w:cstheme="minorEastAsia"/>
                <w:color w:val="auto"/>
                <w:szCs w:val="21"/>
                <w:highlight w:val="none"/>
              </w:rPr>
              <w:t>模式部署。竞标时需要提供竞标设备与采购人现有设备能相互兼容的承诺函并加盖供应商公章；</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工</w:t>
            </w:r>
            <w:r>
              <w:rPr>
                <w:rFonts w:hint="eastAsia" w:ascii="宋体" w:hAnsi="宋体" w:eastAsia="宋体" w:cs="宋体"/>
                <w:color w:val="auto"/>
                <w:szCs w:val="21"/>
                <w:highlight w:val="none"/>
              </w:rPr>
              <w:t>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w:t>
            </w:r>
          </w:p>
        </w:tc>
        <w:tc>
          <w:tcPr>
            <w:tcW w:w="7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智慧管理平台软件</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1套</w:t>
            </w:r>
          </w:p>
        </w:tc>
        <w:tc>
          <w:tcPr>
            <w:tcW w:w="637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支持园区网络监控大屏，集中展示园区组网设备的资源、告警、性能等健康信息实时监控，包括PON OLT &amp; ONU、路由器、交换机、WLAN AC &amp; AP、FTTR-B全光主从网关等设备；提供网管功能界面截图加盖</w:t>
            </w:r>
            <w:r>
              <w:rPr>
                <w:rFonts w:hint="eastAsia" w:ascii="宋体" w:hAnsi="宋体" w:eastAsia="宋体" w:cs="宋体"/>
                <w:color w:val="auto"/>
                <w:szCs w:val="21"/>
                <w:highlight w:val="none"/>
                <w:lang w:val="en-US" w:eastAsia="zh-CN"/>
              </w:rPr>
              <w:t>供应商</w:t>
            </w:r>
            <w:r>
              <w:rPr>
                <w:rFonts w:hint="eastAsia" w:ascii="宋体" w:hAnsi="宋体" w:eastAsia="宋体" w:cs="宋体"/>
                <w:color w:val="auto"/>
                <w:szCs w:val="21"/>
                <w:highlight w:val="none"/>
              </w:rPr>
              <w:t>公章</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支持园区网络组网设备端到端拓扑展现，并可基于组网设备的状态、告警等信息拓扑渲染，包括PON OLT &amp; ONU、路由器、交换机、WLAN AC &amp; AP、FTTR-B全光主从网关等设备；提供网管功能界面截图加盖</w:t>
            </w:r>
            <w:r>
              <w:rPr>
                <w:rFonts w:hint="eastAsia" w:ascii="宋体" w:hAnsi="宋体" w:eastAsia="宋体" w:cs="宋体"/>
                <w:color w:val="auto"/>
                <w:szCs w:val="21"/>
                <w:highlight w:val="none"/>
                <w:lang w:val="en-US" w:eastAsia="zh-CN"/>
              </w:rPr>
              <w:t>供应商</w:t>
            </w:r>
            <w:r>
              <w:rPr>
                <w:rFonts w:hint="eastAsia" w:ascii="宋体" w:hAnsi="宋体" w:eastAsia="宋体" w:cs="宋体"/>
                <w:color w:val="auto"/>
                <w:szCs w:val="21"/>
                <w:highlight w:val="none"/>
              </w:rPr>
              <w:t>公章</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支持针对不同园区设备管理功能下钻，包括PON ONU和FTTR-B从网关等；提供网管功能界面截图加盖</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公章</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支持园区网络组网设备端到端网络规划开通，并可支持教育、商业、医疗等不同园区的业务场景；提供网管功能界面截图加盖</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公章</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支持PON ONU以分组形式展现，ONU分组展现按照架/框/槽/端口方式排序，支持按照楼栋位置方式排序，并提供截图证明加盖</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公章</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网管诊断管理支持PON网络一键式智能诊断，可视化呈现诊断信息，并提供截图证明加盖</w:t>
            </w:r>
            <w:r>
              <w:rPr>
                <w:rFonts w:hint="eastAsia" w:ascii="宋体" w:hAnsi="宋体" w:eastAsia="宋体" w:cs="宋体"/>
                <w:color w:val="auto"/>
                <w:szCs w:val="21"/>
                <w:highlight w:val="none"/>
                <w:lang w:eastAsia="zh-CN"/>
              </w:rPr>
              <w:t>供应商</w:t>
            </w:r>
            <w:r>
              <w:rPr>
                <w:rFonts w:hint="eastAsia" w:ascii="宋体" w:hAnsi="宋体" w:eastAsia="宋体" w:cs="宋体"/>
                <w:color w:val="auto"/>
                <w:szCs w:val="21"/>
                <w:highlight w:val="none"/>
              </w:rPr>
              <w:t>公章</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7.单机可管理规模支持≥3000个等效网元管理</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8.网管系统软件支持基于微服务架构技术</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MSA)，支持将各个功能拆分为一个个独立的服务。每个独立的功能服务由轻量级、细粒度、无状态、相互独立的微服务组成</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9.网管系统软件支持B/S架构，通过浏览器访问。支持的Web浏览器包括Chrome、Firefox等。支持https访问，提高安全性</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10.网管系统软件不依赖于定制化硬件，支持部署在主流通用X86硬件平台上，支持物理机、虚拟机、容器等多种部署方式。</w:t>
            </w:r>
          </w:p>
          <w:p>
            <w:pPr>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11.网管系统软件支持基于容器化部署，支持将微服务部署在Docker容器中，一个或多个微服务容器装载在POD中，并通过Kubernetes组件服务以POD为单位实现对微服务容器集群的集中统一管理</w:t>
            </w:r>
            <w:r>
              <w:rPr>
                <w:rFonts w:hint="eastAsia" w:ascii="宋体" w:hAnsi="宋体" w:eastAsia="宋体" w:cs="宋体"/>
                <w:color w:val="auto"/>
                <w:szCs w:val="21"/>
                <w:highlight w:val="none"/>
                <w:lang w:eastAsia="zh-CN"/>
              </w:rPr>
              <w:t>。</w:t>
            </w:r>
          </w:p>
          <w:p>
            <w:pPr>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12.网管系统软件支持微服务级别的弹性伸缩，包括自动弹缩、手工弹缩、计划弹缩，支持基于CPU、内存和业务负荷的弹性伸缩</w:t>
            </w:r>
            <w:r>
              <w:rPr>
                <w:rFonts w:hint="eastAsia" w:ascii="宋体" w:hAnsi="宋体" w:eastAsia="宋体" w:cs="宋体"/>
                <w:color w:val="auto"/>
                <w:szCs w:val="21"/>
                <w:highlight w:val="none"/>
                <w:lang w:eastAsia="zh-CN"/>
              </w:rPr>
              <w:t>。</w:t>
            </w:r>
          </w:p>
          <w:p>
            <w:pPr>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13.网管系统软件支持自动升级及灰度发布。支持不停服的系统自动升级。系统升级过程不会停止系统的对外服务</w:t>
            </w:r>
            <w:r>
              <w:rPr>
                <w:rFonts w:hint="eastAsia" w:ascii="宋体" w:hAnsi="宋体" w:eastAsia="宋体" w:cs="宋体"/>
                <w:color w:val="auto"/>
                <w:szCs w:val="21"/>
                <w:highlight w:val="none"/>
                <w:lang w:eastAsia="zh-CN"/>
              </w:rPr>
              <w:t>。</w:t>
            </w:r>
          </w:p>
          <w:p>
            <w:pPr>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14.网管系统软件北向接口支持FTP/SFTP，SNMP等北向接口</w:t>
            </w:r>
            <w:r>
              <w:rPr>
                <w:rFonts w:hint="eastAsia" w:ascii="宋体" w:hAnsi="宋体" w:eastAsia="宋体" w:cs="宋体"/>
                <w:color w:val="auto"/>
                <w:szCs w:val="21"/>
                <w:highlight w:val="none"/>
                <w:lang w:eastAsia="zh-CN"/>
              </w:rPr>
              <w:t>。</w:t>
            </w:r>
          </w:p>
          <w:p>
            <w:pPr>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15.网管系统软件南向接口支持Netconf、SNMP、Telnet/STelnet、FTP/SFTP、Telemetry、TR069/MQTT等</w:t>
            </w:r>
            <w:r>
              <w:rPr>
                <w:rFonts w:hint="eastAsia" w:ascii="宋体" w:hAnsi="宋体" w:eastAsia="宋体" w:cs="宋体"/>
                <w:color w:val="auto"/>
                <w:szCs w:val="21"/>
                <w:highlight w:val="none"/>
                <w:lang w:eastAsia="zh-CN"/>
              </w:rPr>
              <w:t>。</w:t>
            </w:r>
          </w:p>
          <w:p>
            <w:pPr>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16.支持交换机、路由器、POL、WLAN、FTTR-B全光主从网关等设备的统一管理，提供统一的拓扑管理、告警管理、资源管理、性能管理、诊断管理、安全管理等</w:t>
            </w:r>
            <w:r>
              <w:rPr>
                <w:rFonts w:hint="eastAsia" w:ascii="宋体" w:hAnsi="宋体" w:eastAsia="宋体" w:cs="宋体"/>
                <w:color w:val="auto"/>
                <w:szCs w:val="21"/>
                <w:highlight w:val="none"/>
                <w:lang w:eastAsia="zh-CN"/>
              </w:rPr>
              <w:t>。</w:t>
            </w:r>
          </w:p>
          <w:p>
            <w:pPr>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17.支持交换机、POL、WLAN设备业务自动开通</w:t>
            </w:r>
            <w:r>
              <w:rPr>
                <w:rFonts w:hint="eastAsia" w:ascii="宋体" w:hAnsi="宋体" w:eastAsia="宋体" w:cs="宋体"/>
                <w:color w:val="auto"/>
                <w:szCs w:val="21"/>
                <w:highlight w:val="none"/>
                <w:lang w:eastAsia="zh-CN"/>
              </w:rPr>
              <w:t>。</w:t>
            </w:r>
          </w:p>
          <w:p>
            <w:pPr>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18.支持设备零配置自动开通，支持设备的版本、配置数据自动下载、启用，支持设备的业务策略、用户策略自动下发、执行等</w:t>
            </w:r>
            <w:r>
              <w:rPr>
                <w:rFonts w:hint="eastAsia" w:ascii="宋体" w:hAnsi="宋体" w:eastAsia="宋体" w:cs="宋体"/>
                <w:color w:val="auto"/>
                <w:szCs w:val="21"/>
                <w:highlight w:val="none"/>
                <w:lang w:eastAsia="zh-CN"/>
              </w:rPr>
              <w:t>。</w:t>
            </w:r>
          </w:p>
          <w:p>
            <w:pPr>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19.支持告警前转规则可以在符合条件的告警上报时，将其通过邮件、短信或者微信发送给指定人员</w:t>
            </w:r>
            <w:r>
              <w:rPr>
                <w:rFonts w:hint="eastAsia" w:ascii="宋体" w:hAnsi="宋体" w:eastAsia="宋体" w:cs="宋体"/>
                <w:color w:val="auto"/>
                <w:szCs w:val="21"/>
                <w:highlight w:val="none"/>
                <w:lang w:eastAsia="zh-CN"/>
              </w:rPr>
              <w:t>。</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20.支持用户业务随行，将不同属性的用户/资源划分不同组，分配不同用户标签，构建overlay网络，IP与接入位置、接入设备无关，满足随时随地接入网络业务权限一致。</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21.</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本次投标的智慧管理平台软件与现有系统设备【品牌：中兴，型号：ZENIC ONE R20-ICN】完全兼容接入同一平台管理。</w:t>
            </w:r>
            <w:r>
              <w:rPr>
                <w:rFonts w:hint="eastAsia" w:ascii="宋体" w:hAnsi="宋体" w:eastAsia="宋体" w:cs="宋体"/>
                <w:color w:val="auto"/>
                <w:szCs w:val="21"/>
                <w:highlight w:val="none"/>
                <w:lang w:val="en-US" w:eastAsia="zh-CN"/>
              </w:rPr>
              <w:t>响应文件提竞标设备与采购人现有</w:t>
            </w:r>
            <w:r>
              <w:rPr>
                <w:rFonts w:hint="eastAsia" w:ascii="宋体" w:hAnsi="宋体" w:eastAsia="宋体" w:cs="宋体"/>
                <w:color w:val="auto"/>
                <w:szCs w:val="21"/>
                <w:highlight w:val="none"/>
              </w:rPr>
              <w:t>设备兼容性承诺函并加盖</w:t>
            </w:r>
            <w:r>
              <w:rPr>
                <w:rFonts w:hint="eastAsia" w:ascii="宋体" w:hAnsi="宋体" w:eastAsia="宋体" w:cs="宋体"/>
                <w:color w:val="auto"/>
                <w:szCs w:val="21"/>
                <w:highlight w:val="none"/>
                <w:lang w:val="en-US" w:eastAsia="zh-CN"/>
              </w:rPr>
              <w:t>供应商</w:t>
            </w:r>
            <w:r>
              <w:rPr>
                <w:rFonts w:hint="eastAsia" w:ascii="宋体" w:hAnsi="宋体" w:eastAsia="宋体" w:cs="宋体"/>
                <w:color w:val="auto"/>
                <w:szCs w:val="21"/>
                <w:highlight w:val="none"/>
              </w:rPr>
              <w:t>公章</w:t>
            </w:r>
            <w:r>
              <w:rPr>
                <w:rFonts w:hint="eastAsia" w:ascii="宋体" w:hAnsi="宋体" w:eastAsia="宋体" w:cs="宋体"/>
                <w:color w:val="auto"/>
                <w:szCs w:val="21"/>
                <w:highlight w:val="none"/>
                <w:lang w:eastAsia="zh-CN"/>
              </w:rPr>
              <w:t>。</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软件和信息技术服务业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w:t>
            </w:r>
          </w:p>
        </w:tc>
        <w:tc>
          <w:tcPr>
            <w:tcW w:w="7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路由器</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1台</w:t>
            </w:r>
          </w:p>
        </w:tc>
        <w:tc>
          <w:tcPr>
            <w:tcW w:w="637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支持机架式安装，整机高度不超过2U；</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支持主控1:1冗余备份；</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实际配置：独立的主控转发板≥1，独立的模块化电源≥2，FE/GE电接口≥8，FE/GE光接口≥8；</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扩展业务槽位数≥4，支持可扩展接口类型：万兆、千兆以太接口，E1/CE1，POS，CPOS，V.35 / V.24，国密卡等；</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内存：4G；FLASH：4G；</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支持内置冗余电源，支持交流和直流混合冗余，支持高压直流；</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7</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整机交换容量 ≥640Gbps，包转发率12～240Mpps；</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6</w:t>
            </w:r>
          </w:p>
        </w:tc>
        <w:tc>
          <w:tcPr>
            <w:tcW w:w="7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核心交换机</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1台</w:t>
            </w:r>
          </w:p>
        </w:tc>
        <w:tc>
          <w:tcPr>
            <w:tcW w:w="6371" w:type="dxa"/>
            <w:tcBorders>
              <w:top w:val="single" w:color="auto" w:sz="4" w:space="0"/>
              <w:left w:val="single" w:color="auto" w:sz="4" w:space="0"/>
              <w:bottom w:val="single" w:color="auto" w:sz="4" w:space="0"/>
              <w:right w:val="single" w:color="auto" w:sz="4" w:space="0"/>
            </w:tcBorders>
            <w:vAlign w:val="center"/>
          </w:tcPr>
          <w:p>
            <w:pPr>
              <w:numPr>
                <w:ilvl w:val="-1"/>
                <w:numId w:val="0"/>
              </w:numPr>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交换机采用的交换芯片、转发芯片、CPU为厂家自主研发</w:t>
            </w:r>
            <w:r>
              <w:rPr>
                <w:rFonts w:hint="eastAsia" w:ascii="宋体" w:hAnsi="宋体" w:eastAsia="宋体" w:cs="宋体"/>
                <w:color w:val="auto"/>
                <w:szCs w:val="21"/>
                <w:highlight w:val="none"/>
                <w:lang w:eastAsia="zh-CN"/>
              </w:rPr>
              <w:t>。</w:t>
            </w:r>
          </w:p>
          <w:p>
            <w:pPr>
              <w:numPr>
                <w:ilvl w:val="0"/>
                <w:numId w:val="0"/>
              </w:numPr>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2.支持Telemetry协议，实时采集设备数据</w:t>
            </w:r>
            <w:r>
              <w:rPr>
                <w:rFonts w:hint="eastAsia" w:ascii="宋体" w:hAnsi="宋体" w:eastAsia="宋体" w:cs="宋体"/>
                <w:color w:val="auto"/>
                <w:szCs w:val="21"/>
                <w:highlight w:val="none"/>
                <w:lang w:eastAsia="zh-CN"/>
              </w:rPr>
              <w:t>。</w:t>
            </w:r>
          </w:p>
          <w:p>
            <w:pPr>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3.适应主流机柜的深度，机框深度小于510mm，满足600mm深机柜安装</w:t>
            </w:r>
            <w:r>
              <w:rPr>
                <w:rFonts w:hint="eastAsia" w:ascii="宋体" w:hAnsi="宋体" w:eastAsia="宋体" w:cs="宋体"/>
                <w:color w:val="auto"/>
                <w:szCs w:val="21"/>
                <w:highlight w:val="none"/>
                <w:lang w:eastAsia="zh-CN"/>
              </w:rPr>
              <w:t>。</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4.保证设备散热效果和可靠性，支持严格的前进后出风道。</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交换机系统交换容量≥19</w:t>
            </w:r>
            <w:r>
              <w:rPr>
                <w:rFonts w:hint="eastAsia" w:ascii="宋体" w:hAnsi="宋体" w:eastAsia="宋体" w:cs="宋体"/>
                <w:color w:val="auto"/>
                <w:szCs w:val="21"/>
                <w:highlight w:val="none"/>
                <w:lang w:val="en-US" w:eastAsia="zh-CN"/>
              </w:rPr>
              <w:t>04</w:t>
            </w:r>
            <w:r>
              <w:rPr>
                <w:rFonts w:hint="eastAsia" w:ascii="宋体" w:hAnsi="宋体" w:eastAsia="宋体" w:cs="宋体"/>
                <w:color w:val="auto"/>
                <w:szCs w:val="21"/>
                <w:highlight w:val="none"/>
              </w:rPr>
              <w:t>Tbps，包转发率≥</w:t>
            </w:r>
            <w:r>
              <w:rPr>
                <w:rFonts w:hint="eastAsia" w:ascii="宋体" w:hAnsi="宋体" w:eastAsia="宋体" w:cs="宋体"/>
                <w:color w:val="auto"/>
                <w:szCs w:val="21"/>
                <w:highlight w:val="none"/>
                <w:lang w:val="en-US" w:eastAsia="zh-CN"/>
              </w:rPr>
              <w:t>460800</w:t>
            </w:r>
            <w:r>
              <w:rPr>
                <w:rFonts w:hint="eastAsia" w:ascii="宋体" w:hAnsi="宋体" w:eastAsia="宋体" w:cs="宋体"/>
                <w:color w:val="auto"/>
                <w:szCs w:val="21"/>
                <w:highlight w:val="none"/>
              </w:rPr>
              <w:t>Mpps，（若存在 X/Y 值，以最小值为准）</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6.主控引擎与交换网板物理分离，主控引擎≥2，独立交换网板≥4，整机业务板槽位数≥8</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7.实配要求：主控板≥2（最大2个），交换网板≥2（最大4个），交流电源模块≥6（最大6个），千兆光口≥32，千兆电口≥48，万兆光口≥16</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8.支持颗粒化电源，支持M+N电源冗余，系统电源模块数量≥6</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9.支持VxLAN功能，支持同一个VxLAN网络内不同三层网段互通，支持不同VxLAN网络互通，支持VxLAN网络与非VxLAN网络互通，支持EVPN路由传递</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支持48口千兆电POE+接口板</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11.支持STP、RSTP、MSTP生成树协议</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12.支持ERPS环网保护协议，端到端30ms硬件级倒换，</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13.支持MPLS L3VPN、MPLS L2VPN - VPLS、MPLS L2VPN - VPWS</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14.</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支持SQA网络质量监测功能</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15.支持MC-LAG、VRRP主备、VRRPE负荷分担</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16.支持虚拟化堆叠，支持多台物理设备虚拟成1台，</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17.支持netflow v10/sflow采集网络数据</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7</w:t>
            </w:r>
          </w:p>
        </w:tc>
        <w:tc>
          <w:tcPr>
            <w:tcW w:w="7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服务器交换机</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1台</w:t>
            </w:r>
          </w:p>
        </w:tc>
        <w:tc>
          <w:tcPr>
            <w:tcW w:w="637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1.适应主流机柜的深度，机框深度小于510mm，满足600mm深机柜安装，</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2.支持Telemetry协议，实时采集设备数据，</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3.保证设备散热效果和可靠性，支持严格的前进后出风道。</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4.交换机系统交换容量≥168Tbps，包转发率≥36800Mpps，</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5.独立的主控引擎板，主控引擎≥2，整机业务板槽位数≥3</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6.实配要求：主控引擎≥2（最大2个），交流电源模块≥2（最大2个），千兆光口≥16，千兆电口≥24，万兆光口≥8</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7.支持VxLAN功能，支持同一个VxLAN网络内不同三层网段互通，支持不同VxLAN网络互通，支持VxLAN网络与非VxLAN网络互通，支持EVPN路由传递</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8.支持48口千兆电POE+接口板，</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9.支持STP、RSTP、MSTP生成树协议</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10.支持ERPS环网保护协议，端到端30ms硬件级倒换</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11.支持以太网OAM、BFD检测，提高设备可靠性</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8</w:t>
            </w:r>
          </w:p>
        </w:tc>
        <w:tc>
          <w:tcPr>
            <w:tcW w:w="7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48口接入交换机</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7台</w:t>
            </w:r>
          </w:p>
        </w:tc>
        <w:tc>
          <w:tcPr>
            <w:tcW w:w="637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1.交换容量≥432Gbps，包转发率≥196Mpps（若存在 </w:t>
            </w:r>
            <w:bookmarkStart w:id="62" w:name="OLE_LINK5"/>
            <w:r>
              <w:rPr>
                <w:rFonts w:hint="eastAsia" w:ascii="宋体" w:hAnsi="宋体" w:eastAsia="宋体" w:cs="宋体"/>
                <w:color w:val="auto"/>
                <w:szCs w:val="21"/>
                <w:highlight w:val="none"/>
              </w:rPr>
              <w:t>X/Y 值叁数，以最小值为准</w:t>
            </w:r>
            <w:bookmarkEnd w:id="62"/>
            <w:r>
              <w:rPr>
                <w:rFonts w:hint="eastAsia" w:ascii="宋体" w:hAnsi="宋体" w:eastAsia="宋体" w:cs="宋体"/>
                <w:color w:val="auto"/>
                <w:szCs w:val="21"/>
                <w:highlight w:val="none"/>
              </w:rPr>
              <w:t>），</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2.支持48个千兆电口，4个万兆光口，</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3.为了满足环境无噪声要求，设备支持无风扇设计，</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4.为了满足环境小尺寸要求，设备需支持深度</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350mm，</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5.设备支持工作环境温度-10 ℃~ +45 ℃，</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6.支持4K个VLAN，支持Voice VLAN，基于端口的VLAN，基于MAC的VLAN，基于协议的VLAN</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7.支持MAC地址≥32K</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8.支持端口聚合，每个聚合组至少8个端口   </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9.支持静态路由、策略路由、RIP、RIPng、OSPF、OSPFv3路由协议                           </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10.支持SNMP v1/v2/v3、CLI、Telnet、SSHv2、本地和远程 (RADIUS/TACACS+) 用户认证、网管系统管理</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9</w:t>
            </w:r>
          </w:p>
        </w:tc>
        <w:tc>
          <w:tcPr>
            <w:tcW w:w="7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24口接入交换机</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2台</w:t>
            </w:r>
          </w:p>
        </w:tc>
        <w:tc>
          <w:tcPr>
            <w:tcW w:w="637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1.交换容量≥432Gbps，包转发率≥156Mpps</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（若存在 X/Y 值叁数，以最小值为准），</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2.支持24个千兆电口，4个万兆光口，</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3.为了满足环境无噪声要求，设备支持无风扇设计，</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4.为了满足环境小尺寸要求，设备需支持深度&lt;=250mm，</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5.设备支持工作环境温度-10 ℃~ +45 ℃，</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6.支持4K个VLAN，支持Voice VLAN，基于端口的VLAN，基于MAC的VLAN，基于协议的VLAN</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7.支持MAC地址≥16K</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8.支持端口聚合，每个聚合组至少8个端口   </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9.支持静态路由、策略路由、RIP、RIPng、OSPF、OSPFv3路由协议</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10.支持SNMP v1/v2/v3、CLI、Telnet、SSHv2、本地和远程 (RADIUS/TACACS+) 用户认证、网管系统管理</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10</w:t>
            </w:r>
          </w:p>
        </w:tc>
        <w:tc>
          <w:tcPr>
            <w:tcW w:w="7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万兆光模块</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26块</w:t>
            </w:r>
          </w:p>
        </w:tc>
        <w:tc>
          <w:tcPr>
            <w:tcW w:w="637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10G SFP+接口</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单模10km/1310nm,LC接口)</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11</w:t>
            </w:r>
          </w:p>
        </w:tc>
        <w:tc>
          <w:tcPr>
            <w:tcW w:w="7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特种计量控制平台</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1台</w:t>
            </w:r>
          </w:p>
        </w:tc>
        <w:tc>
          <w:tcPr>
            <w:tcW w:w="637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上行至少提供一个WAN口接入，并支持多种制式接入，包括网络侧接口应支持XG-PON/XGS-PON/GE电，用户侧接口应至少支持1个2.5GE光口，4个GE电口，4个POTS口，1个GPON口，1个USB3.0，</w:t>
            </w:r>
            <w:r>
              <w:rPr>
                <w:rFonts w:hint="eastAsia" w:asciiTheme="minorEastAsia" w:hAnsiTheme="minorEastAsia" w:cstheme="minorEastAsia"/>
                <w:color w:val="auto"/>
                <w:szCs w:val="21"/>
                <w:highlight w:val="none"/>
                <w:lang w:val="en-US" w:eastAsia="zh-CN"/>
              </w:rPr>
              <w:t>竞标时</w:t>
            </w:r>
            <w:r>
              <w:rPr>
                <w:rFonts w:hint="eastAsia" w:asciiTheme="minorEastAsia" w:hAnsiTheme="minorEastAsia" w:eastAsiaTheme="minorEastAsia" w:cstheme="minorEastAsia"/>
                <w:color w:val="auto"/>
                <w:szCs w:val="21"/>
                <w:highlight w:val="none"/>
              </w:rPr>
              <w:t>提供相关内容官网截图和链接证明材料加盖</w:t>
            </w:r>
            <w:r>
              <w:rPr>
                <w:rFonts w:hint="eastAsia" w:asciiTheme="minorEastAsia" w:hAnsiTheme="minorEastAsia" w:eastAsiaTheme="minorEastAsia" w:cstheme="minorEastAsia"/>
                <w:color w:val="auto"/>
                <w:szCs w:val="21"/>
                <w:highlight w:val="none"/>
                <w:lang w:eastAsia="zh-CN"/>
              </w:rPr>
              <w:t>供应商</w:t>
            </w:r>
            <w:r>
              <w:rPr>
                <w:rFonts w:hint="eastAsia" w:asciiTheme="minorEastAsia" w:hAnsiTheme="minorEastAsia" w:eastAsiaTheme="minorEastAsia" w:cstheme="minorEastAsia"/>
                <w:color w:val="auto"/>
                <w:szCs w:val="21"/>
                <w:highlight w:val="none"/>
              </w:rPr>
              <w:t>公章</w:t>
            </w:r>
          </w:p>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内置AC功能，防火墙，交换机，OLT</w:t>
            </w:r>
            <w:r>
              <w:rPr>
                <w:rFonts w:hint="eastAsia" w:asciiTheme="minorEastAsia" w:hAnsi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AC等功能，提供相关内容官网截图和链接证明材料加盖</w:t>
            </w:r>
            <w:r>
              <w:rPr>
                <w:rFonts w:hint="eastAsia" w:asciiTheme="minorEastAsia" w:hAnsiTheme="minorEastAsia" w:eastAsiaTheme="minorEastAsia" w:cstheme="minorEastAsia"/>
                <w:color w:val="auto"/>
                <w:szCs w:val="21"/>
                <w:highlight w:val="none"/>
                <w:lang w:eastAsia="zh-CN"/>
              </w:rPr>
              <w:t>供应商</w:t>
            </w:r>
            <w:r>
              <w:rPr>
                <w:rFonts w:hint="eastAsia" w:asciiTheme="minorEastAsia" w:hAnsiTheme="minorEastAsia" w:eastAsiaTheme="minorEastAsia" w:cstheme="minorEastAsia"/>
                <w:color w:val="auto"/>
                <w:szCs w:val="21"/>
                <w:highlight w:val="none"/>
              </w:rPr>
              <w:t>公章</w:t>
            </w:r>
          </w:p>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可以下挂≥32个</w:t>
            </w:r>
            <w:r>
              <w:rPr>
                <w:rFonts w:hint="eastAsia" w:asciiTheme="minorEastAsia" w:hAnsiTheme="minorEastAsia" w:eastAsiaTheme="minorEastAsia" w:cstheme="minorEastAsia"/>
                <w:color w:val="auto"/>
                <w:szCs w:val="21"/>
                <w:highlight w:val="none"/>
                <w:lang w:val="en-US" w:eastAsia="zh-CN"/>
              </w:rPr>
              <w:t>从设备接入</w:t>
            </w:r>
            <w:r>
              <w:rPr>
                <w:rFonts w:hint="eastAsia" w:asciiTheme="minorEastAsia" w:hAnsiTheme="minorEastAsia" w:eastAsiaTheme="minorEastAsia" w:cstheme="minorEastAsia"/>
                <w:color w:val="auto"/>
                <w:szCs w:val="21"/>
                <w:highlight w:val="none"/>
              </w:rPr>
              <w:t>，提供相关内容官网截图和链接证明材料加盖</w:t>
            </w:r>
            <w:r>
              <w:rPr>
                <w:rFonts w:hint="eastAsia" w:asciiTheme="minorEastAsia" w:hAnsiTheme="minorEastAsia" w:eastAsiaTheme="minorEastAsia" w:cstheme="minorEastAsia"/>
                <w:color w:val="auto"/>
                <w:szCs w:val="21"/>
                <w:highlight w:val="none"/>
                <w:lang w:eastAsia="zh-CN"/>
              </w:rPr>
              <w:t>供应商</w:t>
            </w:r>
            <w:r>
              <w:rPr>
                <w:rFonts w:hint="eastAsia" w:asciiTheme="minorEastAsia" w:hAnsiTheme="minorEastAsia" w:eastAsiaTheme="minorEastAsia" w:cstheme="minorEastAsia"/>
                <w:color w:val="auto"/>
                <w:szCs w:val="21"/>
                <w:highlight w:val="none"/>
              </w:rPr>
              <w:t>公章</w:t>
            </w:r>
          </w:p>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支持≥300STA的系统并发能力，提供相关内容官网截图和链接证明材料加盖</w:t>
            </w:r>
            <w:r>
              <w:rPr>
                <w:rFonts w:hint="eastAsia" w:asciiTheme="minorEastAsia" w:hAnsiTheme="minorEastAsia" w:eastAsiaTheme="minorEastAsia" w:cstheme="minorEastAsia"/>
                <w:color w:val="auto"/>
                <w:szCs w:val="21"/>
                <w:highlight w:val="none"/>
                <w:lang w:eastAsia="zh-CN"/>
              </w:rPr>
              <w:t>供应商</w:t>
            </w:r>
            <w:r>
              <w:rPr>
                <w:rFonts w:hint="eastAsia" w:asciiTheme="minorEastAsia" w:hAnsiTheme="minorEastAsia" w:eastAsiaTheme="minorEastAsia" w:cstheme="minorEastAsia"/>
                <w:color w:val="auto"/>
                <w:szCs w:val="21"/>
                <w:highlight w:val="none"/>
              </w:rPr>
              <w:t>公章</w:t>
            </w:r>
          </w:p>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内置AC，统一管理光AP,Wi-Fi漫游时延50ms以内，提供相关内容官网截图和链接证明材料加盖</w:t>
            </w:r>
            <w:r>
              <w:rPr>
                <w:rFonts w:hint="eastAsia" w:asciiTheme="minorEastAsia" w:hAnsiTheme="minorEastAsia" w:eastAsiaTheme="minorEastAsia" w:cstheme="minorEastAsia"/>
                <w:color w:val="auto"/>
                <w:szCs w:val="21"/>
                <w:highlight w:val="none"/>
                <w:lang w:eastAsia="zh-CN"/>
              </w:rPr>
              <w:t>供应商</w:t>
            </w:r>
            <w:r>
              <w:rPr>
                <w:rFonts w:hint="eastAsia" w:asciiTheme="minorEastAsia" w:hAnsiTheme="minorEastAsia" w:eastAsiaTheme="minorEastAsia" w:cstheme="minorEastAsia"/>
                <w:color w:val="auto"/>
                <w:szCs w:val="21"/>
                <w:highlight w:val="none"/>
              </w:rPr>
              <w:t>公章</w:t>
            </w:r>
          </w:p>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IPsec功能（双向同时发送），单向最大可达到2Gbps，提供相关内容官网截图和链接证明材料加盖</w:t>
            </w:r>
            <w:r>
              <w:rPr>
                <w:rFonts w:hint="eastAsia" w:asciiTheme="minorEastAsia" w:hAnsiTheme="minorEastAsia" w:eastAsiaTheme="minorEastAsia" w:cstheme="minorEastAsia"/>
                <w:color w:val="auto"/>
                <w:szCs w:val="21"/>
                <w:highlight w:val="none"/>
                <w:lang w:eastAsia="zh-CN"/>
              </w:rPr>
              <w:t>供应商</w:t>
            </w:r>
            <w:r>
              <w:rPr>
                <w:rFonts w:hint="eastAsia" w:asciiTheme="minorEastAsia" w:hAnsiTheme="minorEastAsia" w:eastAsiaTheme="minorEastAsia" w:cstheme="minorEastAsia"/>
                <w:color w:val="auto"/>
                <w:szCs w:val="21"/>
                <w:highlight w:val="none"/>
              </w:rPr>
              <w:t>公章</w:t>
            </w:r>
          </w:p>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7.组播特性功能：组播协议版本支持IGMPv1/v2/v3、支持MLDv1/v2协议处理；支持基于协议版本的处理、丢弃、透传配置</w:t>
            </w:r>
          </w:p>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QoS功能：支持以太网物理端口，Vport的流量控制功能；上行业务流根据CIR/PIR参数提供流量颜色标记功能；PON口/Vport和以太网口出方向支持流量整形shaping功能；以太网端口和PON口/Vport等端口上支持SP，WFQ，WRR/DWRR和SP+DWRR队列调度技术；支持基于端口配置默认CoS优先级功能</w:t>
            </w:r>
          </w:p>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9.BRIDGE功能：支持IGMP、BPDU等特殊报文的捕获或透传；端口速率强制和自适应，支持100/1000/10000M强制和自适应；支持全双工/半双工强制和自适应；支持IEEE 802.3x流量控制协议；支持MAC地址自动学习机制；支持静态MAC地址的配置</w:t>
            </w:r>
          </w:p>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10.VLAN功能：支持IEEE 802.1q VLAN， 支持的Q-VLAN ID的取值范围为1到4094；支持IEEE 802.1ad VLAN Stacking，支持的C-VLAN ID和S-VLAN ID的取值范围为1－4094；支持1</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1 VLAN和N：1VLAN转换</w:t>
            </w:r>
          </w:p>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11.认证功能：支持本地Portal认证</w:t>
            </w:r>
          </w:p>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12.数据可靠性：单板boot均有主备flash芯片，新升级的boot出故障时可回退到历史boot进行启动</w:t>
            </w:r>
          </w:p>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val="en-US" w:eastAsia="zh-CN"/>
              </w:rPr>
              <w:t>13.</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本次</w:t>
            </w:r>
            <w:r>
              <w:rPr>
                <w:rFonts w:hint="eastAsia" w:asciiTheme="minorEastAsia" w:hAnsiTheme="minorEastAsia" w:eastAsiaTheme="minorEastAsia" w:cstheme="minorEastAsia"/>
                <w:color w:val="auto"/>
                <w:szCs w:val="21"/>
                <w:highlight w:val="none"/>
                <w:lang w:val="en-US" w:eastAsia="zh-CN"/>
              </w:rPr>
              <w:t>竞</w:t>
            </w:r>
            <w:r>
              <w:rPr>
                <w:rFonts w:hint="eastAsia" w:asciiTheme="minorEastAsia" w:hAnsiTheme="minorEastAsia" w:eastAsiaTheme="minorEastAsia" w:cstheme="minorEastAsia"/>
                <w:color w:val="auto"/>
                <w:szCs w:val="21"/>
                <w:highlight w:val="none"/>
              </w:rPr>
              <w:t>标的特种计量控制平台须能与现有系统设备【品牌：中兴，型号：ZXA10 C68E-G02】完全兼容接入同一平台管理。</w:t>
            </w:r>
            <w:r>
              <w:rPr>
                <w:rFonts w:hint="eastAsia" w:asciiTheme="minorEastAsia" w:hAnsiTheme="minorEastAsia" w:eastAsiaTheme="minorEastAsia" w:cstheme="minorEastAsia"/>
                <w:color w:val="auto"/>
                <w:szCs w:val="21"/>
                <w:highlight w:val="none"/>
                <w:lang w:val="en-US" w:eastAsia="zh-CN"/>
              </w:rPr>
              <w:t>响应文件</w:t>
            </w:r>
            <w:r>
              <w:rPr>
                <w:rFonts w:hint="eastAsia" w:asciiTheme="minorEastAsia" w:hAnsiTheme="minorEastAsia" w:cstheme="minorEastAsia"/>
                <w:color w:val="auto"/>
                <w:szCs w:val="21"/>
                <w:highlight w:val="none"/>
                <w:lang w:val="en-US" w:eastAsia="zh-CN"/>
              </w:rPr>
              <w:t>提供</w:t>
            </w:r>
            <w:r>
              <w:rPr>
                <w:rFonts w:hint="eastAsia" w:asciiTheme="minorEastAsia" w:hAnsiTheme="minorEastAsia" w:eastAsiaTheme="minorEastAsia" w:cstheme="minorEastAsia"/>
                <w:color w:val="auto"/>
                <w:szCs w:val="21"/>
                <w:highlight w:val="none"/>
                <w:lang w:val="en-US" w:eastAsia="zh-CN"/>
              </w:rPr>
              <w:t>竞标设备与采购人现有</w:t>
            </w:r>
            <w:r>
              <w:rPr>
                <w:rFonts w:hint="eastAsia" w:asciiTheme="minorEastAsia" w:hAnsiTheme="minorEastAsia" w:eastAsiaTheme="minorEastAsia" w:cstheme="minorEastAsia"/>
                <w:color w:val="auto"/>
                <w:szCs w:val="21"/>
                <w:highlight w:val="none"/>
              </w:rPr>
              <w:t>设备兼容性承诺函并加盖</w:t>
            </w:r>
            <w:r>
              <w:rPr>
                <w:rFonts w:hint="eastAsia" w:asciiTheme="minorEastAsia" w:hAnsiTheme="minorEastAsia" w:eastAsiaTheme="minorEastAsia" w:cstheme="minorEastAsia"/>
                <w:color w:val="auto"/>
                <w:szCs w:val="21"/>
                <w:highlight w:val="none"/>
                <w:lang w:val="en-US" w:eastAsia="zh-CN"/>
              </w:rPr>
              <w:t>供应商</w:t>
            </w:r>
            <w:r>
              <w:rPr>
                <w:rFonts w:hint="eastAsia" w:asciiTheme="minorEastAsia" w:hAnsiTheme="minorEastAsia" w:eastAsiaTheme="minorEastAsia" w:cstheme="minorEastAsia"/>
                <w:color w:val="auto"/>
                <w:szCs w:val="21"/>
                <w:highlight w:val="none"/>
              </w:rPr>
              <w:t>公章。</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12</w:t>
            </w:r>
          </w:p>
        </w:tc>
        <w:tc>
          <w:tcPr>
            <w:tcW w:w="7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射频接入设备</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5台</w:t>
            </w:r>
          </w:p>
        </w:tc>
        <w:tc>
          <w:tcPr>
            <w:tcW w:w="637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网络侧端口：1个GPON口，</w:t>
            </w:r>
          </w:p>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用户侧端口：1×GE+2.4G&amp;5G Wi-Fi 6（2×2）</w:t>
            </w:r>
          </w:p>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3.供电方式：支持直流额定电压 12V DC（通过外接AC/DC适配器）、支持POF供电，支持POE供电；</w:t>
            </w:r>
          </w:p>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4.支持IEEE 802.11 b/g/n/ax(2.4G/5G)标准；</w:t>
            </w:r>
          </w:p>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eastAsia="zh-CN"/>
              </w:rPr>
              <w:t>5.</w:t>
            </w:r>
            <w:r>
              <w:rPr>
                <w:rFonts w:hint="eastAsia" w:asciiTheme="minorEastAsia" w:hAnsiTheme="minorEastAsia" w:eastAsiaTheme="minorEastAsia" w:cstheme="minorEastAsia"/>
                <w:color w:val="auto"/>
                <w:szCs w:val="21"/>
                <w:highlight w:val="none"/>
              </w:rPr>
              <w:t>支持2.4GHz/5GHz双频段同时工作；</w:t>
            </w:r>
          </w:p>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lang w:eastAsia="zh-CN"/>
              </w:rPr>
              <w:t>6.</w:t>
            </w:r>
            <w:r>
              <w:rPr>
                <w:rFonts w:hint="eastAsia" w:asciiTheme="minorEastAsia" w:hAnsiTheme="minorEastAsia" w:eastAsiaTheme="minorEastAsia" w:cstheme="minorEastAsia"/>
                <w:color w:val="auto"/>
                <w:szCs w:val="21"/>
                <w:highlight w:val="none"/>
              </w:rPr>
              <w:t>整机最大支持4条空间流，最大接入速率达2.975Gbps；</w:t>
            </w:r>
          </w:p>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7.VLAN表：不小于4K；</w:t>
            </w:r>
          </w:p>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8.MAC地址表容量：不小于1K；</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13</w:t>
            </w:r>
          </w:p>
        </w:tc>
        <w:tc>
          <w:tcPr>
            <w:tcW w:w="7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调测服务</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1项</w:t>
            </w:r>
          </w:p>
        </w:tc>
        <w:tc>
          <w:tcPr>
            <w:tcW w:w="637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r>
              <w:rPr>
                <w:rFonts w:hint="eastAsia" w:asciiTheme="minorEastAsia" w:hAnsiTheme="minorEastAsia" w:eastAsiaTheme="minorEastAsia" w:cstheme="minorEastAsia"/>
                <w:color w:val="auto"/>
                <w:szCs w:val="21"/>
                <w:highlight w:val="none"/>
                <w:lang w:val="en-US" w:eastAsia="zh-CN"/>
              </w:rPr>
              <w:t>.</w:t>
            </w:r>
            <w:r>
              <w:rPr>
                <w:rFonts w:hint="eastAsia" w:asciiTheme="minorEastAsia" w:hAnsiTheme="minorEastAsia" w:eastAsiaTheme="minorEastAsia" w:cstheme="minorEastAsia"/>
                <w:color w:val="auto"/>
                <w:szCs w:val="21"/>
                <w:highlight w:val="none"/>
              </w:rPr>
              <w:t>需完成本次设备特种计量控制器的调试，并完成与原有设备及系统的调测服务；</w:t>
            </w:r>
          </w:p>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w:t>
            </w:r>
            <w:r>
              <w:rPr>
                <w:rFonts w:hint="eastAsia" w:asciiTheme="minorEastAsia" w:hAnsiTheme="minorEastAsia" w:eastAsiaTheme="minorEastAsia" w:cstheme="minorEastAsia"/>
                <w:color w:val="auto"/>
                <w:szCs w:val="21"/>
                <w:highlight w:val="none"/>
                <w:lang w:val="en-US" w:eastAsia="zh-CN"/>
              </w:rPr>
              <w:t>.</w:t>
            </w:r>
            <w:r>
              <w:rPr>
                <w:rFonts w:hint="eastAsia" w:asciiTheme="minorEastAsia" w:hAnsiTheme="minorEastAsia" w:eastAsiaTheme="minorEastAsia" w:cstheme="minorEastAsia"/>
                <w:color w:val="auto"/>
                <w:szCs w:val="21"/>
                <w:highlight w:val="none"/>
              </w:rPr>
              <w:t>需检查原来特种设备线路的连通性。</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软件和信息技术服务业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14</w:t>
            </w:r>
          </w:p>
        </w:tc>
        <w:tc>
          <w:tcPr>
            <w:tcW w:w="7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POE交换机</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1台</w:t>
            </w:r>
          </w:p>
        </w:tc>
        <w:tc>
          <w:tcPr>
            <w:tcW w:w="637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1.交换容量≥432Gbps，包转发率≥156Mpps</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（若存在 X/Y 值叁数，以最小值为准）</w:t>
            </w:r>
          </w:p>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2.支持24个千兆电口，4个万兆光口</w:t>
            </w:r>
          </w:p>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3.24个电口支持802.3af/at标准协议的PoE/PoE+供电，POE最大供电功率为370W</w:t>
            </w:r>
          </w:p>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4.为了满足环境小尺寸要求，设备需支持深度</w:t>
            </w:r>
            <w:r>
              <w:rPr>
                <w:rFonts w:hint="eastAsia" w:asciiTheme="minorEastAsia" w:hAnsiTheme="minorEastAsia" w:eastAsiaTheme="minorEastAsia" w:cstheme="minorEastAsia"/>
                <w:color w:val="auto"/>
                <w:szCs w:val="21"/>
                <w:highlight w:val="none"/>
                <w:lang w:val="en-US" w:eastAsia="zh-CN"/>
              </w:rPr>
              <w:t>≤</w:t>
            </w:r>
            <w:r>
              <w:rPr>
                <w:rFonts w:hint="eastAsia" w:asciiTheme="minorEastAsia" w:hAnsiTheme="minorEastAsia" w:eastAsiaTheme="minorEastAsia" w:cstheme="minorEastAsia"/>
                <w:color w:val="auto"/>
                <w:szCs w:val="21"/>
                <w:highlight w:val="none"/>
              </w:rPr>
              <w:t>250mm</w:t>
            </w:r>
          </w:p>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5.设备支持工作环境温度-10 ℃~ +50 ℃，</w:t>
            </w:r>
          </w:p>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6.支持4K个VLAN，支持Voice VLAN，基于端口的VLAN，基于MAC的VLAN，基于协议的VLAN</w:t>
            </w:r>
          </w:p>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7.支持MAC地址≥16K</w:t>
            </w:r>
          </w:p>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8.支持端口聚合，每个聚合组至少8个端口   </w:t>
            </w:r>
          </w:p>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9.支持静态路由、策略路由、RIP、RIPng、OSPF、OSPFv3路由协议                              </w:t>
            </w:r>
          </w:p>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10.支持SNMP v1/v2/v3、CLI、Telnet、SSHv2、本地和远程 (RADIUS/TACACS+) 用户认证、网管系统管理</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15</w:t>
            </w:r>
          </w:p>
        </w:tc>
        <w:tc>
          <w:tcPr>
            <w:tcW w:w="7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六类非屏蔽双绞线</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1箱</w:t>
            </w:r>
          </w:p>
        </w:tc>
        <w:tc>
          <w:tcPr>
            <w:tcW w:w="637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1.导体：0.57±0.01mm（无氧铜丝）</w:t>
            </w:r>
          </w:p>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2.绝缘：高密度聚乙烯</w:t>
            </w:r>
          </w:p>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3.填充：十字架</w:t>
            </w:r>
          </w:p>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4.护套：6.0±0.3mm（PVC）</w:t>
            </w:r>
          </w:p>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5.近端串音最小值</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250MHZ≥38.3dB</w:t>
            </w:r>
          </w:p>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6.回波损耗最小值</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250MHZ≥17.3dB</w:t>
            </w:r>
          </w:p>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7.功率和近端串音</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36.3dB</w:t>
            </w:r>
          </w:p>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8.执行标准</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YD/T 1019-2013</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16</w:t>
            </w:r>
          </w:p>
        </w:tc>
        <w:tc>
          <w:tcPr>
            <w:tcW w:w="7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室内光纤</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100米</w:t>
            </w:r>
          </w:p>
        </w:tc>
        <w:tc>
          <w:tcPr>
            <w:tcW w:w="637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r>
              <w:rPr>
                <w:rFonts w:hint="eastAsia" w:asciiTheme="minorEastAsia" w:hAnsiTheme="minorEastAsia" w:eastAsiaTheme="minorEastAsia" w:cstheme="minorEastAsia"/>
                <w:color w:val="auto"/>
                <w:szCs w:val="21"/>
                <w:highlight w:val="none"/>
                <w:lang w:val="en-US" w:eastAsia="zh-CN"/>
              </w:rPr>
              <w:t>.</w:t>
            </w:r>
            <w:r>
              <w:rPr>
                <w:rFonts w:hint="eastAsia" w:asciiTheme="minorEastAsia" w:hAnsiTheme="minorEastAsia" w:eastAsiaTheme="minorEastAsia" w:cstheme="minorEastAsia"/>
                <w:color w:val="auto"/>
                <w:szCs w:val="21"/>
                <w:highlight w:val="none"/>
              </w:rPr>
              <w:t>外护套材料：聚乙烯（PE）</w:t>
            </w:r>
          </w:p>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w:t>
            </w:r>
            <w:r>
              <w:rPr>
                <w:rFonts w:hint="eastAsia" w:asciiTheme="minorEastAsia" w:hAnsiTheme="minorEastAsia" w:eastAsiaTheme="minorEastAsia" w:cstheme="minorEastAsia"/>
                <w:color w:val="auto"/>
                <w:szCs w:val="21"/>
                <w:highlight w:val="none"/>
                <w:lang w:val="en-US" w:eastAsia="zh-CN"/>
              </w:rPr>
              <w:t>.</w:t>
            </w:r>
            <w:r>
              <w:rPr>
                <w:rFonts w:hint="eastAsia" w:asciiTheme="minorEastAsia" w:hAnsiTheme="minorEastAsia" w:eastAsiaTheme="minorEastAsia" w:cstheme="minorEastAsia"/>
                <w:color w:val="auto"/>
                <w:szCs w:val="21"/>
                <w:highlight w:val="none"/>
              </w:rPr>
              <w:t>光缆加强件：两根高强度磷化钢丝</w:t>
            </w:r>
          </w:p>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w:t>
            </w:r>
            <w:r>
              <w:rPr>
                <w:rFonts w:hint="eastAsia" w:asciiTheme="minorEastAsia" w:hAnsiTheme="minorEastAsia" w:eastAsiaTheme="minorEastAsia" w:cstheme="minorEastAsia"/>
                <w:color w:val="auto"/>
                <w:szCs w:val="21"/>
                <w:highlight w:val="none"/>
                <w:lang w:val="en-US" w:eastAsia="zh-CN"/>
              </w:rPr>
              <w:t>.</w:t>
            </w:r>
            <w:r>
              <w:rPr>
                <w:rFonts w:hint="eastAsia" w:asciiTheme="minorEastAsia" w:hAnsiTheme="minorEastAsia" w:eastAsiaTheme="minorEastAsia" w:cstheme="minorEastAsia"/>
                <w:color w:val="auto"/>
                <w:szCs w:val="21"/>
                <w:highlight w:val="none"/>
              </w:rPr>
              <w:t>纤芯颜色：蓝、橙、绿、棕、灰、白、红、黑、黄、紫、粉红、青绿</w:t>
            </w:r>
          </w:p>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w:t>
            </w:r>
            <w:r>
              <w:rPr>
                <w:rFonts w:hint="eastAsia" w:asciiTheme="minorEastAsia" w:hAnsiTheme="minorEastAsia" w:eastAsiaTheme="minorEastAsia" w:cstheme="minorEastAsia"/>
                <w:color w:val="auto"/>
                <w:szCs w:val="21"/>
                <w:highlight w:val="none"/>
                <w:lang w:val="en-US" w:eastAsia="zh-CN"/>
              </w:rPr>
              <w:t>.</w:t>
            </w:r>
            <w:r>
              <w:rPr>
                <w:rFonts w:hint="eastAsia" w:asciiTheme="minorEastAsia" w:hAnsiTheme="minorEastAsia" w:eastAsiaTheme="minorEastAsia" w:cstheme="minorEastAsia"/>
                <w:color w:val="auto"/>
                <w:szCs w:val="21"/>
                <w:highlight w:val="none"/>
              </w:rPr>
              <w:t>芯数：12 芯</w:t>
            </w:r>
          </w:p>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w:t>
            </w:r>
            <w:r>
              <w:rPr>
                <w:rFonts w:hint="eastAsia" w:asciiTheme="minorEastAsia" w:hAnsiTheme="minorEastAsia" w:eastAsiaTheme="minorEastAsia" w:cstheme="minorEastAsia"/>
                <w:color w:val="auto"/>
                <w:szCs w:val="21"/>
                <w:highlight w:val="none"/>
                <w:lang w:val="en-US" w:eastAsia="zh-CN"/>
              </w:rPr>
              <w:t>.</w:t>
            </w:r>
            <w:r>
              <w:rPr>
                <w:rFonts w:hint="eastAsia" w:asciiTheme="minorEastAsia" w:hAnsiTheme="minorEastAsia" w:eastAsiaTheme="minorEastAsia" w:cstheme="minorEastAsia"/>
                <w:color w:val="auto"/>
                <w:szCs w:val="21"/>
                <w:highlight w:val="none"/>
              </w:rPr>
              <w:t>光纤类型：OS2 单模光纤</w:t>
            </w:r>
          </w:p>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w:t>
            </w:r>
            <w:r>
              <w:rPr>
                <w:rFonts w:hint="eastAsia" w:asciiTheme="minorEastAsia" w:hAnsiTheme="minorEastAsia" w:eastAsiaTheme="minorEastAsia" w:cstheme="minorEastAsia"/>
                <w:color w:val="auto"/>
                <w:szCs w:val="21"/>
                <w:highlight w:val="none"/>
                <w:lang w:val="en-US" w:eastAsia="zh-CN"/>
              </w:rPr>
              <w:t>.</w:t>
            </w:r>
            <w:r>
              <w:rPr>
                <w:rFonts w:hint="eastAsia" w:asciiTheme="minorEastAsia" w:hAnsiTheme="minorEastAsia" w:eastAsiaTheme="minorEastAsia" w:cstheme="minorEastAsia"/>
                <w:color w:val="auto"/>
                <w:szCs w:val="21"/>
                <w:highlight w:val="none"/>
              </w:rPr>
              <w:t>敷设方式：管道、非自承式架空适用，进局、电缆沟</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17</w:t>
            </w:r>
          </w:p>
        </w:tc>
        <w:tc>
          <w:tcPr>
            <w:tcW w:w="7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光纤终端盒</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2套</w:t>
            </w:r>
          </w:p>
        </w:tc>
        <w:tc>
          <w:tcPr>
            <w:tcW w:w="637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 口 LC 光纤终端盒</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18</w:t>
            </w:r>
          </w:p>
        </w:tc>
        <w:tc>
          <w:tcPr>
            <w:tcW w:w="7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JDG管</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300米</w:t>
            </w:r>
          </w:p>
        </w:tc>
        <w:tc>
          <w:tcPr>
            <w:tcW w:w="637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JDG25 管，厚度 1.0</w:t>
            </w:r>
            <w:r>
              <w:rPr>
                <w:rFonts w:hint="eastAsia" w:asciiTheme="minorEastAsia" w:hAnsiTheme="minorEastAsia" w:eastAsiaTheme="minorEastAsia" w:cstheme="minorEastAsia"/>
                <w:color w:val="auto"/>
                <w:szCs w:val="21"/>
                <w:highlight w:val="none"/>
                <w:lang w:eastAsia="zh-CN"/>
              </w:rPr>
              <w:t>mm</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19</w:t>
            </w:r>
          </w:p>
        </w:tc>
        <w:tc>
          <w:tcPr>
            <w:tcW w:w="7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辅材</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1批</w:t>
            </w:r>
          </w:p>
        </w:tc>
        <w:tc>
          <w:tcPr>
            <w:tcW w:w="637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rPr>
              <w:t>金属软管，线槽，支架、安装配件、链接器件、链接线</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lang w:val="en-US" w:eastAsia="zh-CN"/>
              </w:rPr>
              <w:t>完成项目安装实施所需</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7" w:hRule="atLeast"/>
          <w:jc w:val="center"/>
        </w:trPr>
        <w:tc>
          <w:tcPr>
            <w:tcW w:w="545"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p>
            <w:pPr>
              <w:spacing w:line="360" w:lineRule="auto"/>
              <w:jc w:val="center"/>
              <w:rPr>
                <w:rFonts w:hint="eastAsia" w:ascii="宋体" w:hAnsi="宋体" w:eastAsia="宋体" w:cs="宋体"/>
                <w:color w:val="auto"/>
                <w:szCs w:val="21"/>
                <w:highlight w:val="none"/>
              </w:rPr>
            </w:pPr>
          </w:p>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商务条款</w:t>
            </w:r>
          </w:p>
        </w:tc>
        <w:tc>
          <w:tcPr>
            <w:tcW w:w="9576" w:type="dxa"/>
            <w:gridSpan w:val="5"/>
            <w:tcBorders>
              <w:top w:val="single" w:color="auto" w:sz="4" w:space="0"/>
              <w:left w:val="single" w:color="auto" w:sz="4" w:space="0"/>
              <w:bottom w:val="single" w:color="auto" w:sz="4" w:space="0"/>
              <w:right w:val="single" w:color="auto" w:sz="4" w:space="0"/>
            </w:tcBorders>
          </w:tcPr>
          <w:p>
            <w:pPr>
              <w:widowControl/>
              <w:shd w:val="clear" w:color="auto" w:fill="FFFFFF"/>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一、合同签订</w:t>
            </w:r>
            <w:r>
              <w:rPr>
                <w:rFonts w:hint="eastAsia" w:ascii="宋体" w:hAnsi="宋体" w:eastAsia="宋体" w:cs="宋体"/>
                <w:color w:val="auto"/>
                <w:szCs w:val="21"/>
                <w:highlight w:val="none"/>
                <w:lang w:eastAsia="zh-CN"/>
              </w:rPr>
              <w:t>期限</w:t>
            </w:r>
            <w:r>
              <w:rPr>
                <w:rFonts w:hint="eastAsia" w:ascii="宋体" w:hAnsi="宋体" w:eastAsia="宋体" w:cs="宋体"/>
                <w:color w:val="auto"/>
                <w:szCs w:val="21"/>
                <w:highlight w:val="none"/>
              </w:rPr>
              <w:t>：自成交通知书发出之日起</w:t>
            </w:r>
            <w:r>
              <w:rPr>
                <w:rFonts w:hint="eastAsia" w:ascii="宋体" w:hAnsi="宋体" w:eastAsia="宋体" w:cs="宋体"/>
                <w:color w:val="auto"/>
                <w:szCs w:val="21"/>
                <w:highlight w:val="none"/>
                <w:u w:val="single"/>
              </w:rPr>
              <w:t xml:space="preserve">  25　</w:t>
            </w:r>
            <w:r>
              <w:rPr>
                <w:rFonts w:hint="eastAsia" w:ascii="宋体" w:hAnsi="宋体" w:eastAsia="宋体" w:cs="宋体"/>
                <w:color w:val="auto"/>
                <w:szCs w:val="21"/>
                <w:highlight w:val="none"/>
              </w:rPr>
              <w:t>日内。</w:t>
            </w:r>
          </w:p>
          <w:p>
            <w:pPr>
              <w:widowControl/>
              <w:shd w:val="clear" w:color="auto" w:fill="FFFFFF"/>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二、交货</w:t>
            </w:r>
            <w:r>
              <w:rPr>
                <w:rFonts w:hint="eastAsia" w:ascii="宋体" w:hAnsi="宋体" w:eastAsia="宋体" w:cs="宋体"/>
                <w:bCs/>
                <w:color w:val="auto"/>
                <w:szCs w:val="21"/>
                <w:highlight w:val="none"/>
              </w:rPr>
              <w:t>时间：</w:t>
            </w:r>
            <w:r>
              <w:rPr>
                <w:rFonts w:hint="eastAsia" w:ascii="宋体" w:hAnsi="宋体" w:eastAsia="宋体" w:cs="宋体"/>
                <w:color w:val="auto"/>
                <w:szCs w:val="21"/>
                <w:highlight w:val="none"/>
                <w:u w:val="single"/>
              </w:rPr>
              <w:t xml:space="preserve">  </w:t>
            </w:r>
            <w:bookmarkStart w:id="63" w:name="OLE_LINK7"/>
            <w:r>
              <w:rPr>
                <w:rFonts w:hint="eastAsia" w:ascii="宋体" w:hAnsi="宋体" w:eastAsia="宋体" w:cs="宋体"/>
                <w:color w:val="auto"/>
                <w:szCs w:val="21"/>
                <w:highlight w:val="none"/>
                <w:u w:val="single"/>
              </w:rPr>
              <w:t>自合同签订之日起</w:t>
            </w:r>
            <w:r>
              <w:rPr>
                <w:rFonts w:hint="eastAsia" w:ascii="宋体" w:hAnsi="宋体" w:eastAsia="宋体" w:cs="宋体"/>
                <w:color w:val="auto"/>
                <w:szCs w:val="21"/>
                <w:highlight w:val="none"/>
                <w:u w:val="single"/>
                <w:lang w:val="en-US" w:eastAsia="zh-CN"/>
              </w:rPr>
              <w:t>7个日历</w:t>
            </w:r>
            <w:r>
              <w:rPr>
                <w:rFonts w:hint="eastAsia" w:ascii="宋体" w:hAnsi="宋体" w:eastAsia="宋体" w:cs="宋体"/>
                <w:color w:val="auto"/>
                <w:szCs w:val="21"/>
                <w:highlight w:val="none"/>
                <w:u w:val="single"/>
              </w:rPr>
              <w:t>日内交货完毕</w:t>
            </w:r>
            <w:bookmarkEnd w:id="63"/>
            <w:r>
              <w:rPr>
                <w:rFonts w:hint="eastAsia" w:ascii="宋体" w:hAnsi="宋体" w:eastAsia="宋体" w:cs="宋体"/>
                <w:color w:val="auto"/>
                <w:szCs w:val="21"/>
                <w:highlight w:val="none"/>
                <w:u w:val="single"/>
              </w:rPr>
              <w:t xml:space="preserve">。   </w:t>
            </w:r>
          </w:p>
          <w:p>
            <w:pPr>
              <w:widowControl/>
              <w:shd w:val="clear" w:color="auto" w:fill="FFFFFF"/>
              <w:spacing w:line="360" w:lineRule="auto"/>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rPr>
              <w:t>三、交货地点：</w:t>
            </w:r>
            <w:r>
              <w:rPr>
                <w:rFonts w:hint="eastAsia" w:ascii="宋体" w:hAnsi="宋体" w:eastAsia="宋体" w:cs="宋体"/>
                <w:bCs/>
                <w:color w:val="auto"/>
                <w:szCs w:val="21"/>
                <w:highlight w:val="none"/>
                <w:u w:val="single"/>
              </w:rPr>
              <w:t xml:space="preserve"> 南宁市内采购人指定地点  </w:t>
            </w:r>
          </w:p>
          <w:p>
            <w:pPr>
              <w:widowControl/>
              <w:shd w:val="clear" w:color="auto" w:fill="FFFFFF"/>
              <w:spacing w:line="360" w:lineRule="auto"/>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四、</w:t>
            </w:r>
            <w:r>
              <w:rPr>
                <w:rFonts w:hint="eastAsia" w:ascii="宋体" w:hAnsi="宋体" w:eastAsia="宋体" w:cs="宋体"/>
                <w:color w:val="auto"/>
                <w:szCs w:val="21"/>
                <w:highlight w:val="none"/>
              </w:rPr>
              <w:t>验收标准、规范：</w:t>
            </w:r>
          </w:p>
          <w:p>
            <w:pPr>
              <w:widowControl/>
              <w:shd w:val="clear" w:color="auto" w:fill="FFFFFF"/>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对照采购文件的功能目标及技术指标全面核对检验，验收时对所有要求出具的证明文件的原件进行核查，如不符合采购文件的技术需求及要求以及提供虚假承诺的，按相关规定做退货处理及违约处理，成交供应商承担所有责任和费用，采购人保留进一步追究责任的权利。验收过程中所产生的一切费用均由成交供应商承担。</w:t>
            </w:r>
          </w:p>
          <w:p>
            <w:pPr>
              <w:widowControl/>
              <w:shd w:val="clear" w:color="auto" w:fill="FFFFFF"/>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2.其他未尽事宜应严格按照《关于印发广西壮族自治区政府采购项目履约验收管理办法的通知》[桂财</w:t>
            </w:r>
          </w:p>
          <w:p>
            <w:pPr>
              <w:widowControl/>
              <w:shd w:val="clear" w:color="auto" w:fill="FFFFFF"/>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2015)22号]以及《财政部关于进一步加强政府采购需求和履约验收管理的指导意见》[财库</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2016)</w:t>
            </w:r>
          </w:p>
          <w:p>
            <w:pPr>
              <w:widowControl/>
              <w:shd w:val="clear" w:color="auto" w:fill="FFFFFF"/>
              <w:spacing w:line="360" w:lineRule="auto"/>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rPr>
              <w:t>205号]规定执行。</w:t>
            </w:r>
          </w:p>
          <w:p>
            <w:pPr>
              <w:widowControl/>
              <w:shd w:val="clear" w:color="auto" w:fill="FFFFFF"/>
              <w:spacing w:line="360" w:lineRule="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五、付款方式：签订合同之日起10个工作日内，采购人支付合同款的40%作为预付款；成交供应商交货完毕，全部货物安装调试完毕并验收合格后，采购人支付合同款的60%给成交供应商，成交供应商向采购人提供等额有效的合格发票之日起10个工作日内采购人支付合同款项。采购人未收到发票的，有权不予支付相应款项并不承担延迟付款责任。成交供应商需开具相应的发票给采购人。如未按国家要求开具增值税发票，一旦发现成交供应商提供虚假发票，除须向采购人补开合法发票外，须赔偿采购人发票票面金额一倍的违约金。</w:t>
            </w:r>
          </w:p>
          <w:p>
            <w:pPr>
              <w:widowControl/>
              <w:shd w:val="clear" w:color="auto" w:fill="FFFFFF"/>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六</w:t>
            </w:r>
            <w:r>
              <w:rPr>
                <w:rFonts w:hint="eastAsia" w:ascii="宋体" w:hAnsi="宋体" w:eastAsia="宋体" w:cs="宋体"/>
                <w:color w:val="auto"/>
                <w:szCs w:val="21"/>
                <w:highlight w:val="none"/>
              </w:rPr>
              <w:t>、售后服务要求：</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1)竞标产品及有关备件必须是具备厂家合法渠道的全新正品，产品的售后服务承诺不低于原厂商标准服务承诺。</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2)质保期从项目验收合格之日起计算，所有标的质保期均为</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年（采购需求有约定的从其约定），且不得少于国家“三包”中规定的期限。</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3)</w:t>
            </w:r>
            <w:bookmarkStart w:id="64" w:name="OLE_LINK24"/>
            <w:r>
              <w:rPr>
                <w:rFonts w:hint="eastAsia" w:ascii="宋体" w:hAnsi="宋体" w:eastAsia="宋体" w:cs="宋体"/>
                <w:color w:val="auto"/>
                <w:szCs w:val="21"/>
                <w:highlight w:val="none"/>
              </w:rPr>
              <w:t>售后服务承诺</w:t>
            </w:r>
            <w:bookmarkEnd w:id="64"/>
            <w:r>
              <w:rPr>
                <w:rFonts w:hint="eastAsia" w:ascii="宋体" w:hAnsi="宋体" w:eastAsia="宋体" w:cs="宋体"/>
                <w:color w:val="auto"/>
                <w:szCs w:val="21"/>
                <w:highlight w:val="none"/>
              </w:rPr>
              <w:t>需至少包含以下内容：①故障响应时间：售后服务时间为7X24小时，接到故障通知后30分钟内响应，3小时内安排工程师</w:t>
            </w:r>
            <w:bookmarkStart w:id="65" w:name="OLE_LINK25"/>
            <w:r>
              <w:rPr>
                <w:rFonts w:hint="eastAsia" w:ascii="宋体" w:hAnsi="宋体" w:eastAsia="宋体" w:cs="宋体"/>
                <w:color w:val="auto"/>
                <w:szCs w:val="21"/>
                <w:highlight w:val="none"/>
              </w:rPr>
              <w:t>到达现场</w:t>
            </w:r>
            <w:bookmarkEnd w:id="65"/>
            <w:r>
              <w:rPr>
                <w:rFonts w:hint="eastAsia" w:ascii="宋体" w:hAnsi="宋体" w:eastAsia="宋体" w:cs="宋体"/>
                <w:color w:val="auto"/>
                <w:szCs w:val="21"/>
                <w:highlight w:val="none"/>
              </w:rPr>
              <w:t>，48小时内解决问题，48小时内仍无法解决问题的，提供相同性能参数的备件替用；②所有设备部件均为原厂部件；③为用户提供培训服务，并向受训人员提供技术资料、参考材料、配置手册等，</w:t>
            </w:r>
            <w:bookmarkStart w:id="66" w:name="OLE_LINK36"/>
            <w:r>
              <w:rPr>
                <w:rFonts w:hint="eastAsia" w:ascii="宋体" w:hAnsi="宋体" w:eastAsia="宋体" w:cs="宋体"/>
                <w:color w:val="auto"/>
                <w:szCs w:val="21"/>
                <w:highlight w:val="none"/>
              </w:rPr>
              <w:t>由此产生的全部费用由成交供应商承担</w:t>
            </w:r>
            <w:bookmarkEnd w:id="66"/>
            <w:r>
              <w:rPr>
                <w:rFonts w:hint="eastAsia" w:ascii="宋体" w:hAnsi="宋体" w:eastAsia="宋体" w:cs="宋体"/>
                <w:color w:val="auto"/>
                <w:szCs w:val="21"/>
                <w:highlight w:val="none"/>
              </w:rPr>
              <w:t>。在安装调试过程应安排采购人操作人员参与，并进行现场培训，并确保有2～3 人具备熟练操作设备、了解设备结构及工作原理，并能排除一般故障的能力。</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七</w:t>
            </w:r>
            <w:r>
              <w:rPr>
                <w:rFonts w:hint="eastAsia" w:ascii="宋体" w:hAnsi="宋体" w:eastAsia="宋体" w:cs="宋体"/>
                <w:color w:val="auto"/>
                <w:szCs w:val="21"/>
                <w:highlight w:val="none"/>
              </w:rPr>
              <w:t>、其他要求：</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1.本项目报</w:t>
            </w:r>
            <w:bookmarkStart w:id="67" w:name="OLE_LINK26"/>
            <w:r>
              <w:rPr>
                <w:rFonts w:hint="eastAsia" w:ascii="宋体" w:hAnsi="宋体" w:eastAsia="宋体" w:cs="宋体"/>
                <w:color w:val="auto"/>
                <w:szCs w:val="21"/>
                <w:highlight w:val="none"/>
              </w:rPr>
              <w:t>价必须</w:t>
            </w:r>
            <w:bookmarkEnd w:id="67"/>
            <w:r>
              <w:rPr>
                <w:rFonts w:hint="eastAsia" w:ascii="宋体" w:hAnsi="宋体" w:eastAsia="宋体" w:cs="宋体"/>
                <w:color w:val="auto"/>
                <w:szCs w:val="21"/>
                <w:highlight w:val="none"/>
              </w:rPr>
              <w:t>含以下部分，包括：</w:t>
            </w:r>
          </w:p>
          <w:p>
            <w:pPr>
              <w:tabs>
                <w:tab w:val="left" w:pos="3490"/>
                <w:tab w:val="left" w:pos="3670"/>
                <w:tab w:val="left" w:pos="3895"/>
              </w:tabs>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货物</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含服务)的价格。</w:t>
            </w:r>
          </w:p>
          <w:p>
            <w:pPr>
              <w:tabs>
                <w:tab w:val="left" w:pos="3490"/>
                <w:tab w:val="left" w:pos="3670"/>
                <w:tab w:val="left" w:pos="3895"/>
              </w:tabs>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货物的标准附件、备品备件、专用工具的价格。</w:t>
            </w:r>
          </w:p>
          <w:p>
            <w:pPr>
              <w:tabs>
                <w:tab w:val="left" w:pos="3490"/>
                <w:tab w:val="left" w:pos="3670"/>
                <w:tab w:val="left" w:pos="3895"/>
              </w:tabs>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运输、装卸、调试、用户培训、技术支持、售后服务、质保期内维护等费用。</w:t>
            </w:r>
          </w:p>
          <w:p>
            <w:pPr>
              <w:tabs>
                <w:tab w:val="left" w:pos="3490"/>
                <w:tab w:val="left" w:pos="3670"/>
                <w:tab w:val="left" w:pos="3895"/>
              </w:tabs>
              <w:spacing w:line="360" w:lineRule="auto"/>
              <w:rPr>
                <w:rFonts w:hint="eastAsia" w:ascii="宋体" w:hAnsi="宋体" w:eastAsia="宋体" w:cs="宋体"/>
                <w:b/>
                <w:bCs/>
                <w:i/>
                <w:iCs/>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必要的检测、保险费用和各项税金。</w:t>
            </w:r>
          </w:p>
          <w:p>
            <w:pPr>
              <w:tabs>
                <w:tab w:val="left" w:pos="3490"/>
                <w:tab w:val="left" w:pos="3670"/>
                <w:tab w:val="left" w:pos="3895"/>
              </w:tabs>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成交供应商供货时，采购人将对日志分析管理系统、运维安全管理系统、数据库安全审计、核心交换机、特种计量控制平台共计5种设备的规格型号、技术参数进行现场核验，同时成交供应商需提供5种设备厂家出具的与采购人现有设备相互兼容的确认函，若供应商提供的设备规格型号、技术参数与竞标响应不符或未能提供设备厂家出具的相互兼容的确认函，采购人将不予验收货物，并按规定将成交供应商违约行为向监督部门报告</w:t>
            </w:r>
            <w:r>
              <w:rPr>
                <w:rFonts w:hint="eastAsia" w:ascii="宋体" w:hAnsi="宋体" w:eastAsia="宋体" w:cs="宋体"/>
                <w:color w:val="auto"/>
                <w:szCs w:val="21"/>
                <w:highlight w:val="none"/>
              </w:rPr>
              <w:t>。</w:t>
            </w:r>
          </w:p>
          <w:p>
            <w:pPr>
              <w:tabs>
                <w:tab w:val="left" w:pos="3490"/>
                <w:tab w:val="left" w:pos="3670"/>
                <w:tab w:val="left" w:pos="3895"/>
              </w:tabs>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3.成交供应商供货时，提供第三方检测（检验）机构出具的日志分析管理系统、运维安全管理系统、数据库安全审计、核心交换机、特种计量控制平台共计5种设备的检测（检验）报告复印件，并加盖成交供应商公章，报告的参数应满足或优于响应文件中对应参数的承诺，否则采购人将不予验收货物，并按规定将成交供应商违约行为向监督部门报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6" w:hRule="atLeast"/>
          <w:jc w:val="center"/>
        </w:trPr>
        <w:tc>
          <w:tcPr>
            <w:tcW w:w="5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其他说明</w:t>
            </w:r>
          </w:p>
        </w:tc>
        <w:tc>
          <w:tcPr>
            <w:tcW w:w="9576" w:type="dxa"/>
            <w:gridSpan w:val="5"/>
            <w:tcBorders>
              <w:top w:val="single" w:color="auto" w:sz="4" w:space="0"/>
              <w:left w:val="single" w:color="auto" w:sz="4" w:space="0"/>
              <w:bottom w:val="single" w:color="auto" w:sz="4" w:space="0"/>
              <w:right w:val="single" w:color="auto" w:sz="4" w:space="0"/>
            </w:tcBorders>
          </w:tcPr>
          <w:p>
            <w:pPr>
              <w:widowControl/>
              <w:tabs>
                <w:tab w:val="left" w:pos="180"/>
                <w:tab w:val="left" w:pos="1620"/>
              </w:tabs>
              <w:spacing w:line="360" w:lineRule="auto"/>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一、进口产品说明</w:t>
            </w:r>
            <w:r>
              <w:rPr>
                <w:rFonts w:hint="eastAsia" w:ascii="宋体" w:hAnsi="宋体" w:eastAsia="宋体" w:cs="宋体"/>
                <w:color w:val="auto"/>
                <w:szCs w:val="21"/>
                <w:highlight w:val="none"/>
              </w:rPr>
              <w:t>：</w:t>
            </w:r>
          </w:p>
          <w:p>
            <w:pPr>
              <w:tabs>
                <w:tab w:val="left" w:pos="180"/>
                <w:tab w:val="left" w:pos="1620"/>
              </w:tabs>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本项目货物所涉及的货物不接受进口产品（即通过中国海关报关验放进入中国境内且产自关境外的产品）参与竞标，</w:t>
            </w:r>
            <w:r>
              <w:rPr>
                <w:rFonts w:hint="eastAsia" w:ascii="宋体" w:hAnsi="宋体" w:eastAsia="宋体" w:cs="宋体"/>
                <w:b/>
                <w:color w:val="auto"/>
                <w:szCs w:val="21"/>
                <w:highlight w:val="none"/>
              </w:rPr>
              <w:t>如有进口产品参与竞标的，其响应文件按无效处理</w:t>
            </w:r>
            <w:r>
              <w:rPr>
                <w:rFonts w:hint="eastAsia" w:ascii="宋体" w:hAnsi="宋体" w:eastAsia="宋体" w:cs="宋体"/>
                <w:color w:val="auto"/>
                <w:szCs w:val="21"/>
                <w:highlight w:val="none"/>
              </w:rPr>
              <w:t>。</w:t>
            </w:r>
          </w:p>
          <w:p>
            <w:pPr>
              <w:tabs>
                <w:tab w:val="left" w:pos="180"/>
                <w:tab w:val="left" w:pos="1620"/>
              </w:tabs>
              <w:spacing w:line="360" w:lineRule="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二、核心产品：</w:t>
            </w:r>
          </w:p>
          <w:p>
            <w:pPr>
              <w:widowControl/>
              <w:tabs>
                <w:tab w:val="left" w:pos="180"/>
                <w:tab w:val="left" w:pos="1620"/>
              </w:tabs>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本项目的核心产品为“需求一览表”中第</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项产品</w:t>
            </w:r>
            <w:r>
              <w:rPr>
                <w:rFonts w:hint="eastAsia" w:ascii="宋体" w:hAnsi="宋体" w:eastAsia="宋体" w:cs="宋体"/>
                <w:color w:val="auto"/>
                <w:szCs w:val="21"/>
                <w:highlight w:val="none"/>
                <w:lang w:eastAsia="zh-CN"/>
              </w:rPr>
              <w:t>“服务器交换机”</w:t>
            </w:r>
            <w:r>
              <w:rPr>
                <w:rFonts w:hint="eastAsia" w:ascii="宋体" w:hAnsi="宋体" w:eastAsia="宋体" w:cs="宋体"/>
                <w:color w:val="auto"/>
                <w:szCs w:val="21"/>
                <w:highlight w:val="none"/>
              </w:rPr>
              <w:t>。</w:t>
            </w:r>
          </w:p>
        </w:tc>
      </w:tr>
    </w:tbl>
    <w:p>
      <w:pPr>
        <w:spacing w:line="428" w:lineRule="exact"/>
        <w:rPr>
          <w:rFonts w:hint="eastAsia" w:ascii="Arial Unicode MS" w:hAnsi="Arial Unicode MS" w:eastAsia="Arial Unicode MS" w:cs="Arial Unicode MS"/>
          <w:color w:val="auto"/>
          <w:sz w:val="32"/>
          <w:szCs w:val="32"/>
          <w:highlight w:val="none"/>
        </w:rPr>
      </w:pPr>
    </w:p>
    <w:p>
      <w:pPr>
        <w:rPr>
          <w:rFonts w:hint="eastAsia" w:ascii="Arial Unicode MS" w:hAnsi="Arial Unicode MS" w:eastAsia="Arial Unicode MS" w:cs="Arial Unicode MS"/>
          <w:color w:val="auto"/>
          <w:sz w:val="32"/>
          <w:szCs w:val="32"/>
          <w:highlight w:val="none"/>
        </w:rPr>
      </w:pPr>
      <w:r>
        <w:rPr>
          <w:rFonts w:hint="eastAsia" w:ascii="Arial Unicode MS" w:hAnsi="Arial Unicode MS" w:eastAsia="Arial Unicode MS" w:cs="Arial Unicode MS"/>
          <w:color w:val="auto"/>
          <w:sz w:val="32"/>
          <w:szCs w:val="32"/>
          <w:highlight w:val="none"/>
        </w:rPr>
        <w:br w:type="page"/>
      </w:r>
    </w:p>
    <w:p>
      <w:pPr>
        <w:spacing w:line="428" w:lineRule="exact"/>
        <w:rPr>
          <w:rFonts w:hint="eastAsia" w:ascii="Arial Unicode MS" w:hAnsi="Arial Unicode MS" w:eastAsia="Arial Unicode MS" w:cs="Arial Unicode MS"/>
          <w:color w:val="auto"/>
          <w:sz w:val="32"/>
          <w:szCs w:val="32"/>
          <w:highlight w:val="none"/>
        </w:rPr>
      </w:pPr>
    </w:p>
    <w:tbl>
      <w:tblPr>
        <w:tblStyle w:val="29"/>
        <w:tblW w:w="1012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45"/>
        <w:gridCol w:w="761"/>
        <w:gridCol w:w="753"/>
        <w:gridCol w:w="6371"/>
        <w:gridCol w:w="114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121" w:type="dxa"/>
            <w:gridSpan w:val="6"/>
            <w:tcBorders>
              <w:top w:val="single" w:color="auto" w:sz="4" w:space="0"/>
              <w:left w:val="single" w:color="auto" w:sz="4" w:space="0"/>
              <w:bottom w:val="nil"/>
              <w:right w:val="single" w:color="auto" w:sz="4" w:space="0"/>
            </w:tcBorders>
            <w:vAlign w:val="center"/>
          </w:tcPr>
          <w:p>
            <w:pPr>
              <w:spacing w:line="360" w:lineRule="auto"/>
              <w:jc w:val="left"/>
              <w:rPr>
                <w:rFonts w:hint="default"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标项二：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restart"/>
            <w:tcBorders>
              <w:top w:val="single" w:color="auto" w:sz="4" w:space="0"/>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需求一览表</w:t>
            </w: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7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标的名称</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数量及单位</w:t>
            </w:r>
          </w:p>
        </w:tc>
        <w:tc>
          <w:tcPr>
            <w:tcW w:w="637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技术参数及配置</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中小企业划分标准所属行业名称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9576" w:type="dxa"/>
            <w:gridSpan w:val="5"/>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一、高新基地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continue"/>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p>
        </w:tc>
        <w:tc>
          <w:tcPr>
            <w:tcW w:w="7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600万像素半球摄像机</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12台</w:t>
            </w:r>
          </w:p>
        </w:tc>
        <w:tc>
          <w:tcPr>
            <w:tcW w:w="637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具有≥600万像素 CMOS传感器，传感器≥1/1.8"，低照度效果好，图像清晰度高。</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最低照度彩色≤0.001 lx，黑白≤0.0001 lx，最大亮度鉴别等级不小于11级。</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支持三码流技术，主码流≥3072x2048@25fps，子码流≥640x480@25fps，第三码流≥1280x720@25fps。</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支持H.264、H.265、MJPEG视频编码格式，宽动态≥120 dB。</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同一静止场景相同图像质量下，设备在H.265编码方式时，开启智能编码功能和不开启智能编码相比，码率节约≥80%。</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支持本地SD卡存储，最大支持≥256GB，支持断网录像存储及断网续存，并支持存储卡可使用时长显示，并可发出报警。</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7</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可通过IE浏览器显示当前存储卡损坏程度及剩余存储时间，当存储卡损坏程度达到阈值时可给出报警提示。</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8</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支持在音频编码格式设置为AAC时，采样率可设置≥48kHz。</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9</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内置≥1个麦克风，具备≥1路报警输入/输出接口，≥1路音频输入/输出接口。</w:t>
            </w:r>
          </w:p>
          <w:p>
            <w:pPr>
              <w:spacing w:line="360" w:lineRule="auto"/>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10</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当区域入侵、越界入侵、视频遮挡等智能分析行为达到设定的阈值时，可通过客户端软件给出报警提示，设备支持行为分析触发后联动聚焦、报警上传、发送邮件、联动录像、抓图、辅助输出等多种报警触发方式。</w:t>
            </w:r>
            <w:r>
              <w:rPr>
                <w:rFonts w:hint="eastAsia" w:ascii="宋体" w:hAnsi="宋体" w:eastAsia="宋体" w:cs="宋体"/>
                <w:color w:val="auto"/>
                <w:szCs w:val="21"/>
                <w:highlight w:val="none"/>
                <w:lang w:val="en-US" w:eastAsia="zh-CN"/>
              </w:rPr>
              <w:t>响应文件提供</w:t>
            </w:r>
            <w:r>
              <w:rPr>
                <w:rFonts w:hint="eastAsia"/>
                <w:color w:val="auto"/>
                <w:highlight w:val="none"/>
              </w:rPr>
              <w:t>产品说明书或产品彩页或官网截图作为佐证材料</w:t>
            </w:r>
            <w:r>
              <w:rPr>
                <w:rFonts w:hint="eastAsia"/>
                <w:color w:val="auto"/>
                <w:highlight w:val="none"/>
                <w:lang w:val="en-US" w:eastAsia="zh-CN"/>
              </w:rPr>
              <w:t>并加盖供应商公章。</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11</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支持对存储卡进行读写锁定，锁定后的存储卡在移动终端需要密码才能访问。</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可对经过设定区域的行人进行人脸检测，当检测到人脸后，可联动抓拍人脸图片、录像及给出报警提示。</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13</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防护等级不低于IP66，支持POE供电，支持DC12V供电，且在DC12V±25%范围内变化时可以正常工作。</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w:t>
            </w:r>
          </w:p>
        </w:tc>
        <w:tc>
          <w:tcPr>
            <w:tcW w:w="7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拾音器</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12个</w:t>
            </w:r>
          </w:p>
        </w:tc>
        <w:tc>
          <w:tcPr>
            <w:tcW w:w="637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支持吸顶安装、桌面安装和壁装</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支持音量调节功能，与主机级联后可通过后台软件切换通道并调节音量</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支持集中供电、摄像机供电、直流电源供电，无需专用电源</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麦克风</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一个高灵敏度全指向驻极体麦</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动态范围</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0 dB~90 dB</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最大承受音压: 120 dBSPL</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拾音范围: 0 m~5 m</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灵敏度: -32 dB</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输出信号幅度: 2.5 Vpp</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信噪比: 90 dB</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11.</w:t>
            </w:r>
            <w:r>
              <w:rPr>
                <w:rFonts w:hint="eastAsia" w:ascii="宋体" w:hAnsi="宋体" w:eastAsia="宋体" w:cs="宋体"/>
                <w:color w:val="auto"/>
                <w:szCs w:val="21"/>
                <w:highlight w:val="none"/>
              </w:rPr>
              <w:t>频率响应: 20 Hz~20 kHz</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12.</w:t>
            </w:r>
            <w:r>
              <w:rPr>
                <w:rFonts w:hint="eastAsia" w:ascii="宋体" w:hAnsi="宋体" w:eastAsia="宋体" w:cs="宋体"/>
                <w:color w:val="auto"/>
                <w:szCs w:val="21"/>
                <w:highlight w:val="none"/>
              </w:rPr>
              <w:t>音频传输距离: ≥500 m</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13.</w:t>
            </w:r>
            <w:r>
              <w:rPr>
                <w:rFonts w:hint="eastAsia" w:ascii="宋体" w:hAnsi="宋体" w:eastAsia="宋体" w:cs="宋体"/>
                <w:color w:val="auto"/>
                <w:szCs w:val="21"/>
                <w:highlight w:val="none"/>
              </w:rPr>
              <w:t>接口类型: LINE OUT</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14.</w:t>
            </w:r>
            <w:r>
              <w:rPr>
                <w:rFonts w:hint="eastAsia" w:ascii="宋体" w:hAnsi="宋体" w:eastAsia="宋体" w:cs="宋体"/>
                <w:color w:val="auto"/>
                <w:szCs w:val="21"/>
                <w:highlight w:val="none"/>
              </w:rPr>
              <w:t>输出阻抗: 600Ω</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15.</w:t>
            </w:r>
            <w:r>
              <w:rPr>
                <w:rFonts w:hint="eastAsia" w:ascii="宋体" w:hAnsi="宋体" w:eastAsia="宋体" w:cs="宋体"/>
                <w:color w:val="auto"/>
                <w:szCs w:val="21"/>
                <w:highlight w:val="none"/>
              </w:rPr>
              <w:t>电源电压: DC12V</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16.</w:t>
            </w:r>
            <w:r>
              <w:rPr>
                <w:rFonts w:hint="eastAsia" w:ascii="宋体" w:hAnsi="宋体" w:eastAsia="宋体" w:cs="宋体"/>
                <w:color w:val="auto"/>
                <w:szCs w:val="21"/>
                <w:highlight w:val="none"/>
              </w:rPr>
              <w:t>保护电路: 雷击保护、电源极性反转保护、静电防护</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17.</w:t>
            </w:r>
            <w:r>
              <w:rPr>
                <w:rFonts w:hint="eastAsia" w:ascii="宋体" w:hAnsi="宋体" w:eastAsia="宋体" w:cs="宋体"/>
                <w:color w:val="auto"/>
                <w:szCs w:val="21"/>
                <w:highlight w:val="none"/>
              </w:rPr>
              <w:t>工作温度: -10℃～50℃（室内）</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18.</w:t>
            </w:r>
            <w:r>
              <w:rPr>
                <w:rFonts w:hint="eastAsia" w:ascii="宋体" w:hAnsi="宋体" w:eastAsia="宋体" w:cs="宋体"/>
                <w:color w:val="auto"/>
                <w:szCs w:val="21"/>
                <w:highlight w:val="none"/>
              </w:rPr>
              <w:t>安装方式: 吸顶装，壁装，桌面装</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19.</w:t>
            </w:r>
            <w:r>
              <w:rPr>
                <w:rFonts w:hint="eastAsia" w:ascii="宋体" w:hAnsi="宋体" w:eastAsia="宋体" w:cs="宋体"/>
                <w:color w:val="auto"/>
                <w:szCs w:val="21"/>
                <w:highlight w:val="none"/>
              </w:rPr>
              <w:t>材质: 塑料</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20.</w:t>
            </w:r>
            <w:r>
              <w:rPr>
                <w:rFonts w:hint="eastAsia" w:ascii="宋体" w:hAnsi="宋体" w:eastAsia="宋体" w:cs="宋体"/>
                <w:color w:val="auto"/>
                <w:szCs w:val="21"/>
                <w:highlight w:val="none"/>
              </w:rPr>
              <w:t>降噪调节: 数字降噪，自适应调节</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21.</w:t>
            </w:r>
            <w:r>
              <w:rPr>
                <w:rFonts w:hint="eastAsia" w:ascii="宋体" w:hAnsi="宋体" w:eastAsia="宋体" w:cs="宋体"/>
                <w:color w:val="auto"/>
                <w:szCs w:val="21"/>
                <w:highlight w:val="none"/>
              </w:rPr>
              <w:t>音量调节: 支持软件调节</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22.</w:t>
            </w:r>
            <w:r>
              <w:rPr>
                <w:rFonts w:hint="eastAsia" w:ascii="宋体" w:hAnsi="宋体" w:eastAsia="宋体" w:cs="宋体"/>
                <w:color w:val="auto"/>
                <w:szCs w:val="21"/>
                <w:highlight w:val="none"/>
              </w:rPr>
              <w:t>指向特性: 全指向</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23.</w:t>
            </w:r>
            <w:r>
              <w:rPr>
                <w:rFonts w:hint="eastAsia" w:ascii="宋体" w:hAnsi="宋体" w:eastAsia="宋体" w:cs="宋体"/>
                <w:color w:val="auto"/>
                <w:szCs w:val="21"/>
                <w:highlight w:val="none"/>
              </w:rPr>
              <w:t>采样率: 8khz、16khz、32khz可选，默认16khz</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w:t>
            </w:r>
          </w:p>
        </w:tc>
        <w:tc>
          <w:tcPr>
            <w:tcW w:w="7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400万像素半球摄像机</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46个</w:t>
            </w:r>
          </w:p>
        </w:tc>
        <w:tc>
          <w:tcPr>
            <w:tcW w:w="637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具有≥400万像素CMOS传感器，靶面尺寸≥1/3"。</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支持H.264、H.265、MJPEG视频编码格式，且具有High Profile编码能力。</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最低彩色照度≤0.005 Lux，水平调节角度支持0°~360°，垂直调节角度支持0°~75°，旋转角度支持0°~360°。</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在≥2560x1440@25fps下，清晰度不小于1400TVL，最大亮度鉴别等级≥11级。</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具有自动增益控制、逆光补偿功能，当环境色温在2800K-10000K范围内变化时，可自动调节白平衡。</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具有断线自动重连、字符叠加、本机存储、WEB服务功能。</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7</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支持防补光过曝，支持红外灯补光，补光距离最远可达≥30m。</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8</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 xml:space="preserve">具有移动侦测报警触发功能，能对画面物体的移动进行分析，并发出报警信息，具有报警信息触发现场视频录像功能，可支持报警触发前大于等于5s的视频预录及报警触发后不少于15s的视频录像。  </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9</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支持≥10项事件检测，≥1项异常检测，支持音频异常侦测，音频抖升侦测，音频抖降侦测。</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在客户端或IE浏览器下，具有彩色模式、黑白模式设置选项，并具有自动、定时转换设置选项，具有固定电子快门和自动电子快门≥两种模式，快门速度具有不少于1/50s至1/1000s之间≥五档可调。</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11</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具有≥1个内置麦克风，支持≥1路报警输入/输出，≥1路音频输入/输出。</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具备较好的防护性能环境适应性，防护等级≥IP66。</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13</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工作温度范围-30℃-60℃，可在DC12V±25%范围内正常工作，支持POE供电。</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w:t>
            </w:r>
          </w:p>
        </w:tc>
        <w:tc>
          <w:tcPr>
            <w:tcW w:w="7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600万像素枪式摄像机</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2个</w:t>
            </w:r>
          </w:p>
        </w:tc>
        <w:tc>
          <w:tcPr>
            <w:tcW w:w="637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像素≥600万，靶面尺寸≥1/2.4"，最大图像尺寸≥3200×1800。</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支持最低照度彩色≤0.005 Lux，支持红外照射距离≥50 m。</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支持背光补偿，强光抑制，3D数字降噪，宽动态≥120 dB。</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视频压缩标准支持H.265/H.264，支持同时预览路数≥6路。</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内置≥1个麦克风，高清拾音。</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支持≥1路音频输入，≥1路音频输出，≥1路报警输入，≥1路报警输出。</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7</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支持RESET按键，支持客户端或浏览器恢复。</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8</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支持场景变更、虚焦、区域入侵、越界、进入区域、离开区域、物品遗留、物品拿取、徘徊、停车、人员聚集、快速移动、音频异常、音频陡升、音频陡降侦测。</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9</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支持RESET按键，支持客户端或浏览器恢复。</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防护等级≥IP66，工作温度：-30 ℃～60 ℃。</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11</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供电方式支持DC12V±25%，支持防反接保护，支持POE供电。</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w:t>
            </w:r>
          </w:p>
        </w:tc>
        <w:tc>
          <w:tcPr>
            <w:tcW w:w="7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视频监控网络硬盘存储器</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1台</w:t>
            </w:r>
          </w:p>
        </w:tc>
        <w:tc>
          <w:tcPr>
            <w:tcW w:w="637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设备配置≥1颗64位8核处理器，标配≥8GB内存，内置EMMC系统盘，≥24块16T企业级硬盘；支持≥2个风扇，可热插拔冗余温控调速风扇。</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标配≥1个RS232串口/CONSOLE接口，≥1个VGA接口，≥1个HDMI接口，≥2个USB2.0接口，≥2个USB3.0接口，≥3个2.5G网口，≥1个2.5G管理网口，≥1个Esata接口，支持PCIe插槽，采用可热插拔1+1AC220V电源。</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可通过IE浏览器设置RAID组为RAID0、RAID1、RAID5、RAID6、RAID10、RAID50、VRAID模式，并支持RAID即建即用（RAID创建后拔掉任意一块硬盘都不影响数据读写）。</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能在RAID内丢失2块（含）以上硬盘但至少有1块正常磁盘时，无需等待丢失盘恢复，保留的硬盘中的数据可正常读出，且新数据可正常写入。</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RAID模式下，当RAID内某一块硬盘发生故障，更换该硬盘或热备盘替换时，可自动进行RAID重构。当RAID处于降级或重构状态下，不影响数据写入。且存储的数据不丢失。</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支持录像存储过程中加入特殊字段，防止录像被篡改或伪造，以保证录像的原始性及完整性。可对录像的某个时间点添加标签，并可进行查询、回放、下载。</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7</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可接入MPEG4、H.264、H.265、Smart265、SVAC编码格式和分辨率≥4096×2160的前端设备并存储录像文件。</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8</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可将接入样机的网络设备的IP地址、端口号等信息以excel形式进行导入导出。</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9</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应能预录报警触发前1-40min的视频录像。</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当接入的视频图像的警戒区域内探测到移动目标时，可给出报警提示信息并进行录像。</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11</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支持创建最大≥7个录像池，录像池的容量可自由划分。</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通过一键配置快速部署网络，时间，阵列，存储池。一键配置完成后添加通道关联存储池即可直接录像。</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13</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管理口支持切换为数据口使用，提升设备的接入和冗余能力。</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14</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支持对存储硬盘进行SMART检测，并可自动分析当前磁盘的健康度，磁盘健康度状态可提醒用户关注。</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6</w:t>
            </w:r>
          </w:p>
        </w:tc>
        <w:tc>
          <w:tcPr>
            <w:tcW w:w="7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16T硬盘    监控专用</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35块</w:t>
            </w:r>
          </w:p>
        </w:tc>
        <w:tc>
          <w:tcPr>
            <w:tcW w:w="637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硬盘规格：3.5 英寸机械硬盘（3.5HDD）</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存储容量：16TB</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转速：7200</w:t>
            </w:r>
            <w:r>
              <w:rPr>
                <w:rFonts w:hint="eastAsia" w:ascii="宋体" w:hAnsi="宋体" w:eastAsia="宋体" w:cs="宋体"/>
                <w:color w:val="auto"/>
                <w:szCs w:val="21"/>
                <w:highlight w:val="none"/>
                <w:lang w:eastAsia="zh-CN"/>
              </w:rPr>
              <w:t>r/min</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缓存容量：512MB</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接口类型及速率：SATA 6Gb/s</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7</w:t>
            </w:r>
          </w:p>
        </w:tc>
        <w:tc>
          <w:tcPr>
            <w:tcW w:w="7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6T硬盘  监控专用</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7个</w:t>
            </w:r>
          </w:p>
        </w:tc>
        <w:tc>
          <w:tcPr>
            <w:tcW w:w="6371"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1.硬盘规格：3.5 英寸机械硬盘 SATA接口（3.5HDD）</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2.存储容量：</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TB</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3.转速：5400</w:t>
            </w:r>
            <w:r>
              <w:rPr>
                <w:rFonts w:hint="eastAsia" w:ascii="宋体" w:hAnsi="宋体" w:eastAsia="宋体" w:cs="宋体"/>
                <w:color w:val="auto"/>
                <w:szCs w:val="21"/>
                <w:highlight w:val="none"/>
                <w:lang w:eastAsia="zh-CN"/>
              </w:rPr>
              <w:t>r/min</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4.缓存容量：256MB</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5.支持</w:t>
            </w:r>
            <w:r>
              <w:rPr>
                <w:rFonts w:hint="eastAsia" w:ascii="宋体" w:hAnsi="宋体" w:eastAsia="宋体" w:cs="宋体"/>
                <w:color w:val="auto"/>
                <w:szCs w:val="21"/>
                <w:highlight w:val="none"/>
              </w:rPr>
              <w:t>24×7全天候高效稳定运行</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支持3年有限质保服务</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8</w:t>
            </w:r>
          </w:p>
        </w:tc>
        <w:tc>
          <w:tcPr>
            <w:tcW w:w="76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PoE交换机</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8台</w:t>
            </w:r>
          </w:p>
        </w:tc>
        <w:tc>
          <w:tcPr>
            <w:tcW w:w="63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1.类型：非网管型机架式交换机</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2.端口配置：16 个百兆电口，2 个千兆上联光电复用口</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3.PoE 供电能力：16 个端口支持 PoE/PoE + 供电，最大 PoE 总功率 120W</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4.安装方式：机架式</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9</w:t>
            </w:r>
          </w:p>
        </w:tc>
        <w:tc>
          <w:tcPr>
            <w:tcW w:w="76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核心交换机</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1台</w:t>
            </w:r>
          </w:p>
        </w:tc>
        <w:tc>
          <w:tcPr>
            <w:tcW w:w="63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1.类型：二层网管交换机</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2.性能规格：交换容量 336Gbps，包转发率 42Mpps</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3.端口配置：24 个 10/100/1000Mbps 自适应电口，4 个固化 SFP 千兆光口</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4.功能特性：支持 VLAN、ACL、端口镜像、端口聚合功能</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5.管理方式：支持睿易 APP 和 MACC 云平台统一管理</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10</w:t>
            </w:r>
          </w:p>
        </w:tc>
        <w:tc>
          <w:tcPr>
            <w:tcW w:w="76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光纤收发器</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2对</w:t>
            </w:r>
          </w:p>
        </w:tc>
        <w:tc>
          <w:tcPr>
            <w:tcW w:w="63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1.端口数量：不低于 1 个 10/100/1000Mbps Base-TX</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电口，1 个 1000Mbps Base-FX 光口</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2.光接口类型：SC</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3.传输距离：不低于 3km</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4.光纤类型：单模单纤</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5.波长：1310nm 发送，1550nm 接收</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6.电源：标配 5VDC 电源适配器；</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11</w:t>
            </w:r>
          </w:p>
        </w:tc>
        <w:tc>
          <w:tcPr>
            <w:tcW w:w="76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铝方通2米立杆</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8个</w:t>
            </w:r>
          </w:p>
        </w:tc>
        <w:tc>
          <w:tcPr>
            <w:tcW w:w="63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根据现场需求加工定制方管：100*100mm  厚：2mm      </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 xml:space="preserve">材质: 铝材                       </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12</w:t>
            </w:r>
          </w:p>
        </w:tc>
        <w:tc>
          <w:tcPr>
            <w:tcW w:w="76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超五类网线</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12箱</w:t>
            </w:r>
          </w:p>
        </w:tc>
        <w:tc>
          <w:tcPr>
            <w:tcW w:w="63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1.产品符合： GB/T 50312 、YD/T 1019标准；</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2.线对：4 对</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3.规格：线规 23AWG，≥305 米/箱；</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4.导体直径：0.57mm 符合 TR 型软圆铜线的要求；</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5.绝缘材质：高密度聚乙烯（HDPE）；</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6.带宽及应用：支持 250MHz，满足 IEEE 802.3 1000BASE-T 应用；</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7.带有十字骨架，分隔开对绞线，减少线对间近端串扰；</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8.工作温度-20～+60℃；</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13</w:t>
            </w:r>
          </w:p>
        </w:tc>
        <w:tc>
          <w:tcPr>
            <w:tcW w:w="76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8芯室外光缆</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300米</w:t>
            </w:r>
          </w:p>
        </w:tc>
        <w:tc>
          <w:tcPr>
            <w:tcW w:w="63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1.纤芯类型：OS2 芯数：4；单模；结构：GYXTW。</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2.符合 GB/T 13993、GB/T15972 标准 。</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3.松套管中和缆芯所有缝隙全填充防潮油膏和化合物，能防潮和纵向不渗水。</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4.加强构件为两根平行的高杨氏模量的磷化圆钢丝，松套管外用双面镀铬涂塑钢带纵包。</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5.光缆具有外径小、重量轻，弯曲性能好。</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6.敷设方式：管道、架空可用。</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7.敷设最小弯曲半径：动态弯曲半径≥20 倍光缆外径。</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8.静态弯曲半径≥10 倍光缆外径。</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9.敷设拉力：敷设时短期拉力≤1500N。</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10.使用拉力：使用时长期拉力≤600N。</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11.敷设压扁力：敷设时短期压扁力≤1000N。</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12.使用压扁力：使用时长期压扁力≤300N。</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13.施工温度：0～40℃。</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14.使用温度：-10～70℃。</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14</w:t>
            </w:r>
          </w:p>
        </w:tc>
        <w:tc>
          <w:tcPr>
            <w:tcW w:w="76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安装辅材</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1项</w:t>
            </w:r>
          </w:p>
        </w:tc>
        <w:tc>
          <w:tcPr>
            <w:tcW w:w="63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包括线槽、线管、电工胶布、接头等，满足项目安装实施所需</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1.管径：20mm；</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2.材质与耐候性能：采用聚氯乙烯(PVC)材料制成的，具有良好的耐腐蚀性能和耐候性能。PVC 材料具有耐酸碱、耐油脂、耐磨损等优良特性，可以保证穿线管在不同环境条件下的稳定性和使用寿命。</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3.阻燃等级与电气性能：采用阻燃级别为 V-0 的材料制成，具有较好的阻燃性能，能够有效阻止火焰的蔓延。</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4.使用温度与环境适应性：适用温度为-15℃至 60℃。</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9576" w:type="dxa"/>
            <w:gridSpan w:val="5"/>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二、邕宁基地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p>
        </w:tc>
        <w:tc>
          <w:tcPr>
            <w:tcW w:w="76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600万像素半球摄像机</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16台</w:t>
            </w:r>
          </w:p>
        </w:tc>
        <w:tc>
          <w:tcPr>
            <w:tcW w:w="63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1.具有≥600万像素 CMOS传感器，传感器≥1/1.8"，低照度效果好，图像清晰度高。</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2.最低照度彩色≤0.001 lx，黑白≤0.0001 lx，最大亮度鉴别等级不小于11级。</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3.支持三码流技术，主码流≥3072x2048@25fps，子码流≥640x480@25fps，第三码流≥1280x720@25fps。</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4.支持H.264、H.265、MJPEG视频编码格式，宽动态≥120 dB。</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5.同一静止场景相同图像质量下，设备在H.265编码方式时，开启智能编码功能和不开启智能编码相比，码率节约≥80%。</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6.支持本地SD卡存储，最大支持≥256GB，支持断网录像存储及断网续存，并支持存储卡可使用时长显示，并可发出报警。</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7.可通过IE浏览器显示当前存储卡损坏程度及剩余存储时间，当存储卡损坏程度达到阈值时可给出报警提示。</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8.支持在音频编码格式设置为AAC时，采样率可设置≥48kHz。</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9.内置≥1个麦克风，具备≥1路报警输入/输出接口，≥1路音频输入/输出接口。</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当区域入侵、越界入侵、视频遮挡等智能分析行为达到设定的阈值时，可通过客户端软件给出报警提示，设备支持行为分析触发后联动聚焦、报警上传、发送邮件、联动录像、抓图、辅助输出等多种报警触发方式。</w:t>
            </w:r>
            <w:r>
              <w:rPr>
                <w:rFonts w:hint="eastAsia" w:ascii="宋体" w:hAnsi="宋体" w:eastAsia="宋体" w:cs="宋体"/>
                <w:color w:val="auto"/>
                <w:szCs w:val="21"/>
                <w:highlight w:val="none"/>
                <w:lang w:val="en-US" w:eastAsia="zh-CN"/>
              </w:rPr>
              <w:t>响应文件</w:t>
            </w:r>
            <w:r>
              <w:rPr>
                <w:rFonts w:hint="eastAsia"/>
                <w:color w:val="auto"/>
                <w:highlight w:val="none"/>
              </w:rPr>
              <w:t>提供产品说明书或产品彩页或官网截图作为佐证材料</w:t>
            </w:r>
            <w:r>
              <w:rPr>
                <w:rFonts w:hint="eastAsia"/>
                <w:color w:val="auto"/>
                <w:highlight w:val="none"/>
                <w:lang w:val="en-US" w:eastAsia="zh-CN"/>
              </w:rPr>
              <w:t>并加盖供应商公章。</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11.支持对存储卡进行读写锁定，锁定后的存储卡在移动终端需要密码才能访问。</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12.可对经过设定区域的行人进行人脸检测，当检测到人脸后，可联动抓拍人脸图片、录像及给出报警提示。</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13.防护等级不低于IP66，支持POE供电，支持DC12V供电，且在DC12V±25%范围内变化时可以正常工作。</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w:t>
            </w:r>
          </w:p>
        </w:tc>
        <w:tc>
          <w:tcPr>
            <w:tcW w:w="76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400万像素半球摄像机</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25台</w:t>
            </w:r>
          </w:p>
        </w:tc>
        <w:tc>
          <w:tcPr>
            <w:tcW w:w="63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1.具有≥400万像素CMOS传感器，靶面尺寸≥1/3"。</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2.支持H.264、H.265、MJPEG视频编码格式，且具有High Profile编码能力。</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3.最低彩色照度≤0.005 Lux，水平调节角度支持0°~360°，垂直调节角度支持0°~75°，旋转角度支持0°~360°。</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4.在≥2560x1440@25fps下，清晰度不小于1400TVL，最大亮度鉴别等级≥11级。</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5.具有自动增益控制、逆光补偿功能，当环境色温在2800K-10000K范围内变化时，可自动调节白平衡。</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6.具有断线自动重连、字符叠加、本机存储、WEB服务功能。</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7.支持防补光过曝，支持红外灯补光，补光距离最远可达≥30m。</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8.▲具有移动侦测报警触发功能，能对画面物体的移动进行分析，并发出报警信息，具有报警信息触发现场视频录像功能，可支持报警触发前大于等于5s的视频预录及报警触发后不少于15s的视频录像。  </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9.支持≥10项事件检测，≥1项异常检测，支持音频异常侦测，音频抖升侦测，音频抖降侦测。</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10.▲在客户端或IE浏览器下，具有彩色模式、黑白模式设置选项，并具有自动、定时转换设置选项，具有固定电子快门和自动电子快门≥两种模式，快门速度具有不少于1/50s至1/1000s之间≥五档可调。</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11.具有≥1个内置麦克风，支持≥1路报警输入/输出，≥1路音频输入/输出。</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12.具备较好的防护性能环境适应性，防护等级≥IP66。</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13.工作温度范围-30℃-60℃，可在DC12V±25%范围内正常工作，支持POE供电。</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w:t>
            </w:r>
          </w:p>
        </w:tc>
        <w:tc>
          <w:tcPr>
            <w:tcW w:w="76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拾音器</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12个</w:t>
            </w:r>
          </w:p>
        </w:tc>
        <w:tc>
          <w:tcPr>
            <w:tcW w:w="63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left"/>
              <w:textAlignment w:val="center"/>
              <w:rPr>
                <w:rFonts w:hint="eastAsia" w:ascii="宋体" w:hAnsi="宋体" w:eastAsia="宋体" w:cs="宋体"/>
                <w:color w:val="auto"/>
                <w:highlight w:val="none"/>
              </w:rPr>
            </w:pPr>
            <w:r>
              <w:rPr>
                <w:rFonts w:hint="eastAsia" w:ascii="宋体" w:hAnsi="宋体" w:eastAsia="宋体" w:cs="宋体"/>
                <w:color w:val="auto"/>
                <w:highlight w:val="none"/>
              </w:rPr>
              <w:t>1.支持吸顶安装、桌面安装和壁装</w:t>
            </w:r>
          </w:p>
          <w:p>
            <w:pPr>
              <w:keepNext w:val="0"/>
              <w:keepLines w:val="0"/>
              <w:widowControl/>
              <w:suppressLineNumbers w:val="0"/>
              <w:spacing w:line="360" w:lineRule="auto"/>
              <w:jc w:val="left"/>
              <w:textAlignment w:val="center"/>
              <w:rPr>
                <w:rFonts w:hint="eastAsia" w:ascii="宋体" w:hAnsi="宋体" w:eastAsia="宋体" w:cs="宋体"/>
                <w:color w:val="auto"/>
                <w:highlight w:val="none"/>
              </w:rPr>
            </w:pPr>
            <w:r>
              <w:rPr>
                <w:rFonts w:hint="eastAsia" w:ascii="宋体" w:hAnsi="宋体" w:eastAsia="宋体" w:cs="宋体"/>
                <w:color w:val="auto"/>
                <w:highlight w:val="none"/>
              </w:rPr>
              <w:t>2.支持音量调节功能，与主机级联后可通过后台软件切换通道并调节音量</w:t>
            </w:r>
          </w:p>
          <w:p>
            <w:pPr>
              <w:keepNext w:val="0"/>
              <w:keepLines w:val="0"/>
              <w:widowControl/>
              <w:suppressLineNumbers w:val="0"/>
              <w:spacing w:line="360" w:lineRule="auto"/>
              <w:jc w:val="left"/>
              <w:textAlignment w:val="center"/>
              <w:rPr>
                <w:rFonts w:hint="eastAsia" w:ascii="宋体" w:hAnsi="宋体" w:eastAsia="宋体" w:cs="宋体"/>
                <w:color w:val="auto"/>
                <w:highlight w:val="none"/>
              </w:rPr>
            </w:pPr>
            <w:r>
              <w:rPr>
                <w:rFonts w:hint="eastAsia" w:ascii="宋体" w:hAnsi="宋体" w:eastAsia="宋体" w:cs="宋体"/>
                <w:color w:val="auto"/>
                <w:highlight w:val="none"/>
              </w:rPr>
              <w:t>3.支持集中供电、摄像机供电、直流电源供电，无需专用电源</w:t>
            </w:r>
          </w:p>
          <w:p>
            <w:pPr>
              <w:keepNext w:val="0"/>
              <w:keepLines w:val="0"/>
              <w:widowControl/>
              <w:suppressLineNumbers w:val="0"/>
              <w:spacing w:line="360" w:lineRule="auto"/>
              <w:jc w:val="left"/>
              <w:textAlignment w:val="center"/>
              <w:rPr>
                <w:rFonts w:hint="eastAsia" w:ascii="宋体" w:hAnsi="宋体" w:eastAsia="宋体" w:cs="宋体"/>
                <w:color w:val="auto"/>
                <w:highlight w:val="none"/>
              </w:rPr>
            </w:pPr>
            <w:r>
              <w:rPr>
                <w:rFonts w:hint="eastAsia" w:ascii="宋体" w:hAnsi="宋体" w:eastAsia="宋体" w:cs="宋体"/>
                <w:color w:val="auto"/>
                <w:highlight w:val="none"/>
              </w:rPr>
              <w:t>4.麦克风: 一个高灵敏度全指向驻极体麦</w:t>
            </w:r>
          </w:p>
          <w:p>
            <w:pPr>
              <w:keepNext w:val="0"/>
              <w:keepLines w:val="0"/>
              <w:widowControl/>
              <w:suppressLineNumbers w:val="0"/>
              <w:spacing w:line="360" w:lineRule="auto"/>
              <w:jc w:val="left"/>
              <w:textAlignment w:val="center"/>
              <w:rPr>
                <w:rFonts w:hint="eastAsia" w:ascii="宋体" w:hAnsi="宋体" w:eastAsia="宋体" w:cs="宋体"/>
                <w:color w:val="auto"/>
                <w:highlight w:val="none"/>
              </w:rPr>
            </w:pPr>
            <w:r>
              <w:rPr>
                <w:rFonts w:hint="eastAsia" w:ascii="宋体" w:hAnsi="宋体" w:eastAsia="宋体" w:cs="宋体"/>
                <w:color w:val="auto"/>
                <w:highlight w:val="none"/>
              </w:rPr>
              <w:t>5.动态范围: 0 dB~90 dB</w:t>
            </w:r>
          </w:p>
          <w:p>
            <w:pPr>
              <w:keepNext w:val="0"/>
              <w:keepLines w:val="0"/>
              <w:widowControl/>
              <w:suppressLineNumbers w:val="0"/>
              <w:spacing w:line="360" w:lineRule="auto"/>
              <w:jc w:val="left"/>
              <w:textAlignment w:val="center"/>
              <w:rPr>
                <w:rFonts w:hint="eastAsia" w:ascii="宋体" w:hAnsi="宋体" w:eastAsia="宋体" w:cs="宋体"/>
                <w:color w:val="auto"/>
                <w:highlight w:val="none"/>
              </w:rPr>
            </w:pPr>
            <w:r>
              <w:rPr>
                <w:rFonts w:hint="eastAsia" w:ascii="宋体" w:hAnsi="宋体" w:eastAsia="宋体" w:cs="宋体"/>
                <w:color w:val="auto"/>
                <w:highlight w:val="none"/>
              </w:rPr>
              <w:t>6.最大承受音压: 120 dBSPL</w:t>
            </w:r>
          </w:p>
          <w:p>
            <w:pPr>
              <w:keepNext w:val="0"/>
              <w:keepLines w:val="0"/>
              <w:widowControl/>
              <w:suppressLineNumbers w:val="0"/>
              <w:spacing w:line="360" w:lineRule="auto"/>
              <w:jc w:val="left"/>
              <w:textAlignment w:val="center"/>
              <w:rPr>
                <w:rFonts w:hint="eastAsia" w:ascii="宋体" w:hAnsi="宋体" w:eastAsia="宋体" w:cs="宋体"/>
                <w:color w:val="auto"/>
                <w:highlight w:val="none"/>
              </w:rPr>
            </w:pPr>
            <w:r>
              <w:rPr>
                <w:rFonts w:hint="eastAsia" w:ascii="宋体" w:hAnsi="宋体" w:eastAsia="宋体" w:cs="宋体"/>
                <w:color w:val="auto"/>
                <w:highlight w:val="none"/>
              </w:rPr>
              <w:t>7.拾音范围: 0 m~5 m</w:t>
            </w:r>
          </w:p>
          <w:p>
            <w:pPr>
              <w:keepNext w:val="0"/>
              <w:keepLines w:val="0"/>
              <w:widowControl/>
              <w:suppressLineNumbers w:val="0"/>
              <w:spacing w:line="360" w:lineRule="auto"/>
              <w:jc w:val="left"/>
              <w:textAlignment w:val="center"/>
              <w:rPr>
                <w:rFonts w:hint="eastAsia" w:ascii="宋体" w:hAnsi="宋体" w:eastAsia="宋体" w:cs="宋体"/>
                <w:color w:val="auto"/>
                <w:highlight w:val="none"/>
              </w:rPr>
            </w:pPr>
            <w:r>
              <w:rPr>
                <w:rFonts w:hint="eastAsia" w:ascii="宋体" w:hAnsi="宋体" w:eastAsia="宋体" w:cs="宋体"/>
                <w:color w:val="auto"/>
                <w:highlight w:val="none"/>
              </w:rPr>
              <w:t>8.灵敏度: -32 dB</w:t>
            </w:r>
          </w:p>
          <w:p>
            <w:pPr>
              <w:keepNext w:val="0"/>
              <w:keepLines w:val="0"/>
              <w:widowControl/>
              <w:suppressLineNumbers w:val="0"/>
              <w:spacing w:line="360" w:lineRule="auto"/>
              <w:jc w:val="left"/>
              <w:textAlignment w:val="center"/>
              <w:rPr>
                <w:rFonts w:hint="eastAsia" w:ascii="宋体" w:hAnsi="宋体" w:eastAsia="宋体" w:cs="宋体"/>
                <w:color w:val="auto"/>
                <w:highlight w:val="none"/>
              </w:rPr>
            </w:pPr>
            <w:r>
              <w:rPr>
                <w:rFonts w:hint="eastAsia" w:ascii="宋体" w:hAnsi="宋体" w:eastAsia="宋体" w:cs="宋体"/>
                <w:color w:val="auto"/>
                <w:highlight w:val="none"/>
              </w:rPr>
              <w:t>9.输出信号幅度: 2.5 Vpp</w:t>
            </w:r>
          </w:p>
          <w:p>
            <w:pPr>
              <w:keepNext w:val="0"/>
              <w:keepLines w:val="0"/>
              <w:widowControl/>
              <w:suppressLineNumbers w:val="0"/>
              <w:spacing w:line="360" w:lineRule="auto"/>
              <w:jc w:val="left"/>
              <w:textAlignment w:val="center"/>
              <w:rPr>
                <w:rFonts w:hint="eastAsia" w:ascii="宋体" w:hAnsi="宋体" w:eastAsia="宋体" w:cs="宋体"/>
                <w:color w:val="auto"/>
                <w:highlight w:val="none"/>
              </w:rPr>
            </w:pPr>
            <w:r>
              <w:rPr>
                <w:rFonts w:hint="eastAsia" w:ascii="宋体" w:hAnsi="宋体" w:eastAsia="宋体" w:cs="宋体"/>
                <w:color w:val="auto"/>
                <w:highlight w:val="none"/>
              </w:rPr>
              <w:t>10.信噪比: 90 dB</w:t>
            </w:r>
          </w:p>
          <w:p>
            <w:pPr>
              <w:keepNext w:val="0"/>
              <w:keepLines w:val="0"/>
              <w:widowControl/>
              <w:suppressLineNumbers w:val="0"/>
              <w:spacing w:line="360" w:lineRule="auto"/>
              <w:jc w:val="left"/>
              <w:textAlignment w:val="center"/>
              <w:rPr>
                <w:rFonts w:hint="eastAsia" w:ascii="宋体" w:hAnsi="宋体" w:eastAsia="宋体" w:cs="宋体"/>
                <w:color w:val="auto"/>
                <w:highlight w:val="none"/>
              </w:rPr>
            </w:pPr>
            <w:r>
              <w:rPr>
                <w:rFonts w:hint="eastAsia" w:ascii="宋体" w:hAnsi="宋体" w:eastAsia="宋体" w:cs="宋体"/>
                <w:color w:val="auto"/>
                <w:highlight w:val="none"/>
              </w:rPr>
              <w:t>11.频率响应: 20 Hz~20 kHz</w:t>
            </w:r>
          </w:p>
          <w:p>
            <w:pPr>
              <w:keepNext w:val="0"/>
              <w:keepLines w:val="0"/>
              <w:widowControl/>
              <w:suppressLineNumbers w:val="0"/>
              <w:spacing w:line="360" w:lineRule="auto"/>
              <w:jc w:val="left"/>
              <w:textAlignment w:val="center"/>
              <w:rPr>
                <w:rFonts w:hint="eastAsia" w:ascii="宋体" w:hAnsi="宋体" w:eastAsia="宋体" w:cs="宋体"/>
                <w:color w:val="auto"/>
                <w:highlight w:val="none"/>
              </w:rPr>
            </w:pPr>
            <w:r>
              <w:rPr>
                <w:rFonts w:hint="eastAsia" w:ascii="宋体" w:hAnsi="宋体" w:eastAsia="宋体" w:cs="宋体"/>
                <w:color w:val="auto"/>
                <w:highlight w:val="none"/>
              </w:rPr>
              <w:t>12.音频传输距离: ≥500 m</w:t>
            </w:r>
          </w:p>
          <w:p>
            <w:pPr>
              <w:keepNext w:val="0"/>
              <w:keepLines w:val="0"/>
              <w:widowControl/>
              <w:suppressLineNumbers w:val="0"/>
              <w:spacing w:line="360" w:lineRule="auto"/>
              <w:jc w:val="left"/>
              <w:textAlignment w:val="center"/>
              <w:rPr>
                <w:rFonts w:hint="eastAsia" w:ascii="宋体" w:hAnsi="宋体" w:eastAsia="宋体" w:cs="宋体"/>
                <w:color w:val="auto"/>
                <w:highlight w:val="none"/>
              </w:rPr>
            </w:pPr>
            <w:r>
              <w:rPr>
                <w:rFonts w:hint="eastAsia" w:ascii="宋体" w:hAnsi="宋体" w:eastAsia="宋体" w:cs="宋体"/>
                <w:color w:val="auto"/>
                <w:highlight w:val="none"/>
              </w:rPr>
              <w:t>13.接口类型: LINE OUT</w:t>
            </w:r>
          </w:p>
          <w:p>
            <w:pPr>
              <w:keepNext w:val="0"/>
              <w:keepLines w:val="0"/>
              <w:widowControl/>
              <w:suppressLineNumbers w:val="0"/>
              <w:spacing w:line="360" w:lineRule="auto"/>
              <w:jc w:val="left"/>
              <w:textAlignment w:val="center"/>
              <w:rPr>
                <w:rFonts w:hint="eastAsia" w:ascii="宋体" w:hAnsi="宋体" w:eastAsia="宋体" w:cs="宋体"/>
                <w:color w:val="auto"/>
                <w:highlight w:val="none"/>
              </w:rPr>
            </w:pPr>
            <w:r>
              <w:rPr>
                <w:rFonts w:hint="eastAsia" w:ascii="宋体" w:hAnsi="宋体" w:eastAsia="宋体" w:cs="宋体"/>
                <w:color w:val="auto"/>
                <w:highlight w:val="none"/>
              </w:rPr>
              <w:t>14.输出阻抗: 600Ω</w:t>
            </w:r>
          </w:p>
          <w:p>
            <w:pPr>
              <w:keepNext w:val="0"/>
              <w:keepLines w:val="0"/>
              <w:widowControl/>
              <w:suppressLineNumbers w:val="0"/>
              <w:spacing w:line="360" w:lineRule="auto"/>
              <w:jc w:val="left"/>
              <w:textAlignment w:val="center"/>
              <w:rPr>
                <w:rFonts w:hint="eastAsia" w:ascii="宋体" w:hAnsi="宋体" w:eastAsia="宋体" w:cs="宋体"/>
                <w:color w:val="auto"/>
                <w:highlight w:val="none"/>
              </w:rPr>
            </w:pPr>
            <w:r>
              <w:rPr>
                <w:rFonts w:hint="eastAsia" w:ascii="宋体" w:hAnsi="宋体" w:eastAsia="宋体" w:cs="宋体"/>
                <w:color w:val="auto"/>
                <w:highlight w:val="none"/>
              </w:rPr>
              <w:t>15.电源电压: DC12V</w:t>
            </w:r>
          </w:p>
          <w:p>
            <w:pPr>
              <w:keepNext w:val="0"/>
              <w:keepLines w:val="0"/>
              <w:widowControl/>
              <w:suppressLineNumbers w:val="0"/>
              <w:spacing w:line="360" w:lineRule="auto"/>
              <w:jc w:val="left"/>
              <w:textAlignment w:val="center"/>
              <w:rPr>
                <w:rFonts w:hint="eastAsia" w:ascii="宋体" w:hAnsi="宋体" w:eastAsia="宋体" w:cs="宋体"/>
                <w:color w:val="auto"/>
                <w:highlight w:val="none"/>
              </w:rPr>
            </w:pPr>
            <w:r>
              <w:rPr>
                <w:rFonts w:hint="eastAsia" w:ascii="宋体" w:hAnsi="宋体" w:eastAsia="宋体" w:cs="宋体"/>
                <w:color w:val="auto"/>
                <w:highlight w:val="none"/>
              </w:rPr>
              <w:t>16.保护电路: 雷击保护、电源极性反转保护、静电防护</w:t>
            </w:r>
          </w:p>
          <w:p>
            <w:pPr>
              <w:keepNext w:val="0"/>
              <w:keepLines w:val="0"/>
              <w:widowControl/>
              <w:suppressLineNumbers w:val="0"/>
              <w:spacing w:line="360" w:lineRule="auto"/>
              <w:jc w:val="left"/>
              <w:textAlignment w:val="center"/>
              <w:rPr>
                <w:rFonts w:hint="eastAsia" w:ascii="宋体" w:hAnsi="宋体" w:eastAsia="宋体" w:cs="宋体"/>
                <w:color w:val="auto"/>
                <w:highlight w:val="none"/>
              </w:rPr>
            </w:pPr>
            <w:r>
              <w:rPr>
                <w:rFonts w:hint="eastAsia" w:ascii="宋体" w:hAnsi="宋体" w:eastAsia="宋体" w:cs="宋体"/>
                <w:color w:val="auto"/>
                <w:highlight w:val="none"/>
              </w:rPr>
              <w:t>17.工作温度: -10℃～50℃（室内）</w:t>
            </w:r>
          </w:p>
          <w:p>
            <w:pPr>
              <w:keepNext w:val="0"/>
              <w:keepLines w:val="0"/>
              <w:widowControl/>
              <w:suppressLineNumbers w:val="0"/>
              <w:spacing w:line="360" w:lineRule="auto"/>
              <w:jc w:val="left"/>
              <w:textAlignment w:val="center"/>
              <w:rPr>
                <w:rFonts w:hint="eastAsia" w:ascii="宋体" w:hAnsi="宋体" w:eastAsia="宋体" w:cs="宋体"/>
                <w:color w:val="auto"/>
                <w:highlight w:val="none"/>
              </w:rPr>
            </w:pPr>
            <w:r>
              <w:rPr>
                <w:rFonts w:hint="eastAsia" w:ascii="宋体" w:hAnsi="宋体" w:eastAsia="宋体" w:cs="宋体"/>
                <w:color w:val="auto"/>
                <w:highlight w:val="none"/>
              </w:rPr>
              <w:t>18.安装方式: 吸顶装，壁装，桌面装</w:t>
            </w:r>
          </w:p>
          <w:p>
            <w:pPr>
              <w:keepNext w:val="0"/>
              <w:keepLines w:val="0"/>
              <w:widowControl/>
              <w:suppressLineNumbers w:val="0"/>
              <w:spacing w:line="360" w:lineRule="auto"/>
              <w:jc w:val="left"/>
              <w:textAlignment w:val="center"/>
              <w:rPr>
                <w:rFonts w:hint="eastAsia" w:ascii="宋体" w:hAnsi="宋体" w:eastAsia="宋体" w:cs="宋体"/>
                <w:color w:val="auto"/>
                <w:highlight w:val="none"/>
              </w:rPr>
            </w:pPr>
            <w:r>
              <w:rPr>
                <w:rFonts w:hint="eastAsia" w:ascii="宋体" w:hAnsi="宋体" w:eastAsia="宋体" w:cs="宋体"/>
                <w:color w:val="auto"/>
                <w:highlight w:val="none"/>
              </w:rPr>
              <w:t>19.材质: 塑料</w:t>
            </w:r>
          </w:p>
          <w:p>
            <w:pPr>
              <w:keepNext w:val="0"/>
              <w:keepLines w:val="0"/>
              <w:widowControl/>
              <w:suppressLineNumbers w:val="0"/>
              <w:spacing w:line="360" w:lineRule="auto"/>
              <w:jc w:val="left"/>
              <w:textAlignment w:val="center"/>
              <w:rPr>
                <w:rFonts w:hint="eastAsia" w:ascii="宋体" w:hAnsi="宋体" w:eastAsia="宋体" w:cs="宋体"/>
                <w:color w:val="auto"/>
                <w:highlight w:val="none"/>
              </w:rPr>
            </w:pPr>
            <w:r>
              <w:rPr>
                <w:rFonts w:hint="eastAsia" w:ascii="宋体" w:hAnsi="宋体" w:eastAsia="宋体" w:cs="宋体"/>
                <w:color w:val="auto"/>
                <w:highlight w:val="none"/>
              </w:rPr>
              <w:t>20.降噪调节: 数字降噪，自适应调节</w:t>
            </w:r>
          </w:p>
          <w:p>
            <w:pPr>
              <w:keepNext w:val="0"/>
              <w:keepLines w:val="0"/>
              <w:widowControl/>
              <w:suppressLineNumbers w:val="0"/>
              <w:spacing w:line="360" w:lineRule="auto"/>
              <w:jc w:val="left"/>
              <w:textAlignment w:val="center"/>
              <w:rPr>
                <w:rFonts w:hint="eastAsia" w:ascii="宋体" w:hAnsi="宋体" w:eastAsia="宋体" w:cs="宋体"/>
                <w:color w:val="auto"/>
                <w:highlight w:val="none"/>
              </w:rPr>
            </w:pPr>
            <w:r>
              <w:rPr>
                <w:rFonts w:hint="eastAsia" w:ascii="宋体" w:hAnsi="宋体" w:eastAsia="宋体" w:cs="宋体"/>
                <w:color w:val="auto"/>
                <w:highlight w:val="none"/>
              </w:rPr>
              <w:t>21.音量调节: 支持软件调节</w:t>
            </w:r>
          </w:p>
          <w:p>
            <w:pPr>
              <w:keepNext w:val="0"/>
              <w:keepLines w:val="0"/>
              <w:widowControl/>
              <w:suppressLineNumbers w:val="0"/>
              <w:spacing w:line="360" w:lineRule="auto"/>
              <w:jc w:val="left"/>
              <w:textAlignment w:val="center"/>
              <w:rPr>
                <w:rFonts w:hint="eastAsia" w:ascii="宋体" w:hAnsi="宋体" w:eastAsia="宋体" w:cs="宋体"/>
                <w:color w:val="auto"/>
                <w:highlight w:val="none"/>
              </w:rPr>
            </w:pPr>
            <w:r>
              <w:rPr>
                <w:rFonts w:hint="eastAsia" w:ascii="宋体" w:hAnsi="宋体" w:eastAsia="宋体" w:cs="宋体"/>
                <w:color w:val="auto"/>
                <w:highlight w:val="none"/>
              </w:rPr>
              <w:t>22.指向特性: 全指向</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highlight w:val="none"/>
              </w:rPr>
              <w:t>23.采样率: 8khz、16khz、32khz可选，默认16khz</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w:t>
            </w:r>
          </w:p>
        </w:tc>
        <w:tc>
          <w:tcPr>
            <w:tcW w:w="76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600万像素枪式摄像机</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2台</w:t>
            </w:r>
          </w:p>
        </w:tc>
        <w:tc>
          <w:tcPr>
            <w:tcW w:w="63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1.像素≥600万，靶面尺寸≥1/2.4"，最大图像尺寸≥3200×1800。</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2.支持最低照度彩色≤0.005 Lux，支持红外照射距离≥50 m。</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3.支持背光补偿，强光抑制，3D数字降噪，宽动态≥120 dB。</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4.视频压缩标准支持H.265/H.264，支持同时预览路数≥6路。</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5.内置≥1个麦克风，高清拾音。</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6.支持≥1路音频输入，≥1路音频输出，≥1路报警输入，≥1路报警输出。</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7.支持RESET按键，支持客户端或浏览器恢复。</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8.支持场景变更、虚焦、区域入侵、越界、进入区域、离开区域、物品遗留、物品拿取、徘徊、停车、人员聚集、快速移动、音频异常、音频陡升、音频陡降侦测。</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9.支持RESET按键，支持客户端或浏览器恢复。</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10.防护等级≥IP66，工作温度：-30 ℃～60 ℃。</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11.供电方式支持DC12V±25%，支持防反接保护，支持POE供电。</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w:t>
            </w:r>
          </w:p>
        </w:tc>
        <w:tc>
          <w:tcPr>
            <w:tcW w:w="76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400万4寸球机</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1台</w:t>
            </w:r>
          </w:p>
        </w:tc>
        <w:tc>
          <w:tcPr>
            <w:tcW w:w="63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1.4寸全景枪球</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2.支持双路区域入侵侦测、越界侦测、进入区域侦测和离开区域侦测</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3.支持点击全景画面联动特写镜头，手动跟踪运动目标</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4.支持编码套餐功能：支持画质优先、存储优先、均衡模式、自定义四种编码模式（默认画质优先），存储优先模式采用H265编码，有效降低码流大小</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5.支持联动跟踪功能，全景路检测到移动目标（人、车）后，球机路可跟踪移动目标（人、车）</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6.支持编码画中画功能：支持全景路+细节路画面画中画形式叠加，可进行预览并按照一路通道输出码流</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7.内置加热玻璃，有效除雾</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8.细节支持23倍光学变倍，16倍数字变倍</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9.支持高效补光阵列，细节红外照射距离最远可达100 m、细节白光照射距离最远可达30 m，全景红外照射距离最远可达30 m、白光照射距离最远可达30 m</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10.支持IP66，符合GB/T17626.2/3/4/5/6四级标准</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11.支持一进一出报警，一进一出音频，最大支持512 GB MicroSD卡存储，内置麦克风</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6</w:t>
            </w:r>
          </w:p>
        </w:tc>
        <w:tc>
          <w:tcPr>
            <w:tcW w:w="76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硬盘录像机</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2台</w:t>
            </w:r>
          </w:p>
        </w:tc>
        <w:tc>
          <w:tcPr>
            <w:tcW w:w="63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1.3U机架式16盘位嵌入式网络硬盘录像机，采用存算一体架构，内置AI处理器，搭载ATX电源</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2.存储接口：16个SATA接口，支持硬盘热插拔，可满配16TB硬盘</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3.视频接口：2×HDMI，2×VGA</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4.网络接口：2×RJ45 10/100/1000Mbps自适应以太网口</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5.报警接口：16路报警输入，9路报警输出（其中第9路支持CTRL 12V）</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6.反向供电：1路DC12V 1A</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7.串行接口：1路RS-232接口，1路全双工RS-485接口</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USB接口：2×USB 2.0，2×USB 3.0</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8.扩展接口：1×eSATA</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9.输入带宽：384Mbps</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10.输出带宽：256Mbps</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11.接入能力：64路H.264、H.265格式高清码流接入</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12.解码能力：最大支持32×1080P</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13.显示能力：最大支持8K+1080P、2×4K异源输出</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14.RAID模式：RAID0、RAID1、RAID5、RAID6、RAID10，支持全局热备盘</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7</w:t>
            </w:r>
          </w:p>
        </w:tc>
        <w:tc>
          <w:tcPr>
            <w:tcW w:w="76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16T硬盘    企业级硬盘</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30块</w:t>
            </w:r>
          </w:p>
        </w:tc>
        <w:tc>
          <w:tcPr>
            <w:tcW w:w="63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1.硬盘规格：3.5 英寸机械硬盘（3.5HDD）</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2.存储容量：16TB</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3.转速：7200r/min</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4.缓存容量：512MB</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5.接口类型及速率：SATA 6Gb/s</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8</w:t>
            </w:r>
          </w:p>
        </w:tc>
        <w:tc>
          <w:tcPr>
            <w:tcW w:w="76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PoE交换机</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6台</w:t>
            </w:r>
          </w:p>
        </w:tc>
        <w:tc>
          <w:tcPr>
            <w:tcW w:w="63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1.类型：非网管型机架式交换机</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2.端口配置：16 个百兆电口，2 个千兆上联光电复用口</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3.PoE 供电能力：16 个端口支持 PoE/PoE + 供电，最大 PoE 总功率 120W</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4.安装方式：机架式</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9</w:t>
            </w:r>
          </w:p>
        </w:tc>
        <w:tc>
          <w:tcPr>
            <w:tcW w:w="76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核心交换机</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1台</w:t>
            </w:r>
          </w:p>
        </w:tc>
        <w:tc>
          <w:tcPr>
            <w:tcW w:w="63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1.类型：二层网管交换机</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2.性能规格：交换容量 336Gbps，包转发率 42Mpps</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3.端口配置：24 个 10/100/1000Mbps 自适应电口，4 个固化 SFP 千兆光口</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4.功能特性：支持 VLAN、ACL、端口镜像、端口聚合功能</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5.管理方式：支持睿易 APP 和 MACC 云平台统一管理</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10</w:t>
            </w:r>
          </w:p>
        </w:tc>
        <w:tc>
          <w:tcPr>
            <w:tcW w:w="76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光纤收发器</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5对</w:t>
            </w:r>
          </w:p>
        </w:tc>
        <w:tc>
          <w:tcPr>
            <w:tcW w:w="63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1.端口数量：不低于 1 个 10/100/1000Mbps Base-TX</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电口，1 个 1000Mbps Base-FX 光口</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2.光接口类型：SC</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3.传输距离：不低于 3km</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4.光纤类型：单模单纤</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5.波长：1310nm 发送，1550nm 接收</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6.电源：标配 5VDC 电源适配器；</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11</w:t>
            </w:r>
          </w:p>
        </w:tc>
        <w:tc>
          <w:tcPr>
            <w:tcW w:w="76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墙挂网络机柜</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2个</w:t>
            </w:r>
          </w:p>
        </w:tc>
        <w:tc>
          <w:tcPr>
            <w:tcW w:w="63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38U机柜</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12</w:t>
            </w:r>
          </w:p>
        </w:tc>
        <w:tc>
          <w:tcPr>
            <w:tcW w:w="76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超五类网线</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13箱</w:t>
            </w:r>
          </w:p>
        </w:tc>
        <w:tc>
          <w:tcPr>
            <w:tcW w:w="63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1.产品符合： GB/T 50312 、YD/T 1019标准；</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2.线对：4 对</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3.规格：线规 23AWG，≥305 米/箱；</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4.导体直径：0.57mm 符合 TR 型软圆铜线的要求；</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5.绝缘材质：高密度聚乙烯（HDPE）；</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6.带宽及应用：支持 250MHz，满足 IEEE 802.3 1000BASE-T 应用；</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7.带有十字骨架，分隔开对绞线，减少线对间近端串扰；</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8.工作温度-20～+60℃；</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13</w:t>
            </w:r>
          </w:p>
        </w:tc>
        <w:tc>
          <w:tcPr>
            <w:tcW w:w="76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8芯光纤</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300米</w:t>
            </w:r>
          </w:p>
        </w:tc>
        <w:tc>
          <w:tcPr>
            <w:tcW w:w="63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1.纤芯类型：OS2 芯数：8；单模；结构：GYXTW。</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2.符合 GB/T 13993、GB/T15972 标准 。</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3.松套管中和缆芯所有缝隙全填充防潮油膏和化合物，能防潮和纵向不渗水。</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4.加强构件为两根平行的高杨氏模量的磷化圆钢丝，松套管外用双面镀铬涂塑钢带纵包。</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5.光缆具有外径小、重量轻，弯曲性能好。</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6.敷设方式：管道、架空可用。</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7.敷设最小弯曲半径：动态弯曲半径≥20 倍光缆外径。</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8.静态弯曲半径≥10 倍光缆外径。</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9.敷设拉力：敷设时短期拉力≤1500N。</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10.使用拉力：使用时长期拉力≤600N。</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11.敷设压扁力：敷设时短期压扁力≤1000N。</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12.使用压扁力：使用时长期压扁力≤300N。</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13.施工温度：0～40℃。</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14.使用温度：-10～70℃。</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14</w:t>
            </w:r>
          </w:p>
        </w:tc>
        <w:tc>
          <w:tcPr>
            <w:tcW w:w="76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安装辅材</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1项</w:t>
            </w:r>
          </w:p>
        </w:tc>
        <w:tc>
          <w:tcPr>
            <w:tcW w:w="63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left"/>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包括线槽，线管，电工胶布，接头等，满足项目安装实施所需。</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1.管径：20mm；</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2.材质与耐候性能：采用聚氯乙烯(PVC)材料制成的，具有良好的耐腐蚀性能和耐候性能。PVC 材料具有耐酸碱、耐油脂、耐磨损等优良特性，可以保证穿线管在不同环境条件下的稳定性和使用寿命。</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3.阻燃等级与电气性能：采用阻燃级别为 V-0 的材料制成，具有较好的阻燃性能，能够有效阻止火焰的蔓延。</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4.使用温度与环境适应性：适用温度为-15℃至 60℃。</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15</w:t>
            </w:r>
          </w:p>
        </w:tc>
        <w:tc>
          <w:tcPr>
            <w:tcW w:w="76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实现视频预览软件</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1套</w:t>
            </w:r>
          </w:p>
        </w:tc>
        <w:tc>
          <w:tcPr>
            <w:tcW w:w="63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视频监控应用提供视频管理服务，支持编码设备通过海康设备网络SDK协议、海康Ehome协议、海康ISUP5.0协议、GB28181协议、ONVIF协议、大华设备网络SDK协议、萤石协议接入平台，实现视频预览、录像回放、视频上墙、视频事件监控服务能力，并且在网络带宽不足、有流量限制的网络环境下可以通过以图片替代视频的模式提供监控服务。</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一、视频预览</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▲1.支持视频实时预览能力，实现预览窗口布局切换、预览画面自适应及全屏切换；</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2.支持云台控制、实时抓图、紧急录像、即时回放、主子码流切换、声音开启\关闭、辅屏预览（1个辅屏）、对讲、广播、报警输出控制的能力；</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3.支持智能规则展示的能力（如：针对热成像设备温度信息实时展示）；</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4.支持资源视图管理能力，以视图形式管理监控点、视频预览轮巡等自定义资源组，其中视图类型包含公有视图和私有视图；</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5.支持全景视频监控预览能力，支持球型鹰眼、全景摄像机的全景模式；</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二、录像回放</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1.支持录像计划管理能力，支持实时录像计划、录像回传计划；</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2.支持录像回放能力，支持多画面同步回放和异步回放切换、超高倍速回放、分段回放、录像下载、录像剪辑、录像标签、录像锁定、录像抓图；</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三、图片监控</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1.支持视频预览与图片实时监控模式切换能力，实现图片监控模式；</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2.支持图片查询回放能力，实现按监控点、时间段展示抓拍图片；</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3.支持图片自动播放能力，支持图片自动播放速度可设置；</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4.支持图片下载能力；</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四、视频上墙</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1.支持电视墙场景管理能力，实现场景窗口配置、场景切换计划配置以及轮巡计划的管理；</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2.支持上墙控制能力，实现场景一键上墙、场景切换、电视墙切换、监控点上下墙、轮巡控制操作；</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五、视频事件</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1.支持视频事件布撤防能力，可按计划模版进行布防，事件类型包括移动侦测、视频丢失、视频遮挡、报警输入、报警输出；</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软件和信息技术服务业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16</w:t>
            </w:r>
          </w:p>
        </w:tc>
        <w:tc>
          <w:tcPr>
            <w:tcW w:w="76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固定网关授权</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1套</w:t>
            </w:r>
          </w:p>
        </w:tc>
        <w:tc>
          <w:tcPr>
            <w:tcW w:w="63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一、▲基于GB/T 28181联网标准申请固定IP帐号实现视频监控平台间的级联、互联功能，支持多平台多层次级联，实现平台之间的跨域互联互通与资源共享。含200路视频国标网关授权。</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支持协议版本：</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1.安全防范视频监控联网系统信息传输、交换、控制技术要求。</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2.GB/T 28181 修改补充文件。</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3.公共安全视频监控联网系统信息传输、交换、控制技术要求。</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二、支持控制、传输流程和协议接口：</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1.注册和注销。</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2.实时视音频点播。</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3.设备控制。</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4.网络设备信息查询。</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5.设备视音频文件检索。</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6.历史视音频的回放和下载。</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7.录像回放控制。</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8.订阅和通知。</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9.报警事件通知和分发。</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软件和信息技术服务业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17</w:t>
            </w:r>
          </w:p>
        </w:tc>
        <w:tc>
          <w:tcPr>
            <w:tcW w:w="76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系统集成</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1项</w:t>
            </w:r>
          </w:p>
        </w:tc>
        <w:tc>
          <w:tcPr>
            <w:tcW w:w="63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采购摄像头须实现与原有监控平台“海康威视管控平台”的数据交互及指令响应，兼容原有平台的通信协议，确保设备接入后能正常完成视频流上传、设备状态上报、远程控制等基础功能。同时，要实现与原有平台的用户权限管理体系，可通过平台统一配置设备参数、调取录像文件等。避免采购后遇到兼容性问题导致无法实现上述功能，采购人有权要求供应商免费更换符合要求的产品或解除合同，由此产生的一切损失由供应商承担。                                                                      ▲2.原有监控设备维修维护，对原有监控摄像点的移位有12个，对原有监控点视频不显示有4个，供应商必须对原有监控点位故障排查（线路故障、电缆故障、电源故障）免费排除故障恢复正常。</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软件和信息技术服务业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18</w:t>
            </w:r>
          </w:p>
        </w:tc>
        <w:tc>
          <w:tcPr>
            <w:tcW w:w="76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高拍仪</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10台</w:t>
            </w:r>
          </w:p>
        </w:tc>
        <w:tc>
          <w:tcPr>
            <w:tcW w:w="63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一、硬件要求</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1.传感器类型：高清CMOS</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2.像素：</w:t>
            </w:r>
            <w:bookmarkStart w:id="68" w:name="OLE_LINK13"/>
            <w:r>
              <w:rPr>
                <w:rStyle w:val="111"/>
                <w:rFonts w:hint="eastAsia"/>
                <w:color w:val="auto"/>
                <w:sz w:val="21"/>
                <w:szCs w:val="21"/>
                <w:highlight w:val="none"/>
                <w:lang w:val="en-US" w:eastAsia="zh-CN" w:bidi="ar"/>
              </w:rPr>
              <w:t>≥</w:t>
            </w:r>
            <w:bookmarkEnd w:id="68"/>
            <w:r>
              <w:rPr>
                <w:rStyle w:val="111"/>
                <w:color w:val="auto"/>
                <w:sz w:val="21"/>
                <w:szCs w:val="21"/>
                <w:highlight w:val="none"/>
                <w:lang w:val="en-US" w:eastAsia="zh-CN" w:bidi="ar"/>
              </w:rPr>
              <w:t>2000万像素</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3.镜头结构：3G2P+IR</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4.感光面积：1/2.3”，感光面积大，成像效果清晰，图像质量好，噪点少</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5.焦距：4.55mm</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6.后焦距：&gt;3.4mm</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7.滤光片：650±10nm，可以滤掉干扰图像质量的红外光线</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8.</w:t>
            </w:r>
            <w:r>
              <w:rPr>
                <w:rStyle w:val="112"/>
                <w:color w:val="auto"/>
                <w:sz w:val="21"/>
                <w:szCs w:val="21"/>
                <w:highlight w:val="none"/>
                <w:lang w:val="en-US" w:eastAsia="zh-CN" w:bidi="ar"/>
              </w:rPr>
              <w:t>视角：82度</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9.畸变：&lt;0.5%</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10.扫描介质：文件、病例、证件、档案、表单、票据等</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▲11.扫描幅面：</w:t>
            </w:r>
            <w:r>
              <w:rPr>
                <w:rStyle w:val="112"/>
                <w:color w:val="auto"/>
                <w:sz w:val="21"/>
                <w:szCs w:val="21"/>
                <w:highlight w:val="none"/>
                <w:lang w:val="en-US" w:eastAsia="zh-CN" w:bidi="ar"/>
              </w:rPr>
              <w:t>单页文件最大支持A3</w:t>
            </w:r>
            <w:r>
              <w:rPr>
                <w:rStyle w:val="111"/>
                <w:color w:val="auto"/>
                <w:sz w:val="21"/>
                <w:szCs w:val="21"/>
                <w:highlight w:val="none"/>
                <w:lang w:val="en-US" w:eastAsia="zh-CN" w:bidi="ar"/>
              </w:rPr>
              <w:t>，已装订书籍最大A4</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12.支持空白页去除</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13.采集速度：单页文件≈1.5秒/页;书籍≈1.5秒/双页</w:t>
            </w:r>
          </w:p>
          <w:p>
            <w:pPr>
              <w:keepNext w:val="0"/>
              <w:keepLines w:val="0"/>
              <w:widowControl/>
              <w:suppressLineNumbers w:val="0"/>
              <w:spacing w:line="360" w:lineRule="auto"/>
              <w:jc w:val="left"/>
              <w:textAlignment w:val="center"/>
              <w:rPr>
                <w:rStyle w:val="112"/>
                <w:color w:val="auto"/>
                <w:sz w:val="21"/>
                <w:szCs w:val="21"/>
                <w:highlight w:val="none"/>
                <w:lang w:val="en-US" w:eastAsia="zh-CN" w:bidi="ar"/>
              </w:rPr>
            </w:pPr>
            <w:r>
              <w:rPr>
                <w:rStyle w:val="111"/>
                <w:color w:val="auto"/>
                <w:sz w:val="21"/>
                <w:szCs w:val="21"/>
                <w:highlight w:val="none"/>
                <w:lang w:val="en-US" w:eastAsia="zh-CN" w:bidi="ar"/>
              </w:rPr>
              <w:t>14.</w:t>
            </w:r>
            <w:r>
              <w:rPr>
                <w:rStyle w:val="112"/>
                <w:color w:val="auto"/>
                <w:sz w:val="21"/>
                <w:szCs w:val="21"/>
                <w:highlight w:val="none"/>
                <w:lang w:val="en-US" w:eastAsia="zh-CN" w:bidi="ar"/>
              </w:rPr>
              <w:t>分辨率：</w:t>
            </w:r>
            <w:r>
              <w:rPr>
                <w:rStyle w:val="112"/>
                <w:rFonts w:hint="eastAsia"/>
                <w:color w:val="auto"/>
                <w:sz w:val="21"/>
                <w:szCs w:val="21"/>
                <w:highlight w:val="none"/>
                <w:lang w:val="en-US" w:eastAsia="zh-CN" w:bidi="ar"/>
              </w:rPr>
              <w:t>≥</w:t>
            </w:r>
            <w:r>
              <w:rPr>
                <w:rStyle w:val="112"/>
                <w:color w:val="auto"/>
                <w:sz w:val="21"/>
                <w:szCs w:val="21"/>
                <w:highlight w:val="none"/>
                <w:lang w:val="en-US" w:eastAsia="zh-CN" w:bidi="ar"/>
              </w:rPr>
              <w:t>4896*3672</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15.图片格式：支持JPG, TIFF, PDF</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16.图像色彩：24位</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17.输出格式：JPG、PDF、WORD、Excel、双层PDF、TIFF</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18.视频格式：支持MJPG</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19.视频参数</w:t>
            </w:r>
            <w:r>
              <w:rPr>
                <w:rStyle w:val="112"/>
                <w:color w:val="auto"/>
                <w:sz w:val="21"/>
                <w:szCs w:val="21"/>
                <w:highlight w:val="none"/>
                <w:lang w:val="en-US" w:eastAsia="zh-CN" w:bidi="ar"/>
              </w:rPr>
              <w:t>：HDMI模式：1080i@30Fps；</w:t>
            </w:r>
            <w:r>
              <w:rPr>
                <w:rStyle w:val="111"/>
                <w:color w:val="auto"/>
                <w:sz w:val="21"/>
                <w:szCs w:val="21"/>
                <w:highlight w:val="none"/>
                <w:lang w:val="en-US" w:eastAsia="zh-CN" w:bidi="ar"/>
              </w:rPr>
              <w:t xml:space="preserve">USB-PC模式：1536*1152@8Fps </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20.图像控制：自动亮度调整、饱和度调整、曝光值调整、锐度调整、色彩调整、增益控制等，也可以手动调整。</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 xml:space="preserve">21.补光方式：顶部10个LED灯 </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 xml:space="preserve">22.光源：自然光、LED灯补光机械开关，2个档位，根据外部光源环境不同，可以选择亮度； </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▲23.扫描方式：</w:t>
            </w:r>
            <w:r>
              <w:rPr>
                <w:rStyle w:val="112"/>
                <w:color w:val="auto"/>
                <w:sz w:val="21"/>
                <w:szCs w:val="21"/>
                <w:highlight w:val="none"/>
                <w:lang w:val="en-US" w:eastAsia="zh-CN" w:bidi="ar"/>
              </w:rPr>
              <w:t>支持检测翻页自动扫描</w:t>
            </w:r>
            <w:r>
              <w:rPr>
                <w:rStyle w:val="111"/>
                <w:color w:val="auto"/>
                <w:sz w:val="21"/>
                <w:szCs w:val="21"/>
                <w:highlight w:val="none"/>
                <w:lang w:val="en-US" w:eastAsia="zh-CN" w:bidi="ar"/>
              </w:rPr>
              <w:t>、设备机身按键、PC软件触发，以及外接手按键、脚踏键五种方式。</w:t>
            </w:r>
            <w:r>
              <w:rPr>
                <w:rFonts w:hint="eastAsia" w:ascii="宋体" w:hAnsi="宋体" w:eastAsia="宋体" w:cs="宋体"/>
                <w:color w:val="auto"/>
                <w:szCs w:val="21"/>
                <w:highlight w:val="none"/>
                <w:lang w:val="en-US" w:eastAsia="zh-CN"/>
              </w:rPr>
              <w:t>响应文件提供</w:t>
            </w:r>
            <w:r>
              <w:rPr>
                <w:rFonts w:hint="eastAsia"/>
                <w:color w:val="auto"/>
                <w:highlight w:val="none"/>
              </w:rPr>
              <w:t>产品说明书或产品彩页或官网截图作为佐证材料</w:t>
            </w:r>
            <w:r>
              <w:rPr>
                <w:rFonts w:hint="eastAsia"/>
                <w:color w:val="auto"/>
                <w:highlight w:val="none"/>
                <w:lang w:val="en-US" w:eastAsia="zh-CN"/>
              </w:rPr>
              <w:t>并加盖供应商公章。</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24.USB扩展口：支持脚踏按键板，可以在双手压平书籍的时候，用脚踏板来操作扫描；支持手动按键板，可以在一边翻页操作的时候，一边用手动按键板进行扫描，不需要用鼠标操作软件拍照，提高扫描效率。</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25.数据接口：USB2.0 High-Speed</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26.处理器：32位 MIPS CPU，独立CPU，对高分辨率的图像处理和传输更快</w:t>
            </w:r>
          </w:p>
          <w:p>
            <w:pPr>
              <w:keepNext w:val="0"/>
              <w:keepLines w:val="0"/>
              <w:widowControl/>
              <w:suppressLineNumbers w:val="0"/>
              <w:spacing w:line="360" w:lineRule="auto"/>
              <w:jc w:val="left"/>
              <w:textAlignment w:val="center"/>
              <w:rPr>
                <w:rStyle w:val="112"/>
                <w:color w:val="auto"/>
                <w:sz w:val="21"/>
                <w:szCs w:val="21"/>
                <w:highlight w:val="none"/>
                <w:lang w:val="en-US" w:eastAsia="zh-CN" w:bidi="ar"/>
              </w:rPr>
            </w:pPr>
            <w:r>
              <w:rPr>
                <w:rStyle w:val="111"/>
                <w:color w:val="auto"/>
                <w:sz w:val="21"/>
                <w:szCs w:val="21"/>
                <w:highlight w:val="none"/>
                <w:lang w:val="en-US" w:eastAsia="zh-CN" w:bidi="ar"/>
              </w:rPr>
              <w:t>27.激光辅助：</w:t>
            </w:r>
            <w:r>
              <w:rPr>
                <w:rStyle w:val="112"/>
                <w:color w:val="auto"/>
                <w:sz w:val="21"/>
                <w:szCs w:val="21"/>
                <w:highlight w:val="none"/>
                <w:lang w:val="en-US" w:eastAsia="zh-CN" w:bidi="ar"/>
              </w:rPr>
              <w:t>3束激光</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28.DDR：1Gbit</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29.TF存储：4Gbyte</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30.TFT屏：2.4英寸、比例4：3、分辨率320*240（仅预览）</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31.麦克风：支持MIC录入</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32.电源类型：输入100-240V，50/60Hz；输出9V/2A，支持电压范围广，输出电流大，功率大，可以保证设备运行稳定，不受电压不稳的问题干扰。</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33.WIFI功能：支持2.4G频段</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34.软质文稿台：非固定硬质，摆放空间适应性更强</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二、功能要求</w:t>
            </w:r>
          </w:p>
          <w:p>
            <w:pPr>
              <w:keepNext w:val="0"/>
              <w:keepLines w:val="0"/>
              <w:widowControl/>
              <w:suppressLineNumbers w:val="0"/>
              <w:spacing w:line="360" w:lineRule="auto"/>
              <w:jc w:val="left"/>
              <w:textAlignment w:val="center"/>
              <w:rPr>
                <w:rStyle w:val="111"/>
                <w:rFonts w:hint="default" w:eastAsiaTheme="minorEastAsia"/>
                <w:color w:val="auto"/>
                <w:sz w:val="21"/>
                <w:szCs w:val="21"/>
                <w:highlight w:val="none"/>
                <w:lang w:val="en-US" w:eastAsia="zh-CN" w:bidi="ar"/>
              </w:rPr>
            </w:pPr>
            <w:r>
              <w:rPr>
                <w:rStyle w:val="111"/>
                <w:color w:val="auto"/>
                <w:sz w:val="21"/>
                <w:szCs w:val="21"/>
                <w:highlight w:val="none"/>
                <w:lang w:val="en-US" w:eastAsia="zh-CN" w:bidi="ar"/>
              </w:rPr>
              <w:t>▲1.曲面展平：</w:t>
            </w:r>
            <w:r>
              <w:rPr>
                <w:rStyle w:val="112"/>
                <w:color w:val="auto"/>
                <w:sz w:val="21"/>
                <w:szCs w:val="21"/>
                <w:highlight w:val="none"/>
                <w:lang w:val="en-US" w:eastAsia="zh-CN" w:bidi="ar"/>
              </w:rPr>
              <w:t>激光辅助立体展平</w:t>
            </w:r>
            <w:r>
              <w:rPr>
                <w:rStyle w:val="111"/>
                <w:color w:val="auto"/>
                <w:sz w:val="21"/>
                <w:szCs w:val="21"/>
                <w:highlight w:val="none"/>
                <w:lang w:val="en-US" w:eastAsia="zh-CN" w:bidi="ar"/>
              </w:rPr>
              <w:t>。</w:t>
            </w:r>
            <w:r>
              <w:rPr>
                <w:rFonts w:hint="eastAsia" w:ascii="宋体" w:hAnsi="宋体" w:eastAsia="宋体" w:cs="宋体"/>
                <w:color w:val="auto"/>
                <w:szCs w:val="21"/>
                <w:highlight w:val="none"/>
                <w:lang w:val="en-US" w:eastAsia="zh-CN"/>
              </w:rPr>
              <w:t>响应文件提供</w:t>
            </w:r>
            <w:r>
              <w:rPr>
                <w:rFonts w:hint="eastAsia"/>
                <w:color w:val="auto"/>
                <w:highlight w:val="none"/>
              </w:rPr>
              <w:t>产品说明书或产品彩页或官网截图作为佐证材料</w:t>
            </w:r>
            <w:r>
              <w:rPr>
                <w:rFonts w:hint="eastAsia"/>
                <w:color w:val="auto"/>
                <w:highlight w:val="none"/>
                <w:lang w:val="en-US" w:eastAsia="zh-CN"/>
              </w:rPr>
              <w:t>并加盖供应商公章。</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2.智能裁切：支持</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3.智能纠偏：支持</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4.专业裁剪：支持</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5.底色净化：支持</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6.清除按压手指：支持(佩戴专用指套)</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7.色彩模式优化：彩色模式、证件底纹、白纸印章、灰度模式、黑白等五种模式选择，扫描后五种色彩模式可自由切换。</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8.一键扫描：软件内置各种成熟方案，无需繁琐设置，仅需翻页或点击一次按键就可实现各种效果。</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9.自动扫描：支持检测翻页自动扫描功能，完全释放手脚，只需要翻页，软件就会自动扫描，并且传输到PC端，自动处理，实现全自动扫描处理</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10.OCR文字识别：支持</w:t>
            </w:r>
          </w:p>
          <w:p>
            <w:pPr>
              <w:keepNext w:val="0"/>
              <w:keepLines w:val="0"/>
              <w:widowControl/>
              <w:suppressLineNumbers w:val="0"/>
              <w:spacing w:line="360" w:lineRule="auto"/>
              <w:jc w:val="left"/>
              <w:textAlignment w:val="center"/>
              <w:rPr>
                <w:rStyle w:val="112"/>
                <w:color w:val="auto"/>
                <w:sz w:val="21"/>
                <w:szCs w:val="21"/>
                <w:highlight w:val="none"/>
                <w:lang w:val="en-US" w:eastAsia="zh-CN" w:bidi="ar"/>
              </w:rPr>
            </w:pPr>
            <w:r>
              <w:rPr>
                <w:rStyle w:val="111"/>
                <w:color w:val="auto"/>
                <w:sz w:val="21"/>
                <w:szCs w:val="21"/>
                <w:highlight w:val="none"/>
                <w:lang w:val="en-US" w:eastAsia="zh-CN" w:bidi="ar"/>
              </w:rPr>
              <w:t>11.ORC语言种类：</w:t>
            </w:r>
            <w:r>
              <w:rPr>
                <w:rStyle w:val="112"/>
                <w:color w:val="auto"/>
                <w:sz w:val="21"/>
                <w:szCs w:val="21"/>
                <w:highlight w:val="none"/>
                <w:lang w:val="en-US" w:eastAsia="zh-CN" w:bidi="ar"/>
              </w:rPr>
              <w:t>支持187种语言</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12.视频展台：支持HDMI直连、USB-PC双视屏展台模式</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13.图片去噪：支持</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14.图片防篡改：支持</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15.图片后期处理：支持扫描后调节对比度，锐度，纯净度调节</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16.证件翻拍：支持</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17.存储路径：支持用户自定义存储路径，同时可以选择根据不同的扫描方案分类存储。</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18.自适应宽高：支持不同分辨率电脑显示图片</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19.批量操作：支持扫描后的图片批量操作处理</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三、软件系统要求</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1.系统支持：设备适用于WINDOWS XP/WIN 7/WIN 8/WIN 10系统</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2.系统对接：支持TWAIN驱动，OCX等接口软件和技术支持</w:t>
            </w:r>
          </w:p>
          <w:p>
            <w:pPr>
              <w:keepNext w:val="0"/>
              <w:keepLines w:val="0"/>
              <w:widowControl/>
              <w:suppressLineNumbers w:val="0"/>
              <w:spacing w:line="360" w:lineRule="auto"/>
              <w:jc w:val="left"/>
              <w:textAlignment w:val="center"/>
              <w:rPr>
                <w:rStyle w:val="111"/>
                <w:color w:val="auto"/>
                <w:sz w:val="21"/>
                <w:szCs w:val="21"/>
                <w:highlight w:val="none"/>
                <w:lang w:val="en-US" w:eastAsia="zh-CN" w:bidi="ar"/>
              </w:rPr>
            </w:pPr>
            <w:r>
              <w:rPr>
                <w:rStyle w:val="111"/>
                <w:color w:val="auto"/>
                <w:sz w:val="21"/>
                <w:szCs w:val="21"/>
                <w:highlight w:val="none"/>
                <w:lang w:val="en-US" w:eastAsia="zh-CN" w:bidi="ar"/>
              </w:rPr>
              <w:t>3.支持MAC OS</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rPr>
            </w:pPr>
            <w:r>
              <w:rPr>
                <w:rStyle w:val="111"/>
                <w:color w:val="auto"/>
                <w:sz w:val="21"/>
                <w:szCs w:val="21"/>
                <w:highlight w:val="none"/>
                <w:lang w:val="en-US" w:eastAsia="zh-CN" w:bidi="ar"/>
              </w:rPr>
              <w:t>4.SDK必须经过数字签名</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19</w:t>
            </w:r>
          </w:p>
        </w:tc>
        <w:tc>
          <w:tcPr>
            <w:tcW w:w="76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设备运维视频检测终端</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1台</w:t>
            </w:r>
          </w:p>
        </w:tc>
        <w:tc>
          <w:tcPr>
            <w:tcW w:w="63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1.视频定位:支持全景设备视频全景定位【包括采购人原有的设备（海康威视，型号:DS-A80648/MKJ）】，对全景画面的某个局部或跟踪目标进行细节放大定位，定位视频窗口默认停靠在左下角  </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2.视频质量运维:支持统计视频通道的视频质量巡检总数、诊断正常数、诊断异常数、巡检失败数、未巡检数、图像完好率，统计数据可联动查看监控列表；</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3.技术规格：2U单路标准机架式视频运维处理器</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4.CPU：配置1颗不低于 C86架构HYGON 5435处理器，核数≥16核，线程数≥32，频率≥2.8GHz，TDP≥135W，末级缓存容量≥32MB，支持内存的最高速率≥5200 MHz</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5.内存：配置≥64G DDR5，4根内存插槽</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6.硬盘：配置2块≥1.2T SAS盘，前置最大可选支持12块3.5寸(兼容2.5寸)热插拔SATA/SAS硬盘，后置最大可选支持2块2.5寸热插拔SATA/SAS硬盘</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7.阵列卡：配置1块SAS+HBA卡(支持RAID 0/1/10)</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8.PCIE扩展：支持4个PCIe 4.0扩展插槽</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9.网口：板载2个千兆电口和2个PCIE千兆电口，支持选配10GbE、25GbE SFP+等多种网络接口</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10.其他接口：1个千兆RJ-45管理接口</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11.2个VGA接口，1个位于机箱后部、1个位于机箱前部</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12.5个USB接口，2个位于机箱后部、2个位于机箱前部、1个位于机箱内部</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13.1个Type-C Debug接口位于机箱前部</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14.电源：配置550W（1+1）电源</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15.机箱规格：约446mm（宽）*87mm（高）*475mm(深）(不含侧耳)</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16.设备重量：最大30千克</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▲17. 支持实时多地远程集中观看视频，支持录像回放，快速查找打开指定视频点位指定时间段的录像回放，确保本次采购的设备与采购人原有的录像及储存设备（海康威视，型号:DS-A80648/MKJ）系统相互兼容。覆盖本次采购设备及采购人原有的安防监控设备，且都能实现新旧产品接入硬件设备与多地远程集中观看软件平台稳定流畅运行。</w:t>
            </w:r>
            <w:r>
              <w:rPr>
                <w:rFonts w:hint="eastAsia" w:ascii="宋体" w:hAnsi="宋体" w:eastAsia="宋体" w:cs="宋体"/>
                <w:color w:val="auto"/>
                <w:szCs w:val="21"/>
                <w:highlight w:val="none"/>
                <w:lang w:val="en-US" w:eastAsia="zh-CN"/>
              </w:rPr>
              <w:t>响应文件提竞标设备与采购人现有</w:t>
            </w:r>
            <w:r>
              <w:rPr>
                <w:rFonts w:hint="eastAsia" w:ascii="宋体" w:hAnsi="宋体" w:eastAsia="宋体" w:cs="宋体"/>
                <w:color w:val="auto"/>
                <w:szCs w:val="21"/>
                <w:highlight w:val="none"/>
              </w:rPr>
              <w:t>设备兼容性承诺函并加盖</w:t>
            </w:r>
            <w:r>
              <w:rPr>
                <w:rFonts w:hint="eastAsia" w:ascii="宋体" w:hAnsi="宋体" w:eastAsia="宋体" w:cs="宋体"/>
                <w:color w:val="auto"/>
                <w:szCs w:val="21"/>
                <w:highlight w:val="none"/>
                <w:lang w:val="en-US" w:eastAsia="zh-CN"/>
              </w:rPr>
              <w:t>供应商</w:t>
            </w:r>
            <w:r>
              <w:rPr>
                <w:rFonts w:hint="eastAsia" w:ascii="宋体" w:hAnsi="宋体" w:eastAsia="宋体" w:cs="宋体"/>
                <w:color w:val="auto"/>
                <w:szCs w:val="21"/>
                <w:highlight w:val="none"/>
              </w:rPr>
              <w:t>公章</w:t>
            </w:r>
            <w:r>
              <w:rPr>
                <w:rFonts w:hint="eastAsia" w:ascii="宋体" w:hAnsi="宋体" w:eastAsia="宋体" w:cs="宋体"/>
                <w:color w:val="auto"/>
                <w:szCs w:val="21"/>
                <w:highlight w:val="none"/>
                <w:lang w:eastAsia="zh-CN"/>
              </w:rPr>
              <w:t>。</w:t>
            </w:r>
            <w:r>
              <w:rPr>
                <w:rFonts w:hint="eastAsia" w:ascii="宋体" w:hAnsi="宋体" w:eastAsia="宋体" w:cs="宋体"/>
                <w:i w:val="0"/>
                <w:iCs w:val="0"/>
                <w:color w:val="auto"/>
                <w:kern w:val="0"/>
                <w:sz w:val="21"/>
                <w:szCs w:val="21"/>
                <w:highlight w:val="none"/>
                <w:u w:val="none"/>
                <w:lang w:val="en-US" w:eastAsia="zh-CN" w:bidi="ar"/>
              </w:rPr>
              <w:t xml:space="preserve">                                                                         </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tcBorders>
              <w:left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20</w:t>
            </w:r>
          </w:p>
        </w:tc>
        <w:tc>
          <w:tcPr>
            <w:tcW w:w="76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55寸4K安防监视器</w:t>
            </w:r>
          </w:p>
        </w:tc>
        <w:tc>
          <w:tcPr>
            <w:tcW w:w="75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3台</w:t>
            </w:r>
          </w:p>
        </w:tc>
        <w:tc>
          <w:tcPr>
            <w:tcW w:w="637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1.支持3840*2160@60Hz超高清显示</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2.采用超宽视角屏幕（上下左右）178°</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3.3D数字图象降噪处理技术</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4.支持HDR显示标准，画面更细腻</w:t>
            </w:r>
          </w:p>
          <w:p>
            <w:pPr>
              <w:keepNext w:val="0"/>
              <w:keepLines w:val="0"/>
              <w:widowControl/>
              <w:suppressLineNumbers w:val="0"/>
              <w:spacing w:line="360" w:lineRule="auto"/>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5.内置喇叭及功放，支持3.5 mm音频输入</w:t>
            </w:r>
          </w:p>
          <w:p>
            <w:pPr>
              <w:keepNext w:val="0"/>
              <w:keepLines w:val="0"/>
              <w:widowControl/>
              <w:suppressLineNumbers w:val="0"/>
              <w:spacing w:line="36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6.支持7 × 24 小时工作模式</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7" w:hRule="atLeast"/>
          <w:jc w:val="center"/>
        </w:trPr>
        <w:tc>
          <w:tcPr>
            <w:tcW w:w="545"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宋体" w:hAnsi="宋体" w:eastAsia="宋体" w:cs="宋体"/>
                <w:color w:val="auto"/>
                <w:szCs w:val="21"/>
                <w:highlight w:val="none"/>
              </w:rPr>
            </w:pPr>
          </w:p>
          <w:p>
            <w:pPr>
              <w:spacing w:line="360" w:lineRule="auto"/>
              <w:jc w:val="center"/>
              <w:rPr>
                <w:rFonts w:hint="eastAsia" w:ascii="宋体" w:hAnsi="宋体" w:eastAsia="宋体" w:cs="宋体"/>
                <w:color w:val="auto"/>
                <w:szCs w:val="21"/>
                <w:highlight w:val="none"/>
              </w:rPr>
            </w:pPr>
          </w:p>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商务条款</w:t>
            </w:r>
          </w:p>
        </w:tc>
        <w:tc>
          <w:tcPr>
            <w:tcW w:w="9576" w:type="dxa"/>
            <w:gridSpan w:val="5"/>
            <w:tcBorders>
              <w:top w:val="single" w:color="auto" w:sz="4" w:space="0"/>
              <w:left w:val="single" w:color="auto" w:sz="4" w:space="0"/>
              <w:bottom w:val="single" w:color="auto" w:sz="4" w:space="0"/>
              <w:right w:val="single" w:color="auto" w:sz="4" w:space="0"/>
            </w:tcBorders>
          </w:tcPr>
          <w:p>
            <w:pPr>
              <w:widowControl/>
              <w:shd w:val="clear" w:color="auto" w:fill="FFFFFF"/>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一、合同签订</w:t>
            </w:r>
            <w:r>
              <w:rPr>
                <w:rFonts w:hint="eastAsia" w:ascii="宋体" w:hAnsi="宋体" w:eastAsia="宋体" w:cs="宋体"/>
                <w:color w:val="auto"/>
                <w:szCs w:val="21"/>
                <w:highlight w:val="none"/>
                <w:lang w:eastAsia="zh-CN"/>
              </w:rPr>
              <w:t>期限</w:t>
            </w:r>
            <w:r>
              <w:rPr>
                <w:rFonts w:hint="eastAsia" w:ascii="宋体" w:hAnsi="宋体" w:eastAsia="宋体" w:cs="宋体"/>
                <w:color w:val="auto"/>
                <w:szCs w:val="21"/>
                <w:highlight w:val="none"/>
              </w:rPr>
              <w:t>：自成交通知书发出之日起</w:t>
            </w:r>
            <w:r>
              <w:rPr>
                <w:rFonts w:hint="eastAsia" w:ascii="宋体" w:hAnsi="宋体" w:eastAsia="宋体" w:cs="宋体"/>
                <w:color w:val="auto"/>
                <w:szCs w:val="21"/>
                <w:highlight w:val="none"/>
                <w:u w:val="single"/>
              </w:rPr>
              <w:t xml:space="preserve">  25　</w:t>
            </w:r>
            <w:r>
              <w:rPr>
                <w:rFonts w:hint="eastAsia" w:ascii="宋体" w:hAnsi="宋体" w:eastAsia="宋体" w:cs="宋体"/>
                <w:color w:val="auto"/>
                <w:szCs w:val="21"/>
                <w:highlight w:val="none"/>
              </w:rPr>
              <w:t>日内。</w:t>
            </w:r>
          </w:p>
          <w:p>
            <w:pPr>
              <w:widowControl/>
              <w:shd w:val="clear" w:color="auto" w:fill="FFFFFF"/>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二、交货</w:t>
            </w:r>
            <w:r>
              <w:rPr>
                <w:rFonts w:hint="eastAsia" w:ascii="宋体" w:hAnsi="宋体" w:eastAsia="宋体" w:cs="宋体"/>
                <w:bCs/>
                <w:color w:val="auto"/>
                <w:szCs w:val="21"/>
                <w:highlight w:val="none"/>
              </w:rPr>
              <w:t>时间：</w:t>
            </w:r>
            <w:r>
              <w:rPr>
                <w:rFonts w:hint="eastAsia" w:ascii="宋体" w:hAnsi="宋体" w:eastAsia="宋体" w:cs="宋体"/>
                <w:color w:val="auto"/>
                <w:szCs w:val="21"/>
                <w:highlight w:val="none"/>
                <w:u w:val="single"/>
              </w:rPr>
              <w:t xml:space="preserve">  自合同签订之日起</w:t>
            </w:r>
            <w:r>
              <w:rPr>
                <w:rFonts w:hint="eastAsia" w:ascii="宋体" w:hAnsi="宋体" w:eastAsia="宋体" w:cs="宋体"/>
                <w:color w:val="auto"/>
                <w:szCs w:val="21"/>
                <w:highlight w:val="none"/>
                <w:u w:val="single"/>
                <w:lang w:val="en-US" w:eastAsia="zh-CN"/>
              </w:rPr>
              <w:t>7个日历</w:t>
            </w:r>
            <w:r>
              <w:rPr>
                <w:rFonts w:hint="eastAsia" w:ascii="宋体" w:hAnsi="宋体" w:eastAsia="宋体" w:cs="宋体"/>
                <w:color w:val="auto"/>
                <w:szCs w:val="21"/>
                <w:highlight w:val="none"/>
                <w:u w:val="single"/>
              </w:rPr>
              <w:t xml:space="preserve">日内交货完毕。   </w:t>
            </w:r>
          </w:p>
          <w:p>
            <w:pPr>
              <w:widowControl/>
              <w:shd w:val="clear" w:color="auto" w:fill="FFFFFF"/>
              <w:spacing w:line="360" w:lineRule="auto"/>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rPr>
              <w:t>三、交货地点：</w:t>
            </w:r>
            <w:r>
              <w:rPr>
                <w:rFonts w:hint="eastAsia" w:ascii="宋体" w:hAnsi="宋体" w:eastAsia="宋体" w:cs="宋体"/>
                <w:bCs/>
                <w:color w:val="auto"/>
                <w:szCs w:val="21"/>
                <w:highlight w:val="none"/>
                <w:u w:val="single"/>
              </w:rPr>
              <w:t xml:space="preserve"> 南宁市内采购人指定地点  </w:t>
            </w:r>
          </w:p>
          <w:p>
            <w:pPr>
              <w:widowControl/>
              <w:shd w:val="clear" w:color="auto" w:fill="FFFFFF"/>
              <w:spacing w:line="360" w:lineRule="auto"/>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四、</w:t>
            </w:r>
            <w:r>
              <w:rPr>
                <w:rFonts w:hint="eastAsia" w:ascii="宋体" w:hAnsi="宋体" w:eastAsia="宋体" w:cs="宋体"/>
                <w:color w:val="auto"/>
                <w:szCs w:val="21"/>
                <w:highlight w:val="none"/>
              </w:rPr>
              <w:t>验收标准、规范：</w:t>
            </w:r>
          </w:p>
          <w:p>
            <w:pPr>
              <w:widowControl/>
              <w:shd w:val="clear" w:color="auto" w:fill="FFFFFF"/>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对照采购文件的功能目标及技术指标全面核对检验，验收时对所有要求出具的证明文件的原件进行核查，如不符合采购文件的技术需求及要求以及提供虚假承诺的，按相关规定做退货处理及违约处理，成交供应商承担所有责任和费用，采购人保留进一步追究责任的权利。验收过程中所产生的一切费用均由成交供应商承担。</w:t>
            </w:r>
          </w:p>
          <w:p>
            <w:pPr>
              <w:widowControl/>
              <w:shd w:val="clear" w:color="auto" w:fill="FFFFFF"/>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2.其他未尽事宜应严格按照《关于印发广西壮族自治区政府采购项目履约验收管理办法的通知》[桂财</w:t>
            </w:r>
          </w:p>
          <w:p>
            <w:pPr>
              <w:widowControl/>
              <w:shd w:val="clear" w:color="auto" w:fill="FFFFFF"/>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2015)22号]以及《财政部关于进一步加强政府采购需求和履约验收管理的指导意见》[财库</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2016)</w:t>
            </w:r>
          </w:p>
          <w:p>
            <w:pPr>
              <w:widowControl/>
              <w:shd w:val="clear" w:color="auto" w:fill="FFFFFF"/>
              <w:spacing w:line="360" w:lineRule="auto"/>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rPr>
              <w:t>205号]规定执行。</w:t>
            </w:r>
          </w:p>
          <w:p>
            <w:pPr>
              <w:widowControl/>
              <w:shd w:val="clear" w:color="auto" w:fill="FFFFFF"/>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五、售后服务要求：</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1)竞标产品及有关备件必须是具备厂家合法渠道的全新正品，产品的售后服务承诺不低于原厂商标准服务承诺。</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2)质保期从项目验收合格之日起计算，所有标的质保期均为</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年（采购需求有约定的从其约定），且不得少于国家“三包”中规定的期限。</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3)售后服务承诺需至少包含以下内容：①故障响应时间：售后服务时间为7X24小时，接到故障通知后30分钟内响应，3小时内安排工程师到达现场，48小时内解决问题，48小时内仍无法解决问题的，提供相同性能参数的备件替用；②所有设备部件均为原厂部件；③为用户提供培训服务，并向受训人员提供技术资料、参考材料、配置手册等，由此产生的全部费用由成交供应商承担。在安装调试过程应安排采购人操作人员参与，并进行现场培训，并确保有2～3 人具备熟练操作设备、了解设备结构及工作原理，并能排除一般故障的能力。</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六、其他要求：</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1.本项目报价必须含以下部分，包括：</w:t>
            </w:r>
          </w:p>
          <w:p>
            <w:pPr>
              <w:tabs>
                <w:tab w:val="left" w:pos="3490"/>
                <w:tab w:val="left" w:pos="3670"/>
                <w:tab w:val="left" w:pos="3895"/>
              </w:tabs>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货物</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含服务)的价格。</w:t>
            </w:r>
          </w:p>
          <w:p>
            <w:pPr>
              <w:tabs>
                <w:tab w:val="left" w:pos="3490"/>
                <w:tab w:val="left" w:pos="3670"/>
                <w:tab w:val="left" w:pos="3895"/>
              </w:tabs>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货物的标准附件、备品备件、专用工具的价格。</w:t>
            </w:r>
          </w:p>
          <w:p>
            <w:pPr>
              <w:tabs>
                <w:tab w:val="left" w:pos="3490"/>
                <w:tab w:val="left" w:pos="3670"/>
                <w:tab w:val="left" w:pos="3895"/>
              </w:tabs>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运输、装卸、调试、用户培训、技术支持、售后服务、质保期内维护等费用。</w:t>
            </w:r>
          </w:p>
          <w:p>
            <w:pPr>
              <w:tabs>
                <w:tab w:val="left" w:pos="3490"/>
                <w:tab w:val="left" w:pos="3670"/>
                <w:tab w:val="left" w:pos="3895"/>
              </w:tabs>
              <w:spacing w:line="360" w:lineRule="auto"/>
              <w:rPr>
                <w:rFonts w:hint="eastAsia" w:ascii="宋体" w:hAnsi="宋体" w:eastAsia="宋体" w:cs="宋体"/>
                <w:b/>
                <w:bCs/>
                <w:i/>
                <w:iCs/>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4</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必要的检测、保险费用和各项税金。</w:t>
            </w:r>
          </w:p>
          <w:p>
            <w:pPr>
              <w:tabs>
                <w:tab w:val="left" w:pos="3490"/>
                <w:tab w:val="left" w:pos="3670"/>
                <w:tab w:val="left" w:pos="3895"/>
              </w:tabs>
              <w:spacing w:line="360" w:lineRule="auto"/>
              <w:rPr>
                <w:color w:val="auto"/>
                <w:highlight w:val="none"/>
              </w:rPr>
            </w:pPr>
            <w:r>
              <w:rPr>
                <w:rFonts w:hint="eastAsia" w:ascii="宋体" w:hAnsi="宋体" w:eastAsia="宋体" w:cs="宋体"/>
                <w:color w:val="auto"/>
                <w:szCs w:val="21"/>
                <w:highlight w:val="none"/>
              </w:rPr>
              <w:t>2.付款方式：签订合同之日起10个工作日内，采购人支付合同款的40%作为预付款；成交供应商交货完毕，全部货物安装调试完毕并验收合格</w:t>
            </w:r>
            <w:r>
              <w:rPr>
                <w:rFonts w:hint="eastAsia" w:ascii="宋体" w:hAnsi="宋体" w:eastAsia="宋体" w:cs="宋体"/>
                <w:color w:val="auto"/>
                <w:szCs w:val="21"/>
                <w:highlight w:val="none"/>
                <w:lang w:val="en-US" w:eastAsia="zh-CN"/>
              </w:rPr>
              <w:t>后</w:t>
            </w:r>
            <w:r>
              <w:rPr>
                <w:rFonts w:hint="eastAsia" w:ascii="宋体" w:hAnsi="宋体" w:eastAsia="宋体" w:cs="宋体"/>
                <w:color w:val="auto"/>
                <w:szCs w:val="21"/>
                <w:highlight w:val="none"/>
              </w:rPr>
              <w:t>，采购人支付合同款的60%给成交供应商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成交供应商向采购人提供等额有效的合格发票</w:t>
            </w:r>
            <w:r>
              <w:rPr>
                <w:rFonts w:hint="eastAsia" w:ascii="宋体" w:hAnsi="宋体" w:eastAsia="宋体" w:cs="宋体"/>
                <w:color w:val="auto"/>
                <w:szCs w:val="21"/>
                <w:highlight w:val="none"/>
                <w:lang w:val="en-US" w:eastAsia="zh-CN"/>
              </w:rPr>
              <w:t>之日起</w:t>
            </w:r>
            <w:r>
              <w:rPr>
                <w:rFonts w:hint="eastAsia" w:ascii="宋体" w:hAnsi="宋体" w:eastAsia="宋体" w:cs="宋体"/>
                <w:color w:val="auto"/>
                <w:szCs w:val="21"/>
                <w:highlight w:val="none"/>
              </w:rPr>
              <w:t>10个工作日内</w:t>
            </w:r>
            <w:r>
              <w:rPr>
                <w:rFonts w:hint="eastAsia" w:ascii="宋体" w:hAnsi="宋体" w:eastAsia="宋体" w:cs="宋体"/>
                <w:color w:val="auto"/>
                <w:szCs w:val="21"/>
                <w:highlight w:val="none"/>
                <w:lang w:val="en-US" w:eastAsia="zh-CN"/>
              </w:rPr>
              <w:t>采购人支付合同款项</w:t>
            </w:r>
            <w:r>
              <w:rPr>
                <w:rFonts w:hint="eastAsia" w:ascii="宋体" w:hAnsi="宋体" w:eastAsia="宋体" w:cs="宋体"/>
                <w:color w:val="auto"/>
                <w:szCs w:val="21"/>
                <w:highlight w:val="none"/>
              </w:rPr>
              <w:t>。采购人未收到发票的，有权不予支付相应款项并不承担延迟付款责任。成交供应商需开具相应的发票给采购人。如未按国家要求开具增值税发票，一旦发现成交供应商提供虚假发票，除须向采购人补开合法发票外，须赔偿采购人发票票面金额一倍的违约金。</w:t>
            </w:r>
          </w:p>
          <w:p>
            <w:pPr>
              <w:tabs>
                <w:tab w:val="left" w:pos="3490"/>
                <w:tab w:val="left" w:pos="3670"/>
                <w:tab w:val="left" w:pos="3895"/>
              </w:tabs>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成交供应商供货时，采购人将对</w:t>
            </w:r>
            <w:r>
              <w:rPr>
                <w:rFonts w:hint="eastAsia" w:ascii="宋体" w:hAnsi="宋体" w:eastAsia="宋体" w:cs="宋体"/>
                <w:i w:val="0"/>
                <w:iCs w:val="0"/>
                <w:color w:val="auto"/>
                <w:kern w:val="0"/>
                <w:sz w:val="21"/>
                <w:szCs w:val="21"/>
                <w:highlight w:val="none"/>
                <w:u w:val="none"/>
                <w:lang w:val="en-US" w:eastAsia="zh-CN" w:bidi="ar"/>
              </w:rPr>
              <w:t>设备运维视频检测终端</w:t>
            </w:r>
            <w:r>
              <w:rPr>
                <w:rFonts w:hint="eastAsia" w:ascii="宋体" w:hAnsi="宋体" w:eastAsia="宋体" w:cs="宋体"/>
                <w:color w:val="auto"/>
                <w:szCs w:val="21"/>
                <w:highlight w:val="none"/>
                <w:lang w:val="en-US" w:eastAsia="zh-CN"/>
              </w:rPr>
              <w:t>的规格型号、技术参数进行现场核验，同时成交供应商需提供设备厂家出具的与采购人现有设备相互兼容的确认函，若成交供应商提供的设备规格型号、技术参数与竞标响应不符或未能提供设备厂家出具的相互兼容的确认函，采购人将不予验收货物，并按规定将成交供应商违约行为向监督部门报告</w:t>
            </w:r>
            <w:r>
              <w:rPr>
                <w:rFonts w:hint="eastAsia" w:ascii="宋体" w:hAnsi="宋体" w:eastAsia="宋体" w:cs="宋体"/>
                <w:color w:val="auto"/>
                <w:szCs w:val="21"/>
                <w:highlight w:val="none"/>
              </w:rPr>
              <w:t>。</w:t>
            </w:r>
          </w:p>
          <w:p>
            <w:pPr>
              <w:tabs>
                <w:tab w:val="left" w:pos="3490"/>
                <w:tab w:val="left" w:pos="3670"/>
                <w:tab w:val="left" w:pos="3895"/>
              </w:tabs>
              <w:spacing w:line="360" w:lineRule="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4.成交供应商供货时，</w:t>
            </w:r>
            <w:r>
              <w:rPr>
                <w:rFonts w:hint="eastAsia" w:ascii="宋体" w:hAnsi="宋体" w:eastAsia="宋体" w:cs="宋体"/>
                <w:i w:val="0"/>
                <w:iCs w:val="0"/>
                <w:color w:val="auto"/>
                <w:kern w:val="0"/>
                <w:sz w:val="21"/>
                <w:szCs w:val="21"/>
                <w:highlight w:val="none"/>
                <w:u w:val="none"/>
                <w:lang w:val="en-US" w:eastAsia="zh-CN" w:bidi="ar"/>
              </w:rPr>
              <w:t>提供第三方检测（检验）机构出具的</w:t>
            </w:r>
            <w:r>
              <w:rPr>
                <w:rFonts w:hint="eastAsia" w:ascii="宋体" w:hAnsi="宋体" w:eastAsia="宋体" w:cs="宋体"/>
                <w:color w:val="auto"/>
                <w:szCs w:val="21"/>
                <w:highlight w:val="none"/>
              </w:rPr>
              <w:t>600万像素半球摄像机</w:t>
            </w:r>
            <w:r>
              <w:rPr>
                <w:rFonts w:hint="eastAsia" w:ascii="宋体" w:hAnsi="宋体" w:eastAsia="宋体" w:cs="宋体"/>
                <w:i w:val="0"/>
                <w:iCs w:val="0"/>
                <w:color w:val="auto"/>
                <w:kern w:val="0"/>
                <w:sz w:val="21"/>
                <w:szCs w:val="21"/>
                <w:highlight w:val="none"/>
                <w:u w:val="none"/>
                <w:lang w:val="en-US" w:eastAsia="zh-CN" w:bidi="ar"/>
              </w:rPr>
              <w:t>、高拍仪、设备运维视频检测终端检测（检验）报告复印件，并加盖成交供应商公章，报告的参数应满足或优于响应文件中对应参数的承诺，否则</w:t>
            </w:r>
            <w:r>
              <w:rPr>
                <w:rFonts w:hint="eastAsia" w:ascii="宋体" w:hAnsi="宋体" w:eastAsia="宋体" w:cs="宋体"/>
                <w:color w:val="auto"/>
                <w:szCs w:val="21"/>
                <w:highlight w:val="none"/>
                <w:lang w:val="en-US" w:eastAsia="zh-CN"/>
              </w:rPr>
              <w:t>采购人将不予验收货物，并按规定将成交供应商违约行为向监督部门报告</w:t>
            </w:r>
            <w:r>
              <w:rPr>
                <w:rFonts w:hint="eastAsia" w:ascii="宋体" w:hAnsi="宋体" w:eastAsia="宋体" w:cs="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6" w:hRule="atLeast"/>
          <w:jc w:val="center"/>
        </w:trPr>
        <w:tc>
          <w:tcPr>
            <w:tcW w:w="54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其他说明</w:t>
            </w:r>
          </w:p>
        </w:tc>
        <w:tc>
          <w:tcPr>
            <w:tcW w:w="9576" w:type="dxa"/>
            <w:gridSpan w:val="5"/>
            <w:tcBorders>
              <w:top w:val="single" w:color="auto" w:sz="4" w:space="0"/>
              <w:left w:val="single" w:color="auto" w:sz="4" w:space="0"/>
              <w:bottom w:val="single" w:color="auto" w:sz="4" w:space="0"/>
              <w:right w:val="single" w:color="auto" w:sz="4" w:space="0"/>
            </w:tcBorders>
          </w:tcPr>
          <w:p>
            <w:pPr>
              <w:widowControl/>
              <w:tabs>
                <w:tab w:val="left" w:pos="180"/>
                <w:tab w:val="left" w:pos="1620"/>
              </w:tabs>
              <w:spacing w:line="360" w:lineRule="auto"/>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一、进口产品说明</w:t>
            </w:r>
            <w:r>
              <w:rPr>
                <w:rFonts w:hint="eastAsia" w:ascii="宋体" w:hAnsi="宋体" w:eastAsia="宋体" w:cs="宋体"/>
                <w:color w:val="auto"/>
                <w:szCs w:val="21"/>
                <w:highlight w:val="none"/>
              </w:rPr>
              <w:t>：</w:t>
            </w:r>
          </w:p>
          <w:p>
            <w:pPr>
              <w:tabs>
                <w:tab w:val="left" w:pos="180"/>
                <w:tab w:val="left" w:pos="1620"/>
              </w:tabs>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本项目货物所涉及的货物不接受进口产品（即通过中国海关报关验放进入中国境内且产自关境外的产品）参与竞标，</w:t>
            </w:r>
            <w:r>
              <w:rPr>
                <w:rFonts w:hint="eastAsia" w:ascii="宋体" w:hAnsi="宋体" w:eastAsia="宋体" w:cs="宋体"/>
                <w:b/>
                <w:color w:val="auto"/>
                <w:szCs w:val="21"/>
                <w:highlight w:val="none"/>
              </w:rPr>
              <w:t>如有进口产品参与竞标的，其响应文件按无效处理</w:t>
            </w:r>
            <w:r>
              <w:rPr>
                <w:rFonts w:hint="eastAsia" w:ascii="宋体" w:hAnsi="宋体" w:eastAsia="宋体" w:cs="宋体"/>
                <w:color w:val="auto"/>
                <w:szCs w:val="21"/>
                <w:highlight w:val="none"/>
              </w:rPr>
              <w:t>。</w:t>
            </w:r>
          </w:p>
          <w:p>
            <w:pPr>
              <w:tabs>
                <w:tab w:val="left" w:pos="180"/>
                <w:tab w:val="left" w:pos="1620"/>
              </w:tabs>
              <w:spacing w:line="360" w:lineRule="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二、核心产品：</w:t>
            </w:r>
          </w:p>
          <w:p>
            <w:pPr>
              <w:widowControl/>
              <w:tabs>
                <w:tab w:val="left" w:pos="180"/>
                <w:tab w:val="left" w:pos="1620"/>
              </w:tabs>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本项目的核心产品为“需求一览表”中第</w:t>
            </w:r>
            <w:r>
              <w:rPr>
                <w:rFonts w:hint="eastAsia" w:ascii="宋体" w:hAnsi="宋体" w:eastAsia="宋体" w:cs="宋体"/>
                <w:color w:val="auto"/>
                <w:szCs w:val="21"/>
                <w:highlight w:val="none"/>
                <w:lang w:val="en-US" w:eastAsia="zh-CN"/>
              </w:rPr>
              <w:t>19</w:t>
            </w:r>
            <w:r>
              <w:rPr>
                <w:rFonts w:hint="eastAsia" w:ascii="宋体" w:hAnsi="宋体" w:eastAsia="宋体" w:cs="宋体"/>
                <w:color w:val="auto"/>
                <w:szCs w:val="21"/>
                <w:highlight w:val="none"/>
              </w:rPr>
              <w:t>项产品“设备运维视频检测终端”。</w:t>
            </w:r>
          </w:p>
        </w:tc>
      </w:tr>
      <w:bookmarkEnd w:id="59"/>
    </w:tbl>
    <w:p>
      <w:pPr>
        <w:spacing w:line="428" w:lineRule="exact"/>
        <w:rPr>
          <w:rFonts w:hint="eastAsia" w:ascii="Arial Unicode MS" w:hAnsi="Arial Unicode MS" w:eastAsia="Arial Unicode MS" w:cs="Arial Unicode MS"/>
          <w:color w:val="auto"/>
          <w:sz w:val="32"/>
          <w:szCs w:val="32"/>
          <w:highlight w:val="none"/>
        </w:rPr>
        <w:sectPr>
          <w:pgSz w:w="11910" w:h="16840"/>
          <w:pgMar w:top="1134" w:right="1134" w:bottom="1134" w:left="1134" w:header="720" w:footer="720" w:gutter="0"/>
          <w:cols w:space="720" w:num="1"/>
        </w:sectPr>
      </w:pPr>
    </w:p>
    <w:p>
      <w:pPr>
        <w:spacing w:line="428" w:lineRule="exact"/>
        <w:rPr>
          <w:rFonts w:hint="eastAsia" w:ascii="Arial Unicode MS" w:hAnsi="Arial Unicode MS" w:eastAsia="Arial Unicode MS" w:cs="Arial Unicode MS"/>
          <w:color w:val="auto"/>
          <w:sz w:val="17"/>
          <w:szCs w:val="17"/>
          <w:highlight w:val="none"/>
        </w:rPr>
      </w:pPr>
      <w:r>
        <w:rPr>
          <w:rFonts w:hint="eastAsia" w:ascii="Arial Unicode MS" w:hAnsi="Arial Unicode MS" w:eastAsia="Arial Unicode MS" w:cs="Arial Unicode MS"/>
          <w:color w:val="auto"/>
          <w:sz w:val="32"/>
          <w:szCs w:val="32"/>
          <w:highlight w:val="none"/>
        </w:rPr>
        <w:t>附件1：</w:t>
      </w:r>
    </w:p>
    <w:p>
      <w:pPr>
        <w:widowControl/>
        <w:spacing w:before="120" w:beforeLines="50" w:after="120" w:afterLines="50" w:line="280" w:lineRule="exact"/>
        <w:jc w:val="center"/>
        <w:rPr>
          <w:rFonts w:hint="eastAsia" w:ascii="宋体" w:hAnsi="宋体" w:cs="宋体"/>
          <w:b/>
          <w:bCs/>
          <w:color w:val="auto"/>
          <w:kern w:val="0"/>
          <w:sz w:val="30"/>
          <w:szCs w:val="30"/>
          <w:highlight w:val="none"/>
        </w:rPr>
      </w:pPr>
      <w:bookmarkStart w:id="69" w:name="_Toc28361_WPSOffice_Level2"/>
      <w:bookmarkStart w:id="70" w:name="_Toc80205922"/>
      <w:bookmarkStart w:id="71" w:name="_Toc20724"/>
      <w:r>
        <w:rPr>
          <w:rFonts w:hint="eastAsia" w:ascii="宋体" w:hAnsi="宋体" w:cs="宋体"/>
          <w:b/>
          <w:bCs/>
          <w:color w:val="auto"/>
          <w:kern w:val="0"/>
          <w:sz w:val="30"/>
          <w:szCs w:val="30"/>
          <w:highlight w:val="none"/>
        </w:rPr>
        <w:t>统计上大中小微型企业划分标准</w:t>
      </w:r>
      <w:bookmarkEnd w:id="69"/>
    </w:p>
    <w:tbl>
      <w:tblPr>
        <w:tblStyle w:val="29"/>
        <w:tblW w:w="9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jc w:val="center"/>
        </w:trPr>
        <w:tc>
          <w:tcPr>
            <w:tcW w:w="2113" w:type="dxa"/>
            <w:shd w:val="clear" w:color="auto" w:fill="8DB3E2"/>
            <w:vAlign w:val="center"/>
          </w:tcPr>
          <w:p>
            <w:pPr>
              <w:widowControl/>
              <w:spacing w:line="280" w:lineRule="exact"/>
              <w:jc w:val="center"/>
              <w:rPr>
                <w:rFonts w:hint="eastAsia" w:ascii="宋体" w:hAnsi="宋体" w:cs="宋体"/>
                <w:b/>
                <w:bCs/>
                <w:color w:val="auto"/>
                <w:kern w:val="0"/>
                <w:sz w:val="18"/>
                <w:szCs w:val="21"/>
                <w:highlight w:val="none"/>
              </w:rPr>
            </w:pPr>
            <w:r>
              <w:rPr>
                <w:rFonts w:hint="eastAsia" w:ascii="宋体" w:hAnsi="宋体" w:cs="宋体"/>
                <w:b/>
                <w:bCs/>
                <w:color w:val="auto"/>
                <w:kern w:val="0"/>
                <w:sz w:val="18"/>
                <w:szCs w:val="21"/>
                <w:highlight w:val="none"/>
              </w:rPr>
              <w:t>行业名称</w:t>
            </w:r>
          </w:p>
        </w:tc>
        <w:tc>
          <w:tcPr>
            <w:tcW w:w="1369" w:type="dxa"/>
            <w:shd w:val="clear" w:color="auto" w:fill="8DB3E2"/>
            <w:vAlign w:val="center"/>
          </w:tcPr>
          <w:p>
            <w:pPr>
              <w:widowControl/>
              <w:spacing w:line="280" w:lineRule="exact"/>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指标名称</w:t>
            </w:r>
          </w:p>
        </w:tc>
        <w:tc>
          <w:tcPr>
            <w:tcW w:w="709" w:type="dxa"/>
            <w:shd w:val="clear" w:color="auto" w:fill="8DB3E2"/>
            <w:vAlign w:val="center"/>
          </w:tcPr>
          <w:p>
            <w:pPr>
              <w:widowControl/>
              <w:spacing w:line="280" w:lineRule="exact"/>
              <w:jc w:val="center"/>
              <w:rPr>
                <w:rFonts w:hint="eastAsia" w:ascii="宋体" w:hAnsi="宋体" w:eastAsia="宋体" w:cs="宋体"/>
                <w:b/>
                <w:bCs/>
                <w:color w:val="auto"/>
                <w:kern w:val="0"/>
                <w:sz w:val="18"/>
                <w:szCs w:val="18"/>
                <w:highlight w:val="none"/>
              </w:rPr>
            </w:pPr>
            <w:r>
              <w:rPr>
                <w:rFonts w:hint="eastAsia" w:ascii="宋体" w:hAnsi="宋体" w:cs="宋体"/>
                <w:b/>
                <w:bCs/>
                <w:color w:val="auto"/>
                <w:kern w:val="0"/>
                <w:sz w:val="18"/>
                <w:szCs w:val="18"/>
                <w:highlight w:val="none"/>
              </w:rPr>
              <w:t>计量</w:t>
            </w:r>
          </w:p>
          <w:p>
            <w:pPr>
              <w:widowControl/>
              <w:spacing w:line="280" w:lineRule="exact"/>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单位</w:t>
            </w:r>
          </w:p>
        </w:tc>
        <w:tc>
          <w:tcPr>
            <w:tcW w:w="1125" w:type="dxa"/>
            <w:shd w:val="clear" w:color="auto" w:fill="8DB3E2"/>
            <w:vAlign w:val="center"/>
          </w:tcPr>
          <w:p>
            <w:pPr>
              <w:widowControl/>
              <w:spacing w:line="280" w:lineRule="exact"/>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大型</w:t>
            </w:r>
          </w:p>
        </w:tc>
        <w:tc>
          <w:tcPr>
            <w:tcW w:w="1701" w:type="dxa"/>
            <w:shd w:val="clear" w:color="auto" w:fill="8DB3E2"/>
            <w:vAlign w:val="center"/>
          </w:tcPr>
          <w:p>
            <w:pPr>
              <w:widowControl/>
              <w:spacing w:line="280" w:lineRule="exact"/>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中型</w:t>
            </w:r>
          </w:p>
        </w:tc>
        <w:tc>
          <w:tcPr>
            <w:tcW w:w="1426" w:type="dxa"/>
            <w:shd w:val="clear" w:color="auto" w:fill="8DB3E2"/>
            <w:vAlign w:val="center"/>
          </w:tcPr>
          <w:p>
            <w:pPr>
              <w:widowControl/>
              <w:spacing w:line="280" w:lineRule="exact"/>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小型</w:t>
            </w:r>
          </w:p>
        </w:tc>
        <w:tc>
          <w:tcPr>
            <w:tcW w:w="992" w:type="dxa"/>
            <w:shd w:val="clear" w:color="auto" w:fill="8DB3E2"/>
            <w:vAlign w:val="center"/>
          </w:tcPr>
          <w:p>
            <w:pPr>
              <w:widowControl/>
              <w:spacing w:line="280" w:lineRule="exact"/>
              <w:jc w:val="center"/>
              <w:rPr>
                <w:rFonts w:hint="eastAsia"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农、林、牧、渔业</w:t>
            </w: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Y≥20000</w:t>
            </w:r>
          </w:p>
        </w:tc>
        <w:tc>
          <w:tcPr>
            <w:tcW w:w="1701"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50≤Y＜500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工业 *</w:t>
            </w: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pPr>
              <w:widowControl/>
              <w:spacing w:line="280" w:lineRule="exact"/>
              <w:jc w:val="left"/>
              <w:rPr>
                <w:rFonts w:hint="eastAsia" w:ascii="宋体" w:hAnsi="宋体" w:cs="宋体"/>
                <w:color w:val="auto"/>
                <w:kern w:val="0"/>
                <w:sz w:val="18"/>
                <w:szCs w:val="18"/>
                <w:highlight w:val="none"/>
              </w:rPr>
            </w:pP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Y≥40000</w:t>
            </w:r>
          </w:p>
        </w:tc>
        <w:tc>
          <w:tcPr>
            <w:tcW w:w="1701"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2000≤Y＜40000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300≤Y＜2000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建筑业</w:t>
            </w: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Y≥80000</w:t>
            </w:r>
          </w:p>
        </w:tc>
        <w:tc>
          <w:tcPr>
            <w:tcW w:w="1701"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6000≤Y＜80000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300≤Y＜6000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pPr>
              <w:widowControl/>
              <w:spacing w:line="280" w:lineRule="exact"/>
              <w:jc w:val="left"/>
              <w:rPr>
                <w:rFonts w:hint="eastAsia" w:ascii="宋体" w:hAnsi="宋体" w:cs="宋体"/>
                <w:color w:val="auto"/>
                <w:kern w:val="0"/>
                <w:sz w:val="18"/>
                <w:szCs w:val="18"/>
                <w:highlight w:val="none"/>
              </w:rPr>
            </w:pP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Z≥80000</w:t>
            </w:r>
          </w:p>
        </w:tc>
        <w:tc>
          <w:tcPr>
            <w:tcW w:w="1701"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5000≤Z＜80000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300≤Z＜5000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Z＜300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批发业</w:t>
            </w: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X≥200</w:t>
            </w:r>
          </w:p>
        </w:tc>
        <w:tc>
          <w:tcPr>
            <w:tcW w:w="1701"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20≤X＜200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5≤X＜20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pPr>
              <w:widowControl/>
              <w:spacing w:line="280" w:lineRule="exact"/>
              <w:jc w:val="left"/>
              <w:rPr>
                <w:rFonts w:hint="eastAsia" w:ascii="宋体" w:hAnsi="宋体" w:cs="宋体"/>
                <w:color w:val="auto"/>
                <w:kern w:val="0"/>
                <w:sz w:val="18"/>
                <w:szCs w:val="18"/>
                <w:highlight w:val="none"/>
              </w:rPr>
            </w:pP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Y≥40000</w:t>
            </w:r>
          </w:p>
        </w:tc>
        <w:tc>
          <w:tcPr>
            <w:tcW w:w="1701"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5000≤Y＜40000</w:t>
            </w:r>
          </w:p>
        </w:tc>
        <w:tc>
          <w:tcPr>
            <w:tcW w:w="1426" w:type="dxa"/>
            <w:vAlign w:val="center"/>
          </w:tcPr>
          <w:p>
            <w:pPr>
              <w:widowControl/>
              <w:spacing w:line="280" w:lineRule="exact"/>
              <w:ind w:left="-1" w:leftChars="-1" w:hanging="1"/>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零售业</w:t>
            </w: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50≤X＜300</w:t>
            </w:r>
          </w:p>
        </w:tc>
        <w:tc>
          <w:tcPr>
            <w:tcW w:w="1426" w:type="dxa"/>
            <w:vAlign w:val="center"/>
          </w:tcPr>
          <w:p>
            <w:pPr>
              <w:widowControl/>
              <w:spacing w:line="280" w:lineRule="exact"/>
              <w:ind w:left="-1" w:leftChars="-1" w:hanging="1"/>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10≤X＜50 </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pPr>
              <w:widowControl/>
              <w:spacing w:line="280" w:lineRule="exact"/>
              <w:jc w:val="left"/>
              <w:rPr>
                <w:rFonts w:hint="eastAsia" w:ascii="宋体" w:hAnsi="宋体" w:cs="宋体"/>
                <w:color w:val="auto"/>
                <w:kern w:val="0"/>
                <w:sz w:val="18"/>
                <w:szCs w:val="18"/>
                <w:highlight w:val="none"/>
              </w:rPr>
            </w:pP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Y≥20000</w:t>
            </w:r>
          </w:p>
        </w:tc>
        <w:tc>
          <w:tcPr>
            <w:tcW w:w="1701"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426" w:type="dxa"/>
            <w:vAlign w:val="center"/>
          </w:tcPr>
          <w:p>
            <w:pPr>
              <w:widowControl/>
              <w:spacing w:line="280" w:lineRule="exact"/>
              <w:ind w:left="-1" w:leftChars="-1" w:hanging="1"/>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100≤Y＜500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交通运输业 *</w:t>
            </w: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pPr>
              <w:widowControl/>
              <w:spacing w:line="280" w:lineRule="exact"/>
              <w:jc w:val="left"/>
              <w:rPr>
                <w:rFonts w:hint="eastAsia" w:ascii="宋体" w:hAnsi="宋体" w:cs="宋体"/>
                <w:color w:val="auto"/>
                <w:kern w:val="0"/>
                <w:sz w:val="18"/>
                <w:szCs w:val="18"/>
                <w:highlight w:val="none"/>
              </w:rPr>
            </w:pP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3000≤Y＜30000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200≤Y＜3000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仓储业*</w:t>
            </w: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X≥200</w:t>
            </w:r>
          </w:p>
        </w:tc>
        <w:tc>
          <w:tcPr>
            <w:tcW w:w="1701" w:type="dxa"/>
            <w:vAlign w:val="center"/>
          </w:tcPr>
          <w:p>
            <w:pPr>
              <w:widowControl/>
              <w:spacing w:line="280" w:lineRule="exact"/>
              <w:ind w:left="1" w:leftChars="-51"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100≤X＜200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20≤X＜100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pPr>
              <w:widowControl/>
              <w:spacing w:line="280" w:lineRule="exact"/>
              <w:jc w:val="left"/>
              <w:rPr>
                <w:rFonts w:hint="eastAsia" w:ascii="宋体" w:hAnsi="宋体" w:cs="宋体"/>
                <w:color w:val="auto"/>
                <w:kern w:val="0"/>
                <w:sz w:val="18"/>
                <w:szCs w:val="18"/>
                <w:highlight w:val="none"/>
              </w:rPr>
            </w:pP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1000≤Y＜30000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邮政业</w:t>
            </w: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pPr>
              <w:widowControl/>
              <w:spacing w:line="280" w:lineRule="exact"/>
              <w:jc w:val="left"/>
              <w:rPr>
                <w:rFonts w:hint="eastAsia" w:ascii="宋体" w:hAnsi="宋体" w:cs="宋体"/>
                <w:color w:val="auto"/>
                <w:kern w:val="0"/>
                <w:sz w:val="18"/>
                <w:szCs w:val="18"/>
                <w:highlight w:val="none"/>
              </w:rPr>
            </w:pP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2000≤Y＜30000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住宿业</w:t>
            </w: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pPr>
              <w:widowControl/>
              <w:spacing w:line="280" w:lineRule="exact"/>
              <w:ind w:left="1" w:leftChars="-51"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pPr>
              <w:widowControl/>
              <w:spacing w:line="280" w:lineRule="exact"/>
              <w:jc w:val="left"/>
              <w:rPr>
                <w:rFonts w:hint="eastAsia" w:ascii="宋体" w:hAnsi="宋体" w:cs="宋体"/>
                <w:color w:val="auto"/>
                <w:kern w:val="0"/>
                <w:sz w:val="18"/>
                <w:szCs w:val="18"/>
                <w:highlight w:val="none"/>
              </w:rPr>
            </w:pP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餐饮业</w:t>
            </w: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pPr>
              <w:widowControl/>
              <w:spacing w:line="280" w:lineRule="exact"/>
              <w:ind w:left="1" w:leftChars="-51"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pPr>
              <w:widowControl/>
              <w:spacing w:line="280" w:lineRule="exact"/>
              <w:jc w:val="left"/>
              <w:rPr>
                <w:rFonts w:hint="eastAsia" w:ascii="宋体" w:hAnsi="宋体" w:cs="宋体"/>
                <w:color w:val="auto"/>
                <w:kern w:val="0"/>
                <w:sz w:val="18"/>
                <w:szCs w:val="18"/>
                <w:highlight w:val="none"/>
              </w:rPr>
            </w:pP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信息传输业 *</w:t>
            </w: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X≥2000</w:t>
            </w:r>
          </w:p>
        </w:tc>
        <w:tc>
          <w:tcPr>
            <w:tcW w:w="1701"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100≤X＜2000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pPr>
              <w:widowControl/>
              <w:spacing w:line="280" w:lineRule="exact"/>
              <w:jc w:val="left"/>
              <w:rPr>
                <w:rFonts w:hint="eastAsia" w:ascii="宋体" w:hAnsi="宋体" w:cs="宋体"/>
                <w:color w:val="auto"/>
                <w:kern w:val="0"/>
                <w:sz w:val="18"/>
                <w:szCs w:val="18"/>
                <w:highlight w:val="none"/>
              </w:rPr>
            </w:pP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Y≥100000</w:t>
            </w:r>
          </w:p>
        </w:tc>
        <w:tc>
          <w:tcPr>
            <w:tcW w:w="1701"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1000≤Y＜100000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pPr>
              <w:widowControl/>
              <w:spacing w:line="280" w:lineRule="exact"/>
              <w:jc w:val="left"/>
              <w:rPr>
                <w:rFonts w:hint="eastAsia" w:ascii="宋体" w:hAnsi="宋体" w:cs="宋体"/>
                <w:color w:val="auto"/>
                <w:spacing w:val="-12"/>
                <w:kern w:val="0"/>
                <w:sz w:val="18"/>
                <w:szCs w:val="18"/>
                <w:highlight w:val="none"/>
              </w:rPr>
            </w:pPr>
            <w:r>
              <w:rPr>
                <w:rFonts w:hint="eastAsia" w:ascii="宋体" w:hAnsi="宋体" w:cs="宋体"/>
                <w:color w:val="auto"/>
                <w:spacing w:val="-12"/>
                <w:kern w:val="0"/>
                <w:sz w:val="18"/>
                <w:szCs w:val="18"/>
                <w:highlight w:val="none"/>
              </w:rPr>
              <w:t>软件和信息技术服</w:t>
            </w:r>
            <w:r>
              <w:rPr>
                <w:rFonts w:hint="eastAsia" w:ascii="宋体" w:hAnsi="宋体" w:cs="宋体"/>
                <w:color w:val="auto"/>
                <w:kern w:val="0"/>
                <w:sz w:val="18"/>
                <w:szCs w:val="18"/>
                <w:highlight w:val="none"/>
              </w:rPr>
              <w:t>务业</w:t>
            </w: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pPr>
              <w:widowControl/>
              <w:spacing w:line="280" w:lineRule="exact"/>
              <w:ind w:left="1" w:leftChars="-51"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pPr>
              <w:widowControl/>
              <w:spacing w:line="280" w:lineRule="exact"/>
              <w:jc w:val="left"/>
              <w:rPr>
                <w:rFonts w:hint="eastAsia" w:ascii="宋体" w:hAnsi="宋体" w:cs="宋体"/>
                <w:color w:val="auto"/>
                <w:spacing w:val="-12"/>
                <w:kern w:val="0"/>
                <w:sz w:val="18"/>
                <w:szCs w:val="18"/>
                <w:highlight w:val="none"/>
              </w:rPr>
            </w:pP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1000≤Y＜10000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50≤Y＜1000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房地产开发经营</w:t>
            </w: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Y≥200000</w:t>
            </w:r>
          </w:p>
        </w:tc>
        <w:tc>
          <w:tcPr>
            <w:tcW w:w="1701"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1000≤Y＜200000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pPr>
              <w:widowControl/>
              <w:spacing w:line="280" w:lineRule="exact"/>
              <w:jc w:val="left"/>
              <w:rPr>
                <w:rFonts w:hint="eastAsia" w:ascii="宋体" w:hAnsi="宋体" w:cs="宋体"/>
                <w:color w:val="auto"/>
                <w:kern w:val="0"/>
                <w:sz w:val="18"/>
                <w:szCs w:val="18"/>
                <w:highlight w:val="none"/>
              </w:rPr>
            </w:pP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Z≥10000</w:t>
            </w:r>
          </w:p>
        </w:tc>
        <w:tc>
          <w:tcPr>
            <w:tcW w:w="1701"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5000≤Z＜10000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2000≤Z＜5000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Z＜2000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物业管理</w:t>
            </w: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pPr>
              <w:widowControl/>
              <w:spacing w:line="280" w:lineRule="exact"/>
              <w:jc w:val="left"/>
              <w:rPr>
                <w:rFonts w:hint="eastAsia" w:ascii="宋体" w:hAnsi="宋体" w:cs="宋体"/>
                <w:color w:val="auto"/>
                <w:kern w:val="0"/>
                <w:sz w:val="18"/>
                <w:szCs w:val="18"/>
                <w:highlight w:val="none"/>
              </w:rPr>
            </w:pP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Y≥5000</w:t>
            </w:r>
          </w:p>
        </w:tc>
        <w:tc>
          <w:tcPr>
            <w:tcW w:w="1701" w:type="dxa"/>
            <w:vAlign w:val="center"/>
          </w:tcPr>
          <w:p>
            <w:pPr>
              <w:widowControl/>
              <w:spacing w:line="280" w:lineRule="exact"/>
              <w:ind w:left="1" w:leftChars="-51"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500≤Y＜1000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Y＜500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租赁和商务服务业</w:t>
            </w: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pPr>
              <w:widowControl/>
              <w:spacing w:line="280" w:lineRule="exact"/>
              <w:ind w:left="1" w:leftChars="-51"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pPr>
              <w:widowControl/>
              <w:spacing w:line="280" w:lineRule="exact"/>
              <w:jc w:val="left"/>
              <w:rPr>
                <w:rFonts w:hint="eastAsia" w:ascii="宋体" w:hAnsi="宋体" w:cs="宋体"/>
                <w:color w:val="auto"/>
                <w:kern w:val="0"/>
                <w:sz w:val="18"/>
                <w:szCs w:val="18"/>
                <w:highlight w:val="none"/>
              </w:rPr>
            </w:pP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Z≥120000</w:t>
            </w:r>
          </w:p>
        </w:tc>
        <w:tc>
          <w:tcPr>
            <w:tcW w:w="1701"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8000≤Z＜120000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100≤Z＜8000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Z＜100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pPr>
              <w:widowControl/>
              <w:spacing w:line="280" w:lineRule="exact"/>
              <w:jc w:val="left"/>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其他未列明行业 *</w:t>
            </w:r>
          </w:p>
        </w:tc>
        <w:tc>
          <w:tcPr>
            <w:tcW w:w="136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vAlign w:val="center"/>
          </w:tcPr>
          <w:p>
            <w:pPr>
              <w:widowControl/>
              <w:spacing w:line="280" w:lineRule="exact"/>
              <w:ind w:left="1" w:leftChars="-51" w:hanging="108" w:hangingChars="60"/>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26"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vAlign w:val="center"/>
          </w:tcPr>
          <w:p>
            <w:pPr>
              <w:widowControl/>
              <w:spacing w:line="280" w:lineRule="exact"/>
              <w:jc w:val="center"/>
              <w:rPr>
                <w:rFonts w:hint="eastAsia"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bl>
    <w:p>
      <w:pPr>
        <w:widowControl/>
        <w:spacing w:line="280" w:lineRule="exact"/>
        <w:rPr>
          <w:rFonts w:hint="eastAsia" w:ascii="宋体" w:hAnsi="宋体" w:cs="宋体"/>
          <w:color w:val="auto"/>
          <w:spacing w:val="8"/>
          <w:kern w:val="0"/>
          <w:sz w:val="24"/>
          <w:highlight w:val="none"/>
        </w:rPr>
      </w:pPr>
    </w:p>
    <w:p>
      <w:pPr>
        <w:widowControl/>
        <w:spacing w:line="360" w:lineRule="auto"/>
        <w:rPr>
          <w:rFonts w:hint="eastAsia" w:asciiTheme="minorEastAsia" w:hAnsiTheme="minorEastAsia" w:cstheme="minorEastAsia"/>
          <w:color w:val="auto"/>
          <w:spacing w:val="8"/>
          <w:kern w:val="0"/>
          <w:szCs w:val="21"/>
          <w:highlight w:val="none"/>
        </w:rPr>
      </w:pPr>
      <w:r>
        <w:rPr>
          <w:rFonts w:hint="eastAsia" w:asciiTheme="minorEastAsia" w:hAnsiTheme="minorEastAsia" w:cstheme="minorEastAsia"/>
          <w:color w:val="auto"/>
          <w:spacing w:val="8"/>
          <w:kern w:val="0"/>
          <w:szCs w:val="21"/>
          <w:highlight w:val="none"/>
        </w:rPr>
        <w:t>说明：</w:t>
      </w:r>
    </w:p>
    <w:p>
      <w:pPr>
        <w:pStyle w:val="18"/>
        <w:adjustRightInd w:val="0"/>
        <w:spacing w:line="360" w:lineRule="auto"/>
        <w:ind w:firstLine="452" w:firstLineChars="200"/>
        <w:contextualSpacing/>
        <w:rPr>
          <w:rFonts w:hint="eastAsia" w:asciiTheme="minorEastAsia" w:hAnsiTheme="minorEastAsia" w:eastAsiaTheme="minorEastAsia" w:cstheme="minorEastAsia"/>
          <w:color w:val="auto"/>
          <w:spacing w:val="8"/>
          <w:sz w:val="21"/>
          <w:highlight w:val="none"/>
        </w:rPr>
      </w:pPr>
      <w:r>
        <w:rPr>
          <w:rFonts w:hint="eastAsia" w:asciiTheme="minorEastAsia" w:hAnsiTheme="minorEastAsia" w:eastAsiaTheme="minorEastAsia" w:cstheme="minorEastAsia"/>
          <w:color w:val="auto"/>
          <w:spacing w:val="8"/>
          <w:sz w:val="21"/>
          <w:highlight w:val="none"/>
        </w:rPr>
        <w:t>1.大型、中型和小型企业须同时满足所列指标的下限，否则下划一档；微型企业只须满足所列指标中的一项即可。</w:t>
      </w:r>
    </w:p>
    <w:p>
      <w:pPr>
        <w:pStyle w:val="18"/>
        <w:adjustRightInd w:val="0"/>
        <w:spacing w:line="360" w:lineRule="auto"/>
        <w:ind w:firstLine="452" w:firstLineChars="200"/>
        <w:contextualSpacing/>
        <w:rPr>
          <w:rFonts w:hint="eastAsia" w:asciiTheme="minorEastAsia" w:hAnsiTheme="minorEastAsia" w:eastAsiaTheme="minorEastAsia" w:cstheme="minorEastAsia"/>
          <w:color w:val="auto"/>
          <w:spacing w:val="8"/>
          <w:sz w:val="21"/>
          <w:highlight w:val="none"/>
        </w:rPr>
      </w:pPr>
      <w:r>
        <w:rPr>
          <w:rFonts w:hint="eastAsia" w:asciiTheme="minorEastAsia" w:hAnsiTheme="minorEastAsia" w:eastAsiaTheme="minorEastAsia" w:cstheme="minorEastAsia"/>
          <w:color w:val="auto"/>
          <w:spacing w:val="8"/>
          <w:sz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pStyle w:val="18"/>
        <w:spacing w:line="360" w:lineRule="auto"/>
        <w:ind w:firstLine="452" w:firstLineChars="200"/>
        <w:rPr>
          <w:rFonts w:hint="eastAsia" w:asciiTheme="minorEastAsia" w:hAnsiTheme="minorEastAsia" w:eastAsiaTheme="minorEastAsia" w:cstheme="minorEastAsia"/>
          <w:color w:val="auto"/>
          <w:spacing w:val="8"/>
          <w:sz w:val="21"/>
          <w:highlight w:val="none"/>
        </w:rPr>
      </w:pPr>
      <w:r>
        <w:rPr>
          <w:rFonts w:hint="eastAsia" w:asciiTheme="minorEastAsia" w:hAnsiTheme="minorEastAsia" w:eastAsiaTheme="minorEastAsia" w:cstheme="minorEastAsia"/>
          <w:color w:val="auto"/>
          <w:spacing w:val="8"/>
          <w:sz w:val="21"/>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pPr>
        <w:keepNext/>
        <w:keepLines/>
        <w:spacing w:before="340" w:after="330" w:line="360" w:lineRule="auto"/>
        <w:jc w:val="center"/>
        <w:outlineLvl w:val="0"/>
        <w:rPr>
          <w:rFonts w:ascii="Times New Roman" w:hAnsi="Times New Roman" w:eastAsia="宋体" w:cs="Times New Roman"/>
          <w:b/>
          <w:bCs/>
          <w:color w:val="auto"/>
          <w:kern w:val="44"/>
          <w:sz w:val="44"/>
          <w:szCs w:val="44"/>
          <w:highlight w:val="none"/>
          <w:lang w:val="zh-CN"/>
        </w:rPr>
      </w:pPr>
      <w:r>
        <w:rPr>
          <w:rFonts w:hint="eastAsia" w:asciiTheme="minorEastAsia" w:hAnsiTheme="minorEastAsia" w:cstheme="minorEastAsia"/>
          <w:color w:val="auto"/>
          <w:szCs w:val="21"/>
          <w:highlight w:val="none"/>
        </w:rPr>
        <w:br w:type="page"/>
      </w:r>
      <w:bookmarkStart w:id="72" w:name="_Toc1222"/>
      <w:bookmarkStart w:id="73" w:name="_Toc10873"/>
      <w:bookmarkStart w:id="74" w:name="_Toc16363"/>
      <w:bookmarkStart w:id="75" w:name="_Toc9409"/>
      <w:bookmarkStart w:id="76" w:name="_Toc382"/>
      <w:bookmarkStart w:id="77" w:name="_Toc25569"/>
      <w:bookmarkStart w:id="78" w:name="_Toc2044"/>
      <w:r>
        <w:rPr>
          <w:rFonts w:hint="eastAsia" w:ascii="Cambria" w:hAnsi="Cambria" w:eastAsia="宋体" w:cs="Times New Roman"/>
          <w:b/>
          <w:color w:val="auto"/>
          <w:kern w:val="44"/>
          <w:sz w:val="32"/>
          <w:szCs w:val="32"/>
          <w:highlight w:val="none"/>
          <w:lang w:val="zh-CN"/>
        </w:rPr>
        <w:t>第三章 供应商须知</w:t>
      </w:r>
      <w:bookmarkEnd w:id="70"/>
      <w:bookmarkEnd w:id="71"/>
      <w:bookmarkEnd w:id="72"/>
      <w:bookmarkEnd w:id="73"/>
      <w:bookmarkEnd w:id="74"/>
      <w:bookmarkEnd w:id="75"/>
      <w:bookmarkEnd w:id="76"/>
      <w:bookmarkEnd w:id="77"/>
      <w:bookmarkEnd w:id="78"/>
    </w:p>
    <w:p>
      <w:pPr>
        <w:keepNext/>
        <w:keepLines/>
        <w:spacing w:before="260" w:after="260" w:line="416" w:lineRule="auto"/>
        <w:jc w:val="center"/>
        <w:outlineLvl w:val="1"/>
        <w:rPr>
          <w:rFonts w:hint="eastAsia" w:ascii="宋体" w:hAnsi="宋体" w:eastAsia="宋体" w:cs="Times New Roman"/>
          <w:bCs/>
          <w:color w:val="auto"/>
          <w:sz w:val="32"/>
          <w:szCs w:val="32"/>
          <w:highlight w:val="none"/>
          <w:lang w:val="zh-CN"/>
        </w:rPr>
      </w:pPr>
      <w:bookmarkStart w:id="79" w:name="_Toc10590"/>
      <w:bookmarkStart w:id="80" w:name="_Toc80205923"/>
      <w:bookmarkStart w:id="81" w:name="_Toc28658"/>
      <w:r>
        <w:rPr>
          <w:rFonts w:hint="eastAsia" w:ascii="宋体" w:hAnsi="宋体" w:eastAsia="宋体" w:cs="Times New Roman"/>
          <w:bCs/>
          <w:color w:val="auto"/>
          <w:sz w:val="32"/>
          <w:szCs w:val="32"/>
          <w:highlight w:val="none"/>
          <w:lang w:val="zh-CN"/>
        </w:rPr>
        <w:t>第一节 供应商须知前附表</w:t>
      </w:r>
      <w:bookmarkEnd w:id="79"/>
      <w:bookmarkEnd w:id="80"/>
      <w:bookmarkEnd w:id="81"/>
    </w:p>
    <w:tbl>
      <w:tblPr>
        <w:tblStyle w:val="29"/>
        <w:tblpPr w:leftFromText="180" w:rightFromText="180" w:vertAnchor="text" w:horzAnchor="page" w:tblpX="1064" w:tblpY="380"/>
        <w:tblOverlap w:val="never"/>
        <w:tblW w:w="99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2382"/>
        <w:gridCol w:w="65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trPr>
        <w:tc>
          <w:tcPr>
            <w:tcW w:w="992" w:type="dxa"/>
          </w:tcPr>
          <w:p>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w:t>
            </w:r>
          </w:p>
        </w:tc>
        <w:tc>
          <w:tcPr>
            <w:tcW w:w="2382" w:type="dxa"/>
            <w:vAlign w:val="center"/>
          </w:tcPr>
          <w:p>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条款内容</w:t>
            </w:r>
          </w:p>
        </w:tc>
        <w:tc>
          <w:tcPr>
            <w:tcW w:w="6586" w:type="dxa"/>
          </w:tcPr>
          <w:p>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具体要求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trPr>
        <w:tc>
          <w:tcPr>
            <w:tcW w:w="99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w:t>
            </w:r>
          </w:p>
        </w:tc>
        <w:tc>
          <w:tcPr>
            <w:tcW w:w="238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供应商资格条件</w:t>
            </w:r>
          </w:p>
        </w:tc>
        <w:tc>
          <w:tcPr>
            <w:tcW w:w="6586" w:type="dxa"/>
          </w:tcPr>
          <w:p>
            <w:pPr>
              <w:spacing w:line="360" w:lineRule="auto"/>
              <w:rPr>
                <w:rFonts w:hint="eastAsia" w:ascii="宋体" w:hAnsi="宋体" w:eastAsia="宋体" w:cs="宋体"/>
                <w:b/>
                <w:color w:val="auto"/>
                <w:szCs w:val="21"/>
                <w:highlight w:val="none"/>
              </w:rPr>
            </w:pPr>
            <w:r>
              <w:rPr>
                <w:rFonts w:hint="eastAsia" w:ascii="宋体" w:hAnsi="宋体" w:eastAsia="宋体" w:cs="Times New Roman"/>
                <w:color w:val="auto"/>
                <w:szCs w:val="21"/>
                <w:highlight w:val="none"/>
              </w:rPr>
              <w:t xml:space="preserve">供应商资格条件要求详见竞争性谈判公告。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238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是否接受联合体竞标</w:t>
            </w:r>
          </w:p>
        </w:tc>
        <w:tc>
          <w:tcPr>
            <w:tcW w:w="6586" w:type="dxa"/>
            <w:vAlign w:val="center"/>
          </w:tcPr>
          <w:p>
            <w:pPr>
              <w:spacing w:line="360" w:lineRule="auto"/>
              <w:rPr>
                <w:rFonts w:hint="eastAsia" w:ascii="宋体" w:hAnsi="宋体" w:eastAsia="宋体" w:cs="宋体"/>
                <w:color w:val="auto"/>
                <w:szCs w:val="21"/>
                <w:highlight w:val="none"/>
              </w:rPr>
            </w:pPr>
            <w:bookmarkStart w:id="82" w:name="PO_3000001871_PM007_1"/>
            <w:r>
              <w:rPr>
                <w:rFonts w:hint="eastAsia" w:ascii="宋体" w:hAnsi="宋体" w:eastAsia="宋体" w:cs="Times New Roman"/>
                <w:color w:val="auto"/>
                <w:szCs w:val="21"/>
                <w:highlight w:val="none"/>
              </w:rPr>
              <w:t>详见竞争性谈判公告</w:t>
            </w:r>
            <w:bookmarkEnd w:id="82"/>
            <w:r>
              <w:rPr>
                <w:rFonts w:hint="eastAsia" w:ascii="宋体" w:hAnsi="宋体" w:eastAsia="宋体" w:cs="Times New Roman"/>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ascii="宋体" w:hAnsi="宋体" w:eastAsia="宋体" w:cs="宋体"/>
                <w:color w:val="auto"/>
                <w:szCs w:val="21"/>
                <w:highlight w:val="none"/>
              </w:rPr>
              <w:t>.2</w:t>
            </w:r>
          </w:p>
        </w:tc>
        <w:tc>
          <w:tcPr>
            <w:tcW w:w="238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Times New Roman"/>
                <w:color w:val="auto"/>
                <w:szCs w:val="21"/>
                <w:highlight w:val="none"/>
              </w:rPr>
              <w:t>联合体竞标要求</w:t>
            </w:r>
          </w:p>
        </w:tc>
        <w:tc>
          <w:tcPr>
            <w:tcW w:w="6586" w:type="dxa"/>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6.1</w:t>
            </w:r>
          </w:p>
        </w:tc>
        <w:tc>
          <w:tcPr>
            <w:tcW w:w="238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是否允许分包</w:t>
            </w:r>
          </w:p>
        </w:tc>
        <w:tc>
          <w:tcPr>
            <w:tcW w:w="6586" w:type="dxa"/>
            <w:vAlign w:val="center"/>
          </w:tcPr>
          <w:p>
            <w:pPr>
              <w:spacing w:line="360" w:lineRule="auto"/>
              <w:jc w:val="left"/>
              <w:rPr>
                <w:rFonts w:hint="eastAsia" w:ascii="宋体" w:hAnsi="宋体" w:eastAsia="宋体" w:cs="Times New Roman"/>
                <w:color w:val="auto"/>
                <w:szCs w:val="21"/>
                <w:highlight w:val="none"/>
              </w:rPr>
            </w:pPr>
            <w:bookmarkStart w:id="83" w:name="PO_3000001871_PM044"/>
            <w:r>
              <w:rPr>
                <w:rFonts w:hint="eastAsia"/>
                <w:color w:val="auto"/>
                <w:highlight w:val="none"/>
              </w:rPr>
              <w:t>☑</w:t>
            </w:r>
            <w:r>
              <w:rPr>
                <w:rFonts w:hint="eastAsia" w:ascii="宋体" w:hAnsi="宋体" w:eastAsia="宋体" w:cs="Times New Roman"/>
                <w:color w:val="auto"/>
                <w:szCs w:val="21"/>
                <w:highlight w:val="none"/>
              </w:rPr>
              <w:t>不允许分包</w:t>
            </w:r>
            <w:bookmarkEnd w:id="83"/>
          </w:p>
          <w:p>
            <w:pPr>
              <w:pStyle w:val="11"/>
              <w:spacing w:line="360" w:lineRule="auto"/>
              <w:rPr>
                <w:color w:val="auto"/>
                <w:highlight w:val="none"/>
                <w:lang w:val="en-US"/>
              </w:rPr>
            </w:pPr>
            <w:r>
              <w:rPr>
                <w:rFonts w:hint="eastAsia"/>
                <w:color w:val="auto"/>
                <w:highlight w:val="none"/>
                <w:lang w:val="en-US"/>
              </w:rPr>
              <w:t>□允许分包</w:t>
            </w:r>
          </w:p>
          <w:p>
            <w:pPr>
              <w:spacing w:line="360" w:lineRule="auto"/>
              <w:jc w:val="left"/>
              <w:rPr>
                <w:rFonts w:hint="eastAsia" w:ascii="宋体" w:hAnsi="宋体" w:eastAsia="宋体" w:cs="Times New Roman"/>
                <w:color w:val="auto"/>
                <w:szCs w:val="21"/>
                <w:highlight w:val="none"/>
                <w:u w:val="single"/>
              </w:rPr>
            </w:pPr>
            <w:r>
              <w:rPr>
                <w:rFonts w:hint="eastAsia" w:ascii="宋体" w:hAnsi="宋体" w:eastAsia="宋体" w:cs="Times New Roman"/>
                <w:color w:val="auto"/>
                <w:szCs w:val="21"/>
                <w:highlight w:val="none"/>
              </w:rPr>
              <w:t>分包内容：</w:t>
            </w:r>
            <w:r>
              <w:rPr>
                <w:rFonts w:hint="eastAsia" w:ascii="宋体" w:hAnsi="宋体" w:eastAsia="宋体" w:cs="Times New Roman"/>
                <w:color w:val="auto"/>
                <w:szCs w:val="21"/>
                <w:highlight w:val="none"/>
                <w:u w:val="single"/>
              </w:rPr>
              <w:t xml:space="preserve">                                     。</w:t>
            </w:r>
          </w:p>
          <w:p>
            <w:pPr>
              <w:spacing w:line="360" w:lineRule="auto"/>
              <w:jc w:val="left"/>
              <w:rPr>
                <w:rFonts w:hint="eastAsia" w:ascii="宋体" w:hAnsi="宋体" w:eastAsia="宋体" w:cs="宋体"/>
                <w:color w:val="auto"/>
                <w:szCs w:val="21"/>
                <w:highlight w:val="none"/>
              </w:rPr>
            </w:pPr>
            <w:r>
              <w:rPr>
                <w:rFonts w:hint="eastAsia" w:ascii="宋体" w:hAnsi="宋体" w:eastAsia="宋体" w:cs="Times New Roman"/>
                <w:color w:val="auto"/>
                <w:szCs w:val="21"/>
                <w:highlight w:val="none"/>
              </w:rPr>
              <w:t>分包金额或者比例：</w:t>
            </w:r>
            <w:r>
              <w:rPr>
                <w:rFonts w:hint="eastAsia" w:ascii="宋体" w:hAnsi="宋体" w:eastAsia="宋体" w:cs="Times New Roman"/>
                <w:color w:val="auto"/>
                <w:szCs w:val="21"/>
                <w:highlight w:val="none"/>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w:t>
            </w:r>
            <w:r>
              <w:rPr>
                <w:rFonts w:ascii="宋体" w:hAnsi="宋体" w:eastAsia="宋体" w:cs="宋体"/>
                <w:color w:val="auto"/>
                <w:szCs w:val="21"/>
                <w:highlight w:val="none"/>
              </w:rPr>
              <w:t>1</w:t>
            </w:r>
          </w:p>
        </w:tc>
        <w:tc>
          <w:tcPr>
            <w:tcW w:w="2382" w:type="dxa"/>
            <w:vAlign w:val="center"/>
          </w:tcPr>
          <w:p>
            <w:pPr>
              <w:snapToGrid w:val="0"/>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资格证明文件组成</w:t>
            </w:r>
          </w:p>
          <w:p>
            <w:pPr>
              <w:spacing w:line="360" w:lineRule="auto"/>
              <w:jc w:val="center"/>
              <w:rPr>
                <w:rFonts w:hint="eastAsia" w:ascii="宋体" w:hAnsi="宋体" w:eastAsia="宋体" w:cs="宋体"/>
                <w:color w:val="auto"/>
                <w:szCs w:val="21"/>
                <w:highlight w:val="none"/>
              </w:rPr>
            </w:pPr>
          </w:p>
        </w:tc>
        <w:tc>
          <w:tcPr>
            <w:tcW w:w="6586" w:type="dxa"/>
            <w:vAlign w:val="center"/>
          </w:tcPr>
          <w:p>
            <w:pPr>
              <w:spacing w:line="360" w:lineRule="auto"/>
              <w:jc w:val="left"/>
              <w:rPr>
                <w:rFonts w:hint="eastAsia" w:ascii="宋体" w:hAnsi="宋体" w:eastAsia="宋体" w:cs="Times New Roman"/>
                <w:color w:val="auto"/>
                <w:szCs w:val="21"/>
                <w:highlight w:val="none"/>
              </w:rPr>
            </w:pPr>
            <w:r>
              <w:rPr>
                <w:rFonts w:hint="eastAsia" w:ascii="宋体" w:hAnsi="宋体" w:eastAsia="宋体" w:cs="宋体"/>
                <w:color w:val="auto"/>
                <w:szCs w:val="21"/>
                <w:highlight w:val="none"/>
              </w:rPr>
              <w:t>1.</w:t>
            </w:r>
            <w:bookmarkStart w:id="84" w:name="OLE_LINK18"/>
            <w:r>
              <w:rPr>
                <w:rFonts w:hint="eastAsia" w:ascii="宋体" w:hAnsi="宋体" w:eastAsia="宋体" w:cs="宋体"/>
                <w:color w:val="auto"/>
                <w:szCs w:val="21"/>
                <w:highlight w:val="none"/>
              </w:rPr>
              <w:t>供应商为法人或者其他组织的提供其营业执照等证明文件复印件（如营业执照或者事业单位法人证书或者执业许可证等），供应商为自然人的提供其有效身份证</w:t>
            </w:r>
            <w:r>
              <w:rPr>
                <w:rFonts w:hint="eastAsia" w:cs="宋体"/>
                <w:color w:val="auto"/>
                <w:szCs w:val="21"/>
                <w:highlight w:val="none"/>
              </w:rPr>
              <w:t>正反面</w:t>
            </w:r>
            <w:r>
              <w:rPr>
                <w:rFonts w:hint="eastAsia" w:ascii="宋体" w:hAnsi="宋体" w:eastAsia="宋体" w:cs="宋体"/>
                <w:color w:val="auto"/>
                <w:szCs w:val="21"/>
                <w:highlight w:val="none"/>
              </w:rPr>
              <w:t>复印件</w:t>
            </w:r>
            <w:bookmarkEnd w:id="84"/>
            <w:r>
              <w:rPr>
                <w:rFonts w:hint="eastAsia" w:ascii="宋体" w:hAnsi="宋体" w:eastAsia="宋体" w:cs="宋体"/>
                <w:color w:val="auto"/>
                <w:szCs w:val="21"/>
                <w:highlight w:val="none"/>
              </w:rPr>
              <w:t>；（</w:t>
            </w:r>
            <w:bookmarkStart w:id="85" w:name="OLE_LINK21"/>
            <w:r>
              <w:rPr>
                <w:rFonts w:hint="eastAsia" w:ascii="宋体" w:hAnsi="宋体" w:eastAsia="宋体" w:cs="宋体"/>
                <w:b/>
                <w:color w:val="auto"/>
                <w:szCs w:val="21"/>
                <w:highlight w:val="none"/>
              </w:rPr>
              <w:t>必须提供，否则响应文件作无效响应处理</w:t>
            </w:r>
            <w:bookmarkEnd w:id="85"/>
            <w:r>
              <w:rPr>
                <w:rFonts w:hint="eastAsia" w:ascii="宋体" w:hAnsi="宋体" w:eastAsia="宋体" w:cs="宋体"/>
                <w:color w:val="auto"/>
                <w:szCs w:val="21"/>
                <w:highlight w:val="none"/>
              </w:rPr>
              <w:t>）</w:t>
            </w:r>
          </w:p>
          <w:p>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2.供应商依法缴纳税收的相关材料（提供税款所属时期为</w:t>
            </w:r>
            <w:r>
              <w:rPr>
                <w:rFonts w:hint="eastAsia" w:ascii="宋体" w:hAnsi="宋体" w:eastAsia="宋体" w:cs="宋体"/>
                <w:color w:val="auto"/>
                <w:szCs w:val="21"/>
                <w:highlight w:val="none"/>
                <w:u w:val="single"/>
              </w:rPr>
              <w:t xml:space="preserve"> 2025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1   </w:t>
            </w:r>
            <w:r>
              <w:rPr>
                <w:rFonts w:hint="eastAsia" w:ascii="宋体" w:hAnsi="宋体" w:eastAsia="宋体" w:cs="宋体"/>
                <w:color w:val="auto"/>
                <w:szCs w:val="21"/>
                <w:highlight w:val="none"/>
              </w:rPr>
              <w:t>月至首次响应文件提交截止时间止</w:t>
            </w:r>
            <w:r>
              <w:rPr>
                <w:rFonts w:hint="eastAsia" w:ascii="宋体" w:hAnsi="宋体" w:cs="宋体"/>
                <w:color w:val="auto"/>
                <w:szCs w:val="21"/>
                <w:highlight w:val="none"/>
              </w:rPr>
              <w:t>的</w:t>
            </w:r>
            <w:r>
              <w:rPr>
                <w:rFonts w:hint="eastAsia" w:ascii="宋体" w:hAnsi="宋体" w:eastAsia="宋体" w:cs="宋体"/>
                <w:color w:val="auto"/>
                <w:szCs w:val="21"/>
                <w:highlight w:val="none"/>
              </w:rPr>
              <w:t>任意</w:t>
            </w:r>
            <w:r>
              <w:rPr>
                <w:rFonts w:hint="eastAsia" w:ascii="宋体" w:hAnsi="宋体" w:eastAsia="宋体" w:cs="宋体"/>
                <w:color w:val="auto"/>
                <w:szCs w:val="21"/>
                <w:highlight w:val="none"/>
                <w:u w:val="single"/>
              </w:rPr>
              <w:t xml:space="preserve">  1  </w:t>
            </w:r>
            <w:r>
              <w:rPr>
                <w:rFonts w:hint="eastAsia" w:ascii="宋体" w:hAnsi="宋体" w:eastAsia="宋体" w:cs="宋体"/>
                <w:color w:val="auto"/>
                <w:szCs w:val="21"/>
                <w:highlight w:val="none"/>
              </w:rPr>
              <w:t>个月</w:t>
            </w:r>
            <w:r>
              <w:rPr>
                <w:rFonts w:hint="eastAsia" w:ascii="宋体" w:hAnsi="宋体" w:cs="宋体"/>
                <w:color w:val="auto"/>
                <w:szCs w:val="21"/>
                <w:highlight w:val="none"/>
              </w:rPr>
              <w:t>的依法缴纳税收的凭据复印件；</w:t>
            </w:r>
            <w:r>
              <w:rPr>
                <w:rFonts w:hint="eastAsia"/>
                <w:color w:val="auto"/>
                <w:highlight w:val="none"/>
              </w:rPr>
              <w:t>依法免税的</w:t>
            </w:r>
            <w:r>
              <w:rPr>
                <w:rFonts w:hint="eastAsia" w:ascii="宋体" w:hAnsi="宋体"/>
                <w:color w:val="auto"/>
                <w:szCs w:val="21"/>
                <w:highlight w:val="none"/>
              </w:rPr>
              <w:t>供应商</w:t>
            </w:r>
            <w:r>
              <w:rPr>
                <w:rFonts w:hint="eastAsia"/>
                <w:color w:val="auto"/>
                <w:highlight w:val="none"/>
              </w:rPr>
              <w:t>，必须提供相应文件证明其依法免税。</w:t>
            </w:r>
            <w:r>
              <w:rPr>
                <w:rFonts w:hint="eastAsia" w:ascii="宋体" w:hAnsi="宋体" w:cs="宋体"/>
                <w:color w:val="auto"/>
                <w:szCs w:val="21"/>
                <w:highlight w:val="none"/>
              </w:rPr>
              <w:t>从取得营业执照时间起到首次响应文件提交截止时间为止不足要求月数的，只需提供从取得营业执照起的依法缴纳税收</w:t>
            </w:r>
            <w:r>
              <w:rPr>
                <w:rFonts w:hint="eastAsia"/>
                <w:color w:val="auto"/>
                <w:highlight w:val="none"/>
              </w:rPr>
              <w:t>相应证明文件</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必须提供，否则响应文件作无效响应处理</w:t>
            </w:r>
            <w:r>
              <w:rPr>
                <w:rFonts w:hint="eastAsia" w:ascii="宋体" w:hAnsi="宋体" w:cs="宋体"/>
                <w:color w:val="auto"/>
                <w:szCs w:val="21"/>
                <w:highlight w:val="none"/>
              </w:rPr>
              <w:t>）</w:t>
            </w:r>
          </w:p>
          <w:p>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3.供应商依法缴纳社会保障资金的相关材料（提供税款所属时期或缴费起始时间为</w:t>
            </w:r>
            <w:r>
              <w:rPr>
                <w:rFonts w:hint="eastAsia" w:ascii="宋体" w:hAnsi="宋体" w:eastAsia="宋体" w:cs="宋体"/>
                <w:color w:val="auto"/>
                <w:szCs w:val="21"/>
                <w:highlight w:val="none"/>
                <w:u w:val="single"/>
              </w:rPr>
              <w:t xml:space="preserve">   2025</w:t>
            </w:r>
            <w:r>
              <w:rPr>
                <w:rFonts w:hint="eastAsia" w:ascii="宋体" w:hAnsi="宋体" w:cs="宋体"/>
                <w:color w:val="auto"/>
                <w:szCs w:val="21"/>
                <w:highlight w:val="none"/>
                <w:u w:val="single"/>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1  </w:t>
            </w:r>
            <w:r>
              <w:rPr>
                <w:rFonts w:hint="eastAsia" w:ascii="宋体" w:hAnsi="宋体" w:eastAsia="宋体" w:cs="宋体"/>
                <w:color w:val="auto"/>
                <w:szCs w:val="21"/>
                <w:highlight w:val="none"/>
              </w:rPr>
              <w:t>月至首次响应文件提交截止时间止</w:t>
            </w:r>
            <w:r>
              <w:rPr>
                <w:rFonts w:hint="eastAsia" w:ascii="宋体" w:hAnsi="宋体" w:cs="宋体"/>
                <w:color w:val="auto"/>
                <w:szCs w:val="21"/>
                <w:highlight w:val="none"/>
              </w:rPr>
              <w:t>的</w:t>
            </w:r>
            <w:r>
              <w:rPr>
                <w:rFonts w:hint="eastAsia" w:ascii="宋体" w:hAnsi="宋体" w:eastAsia="宋体" w:cs="宋体"/>
                <w:color w:val="auto"/>
                <w:szCs w:val="21"/>
                <w:highlight w:val="none"/>
              </w:rPr>
              <w:t>任意</w:t>
            </w:r>
            <w:r>
              <w:rPr>
                <w:rFonts w:hint="eastAsia" w:ascii="宋体" w:hAnsi="宋体" w:eastAsia="宋体" w:cs="宋体"/>
                <w:color w:val="auto"/>
                <w:szCs w:val="21"/>
                <w:highlight w:val="none"/>
                <w:u w:val="single"/>
              </w:rPr>
              <w:t xml:space="preserve">  1  </w:t>
            </w:r>
            <w:r>
              <w:rPr>
                <w:rFonts w:hint="eastAsia" w:ascii="宋体" w:hAnsi="宋体" w:eastAsia="宋体" w:cs="宋体"/>
                <w:color w:val="auto"/>
                <w:szCs w:val="21"/>
                <w:highlight w:val="none"/>
              </w:rPr>
              <w:t>个月</w:t>
            </w:r>
            <w:r>
              <w:rPr>
                <w:rFonts w:hint="eastAsia" w:ascii="宋体" w:hAnsi="宋体" w:cs="宋体"/>
                <w:color w:val="auto"/>
                <w:szCs w:val="21"/>
                <w:highlight w:val="none"/>
              </w:rPr>
              <w:t>的依法缴纳社会保障资金的缴费凭证复印件；</w:t>
            </w:r>
            <w:r>
              <w:rPr>
                <w:rFonts w:hint="eastAsia"/>
                <w:color w:val="auto"/>
                <w:highlight w:val="none"/>
              </w:rPr>
              <w:t>依法不需要缴纳社会保障资金的</w:t>
            </w:r>
            <w:r>
              <w:rPr>
                <w:rFonts w:hint="eastAsia" w:ascii="宋体" w:hAnsi="宋体"/>
                <w:color w:val="auto"/>
                <w:szCs w:val="21"/>
                <w:highlight w:val="none"/>
              </w:rPr>
              <w:t>供应商</w:t>
            </w:r>
            <w:r>
              <w:rPr>
                <w:rFonts w:hint="eastAsia"/>
                <w:color w:val="auto"/>
                <w:highlight w:val="none"/>
              </w:rPr>
              <w:t>，必须提供相应文件证明不需要缴纳社会保障资金。</w:t>
            </w:r>
            <w:r>
              <w:rPr>
                <w:rFonts w:hint="eastAsia" w:ascii="宋体" w:hAnsi="宋体" w:cs="宋体"/>
                <w:color w:val="auto"/>
                <w:szCs w:val="21"/>
                <w:highlight w:val="none"/>
              </w:rPr>
              <w:t>从取得营业执照时间起到首次响应文件提交截止时间为止不足要求月数的只需提供从取得营业执照起的依法缴纳社会保障资金的</w:t>
            </w:r>
            <w:r>
              <w:rPr>
                <w:rFonts w:hint="eastAsia"/>
                <w:color w:val="auto"/>
                <w:highlight w:val="none"/>
              </w:rPr>
              <w:t>相应证明文件</w:t>
            </w:r>
            <w:r>
              <w:rPr>
                <w:rFonts w:hint="eastAsia" w:ascii="宋体" w:hAnsi="宋体" w:cs="宋体"/>
                <w:color w:val="auto"/>
                <w:szCs w:val="21"/>
                <w:highlight w:val="none"/>
              </w:rPr>
              <w:t>）；（</w:t>
            </w:r>
            <w:bookmarkStart w:id="86" w:name="OLE_LINK22"/>
            <w:r>
              <w:rPr>
                <w:rFonts w:hint="eastAsia" w:ascii="宋体" w:hAnsi="宋体" w:cs="宋体"/>
                <w:b/>
                <w:color w:val="auto"/>
                <w:szCs w:val="21"/>
                <w:highlight w:val="none"/>
              </w:rPr>
              <w:t>必须提供，否则响应文件作无效响应处理</w:t>
            </w:r>
            <w:bookmarkEnd w:id="86"/>
            <w:r>
              <w:rPr>
                <w:rFonts w:hint="eastAsia" w:ascii="宋体" w:hAnsi="宋体" w:cs="宋体"/>
                <w:color w:val="auto"/>
                <w:szCs w:val="21"/>
                <w:highlight w:val="none"/>
              </w:rPr>
              <w:t>）</w:t>
            </w:r>
          </w:p>
          <w:p>
            <w:pPr>
              <w:snapToGrid w:val="0"/>
              <w:spacing w:line="360" w:lineRule="auto"/>
              <w:jc w:val="left"/>
              <w:rPr>
                <w:rFonts w:hint="eastAsia" w:ascii="宋体" w:hAnsi="宋体" w:cs="宋体"/>
                <w:bCs/>
                <w:color w:val="auto"/>
                <w:szCs w:val="21"/>
                <w:highlight w:val="none"/>
              </w:rPr>
            </w:pPr>
            <w:r>
              <w:rPr>
                <w:rFonts w:hint="eastAsia" w:ascii="宋体" w:hAnsi="宋体" w:cs="宋体"/>
                <w:color w:val="auto"/>
                <w:szCs w:val="21"/>
                <w:highlight w:val="none"/>
              </w:rPr>
              <w:t>4.供应商财务状况报告</w:t>
            </w:r>
            <w:r>
              <w:rPr>
                <w:rFonts w:hint="eastAsia" w:ascii="宋体" w:hAnsi="宋体" w:eastAsia="宋体" w:cs="宋体"/>
                <w:color w:val="auto"/>
                <w:szCs w:val="21"/>
                <w:highlight w:val="none"/>
              </w:rPr>
              <w:t>（提供</w:t>
            </w:r>
            <w:r>
              <w:rPr>
                <w:rFonts w:hint="eastAsia" w:ascii="宋体" w:hAnsi="宋体" w:eastAsia="宋体" w:cs="宋体"/>
                <w:color w:val="auto"/>
                <w:szCs w:val="21"/>
                <w:highlight w:val="none"/>
                <w:u w:val="single"/>
              </w:rPr>
              <w:t xml:space="preserve">  2024  </w:t>
            </w:r>
            <w:r>
              <w:rPr>
                <w:rFonts w:hint="eastAsia" w:ascii="宋体" w:hAnsi="宋体" w:eastAsia="宋体" w:cs="宋体"/>
                <w:color w:val="auto"/>
                <w:szCs w:val="21"/>
                <w:highlight w:val="none"/>
              </w:rPr>
              <w:t>年度经审计的财务报告复印件或者截标时间前半年内至少一个月能反映财务状况的报表或者供应商自拟的截标时间前半年内至少一个月的财务情况说明）</w:t>
            </w:r>
            <w:r>
              <w:rPr>
                <w:rFonts w:hint="eastAsia" w:ascii="宋体" w:hAnsi="宋体" w:cs="宋体"/>
                <w:color w:val="auto"/>
                <w:szCs w:val="21"/>
                <w:highlight w:val="none"/>
              </w:rPr>
              <w:t>；</w:t>
            </w:r>
            <w:r>
              <w:rPr>
                <w:rFonts w:hint="eastAsia" w:ascii="宋体" w:hAnsi="宋体" w:cs="宋体"/>
                <w:bCs/>
                <w:color w:val="auto"/>
                <w:szCs w:val="21"/>
                <w:highlight w:val="none"/>
              </w:rPr>
              <w:t>（</w:t>
            </w:r>
            <w:bookmarkStart w:id="87" w:name="OLE_LINK23"/>
            <w:r>
              <w:rPr>
                <w:rFonts w:hint="eastAsia" w:ascii="宋体" w:hAnsi="宋体" w:cs="宋体"/>
                <w:b/>
                <w:color w:val="auto"/>
                <w:szCs w:val="21"/>
                <w:highlight w:val="none"/>
              </w:rPr>
              <w:t>必须提供，否则响应文件作无效响应处理</w:t>
            </w:r>
            <w:bookmarkEnd w:id="87"/>
            <w:r>
              <w:rPr>
                <w:rFonts w:hint="eastAsia" w:ascii="宋体" w:hAnsi="宋体" w:cs="宋体"/>
                <w:bCs/>
                <w:color w:val="auto"/>
                <w:szCs w:val="21"/>
                <w:highlight w:val="none"/>
              </w:rPr>
              <w:t>）</w:t>
            </w:r>
          </w:p>
          <w:p>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5.</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直接控股股东信息表；</w:t>
            </w:r>
            <w:r>
              <w:rPr>
                <w:rFonts w:hint="eastAsia" w:ascii="宋体" w:hAnsi="宋体" w:cs="宋体"/>
                <w:b/>
                <w:bCs/>
                <w:color w:val="auto"/>
                <w:szCs w:val="21"/>
                <w:highlight w:val="none"/>
              </w:rPr>
              <w:t>（</w:t>
            </w:r>
            <w:bookmarkStart w:id="88" w:name="OLE_LINK27"/>
            <w:r>
              <w:rPr>
                <w:rFonts w:hint="eastAsia" w:ascii="宋体" w:hAnsi="宋体" w:cs="宋体"/>
                <w:b/>
                <w:bCs/>
                <w:color w:val="auto"/>
                <w:szCs w:val="21"/>
                <w:highlight w:val="none"/>
              </w:rPr>
              <w:t>必须提供，否则作无效响应处理</w:t>
            </w:r>
            <w:bookmarkEnd w:id="88"/>
            <w:r>
              <w:rPr>
                <w:rFonts w:hint="eastAsia" w:ascii="宋体" w:hAnsi="宋体" w:cs="宋体"/>
                <w:b/>
                <w:bCs/>
                <w:color w:val="auto"/>
                <w:szCs w:val="21"/>
                <w:highlight w:val="none"/>
              </w:rPr>
              <w:t>）</w:t>
            </w:r>
          </w:p>
          <w:p>
            <w:pPr>
              <w:snapToGrid w:val="0"/>
              <w:spacing w:line="360" w:lineRule="auto"/>
              <w:jc w:val="left"/>
              <w:rPr>
                <w:rFonts w:hint="eastAsia" w:ascii="宋体" w:hAnsi="宋体" w:cs="宋体"/>
                <w:color w:val="auto"/>
                <w:szCs w:val="21"/>
                <w:highlight w:val="none"/>
                <w:lang w:val="en-US"/>
              </w:rPr>
            </w:pPr>
            <w:r>
              <w:rPr>
                <w:rFonts w:hint="eastAsia" w:ascii="宋体" w:hAnsi="宋体" w:cs="宋体"/>
                <w:color w:val="auto"/>
                <w:szCs w:val="21"/>
                <w:highlight w:val="none"/>
              </w:rPr>
              <w:t>6.</w:t>
            </w:r>
            <w:r>
              <w:rPr>
                <w:rFonts w:hint="eastAsia" w:ascii="宋体" w:hAnsi="宋体" w:cs="宋体"/>
                <w:color w:val="auto"/>
                <w:szCs w:val="21"/>
                <w:highlight w:val="none"/>
                <w:lang w:val="en-US" w:eastAsia="zh-CN"/>
              </w:rPr>
              <w:t>供应商</w:t>
            </w:r>
            <w:r>
              <w:rPr>
                <w:rFonts w:hint="eastAsia" w:ascii="宋体" w:hAnsi="宋体" w:cs="宋体"/>
                <w:color w:val="auto"/>
                <w:szCs w:val="21"/>
                <w:highlight w:val="none"/>
              </w:rPr>
              <w:t>直接管理关系信息表；</w:t>
            </w:r>
            <w:r>
              <w:rPr>
                <w:rFonts w:hint="eastAsia" w:ascii="宋体" w:hAnsi="宋体" w:eastAsia="宋体" w:cs="宋体"/>
                <w:b/>
                <w:bCs/>
                <w:color w:val="auto"/>
                <w:szCs w:val="21"/>
                <w:highlight w:val="none"/>
              </w:rPr>
              <w:t>（必须提供，否则作无效响应处理）</w:t>
            </w:r>
          </w:p>
          <w:p>
            <w:pPr>
              <w:pStyle w:val="11"/>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lang w:val="en-US"/>
              </w:rPr>
              <w:t>.</w:t>
            </w:r>
            <w:r>
              <w:rPr>
                <w:rFonts w:hint="eastAsia" w:ascii="宋体" w:hAnsi="宋体" w:cs="宋体"/>
                <w:color w:val="auto"/>
                <w:szCs w:val="21"/>
                <w:highlight w:val="none"/>
              </w:rPr>
              <w:t>本项目的特定资格要求：无；</w:t>
            </w:r>
          </w:p>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8.</w:t>
            </w:r>
            <w:bookmarkStart w:id="89" w:name="OLE_LINK28"/>
            <w:r>
              <w:rPr>
                <w:rFonts w:hint="eastAsia" w:ascii="宋体" w:hAnsi="宋体" w:eastAsia="宋体" w:cs="宋体"/>
                <w:color w:val="auto"/>
                <w:szCs w:val="21"/>
                <w:highlight w:val="none"/>
              </w:rPr>
              <w:t>声明函（格式后附）</w:t>
            </w:r>
            <w:bookmarkEnd w:id="89"/>
            <w:r>
              <w:rPr>
                <w:rFonts w:hint="eastAsia" w:ascii="宋体" w:hAnsi="宋体" w:eastAsia="宋体" w:cs="宋体"/>
                <w:color w:val="auto"/>
                <w:szCs w:val="21"/>
                <w:highlight w:val="none"/>
              </w:rPr>
              <w:t>；（</w:t>
            </w:r>
            <w:bookmarkStart w:id="90" w:name="OLE_LINK32"/>
            <w:r>
              <w:rPr>
                <w:rFonts w:hint="eastAsia" w:ascii="宋体" w:hAnsi="宋体" w:eastAsia="宋体" w:cs="宋体"/>
                <w:b/>
                <w:color w:val="auto"/>
                <w:szCs w:val="21"/>
                <w:highlight w:val="none"/>
              </w:rPr>
              <w:t>必须提供，否则响应文件作无效响应处理</w:t>
            </w:r>
            <w:bookmarkEnd w:id="90"/>
            <w:r>
              <w:rPr>
                <w:rFonts w:hint="eastAsia" w:ascii="宋体" w:hAnsi="宋体" w:eastAsia="宋体" w:cs="宋体"/>
                <w:color w:val="auto"/>
                <w:szCs w:val="21"/>
                <w:highlight w:val="none"/>
              </w:rPr>
              <w:t>）</w:t>
            </w:r>
          </w:p>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w:t>
            </w:r>
            <w:r>
              <w:rPr>
                <w:rFonts w:hint="eastAsia" w:ascii="宋体" w:hAnsi="宋体" w:eastAsia="宋体" w:cs="Times New Roman"/>
                <w:color w:val="auto"/>
                <w:szCs w:val="21"/>
                <w:highlight w:val="none"/>
              </w:rPr>
              <w:t>联合体竞标协议书</w:t>
            </w:r>
            <w:r>
              <w:rPr>
                <w:rFonts w:hint="eastAsia" w:ascii="宋体" w:hAnsi="宋体" w:eastAsia="宋体" w:cs="宋体"/>
                <w:color w:val="auto"/>
                <w:szCs w:val="21"/>
                <w:highlight w:val="none"/>
              </w:rPr>
              <w:t>（格式后附）；（</w:t>
            </w:r>
            <w:r>
              <w:rPr>
                <w:rFonts w:hint="eastAsia" w:ascii="宋体" w:hAnsi="宋体" w:eastAsia="宋体" w:cs="宋体"/>
                <w:b/>
                <w:color w:val="auto"/>
                <w:szCs w:val="21"/>
                <w:highlight w:val="none"/>
              </w:rPr>
              <w:t>联合体竞标时必须提供，否则响应文件作无效响应处理</w:t>
            </w:r>
            <w:r>
              <w:rPr>
                <w:rFonts w:hint="eastAsia" w:ascii="宋体" w:hAnsi="宋体" w:eastAsia="宋体" w:cs="宋体"/>
                <w:color w:val="auto"/>
                <w:szCs w:val="21"/>
                <w:highlight w:val="none"/>
              </w:rPr>
              <w:t>）</w:t>
            </w:r>
          </w:p>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.除谈判文件规定必须提供以外，供应商认为需要提供的其他证明材料（格式自拟）。</w:t>
            </w:r>
          </w:p>
          <w:p>
            <w:pPr>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w:t>
            </w:r>
          </w:p>
          <w:p>
            <w:pPr>
              <w:snapToGrid w:val="0"/>
              <w:spacing w:line="360" w:lineRule="auto"/>
              <w:ind w:firstLine="413" w:firstLineChars="196"/>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1.以上标明“必须提供”的材料属于复印件的扫描件的，必须加盖供应商公章，否则响应文件作无效响应处理。</w:t>
            </w:r>
          </w:p>
          <w:p>
            <w:pPr>
              <w:spacing w:line="360" w:lineRule="auto"/>
              <w:ind w:firstLine="422" w:firstLineChars="200"/>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2.联合体竞标时，第1-</w:t>
            </w:r>
            <w:r>
              <w:rPr>
                <w:rFonts w:ascii="宋体" w:hAnsi="宋体" w:eastAsia="宋体" w:cs="宋体"/>
                <w:b/>
                <w:color w:val="auto"/>
                <w:szCs w:val="21"/>
                <w:highlight w:val="none"/>
              </w:rPr>
              <w:t>5</w:t>
            </w:r>
            <w:r>
              <w:rPr>
                <w:rFonts w:hint="eastAsia" w:ascii="宋体" w:hAnsi="宋体" w:eastAsia="宋体" w:cs="宋体"/>
                <w:b/>
                <w:color w:val="auto"/>
                <w:szCs w:val="21"/>
                <w:highlight w:val="none"/>
              </w:rPr>
              <w:t>项资格证明文件联合体各方均必须分别提供，联合体各方分别盖章，否则响应文件作无效响应处理。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dxa"/>
            <w:vMerge w:val="restart"/>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r>
              <w:rPr>
                <w:rFonts w:ascii="宋体" w:hAnsi="宋体" w:eastAsia="宋体" w:cs="宋体"/>
                <w:color w:val="auto"/>
                <w:szCs w:val="21"/>
                <w:highlight w:val="none"/>
              </w:rPr>
              <w:t>1</w:t>
            </w:r>
            <w:r>
              <w:rPr>
                <w:rFonts w:hint="eastAsia" w:ascii="宋体" w:hAnsi="宋体" w:eastAsia="宋体" w:cs="宋体"/>
                <w:color w:val="auto"/>
                <w:szCs w:val="21"/>
                <w:highlight w:val="none"/>
              </w:rPr>
              <w:t>.2</w:t>
            </w:r>
          </w:p>
        </w:tc>
        <w:tc>
          <w:tcPr>
            <w:tcW w:w="2382" w:type="dxa"/>
            <w:vAlign w:val="center"/>
          </w:tcPr>
          <w:p>
            <w:pPr>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商务文件组成</w:t>
            </w:r>
          </w:p>
        </w:tc>
        <w:tc>
          <w:tcPr>
            <w:tcW w:w="6586" w:type="dxa"/>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1.无串通竞标行为的承诺函（格式后附）；（</w:t>
            </w:r>
            <w:bookmarkStart w:id="91" w:name="OLE_LINK33"/>
            <w:r>
              <w:rPr>
                <w:rFonts w:hint="eastAsia" w:ascii="宋体" w:hAnsi="宋体" w:eastAsia="宋体" w:cs="宋体"/>
                <w:b/>
                <w:color w:val="auto"/>
                <w:szCs w:val="21"/>
                <w:highlight w:val="none"/>
              </w:rPr>
              <w:t>必须提供，否则响应文件作无效响应处理</w:t>
            </w:r>
            <w:bookmarkEnd w:id="91"/>
            <w:r>
              <w:rPr>
                <w:rFonts w:hint="eastAsia" w:ascii="宋体" w:hAnsi="宋体" w:eastAsia="宋体" w:cs="宋体"/>
                <w:color w:val="auto"/>
                <w:szCs w:val="21"/>
                <w:highlight w:val="none"/>
              </w:rPr>
              <w:t>）</w:t>
            </w:r>
          </w:p>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2.法定代表人身份证明及法定代表人有效身份证正反面复印件（格式后附）；（</w:t>
            </w:r>
            <w:bookmarkStart w:id="92" w:name="OLE_LINK34"/>
            <w:r>
              <w:rPr>
                <w:rFonts w:hint="eastAsia" w:ascii="宋体" w:hAnsi="宋体" w:eastAsia="宋体" w:cs="宋体"/>
                <w:b/>
                <w:bCs/>
                <w:color w:val="auto"/>
                <w:szCs w:val="21"/>
                <w:highlight w:val="none"/>
              </w:rPr>
              <w:t>除自然人竞标外</w:t>
            </w:r>
            <w:r>
              <w:rPr>
                <w:rFonts w:hint="eastAsia" w:ascii="宋体" w:hAnsi="宋体" w:eastAsia="宋体" w:cs="宋体"/>
                <w:b/>
                <w:color w:val="auto"/>
                <w:szCs w:val="21"/>
                <w:highlight w:val="none"/>
              </w:rPr>
              <w:t>必须提供，否则响应文件作无效响应处理</w:t>
            </w:r>
            <w:bookmarkEnd w:id="92"/>
            <w:r>
              <w:rPr>
                <w:rFonts w:hint="eastAsia" w:ascii="宋体" w:hAnsi="宋体" w:eastAsia="宋体" w:cs="宋体"/>
                <w:color w:val="auto"/>
                <w:szCs w:val="21"/>
                <w:highlight w:val="none"/>
              </w:rPr>
              <w:t>）</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3.法定代表人授权委托书及委托代理人有效身份证正反面复印件（格式后附）；（</w:t>
            </w:r>
            <w:bookmarkStart w:id="93" w:name="OLE_LINK35"/>
            <w:r>
              <w:rPr>
                <w:rFonts w:hint="eastAsia" w:ascii="宋体" w:hAnsi="宋体" w:eastAsia="宋体" w:cs="宋体"/>
                <w:b/>
                <w:color w:val="auto"/>
                <w:szCs w:val="21"/>
                <w:highlight w:val="none"/>
              </w:rPr>
              <w:t>委托时必须提供，否则响应文件作无效响应处理</w:t>
            </w:r>
            <w:bookmarkEnd w:id="93"/>
            <w:r>
              <w:rPr>
                <w:rFonts w:hint="eastAsia" w:ascii="宋体" w:hAnsi="宋体" w:eastAsia="宋体" w:cs="宋体"/>
                <w:color w:val="auto"/>
                <w:szCs w:val="21"/>
                <w:highlight w:val="none"/>
              </w:rPr>
              <w:t>）</w:t>
            </w:r>
          </w:p>
          <w:p>
            <w:pPr>
              <w:spacing w:line="360" w:lineRule="auto"/>
              <w:rPr>
                <w:color w:val="auto"/>
                <w:highlight w:val="none"/>
              </w:rPr>
            </w:pPr>
            <w:r>
              <w:rPr>
                <w:rFonts w:hint="eastAsia" w:ascii="宋体" w:hAnsi="宋体" w:cs="宋体"/>
                <w:color w:val="auto"/>
                <w:szCs w:val="21"/>
                <w:highlight w:val="none"/>
              </w:rPr>
              <w:t>4.谈判保证金提交凭证；（如有要求，则</w:t>
            </w:r>
            <w:r>
              <w:rPr>
                <w:rFonts w:hint="eastAsia" w:ascii="宋体" w:hAnsi="宋体" w:cs="宋体"/>
                <w:b/>
                <w:color w:val="auto"/>
                <w:szCs w:val="21"/>
                <w:highlight w:val="none"/>
              </w:rPr>
              <w:t>必须提供，否则响应文件作无效响应处理</w:t>
            </w:r>
            <w:r>
              <w:rPr>
                <w:rFonts w:hint="eastAsia" w:ascii="宋体" w:hAnsi="宋体" w:cs="宋体"/>
                <w:color w:val="auto"/>
                <w:szCs w:val="21"/>
                <w:highlight w:val="none"/>
              </w:rPr>
              <w:t>）</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5.商务条款偏离表（格式后附）；（</w:t>
            </w:r>
            <w:bookmarkStart w:id="94" w:name="OLE_LINK37"/>
            <w:r>
              <w:rPr>
                <w:rFonts w:hint="eastAsia" w:ascii="宋体" w:hAnsi="宋体" w:eastAsia="宋体" w:cs="宋体"/>
                <w:b/>
                <w:color w:val="auto"/>
                <w:szCs w:val="21"/>
                <w:highlight w:val="none"/>
              </w:rPr>
              <w:t>必须提供，否则响应文件作无效响应处理</w:t>
            </w:r>
            <w:bookmarkEnd w:id="94"/>
            <w:r>
              <w:rPr>
                <w:rFonts w:hint="eastAsia" w:ascii="宋体" w:hAnsi="宋体" w:eastAsia="宋体" w:cs="宋体"/>
                <w:color w:val="auto"/>
                <w:szCs w:val="21"/>
                <w:highlight w:val="none"/>
              </w:rPr>
              <w:t>）</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6.供应商情况介绍（格式自拟）；</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7.对应采购需求的商务条款提供的其他文件资料（格式自拟）；</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8.供应商认为需要提供的其他有关资料（格式自拟）。</w:t>
            </w:r>
          </w:p>
          <w:p>
            <w:pPr>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 xml:space="preserve">注： </w:t>
            </w:r>
          </w:p>
          <w:p>
            <w:pPr>
              <w:snapToGrid w:val="0"/>
              <w:spacing w:line="360" w:lineRule="auto"/>
              <w:ind w:firstLine="413" w:firstLineChars="196"/>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1.法定代表人授权委托书必须由法定代表人及委托代理人签字，并加盖供应商公章，否则响应文件作无效响应处理。</w:t>
            </w:r>
          </w:p>
          <w:p>
            <w:pPr>
              <w:spacing w:line="360" w:lineRule="auto"/>
              <w:ind w:firstLine="413" w:firstLineChars="196"/>
              <w:rPr>
                <w:rFonts w:hint="eastAsia" w:ascii="宋体" w:hAnsi="宋体" w:eastAsia="宋体" w:cs="宋体"/>
                <w:b/>
                <w:color w:val="auto"/>
                <w:szCs w:val="21"/>
                <w:highlight w:val="none"/>
              </w:rPr>
            </w:pPr>
            <w:r>
              <w:rPr>
                <w:rFonts w:ascii="宋体" w:hAnsi="宋体" w:eastAsia="宋体" w:cs="宋体"/>
                <w:b/>
                <w:color w:val="auto"/>
                <w:szCs w:val="21"/>
                <w:highlight w:val="none"/>
              </w:rPr>
              <w:t>2</w:t>
            </w:r>
            <w:r>
              <w:rPr>
                <w:rFonts w:hint="eastAsia" w:ascii="宋体" w:hAnsi="宋体" w:eastAsia="宋体" w:cs="宋体"/>
                <w:b/>
                <w:color w:val="auto"/>
                <w:szCs w:val="21"/>
                <w:highlight w:val="none"/>
              </w:rPr>
              <w:t>.以上标明“必须提供”的材料属于复印件的扫描件的，必须加盖供应商公章，否则响应文件作无效响应处理。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dxa"/>
            <w:vMerge w:val="continue"/>
            <w:vAlign w:val="center"/>
          </w:tcPr>
          <w:p>
            <w:pPr>
              <w:spacing w:line="360" w:lineRule="auto"/>
              <w:jc w:val="center"/>
              <w:rPr>
                <w:rFonts w:hint="eastAsia" w:ascii="宋体" w:hAnsi="宋体" w:eastAsia="宋体" w:cs="宋体"/>
                <w:color w:val="auto"/>
                <w:szCs w:val="21"/>
                <w:highlight w:val="none"/>
              </w:rPr>
            </w:pPr>
          </w:p>
        </w:tc>
        <w:tc>
          <w:tcPr>
            <w:tcW w:w="2382" w:type="dxa"/>
            <w:vAlign w:val="center"/>
          </w:tcPr>
          <w:p>
            <w:pPr>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技术文件组成</w:t>
            </w:r>
          </w:p>
        </w:tc>
        <w:tc>
          <w:tcPr>
            <w:tcW w:w="6586" w:type="dxa"/>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1.技术需求偏离表（格式后附）；（</w:t>
            </w:r>
            <w:bookmarkStart w:id="95" w:name="OLE_LINK38"/>
            <w:r>
              <w:rPr>
                <w:rFonts w:hint="eastAsia" w:ascii="宋体" w:hAnsi="宋体" w:eastAsia="宋体" w:cs="宋体"/>
                <w:b/>
                <w:color w:val="auto"/>
                <w:szCs w:val="21"/>
                <w:highlight w:val="none"/>
              </w:rPr>
              <w:t>必须提供，否则响应文件作无效响应处理</w:t>
            </w:r>
            <w:bookmarkEnd w:id="95"/>
            <w:r>
              <w:rPr>
                <w:rFonts w:hint="eastAsia" w:ascii="宋体" w:hAnsi="宋体" w:eastAsia="宋体" w:cs="宋体"/>
                <w:color w:val="auto"/>
                <w:szCs w:val="21"/>
                <w:highlight w:val="none"/>
              </w:rPr>
              <w:t>）</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2.售后服务方案（部分格式后附）；（</w:t>
            </w:r>
            <w:bookmarkStart w:id="96" w:name="OLE_LINK39"/>
            <w:r>
              <w:rPr>
                <w:rFonts w:hint="eastAsia" w:ascii="宋体" w:hAnsi="宋体" w:eastAsia="宋体" w:cs="宋体"/>
                <w:b/>
                <w:color w:val="auto"/>
                <w:szCs w:val="21"/>
                <w:highlight w:val="none"/>
              </w:rPr>
              <w:t>必须提供，否则响应文件作无效响应处理</w:t>
            </w:r>
            <w:bookmarkEnd w:id="96"/>
            <w:r>
              <w:rPr>
                <w:rFonts w:hint="eastAsia" w:ascii="宋体" w:hAnsi="宋体" w:eastAsia="宋体" w:cs="宋体"/>
                <w:color w:val="auto"/>
                <w:szCs w:val="21"/>
                <w:highlight w:val="none"/>
              </w:rPr>
              <w:t>）</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3.项目实施人员一览表（格式后附）（</w:t>
            </w:r>
            <w:r>
              <w:rPr>
                <w:rFonts w:hint="eastAsia" w:ascii="宋体" w:hAnsi="宋体" w:eastAsia="宋体" w:cs="宋体"/>
                <w:b/>
                <w:color w:val="auto"/>
                <w:szCs w:val="21"/>
                <w:highlight w:val="none"/>
              </w:rPr>
              <w:t>如</w:t>
            </w:r>
            <w:r>
              <w:rPr>
                <w:rFonts w:ascii="宋体" w:hAnsi="宋体" w:eastAsia="宋体" w:cs="宋体"/>
                <w:b/>
                <w:color w:val="auto"/>
                <w:szCs w:val="21"/>
                <w:highlight w:val="none"/>
              </w:rPr>
              <w:t>有请提供</w:t>
            </w:r>
            <w:r>
              <w:rPr>
                <w:rFonts w:hint="eastAsia" w:ascii="宋体" w:hAnsi="宋体" w:eastAsia="宋体" w:cs="宋体"/>
                <w:color w:val="auto"/>
                <w:szCs w:val="21"/>
                <w:highlight w:val="none"/>
              </w:rPr>
              <w:t xml:space="preserve">）； </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4.对应采购需求的技术需求提供的其他文件资料（格式自拟）；</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5.供应商认为需要提供的其他有关资料（格式自拟）。</w:t>
            </w:r>
          </w:p>
          <w:p>
            <w:pPr>
              <w:spacing w:line="360" w:lineRule="auto"/>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注：1.以上标明“必须提供”的材料属于复印件的扫描件的，必须加盖供应商公章，否则响应文件作无效响应处理。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r>
              <w:rPr>
                <w:rFonts w:ascii="宋体" w:hAnsi="宋体" w:eastAsia="宋体" w:cs="宋体"/>
                <w:color w:val="auto"/>
                <w:szCs w:val="21"/>
                <w:highlight w:val="none"/>
              </w:rPr>
              <w:t>1</w:t>
            </w:r>
            <w:r>
              <w:rPr>
                <w:rFonts w:hint="eastAsia" w:ascii="宋体" w:hAnsi="宋体" w:eastAsia="宋体" w:cs="宋体"/>
                <w:color w:val="auto"/>
                <w:szCs w:val="21"/>
                <w:highlight w:val="none"/>
              </w:rPr>
              <w:t>.3</w:t>
            </w:r>
          </w:p>
        </w:tc>
        <w:tc>
          <w:tcPr>
            <w:tcW w:w="238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报价文件组成</w:t>
            </w:r>
          </w:p>
        </w:tc>
        <w:tc>
          <w:tcPr>
            <w:tcW w:w="6586" w:type="dxa"/>
            <w:vAlign w:val="center"/>
          </w:tcPr>
          <w:p>
            <w:pPr>
              <w:spacing w:line="360" w:lineRule="auto"/>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1.响应函</w:t>
            </w:r>
            <w:r>
              <w:rPr>
                <w:rFonts w:hint="eastAsia" w:ascii="宋体" w:hAnsi="宋体" w:eastAsia="宋体" w:cs="宋体"/>
                <w:color w:val="auto"/>
                <w:szCs w:val="21"/>
                <w:highlight w:val="none"/>
              </w:rPr>
              <w:t>（格式后附）</w:t>
            </w:r>
            <w:r>
              <w:rPr>
                <w:rFonts w:hint="eastAsia" w:ascii="宋体" w:hAnsi="宋体" w:eastAsia="宋体" w:cs="Times New Roman"/>
                <w:color w:val="auto"/>
                <w:szCs w:val="21"/>
                <w:highlight w:val="none"/>
              </w:rPr>
              <w:t>；</w:t>
            </w:r>
            <w:r>
              <w:rPr>
                <w:rFonts w:hint="eastAsia" w:ascii="宋体" w:hAnsi="宋体" w:eastAsia="宋体" w:cs="Times New Roman"/>
                <w:b/>
                <w:color w:val="auto"/>
                <w:szCs w:val="21"/>
                <w:highlight w:val="none"/>
              </w:rPr>
              <w:t>（</w:t>
            </w:r>
            <w:bookmarkStart w:id="97" w:name="OLE_LINK40"/>
            <w:r>
              <w:rPr>
                <w:rFonts w:hint="eastAsia" w:ascii="宋体" w:hAnsi="宋体" w:eastAsia="宋体" w:cs="Times New Roman"/>
                <w:b/>
                <w:color w:val="auto"/>
                <w:szCs w:val="21"/>
                <w:highlight w:val="none"/>
              </w:rPr>
              <w:t>必须提供，否则</w:t>
            </w:r>
            <w:r>
              <w:rPr>
                <w:rFonts w:hint="eastAsia" w:ascii="宋体" w:hAnsi="宋体" w:eastAsia="宋体" w:cs="宋体"/>
                <w:b/>
                <w:color w:val="auto"/>
                <w:szCs w:val="21"/>
                <w:highlight w:val="none"/>
              </w:rPr>
              <w:t>响应文件作无效</w:t>
            </w:r>
            <w:r>
              <w:rPr>
                <w:rFonts w:hint="eastAsia" w:ascii="宋体" w:hAnsi="宋体" w:eastAsia="宋体" w:cs="Times New Roman"/>
                <w:b/>
                <w:color w:val="auto"/>
                <w:szCs w:val="21"/>
                <w:highlight w:val="none"/>
              </w:rPr>
              <w:t>响应处理</w:t>
            </w:r>
            <w:bookmarkEnd w:id="97"/>
            <w:r>
              <w:rPr>
                <w:rFonts w:hint="eastAsia" w:ascii="宋体" w:hAnsi="宋体" w:eastAsia="宋体" w:cs="Times New Roman"/>
                <w:b/>
                <w:color w:val="auto"/>
                <w:szCs w:val="21"/>
                <w:highlight w:val="none"/>
              </w:rPr>
              <w:t>）</w:t>
            </w:r>
          </w:p>
          <w:p>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 w:val="24"/>
                <w:szCs w:val="24"/>
                <w:highlight w:val="none"/>
              </w:rPr>
              <w:t>2.</w:t>
            </w:r>
            <w:bookmarkStart w:id="98" w:name="OLE_LINK41"/>
            <w:r>
              <w:rPr>
                <w:rFonts w:hint="eastAsia" w:ascii="宋体" w:hAnsi="宋体" w:eastAsia="宋体" w:cs="宋体"/>
                <w:color w:val="auto"/>
                <w:szCs w:val="21"/>
                <w:highlight w:val="none"/>
              </w:rPr>
              <w:t>响应报价表（格式后附）</w:t>
            </w:r>
            <w:bookmarkEnd w:id="98"/>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必须提供，否则响应文件作无效响应处理</w:t>
            </w:r>
            <w:r>
              <w:rPr>
                <w:rFonts w:hint="eastAsia" w:ascii="宋体" w:hAnsi="宋体" w:eastAsia="宋体" w:cs="宋体"/>
                <w:color w:val="auto"/>
                <w:szCs w:val="21"/>
                <w:highlight w:val="none"/>
              </w:rPr>
              <w:t>）</w:t>
            </w:r>
          </w:p>
          <w:p>
            <w:pPr>
              <w:pStyle w:val="21"/>
              <w:spacing w:line="360" w:lineRule="auto"/>
              <w:rPr>
                <w:rFonts w:hint="eastAsia" w:ascii="宋体" w:hAnsi="宋体" w:cs="宋体"/>
                <w:color w:val="auto"/>
                <w:sz w:val="21"/>
                <w:szCs w:val="21"/>
                <w:highlight w:val="none"/>
                <w:lang w:val="en-US"/>
              </w:rPr>
            </w:pPr>
            <w:r>
              <w:rPr>
                <w:rFonts w:hint="eastAsia" w:ascii="宋体" w:hAnsi="宋体"/>
                <w:color w:val="auto"/>
                <w:szCs w:val="21"/>
                <w:highlight w:val="none"/>
              </w:rPr>
              <w:t>3.</w:t>
            </w:r>
            <w:r>
              <w:rPr>
                <w:rFonts w:hint="eastAsia" w:ascii="宋体" w:hAnsi="宋体" w:cs="宋体"/>
                <w:color w:val="auto"/>
                <w:sz w:val="21"/>
                <w:szCs w:val="21"/>
                <w:highlight w:val="none"/>
              </w:rPr>
              <w:t>中小企业声明函或者残疾人福利性单位声明函（格式后附）或者供应商属于监狱企业的，提供由省级以上监狱管理局、戒毒管理局（含新疆生产建设兵团）出具的属于监狱企业的证明文件；</w:t>
            </w:r>
            <w:r>
              <w:rPr>
                <w:rFonts w:hint="eastAsia" w:ascii="宋体" w:hAnsi="宋体" w:cs="宋体"/>
                <w:b/>
                <w:bCs/>
                <w:color w:val="auto"/>
                <w:sz w:val="21"/>
                <w:szCs w:val="21"/>
                <w:highlight w:val="none"/>
              </w:rPr>
              <w:t>（如有请提供）</w:t>
            </w:r>
          </w:p>
          <w:p>
            <w:pPr>
              <w:spacing w:line="360" w:lineRule="auto"/>
              <w:jc w:val="left"/>
              <w:rPr>
                <w:rFonts w:hint="eastAsia" w:ascii="宋体" w:hAnsi="宋体" w:eastAsia="宋体" w:cs="Times New Roman"/>
                <w:color w:val="auto"/>
                <w:szCs w:val="21"/>
                <w:highlight w:val="none"/>
              </w:rPr>
            </w:pPr>
            <w:r>
              <w:rPr>
                <w:rFonts w:hint="eastAsia" w:ascii="宋体" w:hAnsi="宋体" w:cs="宋体"/>
                <w:color w:val="auto"/>
                <w:szCs w:val="21"/>
                <w:highlight w:val="none"/>
              </w:rPr>
              <w:t>4.供应商针对报价需要说明的其他文件和说明</w:t>
            </w:r>
            <w:r>
              <w:rPr>
                <w:rFonts w:hint="eastAsia" w:ascii="宋体" w:hAnsi="宋体" w:eastAsia="宋体" w:cs="宋体"/>
                <w:color w:val="auto"/>
                <w:szCs w:val="21"/>
                <w:highlight w:val="none"/>
              </w:rPr>
              <w:t>（格式自拟）</w:t>
            </w:r>
            <w:r>
              <w:rPr>
                <w:rFonts w:hint="eastAsia" w:ascii="宋体" w:hAnsi="宋体" w:cs="宋体"/>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r>
              <w:rPr>
                <w:rFonts w:ascii="宋体" w:hAnsi="宋体" w:eastAsia="宋体" w:cs="宋体"/>
                <w:color w:val="auto"/>
                <w:szCs w:val="21"/>
                <w:highlight w:val="none"/>
              </w:rPr>
              <w:t>2</w:t>
            </w:r>
          </w:p>
        </w:tc>
        <w:tc>
          <w:tcPr>
            <w:tcW w:w="238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响应文件电子版要求</w:t>
            </w:r>
          </w:p>
        </w:tc>
        <w:tc>
          <w:tcPr>
            <w:tcW w:w="6586" w:type="dxa"/>
            <w:vAlign w:val="center"/>
          </w:tcPr>
          <w:p>
            <w:pPr>
              <w:pStyle w:val="11"/>
              <w:spacing w:line="360" w:lineRule="auto"/>
              <w:rPr>
                <w:rFonts w:hint="eastAsia" w:ascii="宋体" w:hAnsi="宋体" w:cs="宋体"/>
                <w:color w:val="auto"/>
                <w:szCs w:val="21"/>
                <w:highlight w:val="none"/>
              </w:rPr>
            </w:pPr>
            <w:r>
              <w:rPr>
                <w:rFonts w:hint="eastAsia" w:ascii="宋体" w:hAnsi="宋体" w:cs="宋体"/>
                <w:color w:val="auto"/>
                <w:szCs w:val="21"/>
                <w:highlight w:val="none"/>
              </w:rPr>
              <w:t>1.响应文件电子版要求：按照本</w:t>
            </w:r>
            <w:r>
              <w:rPr>
                <w:rFonts w:hint="eastAsia" w:ascii="宋体" w:hAnsi="宋体" w:cs="宋体"/>
                <w:color w:val="auto"/>
                <w:szCs w:val="21"/>
                <w:highlight w:val="none"/>
                <w:lang w:val="en-US"/>
              </w:rPr>
              <w:t>竞争性谈判</w:t>
            </w:r>
            <w:r>
              <w:rPr>
                <w:rFonts w:hint="eastAsia" w:ascii="宋体" w:hAnsi="宋体" w:cs="宋体"/>
                <w:color w:val="auto"/>
                <w:szCs w:val="21"/>
                <w:highlight w:val="none"/>
              </w:rPr>
              <w:t>文件“</w:t>
            </w:r>
            <w:r>
              <w:rPr>
                <w:rFonts w:hint="eastAsia" w:ascii="宋体" w:hAnsi="宋体"/>
                <w:color w:val="auto"/>
                <w:szCs w:val="21"/>
                <w:highlight w:val="none"/>
              </w:rPr>
              <w:t>第五章 响应文件格式</w:t>
            </w:r>
            <w:r>
              <w:rPr>
                <w:rFonts w:hint="eastAsia" w:ascii="宋体" w:hAnsi="宋体" w:cs="宋体"/>
                <w:color w:val="auto"/>
                <w:szCs w:val="21"/>
                <w:highlight w:val="none"/>
              </w:rPr>
              <w:t>”编写，第五章未附格式的，由供应商自行拟定。</w:t>
            </w:r>
          </w:p>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Courier New"/>
                <w:color w:val="auto"/>
                <w:szCs w:val="21"/>
                <w:highlight w:val="none"/>
              </w:rPr>
              <w:t>.响应文件电子版密封方式：电子响应文件通过平台有效CA加密后在</w:t>
            </w:r>
            <w:r>
              <w:rPr>
                <w:rFonts w:hint="eastAsia" w:ascii="宋体" w:hAnsi="宋体" w:cs="宋体"/>
                <w:color w:val="auto"/>
                <w:szCs w:val="21"/>
                <w:highlight w:val="none"/>
              </w:rPr>
              <w:t>广西政府采购云平台</w:t>
            </w:r>
            <w:r>
              <w:rPr>
                <w:rFonts w:hint="eastAsia" w:ascii="宋体" w:hAnsi="宋体" w:eastAsia="宋体" w:cs="Courier New"/>
                <w:color w:val="auto"/>
                <w:szCs w:val="21"/>
                <w:highlight w:val="none"/>
              </w:rPr>
              <w:t>投送。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w:t>
            </w:r>
          </w:p>
        </w:tc>
        <w:tc>
          <w:tcPr>
            <w:tcW w:w="238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响应报价要求</w:t>
            </w:r>
          </w:p>
        </w:tc>
        <w:tc>
          <w:tcPr>
            <w:tcW w:w="6586" w:type="dxa"/>
            <w:vAlign w:val="center"/>
          </w:tcPr>
          <w:p>
            <w:pPr>
              <w:snapToGrid w:val="0"/>
              <w:spacing w:line="360" w:lineRule="auto"/>
              <w:jc w:val="left"/>
              <w:rPr>
                <w:color w:val="auto"/>
                <w:highlight w:val="none"/>
              </w:rPr>
            </w:pPr>
            <w:r>
              <w:rPr>
                <w:rFonts w:hint="eastAsia"/>
                <w:color w:val="auto"/>
                <w:highlight w:val="none"/>
              </w:rPr>
              <w:t>响应报价必须包含满足本次竞标</w:t>
            </w:r>
            <w:bookmarkStart w:id="99" w:name="OLE_LINK29"/>
            <w:r>
              <w:rPr>
                <w:rFonts w:hint="eastAsia"/>
                <w:color w:val="auto"/>
                <w:highlight w:val="none"/>
              </w:rPr>
              <w:t>全部采购需求所应提供的货物，以及伴随的服务和工程（如有）的价格；包含竞标货物、工程的成本、运输（含保险）、安装（如有）、调试、检验、技术服务、培训、税费等所有费用</w:t>
            </w:r>
            <w:bookmarkEnd w:id="99"/>
            <w:r>
              <w:rPr>
                <w:rFonts w:hint="eastAsia"/>
                <w:color w:val="auto"/>
                <w:highlight w:val="none"/>
              </w:rPr>
              <w:t>。（采购需求另有约定的，从其约定。）</w:t>
            </w:r>
          </w:p>
          <w:p>
            <w:pPr>
              <w:pStyle w:val="13"/>
              <w:spacing w:after="0" w:line="360" w:lineRule="auto"/>
              <w:rPr>
                <w:b/>
                <w:bCs/>
                <w:color w:val="auto"/>
                <w:highlight w:val="none"/>
              </w:rPr>
            </w:pPr>
            <w:r>
              <w:rPr>
                <w:rFonts w:hint="eastAsia"/>
                <w:b/>
                <w:bCs/>
                <w:color w:val="auto"/>
                <w:highlight w:val="none"/>
              </w:rPr>
              <w:t>☑响应报价包含验收费用</w:t>
            </w:r>
          </w:p>
          <w:p>
            <w:pPr>
              <w:pStyle w:val="13"/>
              <w:spacing w:after="0" w:line="360" w:lineRule="auto"/>
              <w:rPr>
                <w:color w:val="auto"/>
                <w:highlight w:val="none"/>
              </w:rPr>
            </w:pPr>
            <w:r>
              <w:rPr>
                <w:rFonts w:hint="eastAsia"/>
                <w:b/>
                <w:bCs/>
                <w:color w:val="auto"/>
                <w:highlight w:val="none"/>
              </w:rPr>
              <w:t>□响应报价不包含验收费用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16.</w:t>
            </w:r>
            <w:r>
              <w:rPr>
                <w:rFonts w:ascii="宋体" w:hAnsi="宋体" w:eastAsia="宋体" w:cs="宋体"/>
                <w:color w:val="auto"/>
                <w:szCs w:val="21"/>
                <w:highlight w:val="none"/>
              </w:rPr>
              <w:t>2</w:t>
            </w:r>
          </w:p>
        </w:tc>
        <w:tc>
          <w:tcPr>
            <w:tcW w:w="238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竞标有效期</w:t>
            </w:r>
          </w:p>
        </w:tc>
        <w:tc>
          <w:tcPr>
            <w:tcW w:w="6586" w:type="dxa"/>
            <w:vAlign w:val="center"/>
          </w:tcPr>
          <w:p>
            <w:pPr>
              <w:tabs>
                <w:tab w:val="left" w:pos="720"/>
                <w:tab w:val="left" w:pos="840"/>
              </w:tabs>
              <w:snapToGrid w:val="0"/>
              <w:spacing w:line="360" w:lineRule="auto"/>
              <w:ind w:left="283" w:hanging="283" w:hangingChars="135"/>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自首次响应文件提交截止之日起</w:t>
            </w:r>
            <w:bookmarkStart w:id="100" w:name="PO_3000001871_PM046"/>
            <w:r>
              <w:rPr>
                <w:rFonts w:hint="eastAsia" w:ascii="宋体" w:hAnsi="宋体" w:eastAsia="宋体" w:cs="宋体"/>
                <w:color w:val="auto"/>
                <w:szCs w:val="21"/>
                <w:highlight w:val="none"/>
                <w:u w:val="single"/>
              </w:rPr>
              <w:t xml:space="preserve">  90  </w:t>
            </w:r>
            <w:bookmarkEnd w:id="100"/>
            <w:r>
              <w:rPr>
                <w:rFonts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17.1</w:t>
            </w:r>
          </w:p>
        </w:tc>
        <w:tc>
          <w:tcPr>
            <w:tcW w:w="238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谈判保证金</w:t>
            </w:r>
          </w:p>
        </w:tc>
        <w:tc>
          <w:tcPr>
            <w:tcW w:w="6586" w:type="dxa"/>
            <w:vAlign w:val="center"/>
          </w:tcPr>
          <w:p>
            <w:pPr>
              <w:spacing w:line="360" w:lineRule="auto"/>
              <w:rPr>
                <w:rFonts w:hint="eastAsia" w:ascii="宋体" w:hAnsi="宋体"/>
                <w:b/>
                <w:bCs/>
                <w:color w:val="auto"/>
                <w:szCs w:val="21"/>
                <w:highlight w:val="none"/>
              </w:rPr>
            </w:pPr>
            <w:r>
              <w:rPr>
                <w:rFonts w:hint="eastAsia" w:ascii="宋体" w:hAnsi="宋体"/>
                <w:b/>
                <w:bCs/>
                <w:color w:val="auto"/>
                <w:szCs w:val="21"/>
                <w:highlight w:val="none"/>
              </w:rPr>
              <w:t>□ 本项目不需要</w:t>
            </w:r>
            <w:r>
              <w:rPr>
                <w:rFonts w:hint="eastAsia" w:ascii="宋体" w:hAnsi="宋体" w:cs="宋体"/>
                <w:b/>
                <w:bCs/>
                <w:color w:val="auto"/>
                <w:szCs w:val="21"/>
                <w:highlight w:val="none"/>
              </w:rPr>
              <w:t>缴</w:t>
            </w:r>
            <w:r>
              <w:rPr>
                <w:rFonts w:hint="eastAsia" w:ascii="宋体" w:hAnsi="宋体" w:cs="宋体"/>
                <w:b/>
                <w:bCs/>
                <w:color w:val="auto"/>
                <w:kern w:val="0"/>
                <w:szCs w:val="21"/>
                <w:highlight w:val="none"/>
              </w:rPr>
              <w:t>纳谈判</w:t>
            </w:r>
            <w:r>
              <w:rPr>
                <w:rFonts w:hint="eastAsia" w:ascii="宋体" w:hAnsi="宋体"/>
                <w:b/>
                <w:bCs/>
                <w:color w:val="auto"/>
                <w:szCs w:val="21"/>
                <w:highlight w:val="none"/>
              </w:rPr>
              <w:t>保证金。</w:t>
            </w:r>
          </w:p>
          <w:p>
            <w:pPr>
              <w:snapToGrid w:val="0"/>
              <w:spacing w:line="360" w:lineRule="auto"/>
              <w:rPr>
                <w:rFonts w:hint="eastAsia" w:ascii="宋体" w:hAnsi="宋体" w:cs="宋体"/>
                <w:b/>
                <w:bCs/>
                <w:color w:val="auto"/>
                <w:szCs w:val="21"/>
                <w:highlight w:val="none"/>
              </w:rPr>
            </w:pPr>
            <w:r>
              <w:rPr>
                <w:rFonts w:hint="eastAsia" w:ascii="宋体" w:hAnsi="宋体"/>
                <w:b/>
                <w:bCs/>
                <w:color w:val="auto"/>
                <w:szCs w:val="21"/>
                <w:highlight w:val="none"/>
              </w:rPr>
              <w:t>☑ 本项目需要</w:t>
            </w:r>
            <w:r>
              <w:rPr>
                <w:rFonts w:hint="eastAsia" w:ascii="宋体" w:hAnsi="宋体" w:cs="宋体"/>
                <w:b/>
                <w:bCs/>
                <w:color w:val="auto"/>
                <w:szCs w:val="21"/>
                <w:highlight w:val="none"/>
              </w:rPr>
              <w:t>缴</w:t>
            </w:r>
            <w:r>
              <w:rPr>
                <w:rFonts w:hint="eastAsia" w:ascii="宋体" w:hAnsi="宋体" w:cs="宋体"/>
                <w:b/>
                <w:bCs/>
                <w:color w:val="auto"/>
                <w:kern w:val="0"/>
                <w:szCs w:val="21"/>
                <w:highlight w:val="none"/>
              </w:rPr>
              <w:t>纳谈判</w:t>
            </w:r>
            <w:r>
              <w:rPr>
                <w:rFonts w:hint="eastAsia" w:ascii="宋体" w:hAnsi="宋体"/>
                <w:b/>
                <w:bCs/>
                <w:color w:val="auto"/>
                <w:szCs w:val="21"/>
                <w:highlight w:val="none"/>
              </w:rPr>
              <w:t>保证金，</w:t>
            </w:r>
            <w:r>
              <w:rPr>
                <w:rFonts w:hint="eastAsia" w:ascii="宋体" w:hAnsi="宋体" w:cs="宋体"/>
                <w:b/>
                <w:bCs/>
                <w:color w:val="auto"/>
                <w:szCs w:val="21"/>
                <w:highlight w:val="none"/>
              </w:rPr>
              <w:t>相关要求如下：</w:t>
            </w:r>
          </w:p>
          <w:p>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1.谈判保证金的缴纳方式：详见竞争性谈判公告。</w:t>
            </w:r>
          </w:p>
          <w:p>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2.谈判保证金的金额：详见竞争性谈判公告。</w:t>
            </w:r>
          </w:p>
          <w:p>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3.谈判保证金采用银行转账缴纳方式的，在首次响应文件提交截止时间前交至采购代理机构指定账户并且到账，供应商应将银行转账底单的复印件</w:t>
            </w:r>
            <w:r>
              <w:rPr>
                <w:rFonts w:hint="eastAsia" w:ascii="宋体" w:hAnsi="宋体" w:eastAsia="宋体" w:cs="宋体"/>
                <w:color w:val="auto"/>
                <w:szCs w:val="21"/>
                <w:highlight w:val="none"/>
              </w:rPr>
              <w:t>或者金融机构、担保机构出具的</w:t>
            </w:r>
            <w:r>
              <w:rPr>
                <w:rFonts w:hint="eastAsia" w:ascii="宋体" w:hAnsi="宋体" w:cs="宋体"/>
                <w:color w:val="auto"/>
                <w:kern w:val="0"/>
                <w:szCs w:val="21"/>
                <w:highlight w:val="none"/>
              </w:rPr>
              <w:t>电子保函</w:t>
            </w:r>
            <w:r>
              <w:rPr>
                <w:rFonts w:hint="eastAsia" w:ascii="宋体" w:hAnsi="宋体" w:cs="宋体"/>
                <w:color w:val="auto"/>
                <w:szCs w:val="21"/>
                <w:highlight w:val="none"/>
              </w:rPr>
              <w:t>作为谈判保证金提交凭证，放置于商务文件中，</w:t>
            </w:r>
            <w:r>
              <w:rPr>
                <w:rFonts w:hint="eastAsia" w:ascii="宋体" w:hAnsi="宋体" w:eastAsia="宋体" w:cs="宋体"/>
                <w:b/>
                <w:color w:val="auto"/>
                <w:szCs w:val="21"/>
                <w:highlight w:val="none"/>
              </w:rPr>
              <w:t>否则响应文件作无效响应处理</w:t>
            </w:r>
            <w:r>
              <w:rPr>
                <w:rFonts w:hint="eastAsia" w:ascii="宋体" w:hAnsi="宋体" w:cs="宋体"/>
                <w:color w:val="auto"/>
                <w:szCs w:val="21"/>
                <w:highlight w:val="none"/>
              </w:rPr>
              <w:t>。</w:t>
            </w:r>
          </w:p>
          <w:p>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4.谈判保证金采用支票、汇票、本票或者金融机构、担保机构出具的保函等缴纳方式的，供应商应将支票、汇票、本票或者金融机构、担保机构出具的保函等的复印件作为谈判保证金提交凭证，放置于</w:t>
            </w:r>
            <w:r>
              <w:rPr>
                <w:rFonts w:hint="eastAsia" w:ascii="宋体" w:hAnsi="宋体" w:cs="宋体"/>
                <w:color w:val="auto"/>
                <w:szCs w:val="21"/>
                <w:highlight w:val="none"/>
              </w:rPr>
              <w:t>商务文件</w:t>
            </w:r>
            <w:r>
              <w:rPr>
                <w:rFonts w:hint="eastAsia" w:ascii="宋体" w:hAnsi="宋体"/>
                <w:color w:val="auto"/>
                <w:szCs w:val="21"/>
                <w:highlight w:val="none"/>
              </w:rPr>
              <w:t>中，</w:t>
            </w:r>
            <w:r>
              <w:rPr>
                <w:rFonts w:hint="eastAsia" w:ascii="宋体" w:hAnsi="宋体" w:eastAsia="宋体" w:cs="宋体"/>
                <w:b/>
                <w:color w:val="auto"/>
                <w:szCs w:val="21"/>
                <w:highlight w:val="none"/>
              </w:rPr>
              <w:t>否则响应文件作无效响应处理</w:t>
            </w:r>
            <w:r>
              <w:rPr>
                <w:rFonts w:hint="eastAsia" w:ascii="宋体" w:hAnsi="宋体"/>
                <w:color w:val="auto"/>
                <w:szCs w:val="21"/>
                <w:highlight w:val="none"/>
              </w:rPr>
              <w:t>。供应商必须在首次响应文件提交截止时间前将支票、汇票、本票或者金融机构、担保机构出具的保函</w:t>
            </w:r>
            <w:r>
              <w:rPr>
                <w:rFonts w:hint="eastAsia" w:ascii="宋体" w:hAnsi="宋体" w:cs="宋体"/>
                <w:color w:val="auto"/>
                <w:szCs w:val="21"/>
                <w:highlight w:val="none"/>
              </w:rPr>
              <w:t>（</w:t>
            </w:r>
            <w:r>
              <w:rPr>
                <w:rFonts w:hint="eastAsia" w:ascii="宋体" w:hAnsi="宋体" w:cs="宋体"/>
                <w:color w:val="auto"/>
                <w:kern w:val="0"/>
                <w:szCs w:val="21"/>
                <w:highlight w:val="none"/>
              </w:rPr>
              <w:t>电子保函除外</w:t>
            </w:r>
            <w:r>
              <w:rPr>
                <w:rFonts w:hint="eastAsia" w:ascii="宋体" w:hAnsi="宋体" w:cs="宋体"/>
                <w:color w:val="auto"/>
                <w:szCs w:val="21"/>
                <w:highlight w:val="none"/>
              </w:rPr>
              <w:t>）</w:t>
            </w:r>
            <w:r>
              <w:rPr>
                <w:rFonts w:hint="eastAsia" w:ascii="宋体" w:hAnsi="宋体"/>
                <w:color w:val="auto"/>
                <w:szCs w:val="21"/>
                <w:highlight w:val="none"/>
              </w:rPr>
              <w:t>等原件提交给采购代理机构，由采购代理机构向供应商出具回执，并妥善保管。</w:t>
            </w:r>
          </w:p>
          <w:p>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5.谈判保证金指定账户：详见竞争性谈判公告。</w:t>
            </w:r>
          </w:p>
          <w:p>
            <w:pPr>
              <w:pStyle w:val="11"/>
              <w:spacing w:line="360" w:lineRule="auto"/>
              <w:rPr>
                <w:rFonts w:hint="eastAsia" w:ascii="宋体" w:hAnsi="宋体" w:cs="宋体"/>
                <w:b/>
                <w:color w:val="auto"/>
                <w:szCs w:val="21"/>
                <w:highlight w:val="none"/>
              </w:rPr>
            </w:pPr>
            <w:r>
              <w:rPr>
                <w:rFonts w:hint="eastAsia" w:ascii="宋体" w:hAnsi="宋体" w:cs="宋体"/>
                <w:color w:val="auto"/>
                <w:szCs w:val="21"/>
                <w:highlight w:val="none"/>
                <w:lang w:val="en-US"/>
              </w:rPr>
              <w:t>6</w:t>
            </w:r>
            <w:r>
              <w:rPr>
                <w:rFonts w:hint="eastAsia" w:ascii="宋体" w:hAnsi="宋体" w:cs="宋体"/>
                <w:color w:val="auto"/>
                <w:szCs w:val="21"/>
                <w:highlight w:val="none"/>
              </w:rPr>
              <w:t>.供应商为联合体的，可以由联合体中的一方或者多方共同缴纳</w:t>
            </w:r>
            <w:r>
              <w:rPr>
                <w:rFonts w:hint="eastAsia"/>
                <w:color w:val="auto"/>
                <w:highlight w:val="none"/>
              </w:rPr>
              <w:t>谈判保证金</w:t>
            </w:r>
            <w:r>
              <w:rPr>
                <w:rFonts w:hint="eastAsia" w:ascii="宋体" w:hAnsi="宋体" w:cs="宋体"/>
                <w:color w:val="auto"/>
                <w:szCs w:val="21"/>
                <w:highlight w:val="none"/>
              </w:rPr>
              <w:t>，其缴纳的谈判保证金对联合体各方均具有约束力。</w:t>
            </w:r>
          </w:p>
          <w:p>
            <w:pPr>
              <w:snapToGrid w:val="0"/>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 xml:space="preserve">备注： </w:t>
            </w:r>
          </w:p>
          <w:p>
            <w:pPr>
              <w:snapToGrid w:val="0"/>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1. 首次响应文件提交截止时间后提交的，或者未足额缴纳的，或者保函额度不足的，视为无效谈判保证金。</w:t>
            </w:r>
          </w:p>
          <w:p>
            <w:pPr>
              <w:snapToGrid w:val="0"/>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2.供应商采用现金方式或者从个人账户（自然人竞标除外）转出的谈判保证金，视为无效谈判保证金。</w:t>
            </w:r>
          </w:p>
          <w:p>
            <w:pPr>
              <w:snapToGrid w:val="0"/>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3.支票、汇票或者本票出现无效或者背书情形的，视为无效谈判保证金。</w:t>
            </w:r>
          </w:p>
          <w:p>
            <w:pPr>
              <w:snapToGrid w:val="0"/>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4.保函有效期低于竞标有效期的，视为无效谈判保证金。</w:t>
            </w:r>
          </w:p>
          <w:p>
            <w:pPr>
              <w:autoSpaceDE w:val="0"/>
              <w:autoSpaceDN w:val="0"/>
              <w:snapToGrid w:val="0"/>
              <w:spacing w:line="360" w:lineRule="auto"/>
              <w:textAlignment w:val="bottom"/>
              <w:rPr>
                <w:rFonts w:hint="eastAsia" w:ascii="宋体" w:hAnsi="宋体" w:eastAsia="宋体" w:cs="Times New Roman"/>
                <w:color w:val="auto"/>
                <w:szCs w:val="21"/>
                <w:highlight w:val="none"/>
              </w:rPr>
            </w:pPr>
            <w:r>
              <w:rPr>
                <w:rFonts w:hint="eastAsia" w:ascii="宋体" w:hAnsi="宋体" w:cs="宋体"/>
                <w:b/>
                <w:color w:val="auto"/>
                <w:szCs w:val="21"/>
                <w:highlight w:val="none"/>
              </w:rPr>
              <w:t>5.谈判保证金采用金融、担保机构出具的保函为有条件保函的，视为无效谈判保证金</w:t>
            </w:r>
            <w:r>
              <w:rPr>
                <w:rFonts w:hint="eastAsia" w:ascii="宋体" w:hAnsi="宋体" w:eastAsia="宋体" w:cs="Times New Roman"/>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trPr>
        <w:tc>
          <w:tcPr>
            <w:tcW w:w="992" w:type="dxa"/>
            <w:vMerge w:val="restart"/>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w:t>
            </w:r>
          </w:p>
        </w:tc>
        <w:tc>
          <w:tcPr>
            <w:tcW w:w="238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首次响应文件提交截止时间</w:t>
            </w:r>
          </w:p>
        </w:tc>
        <w:tc>
          <w:tcPr>
            <w:tcW w:w="6586" w:type="dxa"/>
            <w:vAlign w:val="center"/>
          </w:tcPr>
          <w:p>
            <w:pPr>
              <w:snapToGrid w:val="0"/>
              <w:spacing w:line="360" w:lineRule="auto"/>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详见竞争性谈判公告。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trPr>
        <w:tc>
          <w:tcPr>
            <w:tcW w:w="992" w:type="dxa"/>
            <w:vMerge w:val="continue"/>
            <w:vAlign w:val="center"/>
          </w:tcPr>
          <w:p>
            <w:pPr>
              <w:spacing w:line="360" w:lineRule="auto"/>
              <w:jc w:val="center"/>
              <w:rPr>
                <w:rFonts w:hint="eastAsia" w:ascii="宋体" w:hAnsi="宋体" w:eastAsia="宋体" w:cs="宋体"/>
                <w:color w:val="auto"/>
                <w:szCs w:val="21"/>
                <w:highlight w:val="none"/>
              </w:rPr>
            </w:pPr>
          </w:p>
        </w:tc>
        <w:tc>
          <w:tcPr>
            <w:tcW w:w="238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首次响应文件开启时间</w:t>
            </w:r>
          </w:p>
        </w:tc>
        <w:tc>
          <w:tcPr>
            <w:tcW w:w="6586" w:type="dxa"/>
            <w:vAlign w:val="center"/>
          </w:tcPr>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详见竞争性谈判公告。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trPr>
        <w:tc>
          <w:tcPr>
            <w:tcW w:w="992" w:type="dxa"/>
            <w:vMerge w:val="continue"/>
            <w:vAlign w:val="center"/>
          </w:tcPr>
          <w:p>
            <w:pPr>
              <w:spacing w:line="360" w:lineRule="auto"/>
              <w:jc w:val="center"/>
              <w:rPr>
                <w:rFonts w:hint="eastAsia" w:ascii="宋体" w:hAnsi="宋体" w:eastAsia="宋体" w:cs="宋体"/>
                <w:color w:val="auto"/>
                <w:szCs w:val="21"/>
                <w:highlight w:val="none"/>
              </w:rPr>
            </w:pPr>
          </w:p>
        </w:tc>
        <w:tc>
          <w:tcPr>
            <w:tcW w:w="238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首次响应文件提交地点</w:t>
            </w:r>
          </w:p>
        </w:tc>
        <w:tc>
          <w:tcPr>
            <w:tcW w:w="6586" w:type="dxa"/>
            <w:vAlign w:val="center"/>
          </w:tcPr>
          <w:p>
            <w:pPr>
              <w:snapToGrid w:val="0"/>
              <w:spacing w:line="360" w:lineRule="auto"/>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详见竞争性谈判公告。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trPr>
        <w:tc>
          <w:tcPr>
            <w:tcW w:w="99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20.6</w:t>
            </w:r>
          </w:p>
        </w:tc>
        <w:tc>
          <w:tcPr>
            <w:tcW w:w="238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备份响应文件</w:t>
            </w:r>
          </w:p>
        </w:tc>
        <w:tc>
          <w:tcPr>
            <w:tcW w:w="6586" w:type="dxa"/>
            <w:vAlign w:val="center"/>
          </w:tcPr>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Times New Roman"/>
                <w:color w:val="auto"/>
                <w:szCs w:val="21"/>
                <w:highlight w:val="none"/>
              </w:rPr>
              <w:t>本项目不接受备份响应文件。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trPr>
        <w:tc>
          <w:tcPr>
            <w:tcW w:w="99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ascii="宋体" w:hAnsi="宋体" w:eastAsia="宋体" w:cs="宋体"/>
                <w:color w:val="auto"/>
                <w:szCs w:val="21"/>
                <w:highlight w:val="none"/>
              </w:rPr>
              <w:t>1</w:t>
            </w:r>
          </w:p>
        </w:tc>
        <w:tc>
          <w:tcPr>
            <w:tcW w:w="238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首次响应文件的补充、修改与撤回</w:t>
            </w:r>
          </w:p>
        </w:tc>
        <w:tc>
          <w:tcPr>
            <w:tcW w:w="6586" w:type="dxa"/>
            <w:vAlign w:val="center"/>
          </w:tcPr>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w:t>
            </w:r>
            <w:r>
              <w:rPr>
                <w:rFonts w:hint="eastAsia" w:ascii="宋体" w:hAnsi="宋体"/>
                <w:bCs/>
                <w:color w:val="auto"/>
                <w:highlight w:val="none"/>
              </w:rPr>
              <w:t>供应商须知正文</w:t>
            </w:r>
            <w:r>
              <w:rPr>
                <w:rFonts w:hint="eastAsia" w:ascii="宋体" w:hAnsi="宋体" w:eastAsia="宋体" w:cs="宋体"/>
                <w:color w:val="auto"/>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trPr>
        <w:tc>
          <w:tcPr>
            <w:tcW w:w="992" w:type="dxa"/>
            <w:vMerge w:val="restart"/>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25</w:t>
            </w:r>
          </w:p>
        </w:tc>
        <w:tc>
          <w:tcPr>
            <w:tcW w:w="238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负偏离要求</w:t>
            </w:r>
          </w:p>
        </w:tc>
        <w:tc>
          <w:tcPr>
            <w:tcW w:w="6586" w:type="dxa"/>
            <w:vAlign w:val="center"/>
          </w:tcPr>
          <w:p>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商务条款评审中允许负偏离的条款数为</w:t>
            </w:r>
            <w:r>
              <w:rPr>
                <w:rFonts w:hint="eastAsia" w:ascii="宋体" w:hAnsi="宋体" w:eastAsia="宋体" w:cs="宋体"/>
                <w:color w:val="auto"/>
                <w:szCs w:val="21"/>
                <w:highlight w:val="none"/>
                <w:u w:val="single"/>
              </w:rPr>
              <w:t xml:space="preserve">   0   </w:t>
            </w:r>
            <w:r>
              <w:rPr>
                <w:rFonts w:hint="eastAsia" w:ascii="宋体" w:hAnsi="宋体" w:eastAsia="宋体" w:cs="宋体"/>
                <w:color w:val="auto"/>
                <w:szCs w:val="21"/>
                <w:highlight w:val="none"/>
              </w:rPr>
              <w:t>项。</w:t>
            </w:r>
          </w:p>
          <w:p>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技术需求评审中允许负偏离的条款数为</w:t>
            </w:r>
            <w:r>
              <w:rPr>
                <w:rFonts w:hint="eastAsia" w:ascii="宋体" w:hAnsi="宋体" w:eastAsia="宋体" w:cs="宋体"/>
                <w:color w:val="auto"/>
                <w:szCs w:val="21"/>
                <w:highlight w:val="none"/>
                <w:u w:val="single"/>
              </w:rPr>
              <w:t xml:space="preserve">   2   </w:t>
            </w:r>
            <w:r>
              <w:rPr>
                <w:rFonts w:hint="eastAsia" w:ascii="宋体" w:hAnsi="宋体" w:eastAsia="宋体" w:cs="宋体"/>
                <w:color w:val="auto"/>
                <w:szCs w:val="21"/>
                <w:highlight w:val="none"/>
              </w:rPr>
              <w:t>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dxa"/>
            <w:vMerge w:val="continue"/>
            <w:vAlign w:val="center"/>
          </w:tcPr>
          <w:p>
            <w:pPr>
              <w:spacing w:line="360" w:lineRule="auto"/>
              <w:jc w:val="center"/>
              <w:rPr>
                <w:rFonts w:hint="eastAsia" w:ascii="宋体" w:hAnsi="宋体" w:eastAsia="宋体" w:cs="宋体"/>
                <w:color w:val="auto"/>
                <w:szCs w:val="21"/>
                <w:highlight w:val="none"/>
              </w:rPr>
            </w:pPr>
          </w:p>
        </w:tc>
        <w:tc>
          <w:tcPr>
            <w:tcW w:w="2382" w:type="dxa"/>
            <w:vAlign w:val="center"/>
          </w:tcPr>
          <w:p>
            <w:pP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谈判的顺序</w:t>
            </w:r>
          </w:p>
          <w:p>
            <w:pPr>
              <w:spacing w:line="360" w:lineRule="auto"/>
              <w:jc w:val="center"/>
              <w:rPr>
                <w:rFonts w:hint="eastAsia" w:ascii="宋体" w:hAnsi="宋体" w:eastAsia="宋体" w:cs="宋体"/>
                <w:color w:val="auto"/>
                <w:szCs w:val="21"/>
                <w:highlight w:val="none"/>
              </w:rPr>
            </w:pPr>
          </w:p>
        </w:tc>
        <w:tc>
          <w:tcPr>
            <w:tcW w:w="6586" w:type="dxa"/>
            <w:vAlign w:val="center"/>
          </w:tcPr>
          <w:p>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系统自动提取的顺序</w:t>
            </w:r>
          </w:p>
          <w:p>
            <w:pPr>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参与谈判前，谈判小组如有要求，供应商法定代表人或者委托代理人必须通过电脑摄像头向谈判小组出示本人有效证件原件</w:t>
            </w:r>
            <w:r>
              <w:rPr>
                <w:rFonts w:ascii="宋体" w:hAnsi="宋体" w:eastAsia="宋体" w:cs="宋体"/>
                <w:b/>
                <w:color w:val="auto"/>
                <w:szCs w:val="21"/>
                <w:highlight w:val="none"/>
              </w:rPr>
              <w:t>[</w:t>
            </w:r>
            <w:r>
              <w:rPr>
                <w:rFonts w:hint="eastAsia" w:ascii="宋体" w:hAnsi="宋体" w:eastAsia="宋体" w:cs="宋体"/>
                <w:b/>
                <w:color w:val="auto"/>
                <w:szCs w:val="21"/>
                <w:highlight w:val="none"/>
              </w:rPr>
              <w:t>有效证件可以是身份证（含临时身份证明）、机动车驾驶证、社会保障卡或者护照的其中一项]，若参与谈判的委托代理人不是响应文件中授权的委托代理人时，必须同时出示有效的法定代表人授权委托书原件。如无法核实谈判对象有效身份证明的，谈判小组将拒绝其谈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dxa"/>
            <w:vMerge w:val="continue"/>
            <w:vAlign w:val="center"/>
          </w:tcPr>
          <w:p>
            <w:pPr>
              <w:spacing w:line="360" w:lineRule="auto"/>
              <w:jc w:val="center"/>
              <w:rPr>
                <w:rFonts w:hint="eastAsia" w:ascii="宋体" w:hAnsi="宋体" w:eastAsia="宋体" w:cs="宋体"/>
                <w:color w:val="auto"/>
                <w:szCs w:val="21"/>
                <w:highlight w:val="none"/>
              </w:rPr>
            </w:pPr>
          </w:p>
        </w:tc>
        <w:tc>
          <w:tcPr>
            <w:tcW w:w="238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评审方法</w:t>
            </w:r>
          </w:p>
        </w:tc>
        <w:tc>
          <w:tcPr>
            <w:tcW w:w="6586" w:type="dxa"/>
            <w:vAlign w:val="center"/>
          </w:tcPr>
          <w:p>
            <w:pPr>
              <w:snapToGrid w:val="0"/>
              <w:spacing w:line="360" w:lineRule="auto"/>
              <w:rPr>
                <w:rFonts w:hint="eastAsia" w:ascii="宋体" w:hAnsi="宋体" w:eastAsia="宋体" w:cs="宋体"/>
                <w:color w:val="auto"/>
                <w:szCs w:val="21"/>
                <w:highlight w:val="none"/>
              </w:rPr>
            </w:pPr>
            <w:r>
              <w:rPr>
                <w:rFonts w:hint="eastAsia"/>
                <w:color w:val="auto"/>
                <w:highlight w:val="none"/>
              </w:rPr>
              <w:t>本项目采用最低评标价法。最低评标价法是指响应文件满足竞争性谈判文件全部实质性要求且评</w:t>
            </w:r>
            <w:r>
              <w:rPr>
                <w:rFonts w:hint="eastAsia" w:ascii="宋体" w:hAnsi="宋体" w:eastAsia="宋体" w:cs="宋体"/>
                <w:color w:val="auto"/>
                <w:szCs w:val="21"/>
                <w:highlight w:val="none"/>
              </w:rPr>
              <w:t>审价</w:t>
            </w:r>
            <w:r>
              <w:rPr>
                <w:rFonts w:hint="eastAsia"/>
                <w:color w:val="auto"/>
                <w:highlight w:val="none"/>
              </w:rPr>
              <w:t>最低的供应商为成交候选人的评审方法。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dxa"/>
            <w:vMerge w:val="continue"/>
            <w:vAlign w:val="center"/>
          </w:tcPr>
          <w:p>
            <w:pPr>
              <w:spacing w:line="360" w:lineRule="auto"/>
              <w:jc w:val="center"/>
              <w:rPr>
                <w:rFonts w:hint="eastAsia" w:ascii="宋体" w:hAnsi="宋体" w:eastAsia="宋体" w:cs="宋体"/>
                <w:color w:val="auto"/>
                <w:szCs w:val="21"/>
                <w:highlight w:val="none"/>
              </w:rPr>
            </w:pPr>
          </w:p>
        </w:tc>
        <w:tc>
          <w:tcPr>
            <w:tcW w:w="238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评审价相同时成交原则</w:t>
            </w:r>
          </w:p>
        </w:tc>
        <w:tc>
          <w:tcPr>
            <w:tcW w:w="6586" w:type="dxa"/>
            <w:vAlign w:val="center"/>
          </w:tcPr>
          <w:p>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评审价相同时，按照最后报价由低到高顺序依次推荐；最后报价相同时，按以下原则确定成交候选人的顺序：</w:t>
            </w:r>
          </w:p>
          <w:p>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依次按节能、环保产品累计项数多的优先、带“▲”的实质性要求正偏离项数多的优先、均无正偏离或者正偏离项数一致时负偏离项数少的优先、质量保证期长优先、交付时间短优先、故障响应时间短优先的顺序排列。</w:t>
            </w:r>
          </w:p>
          <w:p>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□由谈判小组推荐代表随机抽取。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dxa"/>
            <w:vAlign w:val="center"/>
          </w:tcPr>
          <w:p>
            <w:pPr>
              <w:spacing w:line="360" w:lineRule="auto"/>
              <w:jc w:val="center"/>
              <w:rPr>
                <w:rFonts w:hint="eastAsia" w:ascii="宋体" w:hAnsi="宋体" w:eastAsia="宋体" w:cs="宋体"/>
                <w:color w:val="auto"/>
                <w:szCs w:val="21"/>
                <w:highlight w:val="none"/>
              </w:rPr>
            </w:pPr>
            <w:r>
              <w:rPr>
                <w:rFonts w:ascii="宋体" w:hAnsi="宋体" w:eastAsia="宋体" w:cs="宋体"/>
                <w:color w:val="auto"/>
                <w:szCs w:val="21"/>
                <w:highlight w:val="none"/>
              </w:rPr>
              <w:t>2</w:t>
            </w:r>
            <w:r>
              <w:rPr>
                <w:rFonts w:hint="eastAsia" w:ascii="宋体" w:hAnsi="宋体" w:eastAsia="宋体" w:cs="宋体"/>
                <w:color w:val="auto"/>
                <w:szCs w:val="21"/>
                <w:highlight w:val="none"/>
              </w:rPr>
              <w:t>7</w:t>
            </w:r>
          </w:p>
        </w:tc>
        <w:tc>
          <w:tcPr>
            <w:tcW w:w="238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履约保证金</w:t>
            </w:r>
          </w:p>
        </w:tc>
        <w:tc>
          <w:tcPr>
            <w:tcW w:w="6586" w:type="dxa"/>
            <w:vAlign w:val="center"/>
          </w:tcPr>
          <w:p>
            <w:pPr>
              <w:spacing w:line="360" w:lineRule="auto"/>
              <w:rPr>
                <w:rFonts w:hint="eastAsia" w:ascii="宋体" w:hAnsi="宋体"/>
                <w:b/>
                <w:bCs/>
                <w:color w:val="auto"/>
                <w:szCs w:val="21"/>
                <w:highlight w:val="none"/>
              </w:rPr>
            </w:pPr>
            <w:r>
              <w:rPr>
                <w:rFonts w:hint="eastAsia" w:ascii="宋体" w:hAnsi="宋体"/>
                <w:b/>
                <w:bCs/>
                <w:color w:val="auto"/>
                <w:szCs w:val="21"/>
                <w:highlight w:val="none"/>
              </w:rPr>
              <w:t>□ 本项目不需要</w:t>
            </w:r>
            <w:r>
              <w:rPr>
                <w:rFonts w:hint="eastAsia" w:ascii="宋体" w:hAnsi="宋体" w:cs="宋体"/>
                <w:b/>
                <w:bCs/>
                <w:color w:val="auto"/>
                <w:szCs w:val="21"/>
                <w:highlight w:val="none"/>
              </w:rPr>
              <w:t>缴</w:t>
            </w:r>
            <w:r>
              <w:rPr>
                <w:rFonts w:hint="eastAsia" w:ascii="宋体" w:hAnsi="宋体" w:cs="宋体"/>
                <w:b/>
                <w:bCs/>
                <w:color w:val="auto"/>
                <w:kern w:val="0"/>
                <w:szCs w:val="21"/>
                <w:highlight w:val="none"/>
              </w:rPr>
              <w:t>纳</w:t>
            </w:r>
            <w:r>
              <w:rPr>
                <w:rFonts w:hint="eastAsia" w:cs="宋体"/>
                <w:b/>
                <w:bCs/>
                <w:color w:val="auto"/>
                <w:szCs w:val="21"/>
                <w:highlight w:val="none"/>
              </w:rPr>
              <w:t>履约</w:t>
            </w:r>
            <w:r>
              <w:rPr>
                <w:rFonts w:hint="eastAsia" w:ascii="宋体" w:hAnsi="宋体"/>
                <w:b/>
                <w:bCs/>
                <w:color w:val="auto"/>
                <w:szCs w:val="21"/>
                <w:highlight w:val="none"/>
              </w:rPr>
              <w:t>保证金。</w:t>
            </w:r>
          </w:p>
          <w:p>
            <w:pPr>
              <w:spacing w:line="360" w:lineRule="auto"/>
              <w:rPr>
                <w:rFonts w:hint="eastAsia" w:ascii="宋体" w:hAnsi="宋体" w:cs="宋体"/>
                <w:b/>
                <w:bCs/>
                <w:color w:val="auto"/>
                <w:szCs w:val="21"/>
                <w:highlight w:val="none"/>
              </w:rPr>
            </w:pPr>
            <w:r>
              <w:rPr>
                <w:rFonts w:hint="eastAsia" w:ascii="宋体" w:hAnsi="宋体"/>
                <w:b/>
                <w:bCs/>
                <w:color w:val="auto"/>
                <w:szCs w:val="21"/>
                <w:highlight w:val="none"/>
              </w:rPr>
              <w:t>☑ 本项目需要</w:t>
            </w:r>
            <w:r>
              <w:rPr>
                <w:rFonts w:hint="eastAsia" w:ascii="宋体" w:hAnsi="宋体" w:cs="宋体"/>
                <w:b/>
                <w:bCs/>
                <w:color w:val="auto"/>
                <w:szCs w:val="21"/>
                <w:highlight w:val="none"/>
              </w:rPr>
              <w:t>缴</w:t>
            </w:r>
            <w:r>
              <w:rPr>
                <w:rFonts w:hint="eastAsia" w:ascii="宋体" w:hAnsi="宋体" w:cs="宋体"/>
                <w:b/>
                <w:bCs/>
                <w:color w:val="auto"/>
                <w:kern w:val="0"/>
                <w:szCs w:val="21"/>
                <w:highlight w:val="none"/>
              </w:rPr>
              <w:t>纳</w:t>
            </w:r>
            <w:r>
              <w:rPr>
                <w:rFonts w:hint="eastAsia" w:cs="宋体"/>
                <w:b/>
                <w:bCs/>
                <w:color w:val="auto"/>
                <w:szCs w:val="21"/>
                <w:highlight w:val="none"/>
              </w:rPr>
              <w:t>履约</w:t>
            </w:r>
            <w:r>
              <w:rPr>
                <w:rFonts w:hint="eastAsia" w:ascii="宋体" w:hAnsi="宋体"/>
                <w:b/>
                <w:bCs/>
                <w:color w:val="auto"/>
                <w:szCs w:val="21"/>
                <w:highlight w:val="none"/>
              </w:rPr>
              <w:t>保证金，</w:t>
            </w:r>
            <w:r>
              <w:rPr>
                <w:rFonts w:hint="eastAsia" w:ascii="宋体" w:hAnsi="宋体" w:cs="宋体"/>
                <w:b/>
                <w:bCs/>
                <w:color w:val="auto"/>
                <w:szCs w:val="21"/>
                <w:highlight w:val="none"/>
              </w:rPr>
              <w:t>相关要求如下：</w:t>
            </w:r>
          </w:p>
          <w:p>
            <w:pPr>
              <w:snapToGrid w:val="0"/>
              <w:spacing w:line="360" w:lineRule="auto"/>
              <w:rPr>
                <w:rFonts w:hint="eastAsia" w:ascii="宋体" w:hAnsi="宋体" w:cs="宋体"/>
                <w:i/>
                <w:iCs/>
                <w:color w:val="auto"/>
                <w:szCs w:val="21"/>
                <w:highlight w:val="none"/>
              </w:rPr>
            </w:pPr>
            <w:r>
              <w:rPr>
                <w:rFonts w:hint="eastAsia" w:ascii="宋体" w:hAnsi="宋体" w:cs="宋体"/>
                <w:color w:val="auto"/>
                <w:szCs w:val="21"/>
                <w:highlight w:val="none"/>
              </w:rPr>
              <w:t>1.履约保证金金额：</w:t>
            </w:r>
            <w:r>
              <w:rPr>
                <w:rFonts w:hint="eastAsia" w:ascii="宋体" w:hAnsi="宋体" w:eastAsia="宋体" w:cs="宋体"/>
                <w:color w:val="auto"/>
                <w:szCs w:val="21"/>
                <w:highlight w:val="none"/>
              </w:rPr>
              <w:t>按本项目成交总金额的</w:t>
            </w:r>
            <w:r>
              <w:rPr>
                <w:rFonts w:hint="eastAsia" w:ascii="宋体" w:hAnsi="宋体" w:eastAsia="宋体" w:cs="宋体"/>
                <w:color w:val="auto"/>
                <w:szCs w:val="21"/>
                <w:highlight w:val="none"/>
                <w:u w:val="single"/>
              </w:rPr>
              <w:t xml:space="preserve">  2 </w:t>
            </w:r>
            <w:r>
              <w:rPr>
                <w:rFonts w:hint="eastAsia" w:ascii="宋体" w:hAnsi="宋体" w:eastAsia="宋体" w:cs="宋体"/>
                <w:color w:val="auto"/>
                <w:szCs w:val="21"/>
                <w:highlight w:val="none"/>
              </w:rPr>
              <w:t>%</w:t>
            </w:r>
            <w:r>
              <w:rPr>
                <w:rFonts w:hint="eastAsia" w:ascii="宋体" w:hAnsi="宋体" w:cs="宋体"/>
                <w:color w:val="auto"/>
                <w:szCs w:val="21"/>
                <w:highlight w:val="none"/>
              </w:rPr>
              <w:t>。</w:t>
            </w:r>
          </w:p>
          <w:p>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2.履约保证金提交方式：成交供应商在</w:t>
            </w:r>
            <w:r>
              <w:rPr>
                <w:rFonts w:hint="eastAsia" w:cs="宋体"/>
                <w:color w:val="auto"/>
                <w:kern w:val="0"/>
                <w:szCs w:val="21"/>
                <w:highlight w:val="none"/>
                <w:u w:val="single"/>
              </w:rPr>
              <w:t>签订合同</w:t>
            </w:r>
            <w:r>
              <w:rPr>
                <w:rFonts w:hint="eastAsia" w:ascii="宋体" w:hAnsi="宋体" w:cs="宋体"/>
                <w:color w:val="auto"/>
                <w:szCs w:val="21"/>
                <w:highlight w:val="none"/>
                <w:u w:val="single"/>
              </w:rPr>
              <w:t>前</w:t>
            </w:r>
            <w:r>
              <w:rPr>
                <w:rFonts w:hint="eastAsia" w:ascii="宋体" w:hAnsi="宋体" w:cs="宋体"/>
                <w:color w:val="auto"/>
                <w:szCs w:val="21"/>
                <w:highlight w:val="none"/>
              </w:rPr>
              <w:t xml:space="preserve">以银行转账、支票、汇票、本票或者金融机构、担保机构出具的保函等非现金方式向     </w:t>
            </w:r>
            <w:r>
              <w:rPr>
                <w:rFonts w:hint="eastAsia" w:ascii="宋体" w:hAnsi="宋体" w:cs="宋体"/>
                <w:color w:val="auto"/>
                <w:szCs w:val="21"/>
                <w:highlight w:val="none"/>
                <w:u w:val="single"/>
              </w:rPr>
              <w:t>采购人</w:t>
            </w:r>
            <w:r>
              <w:rPr>
                <w:rFonts w:hint="eastAsia" w:ascii="宋体" w:hAnsi="宋体" w:cs="宋体"/>
                <w:color w:val="auto"/>
                <w:szCs w:val="21"/>
                <w:highlight w:val="none"/>
              </w:rPr>
              <w:t>提交。</w:t>
            </w:r>
          </w:p>
          <w:p>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3.履约保证金退付方式、时间及条件：项目完成并通过</w:t>
            </w:r>
            <w:r>
              <w:rPr>
                <w:rFonts w:hint="eastAsia" w:ascii="宋体" w:hAnsi="宋体" w:cs="宋体"/>
                <w:color w:val="auto"/>
                <w:szCs w:val="21"/>
                <w:highlight w:val="none"/>
                <w:lang w:val="en-US" w:eastAsia="zh-CN"/>
              </w:rPr>
              <w:t>采购人</w:t>
            </w:r>
            <w:r>
              <w:rPr>
                <w:rFonts w:hint="eastAsia" w:ascii="宋体" w:hAnsi="宋体" w:cs="宋体"/>
                <w:color w:val="auto"/>
                <w:szCs w:val="21"/>
                <w:highlight w:val="none"/>
              </w:rPr>
              <w:t>验收合格，在成交供应商履行完合同约定权利义务事项后且成交供应商履行完合同约定权利义务事项后无违约情形的，由成交供应商向采购人财务部门提供审签完成的《采购项目合同验收书》(格式见详见第五章，规定详见桂财采(2015)22号)及《采购项目履约保证金退付意见书》(格式后附)，采购人财务部门在收到合格材料后5个工作日内办理退还手续(不计利息)。如最终验收与合同不符，全部履约保证金不予退还，而且由成交供应商履行完合同约定权利义务事项后按合同标的额的30%承担违约责任，并承担采购人为此而支付的一切损失（包括但不限于律师费、公证费、鉴定费、诉讼费、保全费、公告费、诉讼财产保全责任险保费等一切费用）。</w:t>
            </w:r>
          </w:p>
          <w:p>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(4)缴纳履约保证金指定账户的信息:</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开户名称：广西壮族自治区计量检测研究院</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开户银行：中国工商银行股份有限公司南宁市星湖支行</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银行账号：2102103109300035296</w:t>
            </w:r>
          </w:p>
          <w:p>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备注：</w:t>
            </w:r>
          </w:p>
          <w:p>
            <w:pPr>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1</w:t>
            </w:r>
            <w:r>
              <w:rPr>
                <w:rFonts w:ascii="宋体" w:hAnsi="宋体" w:cs="宋体"/>
                <w:b/>
                <w:color w:val="auto"/>
                <w:szCs w:val="21"/>
                <w:highlight w:val="none"/>
              </w:rPr>
              <w:t>.</w:t>
            </w:r>
            <w:r>
              <w:rPr>
                <w:rFonts w:hint="eastAsia" w:ascii="宋体" w:hAnsi="宋体" w:cs="宋体"/>
                <w:b/>
                <w:color w:val="auto"/>
                <w:szCs w:val="21"/>
                <w:highlight w:val="none"/>
              </w:rPr>
              <w:t>履约保证金不足额缴纳的（包含保函额度不足的），或者不按规定提交方式提交的，或者保函有效期低于合同履行期限的（即合同中规定的当事人履行自己的义务，如交付标的物、价款或者报酬，履行劳务、完成工作的时间界限）的，视为未按规定提交履约保证金。</w:t>
            </w:r>
          </w:p>
          <w:p>
            <w:pPr>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2</w:t>
            </w:r>
            <w:r>
              <w:rPr>
                <w:rFonts w:ascii="宋体" w:hAnsi="宋体" w:cs="宋体"/>
                <w:b/>
                <w:color w:val="auto"/>
                <w:szCs w:val="21"/>
                <w:highlight w:val="none"/>
              </w:rPr>
              <w:t>.</w:t>
            </w:r>
            <w:r>
              <w:rPr>
                <w:rFonts w:hint="eastAsia" w:ascii="宋体" w:hAnsi="宋体" w:cs="宋体"/>
                <w:b/>
                <w:color w:val="auto"/>
                <w:szCs w:val="21"/>
                <w:highlight w:val="none"/>
              </w:rPr>
              <w:t>采用金融、担保机构出具保函的，必须为无条件保函，否则视为未按规定提交履约保证金。</w:t>
            </w:r>
          </w:p>
          <w:p>
            <w:pPr>
              <w:spacing w:line="360" w:lineRule="auto"/>
              <w:rPr>
                <w:color w:val="auto"/>
                <w:highlight w:val="none"/>
              </w:rPr>
            </w:pPr>
            <w:r>
              <w:rPr>
                <w:rFonts w:hint="eastAsia" w:ascii="宋体" w:hAnsi="宋体" w:cs="宋体"/>
                <w:b/>
                <w:color w:val="auto"/>
                <w:szCs w:val="21"/>
                <w:highlight w:val="none"/>
              </w:rPr>
              <w:t>3</w:t>
            </w:r>
            <w:r>
              <w:rPr>
                <w:rFonts w:ascii="宋体" w:hAnsi="宋体" w:cs="宋体"/>
                <w:b/>
                <w:color w:val="auto"/>
                <w:szCs w:val="21"/>
                <w:highlight w:val="none"/>
              </w:rPr>
              <w:t>.</w:t>
            </w:r>
            <w:r>
              <w:rPr>
                <w:rFonts w:hint="eastAsia" w:ascii="宋体" w:hAnsi="宋体" w:cs="宋体"/>
                <w:b/>
                <w:color w:val="auto"/>
                <w:szCs w:val="21"/>
                <w:highlight w:val="none"/>
              </w:rPr>
              <w:t>供应商为联合体的，可由联合体任意一方或者联合体各方共同提交的履约保证金，视为有效履约保证金。</w:t>
            </w:r>
          </w:p>
          <w:p>
            <w:pPr>
              <w:snapToGrid w:val="0"/>
              <w:spacing w:line="360" w:lineRule="auto"/>
              <w:rPr>
                <w:rFonts w:hint="eastAsia" w:ascii="宋体" w:hAnsi="宋体" w:eastAsia="宋体" w:cs="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dxa"/>
            <w:vAlign w:val="center"/>
          </w:tcPr>
          <w:p>
            <w:pPr>
              <w:spacing w:line="360" w:lineRule="auto"/>
              <w:jc w:val="center"/>
              <w:rPr>
                <w:rFonts w:hint="eastAsia" w:ascii="宋体" w:hAnsi="宋体" w:eastAsia="宋体" w:cs="宋体"/>
                <w:color w:val="auto"/>
                <w:szCs w:val="21"/>
                <w:highlight w:val="none"/>
              </w:rPr>
            </w:pPr>
            <w:r>
              <w:rPr>
                <w:rFonts w:ascii="宋体" w:hAnsi="宋体" w:eastAsia="宋体" w:cs="宋体"/>
                <w:color w:val="auto"/>
                <w:szCs w:val="21"/>
                <w:highlight w:val="none"/>
              </w:rPr>
              <w:t>2</w:t>
            </w:r>
            <w:r>
              <w:rPr>
                <w:rFonts w:hint="eastAsia" w:ascii="宋体" w:hAnsi="宋体" w:eastAsia="宋体" w:cs="宋体"/>
                <w:color w:val="auto"/>
                <w:szCs w:val="21"/>
                <w:highlight w:val="none"/>
              </w:rPr>
              <w:t>8</w:t>
            </w:r>
            <w:r>
              <w:rPr>
                <w:rFonts w:ascii="宋体" w:hAnsi="宋体" w:eastAsia="宋体" w:cs="宋体"/>
                <w:color w:val="auto"/>
                <w:szCs w:val="21"/>
                <w:highlight w:val="none"/>
              </w:rPr>
              <w:t>.</w:t>
            </w:r>
            <w:r>
              <w:rPr>
                <w:rFonts w:hint="eastAsia" w:ascii="宋体" w:hAnsi="宋体" w:eastAsia="宋体" w:cs="宋体"/>
                <w:color w:val="auto"/>
                <w:szCs w:val="21"/>
                <w:highlight w:val="none"/>
              </w:rPr>
              <w:t>5</w:t>
            </w:r>
          </w:p>
        </w:tc>
        <w:tc>
          <w:tcPr>
            <w:tcW w:w="238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Times New Roman"/>
                <w:color w:val="auto"/>
                <w:szCs w:val="21"/>
                <w:highlight w:val="none"/>
              </w:rPr>
              <w:t>签订合同携带的材料</w:t>
            </w:r>
          </w:p>
        </w:tc>
        <w:tc>
          <w:tcPr>
            <w:tcW w:w="6586" w:type="dxa"/>
            <w:vAlign w:val="center"/>
          </w:tcPr>
          <w:p>
            <w:pPr>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highlight w:val="none"/>
              </w:rPr>
              <w:t>使用的有效CA证书加盖单位电子公</w:t>
            </w:r>
            <w:r>
              <w:rPr>
                <w:rFonts w:hint="eastAsia" w:ascii="宋体" w:hAnsi="宋体" w:eastAsia="宋体" w:cs="宋体"/>
                <w:color w:val="auto"/>
                <w:szCs w:val="21"/>
                <w:highlight w:val="none"/>
              </w:rPr>
              <w:t>章（适用于签订电子合同的情形）</w:t>
            </w:r>
          </w:p>
          <w:p>
            <w:pPr>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委托代理人负责签订合同的，须携带有效的法定代表人授权委托书及其委托代理人身份证原件等其他资格证件。</w:t>
            </w:r>
          </w:p>
          <w:p>
            <w:pPr>
              <w:pStyle w:val="13"/>
              <w:spacing w:after="0" w:line="360" w:lineRule="auto"/>
              <w:rPr>
                <w:color w:val="auto"/>
                <w:highlight w:val="none"/>
              </w:rPr>
            </w:pPr>
            <w:r>
              <w:rPr>
                <w:rFonts w:hint="eastAsia" w:ascii="宋体" w:hAnsi="宋体" w:cs="宋体"/>
                <w:color w:val="auto"/>
                <w:szCs w:val="21"/>
                <w:highlight w:val="none"/>
              </w:rPr>
              <w:t>法定代表人负责签订合同的，须携带法定代表人身份证明原件及身份证原件等其他证明材料。（适用于签订纸质合同的情形）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dxa"/>
            <w:vMerge w:val="restart"/>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30</w:t>
            </w:r>
            <w:r>
              <w:rPr>
                <w:rFonts w:ascii="宋体" w:hAnsi="宋体" w:eastAsia="宋体" w:cs="宋体"/>
                <w:color w:val="auto"/>
                <w:szCs w:val="21"/>
                <w:highlight w:val="none"/>
              </w:rPr>
              <w:t>.2</w:t>
            </w:r>
          </w:p>
        </w:tc>
        <w:tc>
          <w:tcPr>
            <w:tcW w:w="2382" w:type="dxa"/>
            <w:vAlign w:val="center"/>
          </w:tcPr>
          <w:p>
            <w:pPr>
              <w:spacing w:line="360" w:lineRule="auto"/>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接收质疑函方式</w:t>
            </w:r>
          </w:p>
        </w:tc>
        <w:tc>
          <w:tcPr>
            <w:tcW w:w="6586" w:type="dxa"/>
            <w:vAlign w:val="center"/>
          </w:tcPr>
          <w:p>
            <w:pPr>
              <w:snapToGrid w:val="0"/>
              <w:spacing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以书面形式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dxa"/>
            <w:vMerge w:val="continue"/>
            <w:vAlign w:val="center"/>
          </w:tcPr>
          <w:p>
            <w:pPr>
              <w:spacing w:line="360" w:lineRule="auto"/>
              <w:jc w:val="center"/>
              <w:rPr>
                <w:rFonts w:hint="eastAsia" w:ascii="宋体" w:hAnsi="宋体" w:eastAsia="宋体" w:cs="宋体"/>
                <w:color w:val="auto"/>
                <w:szCs w:val="21"/>
                <w:highlight w:val="none"/>
              </w:rPr>
            </w:pPr>
          </w:p>
        </w:tc>
        <w:tc>
          <w:tcPr>
            <w:tcW w:w="2382" w:type="dxa"/>
            <w:vAlign w:val="center"/>
          </w:tcPr>
          <w:p>
            <w:pPr>
              <w:spacing w:line="360" w:lineRule="auto"/>
              <w:jc w:val="center"/>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质疑联系部门及联系方式</w:t>
            </w:r>
          </w:p>
        </w:tc>
        <w:tc>
          <w:tcPr>
            <w:tcW w:w="6586" w:type="dxa"/>
            <w:vAlign w:val="center"/>
          </w:tcPr>
          <w:p>
            <w:pPr>
              <w:snapToGrid w:val="0"/>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rPr>
              <w:t>（1）名称：广西壮族自治区计量检测研究院</w:t>
            </w:r>
          </w:p>
          <w:p>
            <w:pPr>
              <w:snapToGrid w:val="0"/>
              <w:spacing w:line="360" w:lineRule="auto"/>
              <w:rPr>
                <w:rFonts w:hint="eastAsia" w:ascii="宋体" w:hAnsi="宋体" w:cs="宋体"/>
                <w:color w:val="auto"/>
                <w:kern w:val="0"/>
                <w:szCs w:val="21"/>
                <w:highlight w:val="none"/>
                <w:u w:val="single"/>
              </w:rPr>
            </w:pPr>
            <w:r>
              <w:rPr>
                <w:rFonts w:hint="eastAsia" w:ascii="宋体" w:hAnsi="宋体" w:cs="宋体"/>
                <w:color w:val="auto"/>
                <w:szCs w:val="21"/>
                <w:highlight w:val="none"/>
              </w:rPr>
              <w:t>联系电话：0771-5726802</w:t>
            </w:r>
          </w:p>
          <w:p>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通讯地址： 南宁市邕宁区蒲庙镇永乐路30号   </w:t>
            </w:r>
          </w:p>
          <w:p>
            <w:pPr>
              <w:numPr>
                <w:ilvl w:val="0"/>
                <w:numId w:val="1"/>
              </w:num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名称：广西科联招标中心有限公司</w:t>
            </w:r>
          </w:p>
          <w:p>
            <w:pPr>
              <w:snapToGrid w:val="0"/>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rPr>
              <w:t>联系电话： 0771-3486228</w:t>
            </w:r>
          </w:p>
          <w:p>
            <w:pPr>
              <w:snapToGrid w:val="0"/>
              <w:spacing w:line="360" w:lineRule="auto"/>
              <w:rPr>
                <w:rFonts w:hint="eastAsia" w:ascii="宋体" w:hAnsi="宋体" w:eastAsia="宋体" w:cs="Times New Roman"/>
                <w:color w:val="auto"/>
                <w:szCs w:val="21"/>
                <w:highlight w:val="none"/>
              </w:rPr>
            </w:pPr>
            <w:r>
              <w:rPr>
                <w:rFonts w:hint="eastAsia" w:ascii="宋体" w:hAnsi="宋体" w:cs="宋体"/>
                <w:color w:val="auto"/>
                <w:szCs w:val="21"/>
                <w:highlight w:val="none"/>
              </w:rPr>
              <w:t>通讯地址：广西科联招标中心有限公司103室（广西南宁市大学东路170号广西农业机械研究院有限公司内）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dxa"/>
            <w:vMerge w:val="continue"/>
            <w:vAlign w:val="center"/>
          </w:tcPr>
          <w:p>
            <w:pPr>
              <w:spacing w:line="360" w:lineRule="auto"/>
              <w:jc w:val="center"/>
              <w:rPr>
                <w:rFonts w:hint="eastAsia" w:ascii="宋体" w:hAnsi="宋体" w:eastAsia="宋体" w:cs="宋体"/>
                <w:color w:val="auto"/>
                <w:szCs w:val="21"/>
                <w:highlight w:val="none"/>
              </w:rPr>
            </w:pPr>
          </w:p>
        </w:tc>
        <w:tc>
          <w:tcPr>
            <w:tcW w:w="2382" w:type="dxa"/>
            <w:vAlign w:val="center"/>
          </w:tcPr>
          <w:p>
            <w:pPr>
              <w:spacing w:line="360" w:lineRule="auto"/>
              <w:jc w:val="center"/>
              <w:rPr>
                <w:rFonts w:hint="eastAsia" w:ascii="宋体" w:hAnsi="宋体" w:eastAsia="宋体" w:cs="Times New Roman"/>
                <w:color w:val="auto"/>
                <w:szCs w:val="21"/>
                <w:highlight w:val="none"/>
              </w:rPr>
            </w:pPr>
            <w:r>
              <w:rPr>
                <w:rFonts w:hint="eastAsia" w:ascii="Times New Roman" w:hAnsi="宋体" w:eastAsia="宋体" w:cs="Times New Roman"/>
                <w:color w:val="auto"/>
                <w:szCs w:val="24"/>
                <w:highlight w:val="none"/>
              </w:rPr>
              <w:t>现场提交质疑办理业务时间</w:t>
            </w:r>
          </w:p>
        </w:tc>
        <w:tc>
          <w:tcPr>
            <w:tcW w:w="6586" w:type="dxa"/>
            <w:vAlign w:val="center"/>
          </w:tcPr>
          <w:p>
            <w:pPr>
              <w:snapToGrid w:val="0"/>
              <w:spacing w:line="360" w:lineRule="auto"/>
              <w:rPr>
                <w:rFonts w:hint="eastAsia" w:ascii="宋体" w:hAnsi="宋体" w:eastAsia="宋体" w:cs="Times New Roman"/>
                <w:color w:val="auto"/>
                <w:szCs w:val="21"/>
                <w:highlight w:val="none"/>
              </w:rPr>
            </w:pPr>
            <w:r>
              <w:rPr>
                <w:rFonts w:hint="eastAsia" w:ascii="Times New Roman" w:hAnsi="宋体" w:eastAsia="宋体" w:cs="Times New Roman"/>
                <w:color w:val="auto"/>
                <w:szCs w:val="24"/>
                <w:highlight w:val="none"/>
              </w:rPr>
              <w:t>质疑期内每个工作日</w:t>
            </w:r>
            <w:r>
              <w:rPr>
                <w:rFonts w:hint="eastAsia" w:ascii="宋体" w:hAnsi="宋体" w:eastAsia="宋体" w:cs="宋体"/>
                <w:color w:val="auto"/>
                <w:highlight w:val="none"/>
              </w:rPr>
              <w:t>（北京时间）上午</w:t>
            </w:r>
            <w:r>
              <w:rPr>
                <w:rFonts w:hint="eastAsia" w:ascii="宋体" w:hAnsi="宋体" w:eastAsia="宋体" w:cs="宋体"/>
                <w:color w:val="auto"/>
                <w:highlight w:val="none"/>
                <w:u w:val="single"/>
              </w:rPr>
              <w:t>8</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分到</w:t>
            </w:r>
            <w:r>
              <w:rPr>
                <w:rFonts w:hint="eastAsia" w:ascii="宋体" w:hAnsi="宋体" w:eastAsia="宋体" w:cs="宋体"/>
                <w:color w:val="auto"/>
                <w:highlight w:val="none"/>
                <w:u w:val="single"/>
              </w:rPr>
              <w:t>12</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分，下午</w:t>
            </w:r>
            <w:r>
              <w:rPr>
                <w:rFonts w:hint="eastAsia" w:ascii="宋体" w:hAnsi="宋体" w:eastAsia="宋体" w:cs="宋体"/>
                <w:color w:val="auto"/>
                <w:highlight w:val="none"/>
                <w:u w:val="single"/>
              </w:rPr>
              <w:t>15</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分到</w:t>
            </w:r>
            <w:r>
              <w:rPr>
                <w:rFonts w:hint="eastAsia" w:ascii="宋体" w:hAnsi="宋体" w:eastAsia="宋体" w:cs="宋体"/>
                <w:color w:val="auto"/>
                <w:highlight w:val="none"/>
                <w:u w:val="single"/>
              </w:rPr>
              <w:t>18</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w:t>
            </w:r>
            <w:r>
              <w:rPr>
                <w:rFonts w:hint="eastAsia" w:ascii="Calibri"/>
                <w:color w:val="auto"/>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30.6</w:t>
            </w:r>
          </w:p>
        </w:tc>
        <w:tc>
          <w:tcPr>
            <w:tcW w:w="238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受理投诉方式</w:t>
            </w:r>
          </w:p>
        </w:tc>
        <w:tc>
          <w:tcPr>
            <w:tcW w:w="6586" w:type="dxa"/>
            <w:vAlign w:val="center"/>
          </w:tcPr>
          <w:p>
            <w:pPr>
              <w:snapToGrid w:val="0"/>
              <w:spacing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eastAsia="zh-CN"/>
              </w:rPr>
              <w:t>1.</w:t>
            </w:r>
            <w:r>
              <w:rPr>
                <w:rFonts w:hint="eastAsia" w:ascii="宋体" w:hAnsi="宋体" w:eastAsia="宋体" w:cs="Times New Roman"/>
                <w:color w:val="auto"/>
                <w:szCs w:val="21"/>
                <w:highlight w:val="none"/>
              </w:rPr>
              <w:t>受理方式：纸质方式受理，投诉书正、副本（经过质疑的事项才可投诉）。</w:t>
            </w:r>
          </w:p>
          <w:p>
            <w:pPr>
              <w:snapToGrid w:val="0"/>
              <w:spacing w:line="360" w:lineRule="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eastAsia="zh-CN"/>
              </w:rPr>
              <w:t>2.</w:t>
            </w:r>
            <w:r>
              <w:rPr>
                <w:rFonts w:hint="eastAsia" w:ascii="宋体" w:hAnsi="宋体" w:eastAsia="宋体" w:cs="Times New Roman"/>
                <w:color w:val="auto"/>
                <w:szCs w:val="21"/>
                <w:highlight w:val="none"/>
              </w:rPr>
              <w:t>通讯方式</w:t>
            </w:r>
          </w:p>
          <w:p>
            <w:pPr>
              <w:snapToGrid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名称：广西壮族自治区财政厅政府采购监督管理处  </w:t>
            </w:r>
          </w:p>
          <w:p>
            <w:pPr>
              <w:snapToGrid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 xml:space="preserve">地址：广西南宁市桃源路69号广西财政大厦7楼 </w:t>
            </w:r>
          </w:p>
          <w:p>
            <w:pPr>
              <w:snapToGrid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联系电话： 0771-5331544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dxa"/>
            <w:vAlign w:val="center"/>
          </w:tcPr>
          <w:p>
            <w:pPr>
              <w:spacing w:line="360" w:lineRule="auto"/>
              <w:jc w:val="center"/>
              <w:rPr>
                <w:rFonts w:hint="eastAsia" w:ascii="宋体" w:hAnsi="宋体" w:eastAsia="宋体" w:cs="宋体"/>
                <w:color w:val="auto"/>
                <w:szCs w:val="21"/>
                <w:highlight w:val="none"/>
              </w:rPr>
            </w:pPr>
            <w:r>
              <w:rPr>
                <w:rFonts w:ascii="宋体" w:hAnsi="宋体" w:eastAsia="宋体" w:cs="宋体"/>
                <w:color w:val="auto"/>
                <w:szCs w:val="21"/>
                <w:highlight w:val="none"/>
              </w:rPr>
              <w:t>3</w:t>
            </w:r>
            <w:r>
              <w:rPr>
                <w:rFonts w:hint="eastAsia" w:ascii="宋体" w:hAnsi="宋体" w:eastAsia="宋体" w:cs="宋体"/>
                <w:color w:val="auto"/>
                <w:szCs w:val="21"/>
                <w:highlight w:val="none"/>
              </w:rPr>
              <w:t>2</w:t>
            </w:r>
          </w:p>
        </w:tc>
        <w:tc>
          <w:tcPr>
            <w:tcW w:w="238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采购代理服务费</w:t>
            </w:r>
          </w:p>
        </w:tc>
        <w:tc>
          <w:tcPr>
            <w:tcW w:w="6586" w:type="dxa"/>
            <w:vAlign w:val="center"/>
          </w:tcPr>
          <w:p>
            <w:pPr>
              <w:snapToGrid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 是否收取采购代理服务费：</w:t>
            </w:r>
          </w:p>
          <w:p>
            <w:pPr>
              <w:snapToGrid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☑是    □ 否</w:t>
            </w:r>
          </w:p>
          <w:p>
            <w:pPr>
              <w:snapToGrid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2.采购代理服务费支付方式：</w:t>
            </w:r>
          </w:p>
          <w:p>
            <w:pPr>
              <w:snapToGrid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☑本项目采购代理服务费由</w:t>
            </w:r>
            <w:r>
              <w:rPr>
                <w:rFonts w:hint="eastAsia" w:ascii="宋体" w:hAnsi="宋体" w:eastAsia="宋体" w:cs="宋体"/>
                <w:color w:val="auto"/>
                <w:kern w:val="0"/>
                <w:szCs w:val="21"/>
                <w:highlight w:val="none"/>
                <w:u w:val="single"/>
              </w:rPr>
              <w:t>成交供应商</w:t>
            </w:r>
            <w:r>
              <w:rPr>
                <w:rFonts w:hint="eastAsia" w:ascii="宋体" w:hAnsi="宋体" w:eastAsia="宋体" w:cs="宋体"/>
                <w:color w:val="auto"/>
                <w:kern w:val="0"/>
                <w:szCs w:val="21"/>
                <w:highlight w:val="none"/>
              </w:rPr>
              <w:t>在签订合同前，</w:t>
            </w:r>
            <w:r>
              <w:rPr>
                <w:rFonts w:hint="eastAsia" w:ascii="宋体" w:hAnsi="宋体" w:eastAsia="宋体" w:cs="宋体"/>
                <w:color w:val="auto"/>
                <w:highlight w:val="none"/>
              </w:rPr>
              <w:t>以银行转账、电汇等方式</w:t>
            </w:r>
            <w:r>
              <w:rPr>
                <w:rFonts w:hint="eastAsia" w:ascii="宋体" w:hAnsi="宋体" w:eastAsia="宋体" w:cs="宋体"/>
                <w:color w:val="auto"/>
                <w:kern w:val="0"/>
                <w:szCs w:val="21"/>
                <w:highlight w:val="none"/>
              </w:rPr>
              <w:t>一次性向采购代理机构支付。</w:t>
            </w:r>
          </w:p>
          <w:p>
            <w:pPr>
              <w:snapToGrid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3.采购代理费收取标准：</w:t>
            </w:r>
          </w:p>
          <w:p>
            <w:pPr>
              <w:snapToGrid w:val="0"/>
              <w:spacing w:line="360" w:lineRule="auto"/>
              <w:rPr>
                <w:rFonts w:hint="eastAsia" w:ascii="宋体" w:hAnsi="宋体" w:eastAsia="宋体" w:cs="宋体"/>
                <w:color w:val="auto"/>
                <w:kern w:val="0"/>
                <w:szCs w:val="21"/>
                <w:highlight w:val="none"/>
              </w:rPr>
            </w:pPr>
            <w:bookmarkStart w:id="101" w:name="PO_3000001871_PM025"/>
            <w:r>
              <w:rPr>
                <w:rFonts w:hint="eastAsia" w:ascii="宋体" w:hAnsi="宋体" w:eastAsia="宋体" w:cs="宋体"/>
                <w:color w:val="auto"/>
                <w:kern w:val="0"/>
                <w:szCs w:val="21"/>
                <w:highlight w:val="none"/>
              </w:rPr>
              <w:t>☑项目（☑成交总金额/□采购预算/□暂定成交金额/□其他</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）为计费额，按</w:t>
            </w:r>
            <w:r>
              <w:rPr>
                <w:rFonts w:hint="eastAsia" w:ascii="宋体" w:hAnsi="宋体" w:eastAsia="宋体" w:cs="宋体"/>
                <w:color w:val="auto"/>
                <w:highlight w:val="none"/>
              </w:rPr>
              <w:t>本须知正文第</w:t>
            </w:r>
            <w:bookmarkStart w:id="102" w:name="OLE_LINK30"/>
            <w:r>
              <w:rPr>
                <w:rFonts w:hint="eastAsia" w:ascii="宋体" w:hAnsi="宋体" w:eastAsia="宋体" w:cs="宋体"/>
                <w:color w:val="auto"/>
                <w:highlight w:val="none"/>
              </w:rPr>
              <w:t>32.2</w:t>
            </w:r>
            <w:bookmarkEnd w:id="102"/>
            <w:r>
              <w:rPr>
                <w:rFonts w:hint="eastAsia" w:ascii="宋体" w:hAnsi="宋体" w:eastAsia="宋体" w:cs="宋体"/>
                <w:color w:val="auto"/>
                <w:highlight w:val="none"/>
              </w:rPr>
              <w:t>条规定的收费计算标准</w:t>
            </w:r>
            <w:r>
              <w:rPr>
                <w:rFonts w:hint="eastAsia" w:ascii="宋体" w:hAnsi="宋体" w:eastAsia="宋体" w:cs="宋体"/>
                <w:color w:val="auto"/>
                <w:kern w:val="0"/>
                <w:szCs w:val="21"/>
                <w:highlight w:val="none"/>
              </w:rPr>
              <w:t>采用差额定率累进法计算出收费基准价格，采购代理机构收费以（</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收费基准价格/</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收费基准价格下浮</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/□收费基准价格上浮</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）收取。</w:t>
            </w:r>
            <w:bookmarkEnd w:id="101"/>
          </w:p>
          <w:p>
            <w:pPr>
              <w:snapToGrid w:val="0"/>
              <w:spacing w:line="360" w:lineRule="auto"/>
              <w:rPr>
                <w:rFonts w:hint="eastAsia" w:ascii="宋体" w:hAnsi="宋体" w:eastAsia="宋体" w:cs="宋体"/>
                <w:color w:val="auto"/>
                <w:highlight w:val="none"/>
              </w:rPr>
            </w:pPr>
            <w:r>
              <w:rPr>
                <w:rFonts w:hint="eastAsia" w:ascii="宋体" w:hAnsi="宋体" w:eastAsia="宋体" w:cs="宋体"/>
                <w:color w:val="auto"/>
                <w:kern w:val="0"/>
                <w:szCs w:val="21"/>
                <w:highlight w:val="none"/>
              </w:rPr>
              <w:t>□固定采购代理收费：</w:t>
            </w:r>
            <w:r>
              <w:rPr>
                <w:rFonts w:hint="eastAsia" w:ascii="宋体" w:hAnsi="宋体" w:eastAsia="宋体" w:cs="宋体"/>
                <w:color w:val="auto"/>
                <w:kern w:val="0"/>
                <w:szCs w:val="21"/>
                <w:highlight w:val="none"/>
                <w:u w:val="single"/>
              </w:rPr>
              <w:t xml:space="preserve">           。</w:t>
            </w:r>
          </w:p>
          <w:p>
            <w:pPr>
              <w:snapToGrid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 采购代理服务费收取银行账户的信息</w:t>
            </w:r>
          </w:p>
          <w:p>
            <w:pPr>
              <w:snapToGrid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开户名称：广西科联招标中心有限公司</w:t>
            </w:r>
          </w:p>
          <w:p>
            <w:pPr>
              <w:snapToGrid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开户银行：中国工商银行南宁市高新科技支行</w:t>
            </w:r>
          </w:p>
          <w:p>
            <w:pPr>
              <w:snapToGrid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银行账号：2102111229300032105</w:t>
            </w:r>
          </w:p>
          <w:p>
            <w:pPr>
              <w:snapToGrid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开户行行号：102611011101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33</w:t>
            </w:r>
            <w:r>
              <w:rPr>
                <w:rFonts w:ascii="宋体" w:hAnsi="宋体" w:eastAsia="宋体" w:cs="宋体"/>
                <w:color w:val="auto"/>
                <w:szCs w:val="21"/>
                <w:highlight w:val="none"/>
              </w:rPr>
              <w:t>.1</w:t>
            </w:r>
          </w:p>
        </w:tc>
        <w:tc>
          <w:tcPr>
            <w:tcW w:w="2382" w:type="dxa"/>
            <w:vAlign w:val="center"/>
          </w:tcPr>
          <w:p>
            <w:pPr>
              <w:spacing w:line="360" w:lineRule="auto"/>
              <w:jc w:val="center"/>
              <w:rPr>
                <w:rFonts w:hint="eastAsia" w:ascii="宋体" w:hAnsi="宋体" w:eastAsia="宋体" w:cs="宋体"/>
                <w:color w:val="auto"/>
                <w:szCs w:val="21"/>
                <w:highlight w:val="none"/>
              </w:rPr>
            </w:pPr>
            <w:r>
              <w:rPr>
                <w:rFonts w:hint="eastAsia" w:ascii="Times New Roman" w:hAnsi="宋体" w:eastAsia="宋体" w:cs="Times New Roman"/>
                <w:color w:val="auto"/>
                <w:szCs w:val="24"/>
                <w:highlight w:val="none"/>
              </w:rPr>
              <w:t>解释</w:t>
            </w:r>
          </w:p>
        </w:tc>
        <w:tc>
          <w:tcPr>
            <w:tcW w:w="6586" w:type="dxa"/>
            <w:vAlign w:val="center"/>
          </w:tcPr>
          <w:p>
            <w:pPr>
              <w:tabs>
                <w:tab w:val="left" w:pos="1080"/>
              </w:tabs>
              <w:spacing w:line="360" w:lineRule="auto"/>
              <w:rPr>
                <w:rFonts w:hint="eastAsia" w:ascii="宋体" w:hAnsi="宋体" w:eastAsia="宋体" w:cs="Times New Roman"/>
                <w:b/>
                <w:color w:val="auto"/>
                <w:kern w:val="0"/>
                <w:szCs w:val="21"/>
                <w:highlight w:val="none"/>
              </w:rPr>
            </w:pPr>
            <w:r>
              <w:rPr>
                <w:rFonts w:hint="eastAsia" w:ascii="宋体" w:hAnsi="宋体" w:eastAsia="宋体" w:cs="Times New Roman"/>
                <w:b/>
                <w:color w:val="auto"/>
                <w:kern w:val="0"/>
                <w:szCs w:val="21"/>
                <w:highlight w:val="none"/>
              </w:rPr>
              <w:t>解释：</w:t>
            </w:r>
            <w:r>
              <w:rPr>
                <w:rFonts w:ascii="宋体" w:hAnsi="宋体" w:eastAsia="宋体" w:cs="Times New Roman"/>
                <w:color w:val="auto"/>
                <w:kern w:val="0"/>
                <w:szCs w:val="21"/>
                <w:highlight w:val="none"/>
              </w:rPr>
              <w:t>构成本</w:t>
            </w:r>
            <w:r>
              <w:rPr>
                <w:rFonts w:hint="eastAsia" w:ascii="宋体" w:hAnsi="宋体" w:eastAsia="宋体" w:cs="Times New Roman"/>
                <w:color w:val="auto"/>
                <w:kern w:val="0"/>
                <w:szCs w:val="21"/>
                <w:highlight w:val="none"/>
              </w:rPr>
              <w:t>谈判文件</w:t>
            </w:r>
            <w:r>
              <w:rPr>
                <w:rFonts w:ascii="宋体" w:hAnsi="宋体" w:eastAsia="宋体" w:cs="Times New Roman"/>
                <w:color w:val="auto"/>
                <w:kern w:val="0"/>
                <w:szCs w:val="21"/>
                <w:highlight w:val="none"/>
              </w:rPr>
              <w:t>的各个组成文件应互为解释，互为说明；除</w:t>
            </w:r>
            <w:r>
              <w:rPr>
                <w:rFonts w:hint="eastAsia" w:ascii="宋体" w:hAnsi="宋体" w:eastAsia="宋体" w:cs="Times New Roman"/>
                <w:color w:val="auto"/>
                <w:kern w:val="0"/>
                <w:szCs w:val="21"/>
                <w:highlight w:val="none"/>
              </w:rPr>
              <w:t>谈判文件</w:t>
            </w:r>
            <w:r>
              <w:rPr>
                <w:rFonts w:ascii="宋体" w:hAnsi="宋体" w:eastAsia="宋体" w:cs="Times New Roman"/>
                <w:color w:val="auto"/>
                <w:kern w:val="0"/>
                <w:szCs w:val="21"/>
                <w:highlight w:val="none"/>
              </w:rPr>
              <w:t>中有特别规定外，仅适用于</w:t>
            </w:r>
            <w:r>
              <w:rPr>
                <w:rFonts w:hint="eastAsia" w:ascii="宋体" w:hAnsi="宋体" w:eastAsia="宋体" w:cs="Times New Roman"/>
                <w:color w:val="auto"/>
                <w:kern w:val="0"/>
                <w:szCs w:val="21"/>
                <w:highlight w:val="none"/>
              </w:rPr>
              <w:t>竞标</w:t>
            </w:r>
            <w:r>
              <w:rPr>
                <w:rFonts w:ascii="宋体" w:hAnsi="宋体" w:eastAsia="宋体" w:cs="Times New Roman"/>
                <w:color w:val="auto"/>
                <w:kern w:val="0"/>
                <w:szCs w:val="21"/>
                <w:highlight w:val="none"/>
              </w:rPr>
              <w:t>阶段的规定，按</w:t>
            </w:r>
            <w:r>
              <w:rPr>
                <w:rFonts w:hint="eastAsia" w:ascii="宋体" w:hAnsi="宋体" w:eastAsia="宋体" w:cs="Times New Roman"/>
                <w:color w:val="auto"/>
                <w:kern w:val="0"/>
                <w:szCs w:val="21"/>
                <w:highlight w:val="none"/>
              </w:rPr>
              <w:t>更正公告（澄清公告）</w:t>
            </w:r>
            <w:r>
              <w:rPr>
                <w:rFonts w:ascii="宋体" w:hAnsi="宋体" w:eastAsia="宋体" w:cs="Times New Roman"/>
                <w:color w:val="auto"/>
                <w:kern w:val="0"/>
                <w:szCs w:val="21"/>
                <w:highlight w:val="none"/>
              </w:rPr>
              <w:t>、</w:t>
            </w:r>
            <w:r>
              <w:rPr>
                <w:rFonts w:hint="eastAsia" w:ascii="宋体" w:hAnsi="宋体" w:eastAsia="宋体" w:cs="Times New Roman"/>
                <w:color w:val="auto"/>
                <w:kern w:val="0"/>
                <w:szCs w:val="21"/>
                <w:highlight w:val="none"/>
              </w:rPr>
              <w:t>竞争性谈判</w:t>
            </w:r>
            <w:r>
              <w:rPr>
                <w:rFonts w:ascii="宋体" w:hAnsi="宋体" w:eastAsia="宋体" w:cs="Times New Roman"/>
                <w:color w:val="auto"/>
                <w:kern w:val="0"/>
                <w:szCs w:val="21"/>
                <w:highlight w:val="none"/>
              </w:rPr>
              <w:t>公告、</w:t>
            </w:r>
            <w:r>
              <w:rPr>
                <w:rFonts w:hint="eastAsia" w:ascii="宋体" w:hAnsi="宋体" w:eastAsia="宋体" w:cs="Times New Roman"/>
                <w:color w:val="auto"/>
                <w:kern w:val="0"/>
                <w:szCs w:val="21"/>
                <w:highlight w:val="none"/>
              </w:rPr>
              <w:t>采购需求</w:t>
            </w:r>
            <w:r>
              <w:rPr>
                <w:rFonts w:ascii="宋体" w:hAnsi="宋体" w:eastAsia="宋体" w:cs="Times New Roman"/>
                <w:color w:val="auto"/>
                <w:kern w:val="0"/>
                <w:szCs w:val="21"/>
                <w:highlight w:val="none"/>
              </w:rPr>
              <w:t>、</w:t>
            </w:r>
            <w:r>
              <w:rPr>
                <w:rFonts w:hint="eastAsia" w:ascii="宋体" w:hAnsi="宋体" w:eastAsia="宋体" w:cs="Times New Roman"/>
                <w:color w:val="auto"/>
                <w:kern w:val="0"/>
                <w:szCs w:val="21"/>
                <w:highlight w:val="none"/>
              </w:rPr>
              <w:t>供应商</w:t>
            </w:r>
            <w:r>
              <w:rPr>
                <w:rFonts w:ascii="宋体" w:hAnsi="宋体" w:eastAsia="宋体" w:cs="Times New Roman"/>
                <w:color w:val="auto"/>
                <w:kern w:val="0"/>
                <w:szCs w:val="21"/>
                <w:highlight w:val="none"/>
              </w:rPr>
              <w:t>须知</w:t>
            </w:r>
            <w:r>
              <w:rPr>
                <w:rFonts w:hint="eastAsia" w:ascii="宋体" w:hAnsi="宋体" w:eastAsia="宋体" w:cs="Times New Roman"/>
                <w:color w:val="auto"/>
                <w:kern w:val="0"/>
                <w:szCs w:val="21"/>
                <w:highlight w:val="none"/>
              </w:rPr>
              <w:t>、</w:t>
            </w:r>
            <w:r>
              <w:rPr>
                <w:rFonts w:hint="eastAsia" w:ascii="Times New Roman" w:hAnsi="Times New Roman" w:eastAsia="宋体" w:cs="Times New Roman"/>
                <w:bCs/>
                <w:color w:val="auto"/>
                <w:kern w:val="44"/>
                <w:szCs w:val="44"/>
                <w:highlight w:val="none"/>
                <w:lang w:val="zh-CN"/>
              </w:rPr>
              <w:t>评审程序、评审方法和成交标准</w:t>
            </w:r>
            <w:r>
              <w:rPr>
                <w:rFonts w:ascii="宋体" w:hAnsi="宋体" w:eastAsia="宋体" w:cs="Times New Roman"/>
                <w:color w:val="auto"/>
                <w:kern w:val="0"/>
                <w:szCs w:val="21"/>
                <w:highlight w:val="none"/>
              </w:rPr>
              <w:t>、</w:t>
            </w:r>
            <w:r>
              <w:rPr>
                <w:rFonts w:hint="eastAsia" w:ascii="宋体" w:hAnsi="宋体" w:eastAsia="宋体" w:cs="Times New Roman"/>
                <w:color w:val="auto"/>
                <w:kern w:val="0"/>
                <w:szCs w:val="21"/>
                <w:highlight w:val="none"/>
              </w:rPr>
              <w:t>响应</w:t>
            </w:r>
            <w:r>
              <w:rPr>
                <w:rFonts w:ascii="宋体" w:hAnsi="宋体" w:eastAsia="宋体" w:cs="Times New Roman"/>
                <w:color w:val="auto"/>
                <w:kern w:val="0"/>
                <w:szCs w:val="21"/>
                <w:highlight w:val="none"/>
              </w:rPr>
              <w:t>文件格式</w:t>
            </w:r>
            <w:r>
              <w:rPr>
                <w:rFonts w:hint="eastAsia" w:ascii="宋体" w:hAnsi="宋体" w:eastAsia="宋体" w:cs="Times New Roman"/>
                <w:color w:val="auto"/>
                <w:kern w:val="0"/>
                <w:szCs w:val="21"/>
                <w:highlight w:val="none"/>
              </w:rPr>
              <w:t>、合同文本</w:t>
            </w:r>
            <w:r>
              <w:rPr>
                <w:rFonts w:ascii="宋体" w:hAnsi="宋体" w:eastAsia="宋体" w:cs="Times New Roman"/>
                <w:color w:val="auto"/>
                <w:kern w:val="0"/>
                <w:szCs w:val="21"/>
                <w:highlight w:val="none"/>
              </w:rPr>
              <w:t>的先后顺序解释；同一组成文件中就同一事项的规定或者约定不一致的，以编排顺序在后者为准；同一组成文件不同版本之间有不一致的，以形成时间在后者为准；</w:t>
            </w:r>
            <w:r>
              <w:rPr>
                <w:rFonts w:hint="eastAsia" w:ascii="宋体" w:hAnsi="宋体" w:eastAsia="宋体" w:cs="Times New Roman"/>
                <w:color w:val="auto"/>
                <w:kern w:val="0"/>
                <w:szCs w:val="21"/>
                <w:highlight w:val="none"/>
              </w:rPr>
              <w:t>更正公告（澄清公告）</w:t>
            </w:r>
            <w:r>
              <w:rPr>
                <w:rFonts w:ascii="宋体" w:hAnsi="宋体" w:eastAsia="宋体" w:cs="Times New Roman"/>
                <w:color w:val="auto"/>
                <w:kern w:val="0"/>
                <w:szCs w:val="21"/>
                <w:highlight w:val="none"/>
              </w:rPr>
              <w:t>与同步更新的</w:t>
            </w:r>
            <w:r>
              <w:rPr>
                <w:rFonts w:hint="eastAsia" w:ascii="宋体" w:hAnsi="宋体" w:eastAsia="宋体" w:cs="Times New Roman"/>
                <w:color w:val="auto"/>
                <w:kern w:val="0"/>
                <w:szCs w:val="21"/>
                <w:highlight w:val="none"/>
              </w:rPr>
              <w:t>谈判文件</w:t>
            </w:r>
            <w:r>
              <w:rPr>
                <w:rFonts w:ascii="宋体" w:hAnsi="宋体" w:eastAsia="宋体" w:cs="Times New Roman"/>
                <w:color w:val="auto"/>
                <w:kern w:val="0"/>
                <w:szCs w:val="21"/>
                <w:highlight w:val="none"/>
              </w:rPr>
              <w:t>不一致时以</w:t>
            </w:r>
            <w:r>
              <w:rPr>
                <w:rFonts w:hint="eastAsia" w:ascii="宋体" w:hAnsi="宋体" w:eastAsia="宋体" w:cs="Times New Roman"/>
                <w:color w:val="auto"/>
                <w:kern w:val="0"/>
                <w:szCs w:val="21"/>
                <w:highlight w:val="none"/>
              </w:rPr>
              <w:t>更正公告（澄清公告）</w:t>
            </w:r>
            <w:r>
              <w:rPr>
                <w:rFonts w:ascii="宋体" w:hAnsi="宋体" w:eastAsia="宋体" w:cs="Times New Roman"/>
                <w:color w:val="auto"/>
                <w:kern w:val="0"/>
                <w:szCs w:val="21"/>
                <w:highlight w:val="none"/>
              </w:rPr>
              <w:t>为准。按本款前述规定仍不能形成结论的，</w:t>
            </w:r>
            <w:r>
              <w:rPr>
                <w:rFonts w:ascii="宋体" w:hAnsi="宋体" w:eastAsia="宋体" w:cs="Times New Roman"/>
                <w:b/>
                <w:color w:val="auto"/>
                <w:kern w:val="0"/>
                <w:szCs w:val="21"/>
                <w:highlight w:val="none"/>
              </w:rPr>
              <w:t>由</w:t>
            </w:r>
            <w:r>
              <w:rPr>
                <w:rFonts w:hint="eastAsia" w:ascii="宋体" w:hAnsi="宋体" w:eastAsia="宋体" w:cs="Times New Roman"/>
                <w:b/>
                <w:color w:val="auto"/>
                <w:kern w:val="0"/>
                <w:szCs w:val="21"/>
                <w:highlight w:val="none"/>
              </w:rPr>
              <w:t>采购</w:t>
            </w:r>
            <w:r>
              <w:rPr>
                <w:rFonts w:ascii="宋体" w:hAnsi="宋体" w:eastAsia="宋体" w:cs="Times New Roman"/>
                <w:b/>
                <w:color w:val="auto"/>
                <w:kern w:val="0"/>
                <w:szCs w:val="21"/>
                <w:highlight w:val="none"/>
              </w:rPr>
              <w:t>人</w:t>
            </w:r>
            <w:r>
              <w:rPr>
                <w:rFonts w:hint="eastAsia" w:ascii="宋体" w:hAnsi="宋体" w:eastAsia="宋体" w:cs="Times New Roman"/>
                <w:b/>
                <w:color w:val="auto"/>
                <w:kern w:val="0"/>
                <w:szCs w:val="21"/>
                <w:highlight w:val="none"/>
              </w:rPr>
              <w:t>或者采购代理机构</w:t>
            </w:r>
            <w:r>
              <w:rPr>
                <w:rFonts w:ascii="宋体" w:hAnsi="宋体" w:eastAsia="宋体" w:cs="Times New Roman"/>
                <w:b/>
                <w:color w:val="auto"/>
                <w:kern w:val="0"/>
                <w:szCs w:val="21"/>
                <w:highlight w:val="none"/>
              </w:rPr>
              <w:t>负责解释。</w:t>
            </w:r>
          </w:p>
          <w:p>
            <w:pPr>
              <w:tabs>
                <w:tab w:val="left" w:pos="1080"/>
              </w:tabs>
              <w:spacing w:line="360" w:lineRule="auto"/>
              <w:rPr>
                <w:rFonts w:hint="eastAsia" w:ascii="宋体" w:hAnsi="宋体" w:eastAsia="宋体" w:cs="Times New Roman"/>
                <w:color w:val="auto"/>
                <w:kern w:val="0"/>
                <w:szCs w:val="21"/>
                <w:highlight w:val="none"/>
              </w:rPr>
            </w:pPr>
            <w:r>
              <w:rPr>
                <w:rFonts w:hint="eastAsia" w:ascii="宋体" w:hAnsi="宋体" w:eastAsia="宋体" w:cs="Times New Roman"/>
                <w:b/>
                <w:color w:val="auto"/>
                <w:kern w:val="0"/>
                <w:szCs w:val="21"/>
                <w:highlight w:val="none"/>
              </w:rPr>
              <w:t>法律责任：</w:t>
            </w:r>
          </w:p>
          <w:p>
            <w:pPr>
              <w:tabs>
                <w:tab w:val="left" w:pos="1080"/>
              </w:tabs>
              <w:spacing w:line="360" w:lineRule="auto"/>
              <w:rPr>
                <w:rFonts w:hint="eastAsia" w:ascii="宋体" w:hAnsi="宋体" w:eastAsia="宋体" w:cs="宋体"/>
                <w:color w:val="auto"/>
                <w:szCs w:val="24"/>
                <w:highlight w:val="none"/>
              </w:rPr>
            </w:pPr>
            <w:r>
              <w:rPr>
                <w:rFonts w:hint="eastAsia" w:ascii="宋体" w:hAnsi="宋体" w:eastAsia="宋体" w:cs="Times New Roman"/>
                <w:color w:val="auto"/>
                <w:kern w:val="0"/>
                <w:szCs w:val="21"/>
                <w:highlight w:val="none"/>
              </w:rPr>
              <w:t>本采购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33</w:t>
            </w:r>
            <w:r>
              <w:rPr>
                <w:rFonts w:ascii="宋体" w:hAnsi="宋体" w:eastAsia="宋体" w:cs="宋体"/>
                <w:color w:val="auto"/>
                <w:szCs w:val="21"/>
                <w:highlight w:val="none"/>
              </w:rPr>
              <w:t>.2</w:t>
            </w:r>
          </w:p>
        </w:tc>
        <w:tc>
          <w:tcPr>
            <w:tcW w:w="2382" w:type="dxa"/>
            <w:vAlign w:val="center"/>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w:t>
            </w:r>
          </w:p>
        </w:tc>
        <w:tc>
          <w:tcPr>
            <w:tcW w:w="6586" w:type="dxa"/>
            <w:vAlign w:val="center"/>
          </w:tcPr>
          <w:p>
            <w:pPr>
              <w:pStyle w:val="11"/>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本竞争性谈判文件中描述供应商的“公章”是指根据我国对公章的管理规定，用供应商法定主体行为名称制作的实物印章或供应商通过指定电子化政府采购平台办理数字证书（CA认证）获得的以法定主体行为名称制作的电子印章。除本竞争性谈判文件有特殊规定外，供应商的财务章、部门章、分公司章、工会章、合同章、投标专用章、业务专用章及银行的转账章、现金收讫章、现金付讫章等其他形式印章均不能代替公章。</w:t>
            </w:r>
          </w:p>
          <w:p>
            <w:pPr>
              <w:pStyle w:val="11"/>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2.本竞争性谈判文件中描述供应商的“签字”是指供应商通过指定电子化政府采购平台办理数字证书（CA认证）获得的以供应商法定代表人或者委托代理人姓名制作的电子印章或手写签字。</w:t>
            </w:r>
          </w:p>
          <w:p>
            <w:pPr>
              <w:pStyle w:val="11"/>
              <w:tabs>
                <w:tab w:val="center" w:pos="4153"/>
                <w:tab w:val="right" w:pos="8306"/>
              </w:tabs>
              <w:spacing w:line="360" w:lineRule="auto"/>
              <w:ind w:firstLine="420" w:firstLineChars="200"/>
              <w:rPr>
                <w:rFonts w:hint="eastAsia" w:ascii="宋体" w:hAnsi="宋体" w:cs="宋体"/>
                <w:color w:val="auto"/>
                <w:szCs w:val="21"/>
                <w:highlight w:val="none"/>
                <w:lang w:val="en-US"/>
              </w:rPr>
            </w:pPr>
            <w:r>
              <w:rPr>
                <w:rFonts w:hint="eastAsia" w:ascii="宋体" w:hAnsi="宋体" w:cs="宋体"/>
                <w:color w:val="auto"/>
                <w:szCs w:val="21"/>
                <w:highlight w:val="none"/>
                <w:lang w:val="en-US"/>
              </w:rPr>
              <w:t>3.本竞争性谈判文件所称的“电子签章”“电子签名”，是指经广西政府采购云平台认可的CA认证的电子签名数据为表现形式的印章，可用于签署电子响应文件，电子印章与实物印章具有同等法律效力，不因其采用电子化表现形式而否定其法律效力。</w:t>
            </w:r>
          </w:p>
          <w:p>
            <w:pPr>
              <w:pStyle w:val="11"/>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rPr>
              <w:t>4</w:t>
            </w:r>
            <w:r>
              <w:rPr>
                <w:rFonts w:hint="eastAsia" w:ascii="宋体" w:hAnsi="宋体" w:cs="宋体"/>
                <w:color w:val="auto"/>
                <w:szCs w:val="21"/>
                <w:highlight w:val="none"/>
              </w:rPr>
              <w:t>.供应商为其他组织或者自然人时，本竞争性谈判文件规定的法定代表人指负责人或者自然人。本竞争性谈判文件所称负责人是指参加竞标的其他组织营业执照上的负责人，本竞争性谈判文件所称自然人指参与竞标的自然人本人。</w:t>
            </w:r>
          </w:p>
          <w:p>
            <w:pPr>
              <w:pStyle w:val="11"/>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rPr>
              <w:t>5</w:t>
            </w:r>
            <w:r>
              <w:rPr>
                <w:rFonts w:hint="eastAsia" w:ascii="宋体" w:hAnsi="宋体" w:cs="宋体"/>
                <w:color w:val="auto"/>
                <w:szCs w:val="21"/>
                <w:highlight w:val="none"/>
              </w:rPr>
              <w:t>.自然人竞标的，竞争性谈判文件规定盖公章处由自然人摁手指指印。</w:t>
            </w:r>
          </w:p>
          <w:p>
            <w:pPr>
              <w:snapToGrid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 xml:space="preserve">    6.本竞争性谈判文件所称的“以上”“以下”“以内”“届满”，包括本数；所称的“不满”“超过”“以外”，不包括本数。</w:t>
            </w:r>
          </w:p>
        </w:tc>
      </w:tr>
    </w:tbl>
    <w:p>
      <w:pPr>
        <w:spacing w:line="400" w:lineRule="exact"/>
        <w:jc w:val="center"/>
        <w:rPr>
          <w:rFonts w:hint="eastAsia" w:ascii="宋体" w:hAnsi="宋体" w:eastAsia="宋体" w:cs="Times New Roman"/>
          <w:b/>
          <w:color w:val="auto"/>
          <w:sz w:val="32"/>
          <w:szCs w:val="32"/>
          <w:highlight w:val="none"/>
        </w:rPr>
      </w:pPr>
    </w:p>
    <w:p>
      <w:pPr>
        <w:keepNext/>
        <w:keepLines/>
        <w:spacing w:before="260" w:after="260" w:line="420" w:lineRule="exact"/>
        <w:jc w:val="center"/>
        <w:outlineLvl w:val="1"/>
        <w:rPr>
          <w:rFonts w:hint="eastAsia" w:ascii="宋体" w:hAnsi="宋体" w:eastAsia="宋体" w:cs="Times New Roman"/>
          <w:bCs/>
          <w:color w:val="auto"/>
          <w:sz w:val="32"/>
          <w:szCs w:val="32"/>
          <w:highlight w:val="none"/>
          <w:lang w:val="zh-CN"/>
        </w:rPr>
      </w:pPr>
      <w:r>
        <w:rPr>
          <w:rFonts w:ascii="宋体" w:hAnsi="宋体" w:eastAsia="宋体" w:cs="Times New Roman"/>
          <w:bCs/>
          <w:color w:val="auto"/>
          <w:sz w:val="32"/>
          <w:szCs w:val="32"/>
          <w:highlight w:val="none"/>
          <w:lang w:val="zh-CN"/>
        </w:rPr>
        <w:br w:type="page"/>
      </w:r>
      <w:bookmarkStart w:id="103" w:name="_Toc20165"/>
      <w:bookmarkStart w:id="104" w:name="_Toc29286"/>
      <w:bookmarkStart w:id="105" w:name="_Toc80205924"/>
      <w:r>
        <w:rPr>
          <w:rFonts w:hint="eastAsia" w:ascii="宋体" w:hAnsi="宋体" w:eastAsia="宋体" w:cs="Times New Roman"/>
          <w:bCs/>
          <w:color w:val="auto"/>
          <w:sz w:val="32"/>
          <w:szCs w:val="32"/>
          <w:highlight w:val="none"/>
          <w:lang w:val="zh-CN"/>
        </w:rPr>
        <w:t>第二节 供应商须知正文</w:t>
      </w:r>
      <w:bookmarkEnd w:id="103"/>
      <w:bookmarkEnd w:id="104"/>
      <w:bookmarkEnd w:id="105"/>
    </w:p>
    <w:p>
      <w:pPr>
        <w:keepNext/>
        <w:keepLines/>
        <w:spacing w:line="360" w:lineRule="auto"/>
        <w:ind w:firstLine="640" w:firstLineChars="200"/>
        <w:outlineLvl w:val="2"/>
        <w:rPr>
          <w:rFonts w:hint="eastAsia" w:ascii="宋体" w:hAnsi="宋体" w:eastAsia="宋体" w:cs="Times New Roman"/>
          <w:bCs/>
          <w:color w:val="auto"/>
          <w:sz w:val="32"/>
          <w:szCs w:val="32"/>
          <w:highlight w:val="none"/>
          <w:lang w:val="zh-CN"/>
        </w:rPr>
      </w:pPr>
      <w:bookmarkStart w:id="106" w:name="_Toc18711"/>
      <w:bookmarkStart w:id="107" w:name="_Toc27704"/>
      <w:bookmarkStart w:id="108" w:name="_Toc80205925"/>
      <w:r>
        <w:rPr>
          <w:rFonts w:hint="eastAsia" w:ascii="宋体" w:hAnsi="宋体" w:eastAsia="宋体" w:cs="Times New Roman"/>
          <w:bCs/>
          <w:color w:val="auto"/>
          <w:sz w:val="32"/>
          <w:szCs w:val="32"/>
          <w:highlight w:val="none"/>
          <w:lang w:val="zh-CN"/>
        </w:rPr>
        <w:t>一、总则</w:t>
      </w:r>
      <w:bookmarkEnd w:id="106"/>
      <w:bookmarkEnd w:id="107"/>
      <w:bookmarkEnd w:id="108"/>
    </w:p>
    <w:p>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1.适用范围</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适用法律：本项目采购人、采购代理机构、供应商、谈判小组的相关行为均受《中华人民共和国政府采购法》《中华人民共和国政府采购法实施条例》《政府采购非招标采购方式管理办法》及本项目本级和上级财政部门政府采购有关规定的约束和保护。</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r>
        <w:rPr>
          <w:rFonts w:hint="eastAsia" w:ascii="宋体" w:hAnsi="宋体" w:eastAsia="宋体" w:cs="宋体"/>
          <w:color w:val="auto"/>
          <w:spacing w:val="-6"/>
          <w:szCs w:val="21"/>
          <w:highlight w:val="none"/>
        </w:rPr>
        <w:t>本竞争性谈判文件（以下简称谈判文件）适用于本项目的所有采购程序和环节（法律、法规另有规定的，从其规定）。</w:t>
      </w:r>
    </w:p>
    <w:p>
      <w:pPr>
        <w:spacing w:line="360" w:lineRule="auto"/>
        <w:ind w:firstLine="482" w:firstLineChars="200"/>
        <w:rPr>
          <w:rFonts w:hint="eastAsia" w:ascii="宋体" w:hAnsi="宋体" w:eastAsia="宋体" w:cs="宋体"/>
          <w:color w:val="auto"/>
          <w:szCs w:val="21"/>
          <w:highlight w:val="none"/>
        </w:rPr>
      </w:pPr>
      <w:r>
        <w:rPr>
          <w:rFonts w:hint="eastAsia" w:ascii="黑体" w:hAnsi="黑体" w:eastAsia="黑体" w:cs="宋体"/>
          <w:b/>
          <w:bCs/>
          <w:color w:val="auto"/>
          <w:sz w:val="24"/>
          <w:szCs w:val="24"/>
          <w:highlight w:val="none"/>
        </w:rPr>
        <w:t>2.定义</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2.1“采购人”是指依法进行采购的国家机关、事业单位、团体组织。</w:t>
      </w:r>
    </w:p>
    <w:p>
      <w:pPr>
        <w:spacing w:line="360" w:lineRule="auto"/>
        <w:ind w:firstLine="420" w:firstLineChars="200"/>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2.2“采购代理机构”是指政府采购集中采购机构和集中采购机构以外的采购代理机构。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2.3“供应商”是指向采购人提供货物、工程或者服务的法人、其他组织或者自然人。</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2.4“货物”是指各种形态和种类的物品，包括原材料、燃料、设备、产品等。</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2.5“竞标”是指按照本项目竞争性谈判公告规定的方式供应商获取谈判文件、提交响应文件并希望获得标的的行为。</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2.6“售后服务” 是指包含但不限于供应商须承担的备品备件、包装、运输、装卸、保险、货到就位以及安装、调试、培训、保修和其他类似的义务。</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2.7“书面形式”是指合同书、信件和数据电文（包括电报、电传、传真、电子数据交换和电子邮件）等可以有形地表现所载内容的形式。</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2.8“响应文件”</w:t>
      </w:r>
      <w:r>
        <w:rPr>
          <w:rFonts w:hint="eastAsia" w:ascii="宋体" w:hAnsi="宋体" w:eastAsia="宋体" w:cs="宋体"/>
          <w:color w:val="auto"/>
          <w:spacing w:val="-6"/>
          <w:szCs w:val="21"/>
          <w:highlight w:val="none"/>
        </w:rPr>
        <w:t>是指：供应商根据本文件要求，编制包含报价、技术和货物等所有内容的文件。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 “实质性要求”是指竞争性谈判文件中已经指明不满足则响应文件作无效响应处理的条款，或者不能负偏离的条款，或者采购需求中带“▲”的条款。</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2.10“正偏离”，是指响应文件对谈判文件“采购需求”中有关条款作出优于条款要求并有利于采购人的响应情形；</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2.11“负偏离”，是指响应文件对谈判文件“采购需求”中有关条款作出的响应不满足条款要求，导致采购人要求不能得到满足的情形。</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2.12“允许负偏离的条款”是指采购需求中的不属于“实质性要求”的条款。</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2.13“首次报价”是指供应商提交的首次响应文件中的竞标报价。</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2.14“评审价”是指供应商提交的最后报价并经修正和政策功能价格扣除后的价格。</w:t>
      </w:r>
    </w:p>
    <w:p>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3.供应商的资格条件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供应商的资格条件详见“供应商须知前附表”。</w:t>
      </w:r>
    </w:p>
    <w:p>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4.谈判费用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供应商应承担参与本次采购活动有关的所有费用，包括但不限于勘查现场、编制和提交响应文件、参加谈判与应答、签订合同等，不论竞标结果如何，均应自行承担。</w:t>
      </w:r>
    </w:p>
    <w:p>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5.联合体竞标</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5.1本项目是否接受联合体竞标，详见“供应商须知前附表”。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r>
        <w:rPr>
          <w:rFonts w:hint="eastAsia" w:ascii="宋体" w:hAnsi="宋体" w:eastAsia="宋体" w:cs="Times New Roman"/>
          <w:color w:val="auto"/>
          <w:szCs w:val="24"/>
          <w:highlight w:val="none"/>
        </w:rPr>
        <w:t>如接受联合体竞标，</w:t>
      </w:r>
      <w:r>
        <w:rPr>
          <w:rFonts w:hint="eastAsia" w:ascii="宋体" w:hAnsi="宋体" w:eastAsia="宋体" w:cs="宋体"/>
          <w:color w:val="auto"/>
          <w:szCs w:val="21"/>
          <w:highlight w:val="none"/>
        </w:rPr>
        <w:t>联合体竞标要求详见“供应商须知前附表”。</w:t>
      </w:r>
    </w:p>
    <w:p>
      <w:pPr>
        <w:spacing w:line="360" w:lineRule="auto"/>
        <w:ind w:firstLine="420" w:firstLineChars="200"/>
        <w:rPr>
          <w:rFonts w:hint="eastAsia" w:ascii="宋体" w:hAnsi="宋体" w:eastAsia="宋体" w:cs="Times New Roman"/>
          <w:bCs/>
          <w:color w:val="auto"/>
          <w:szCs w:val="21"/>
          <w:highlight w:val="none"/>
        </w:rPr>
      </w:pPr>
      <w:r>
        <w:rPr>
          <w:rFonts w:hint="eastAsia" w:ascii="宋体" w:hAnsi="宋体" w:eastAsia="宋体" w:cs="宋体"/>
          <w:color w:val="auto"/>
          <w:szCs w:val="21"/>
          <w:highlight w:val="none"/>
        </w:rPr>
        <w:t>5.3根据《政府采购促进中小企业发展管理办法》（财库</w:t>
      </w:r>
      <w:r>
        <w:rPr>
          <w:rFonts w:hint="eastAsia" w:ascii="宋体" w:hAnsi="宋体" w:eastAsia="宋体" w:cs="宋体"/>
          <w:color w:val="auto"/>
          <w:szCs w:val="21"/>
          <w:highlight w:val="none"/>
          <w:lang w:eastAsia="zh-CN"/>
        </w:rPr>
        <w:t>〔2020〕46号</w:t>
      </w:r>
      <w:r>
        <w:rPr>
          <w:rFonts w:hint="eastAsia" w:ascii="宋体" w:hAnsi="宋体" w:eastAsia="宋体" w:cs="宋体"/>
          <w:color w:val="auto"/>
          <w:szCs w:val="21"/>
          <w:highlight w:val="none"/>
        </w:rPr>
        <w:t>）第九条及 《广西壮族自治区财政厅关于贯彻落实政府采购支持中小企业发展政策的通知》（桂财采〔2022〕31号）规定，接受大中型企业与小微企业组成联合体的采购项目，对于联合协议约定小微企业的合同份额占到合同总金额 30%以上的，采购人、采购代理机构应当对联合体的报价给予 4%</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6%的扣除，用扣除后的价格参加评审。组成联合体的小微企业与联合体内其他企业、分包企业之间存在直接控股、管理关系的，不享受价格扣除优惠政策</w:t>
      </w:r>
      <w:r>
        <w:rPr>
          <w:rFonts w:ascii="宋体" w:hAnsi="宋体" w:eastAsia="宋体" w:cs="Times New Roman"/>
          <w:bCs/>
          <w:color w:val="auto"/>
          <w:szCs w:val="21"/>
          <w:highlight w:val="none"/>
        </w:rPr>
        <w:t>。</w:t>
      </w:r>
    </w:p>
    <w:p>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 xml:space="preserve">6.转包与分包             </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rPr>
        <w:t>6.1本项目不允许转包。</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6.2本项目是否允许分包详见“供应商须知前附表”，本项目不允许违法分包。</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6.3根据《政府采购促进中小企业发展管理办法》（财库</w:t>
      </w:r>
      <w:r>
        <w:rPr>
          <w:rFonts w:hint="eastAsia" w:ascii="宋体" w:hAnsi="宋体" w:eastAsia="宋体" w:cs="宋体"/>
          <w:color w:val="auto"/>
          <w:szCs w:val="21"/>
          <w:highlight w:val="none"/>
          <w:lang w:eastAsia="zh-CN"/>
        </w:rPr>
        <w:t>〔2020〕46号</w:t>
      </w:r>
      <w:r>
        <w:rPr>
          <w:rFonts w:hint="eastAsia" w:ascii="宋体" w:hAnsi="宋体" w:eastAsia="宋体" w:cs="宋体"/>
          <w:color w:val="auto"/>
          <w:szCs w:val="21"/>
          <w:highlight w:val="none"/>
        </w:rPr>
        <w:t>）第九条及 《广西壮族自治区财政厅关于贯彻落实政府采购支持中小企业发展政策的通知》（桂财采〔2022〕31号）规定，允许大中型企业向一家或者多家小微企业分包的采购项目，对于分包意向协议约定小微企业的合同份额占到合同总金额 30%以上的，采购人、采购代理机构应当对大中型企业的报价给予4%</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6%的扣除，用扣除后的价格参加评审。接受分包的小微企业与分包企业之间存在直接控股、管理关系的，不享受价格扣除优惠政策</w:t>
      </w:r>
      <w:r>
        <w:rPr>
          <w:rFonts w:ascii="宋体" w:hAnsi="宋体" w:eastAsia="宋体" w:cs="Times New Roman"/>
          <w:bCs/>
          <w:color w:val="auto"/>
          <w:szCs w:val="21"/>
          <w:highlight w:val="none"/>
        </w:rPr>
        <w:t>。</w:t>
      </w:r>
    </w:p>
    <w:p>
      <w:pPr>
        <w:spacing w:line="360" w:lineRule="auto"/>
        <w:ind w:firstLine="482" w:firstLineChars="200"/>
        <w:rPr>
          <w:rFonts w:hint="eastAsia" w:ascii="黑体" w:hAnsi="黑体" w:eastAsia="黑体" w:cs="宋体"/>
          <w:b/>
          <w:bCs/>
          <w:color w:val="auto"/>
          <w:sz w:val="24"/>
          <w:szCs w:val="24"/>
          <w:highlight w:val="none"/>
        </w:rPr>
      </w:pPr>
      <w:bookmarkStart w:id="109" w:name="_Toc254970673"/>
      <w:bookmarkStart w:id="110" w:name="_Toc254970532"/>
      <w:r>
        <w:rPr>
          <w:rFonts w:hint="eastAsia" w:ascii="黑体" w:hAnsi="黑体" w:eastAsia="黑体" w:cs="宋体"/>
          <w:b/>
          <w:bCs/>
          <w:color w:val="auto"/>
          <w:sz w:val="24"/>
          <w:szCs w:val="24"/>
          <w:highlight w:val="none"/>
        </w:rPr>
        <w:t>7.特别说明</w:t>
      </w:r>
      <w:bookmarkEnd w:id="109"/>
      <w:bookmarkEnd w:id="110"/>
    </w:p>
    <w:p>
      <w:pPr>
        <w:spacing w:line="360" w:lineRule="auto"/>
        <w:ind w:firstLine="420" w:firstLineChars="200"/>
        <w:rPr>
          <w:rFonts w:hint="eastAsia" w:ascii="宋体" w:hAnsi="宋体" w:eastAsia="宋体" w:cs="宋体"/>
          <w:color w:val="auto"/>
          <w:szCs w:val="21"/>
          <w:highlight w:val="none"/>
        </w:rPr>
      </w:pPr>
      <w:bookmarkStart w:id="111" w:name="_8.1提供相同品牌产品且通过资格审查、符合性审查的不同投标人参加同一合"/>
      <w:bookmarkEnd w:id="111"/>
      <w:r>
        <w:rPr>
          <w:rFonts w:hint="eastAsia" w:ascii="宋体" w:hAnsi="宋体" w:eastAsia="宋体" w:cs="宋体"/>
          <w:color w:val="auto"/>
          <w:szCs w:val="21"/>
          <w:highlight w:val="none"/>
        </w:rPr>
        <w:t>7.1如果本谈判文件要求提供供应商或制造商的资格、信誉、荣誉、业绩与企业认证等材料的，资格、信誉、荣誉、业绩与企业认证等必须为供应商或者制造商所拥有或自身获得 。</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7.2供应商应仔细阅读谈判文件的所有内容，按照谈判文件的要求提交响应文件，并对所提供的全部资料的真实性承担法律责任。</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7.3供应商在竞标活动中提供任何虚假材料,其响应文件作无效处理，并报监管部门查处；签订合同后发现的</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成交供应商须依照《中华人民共和国消费者权益保护法》规定赔偿采购人，且民事赔偿并不免除违法供应商的行政与刑事责任。</w:t>
      </w:r>
    </w:p>
    <w:p>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7.4在政府采购活动中，采购人员及相关人员与供应商有下列利害关系之一的，应当回避：</w:t>
      </w:r>
    </w:p>
    <w:p>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（1）参加采购活动前3年内与供应商存在劳动关系；</w:t>
      </w:r>
    </w:p>
    <w:p>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（2）参加采购活动前3年内担任供应商的董事、监事；</w:t>
      </w:r>
    </w:p>
    <w:p>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（3）参加采购活动前3年内是供应商的控股股东或者实际控制人；</w:t>
      </w:r>
    </w:p>
    <w:p>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（4）与供应商的法定代表人或者负责人有夫妻、直系血亲、三代以内旁系血亲或者近姻亲关系；</w:t>
      </w:r>
    </w:p>
    <w:p>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（5）与供应商有其他可能影响政府采购活动公平、公正进行的关系。</w:t>
      </w:r>
    </w:p>
    <w:p>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7.5有下列情形之一的视为供应商相互串通竞标，响应文件将被视为无效：</w:t>
      </w:r>
    </w:p>
    <w:p>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（1）不同供应商的响应文件由同一单位或者个人编制；或不同供应商报名的IP地址一致的；</w:t>
      </w:r>
    </w:p>
    <w:p>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（2）不同供应商委托同一单位或者个人办理竞标事宜；</w:t>
      </w:r>
    </w:p>
    <w:p>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（3）不同的供应商的响应文件载明的项目管理员为同一个人；</w:t>
      </w:r>
    </w:p>
    <w:p>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（4）不同供应商的响应文件异常一致或者报价呈规律性差异；</w:t>
      </w:r>
    </w:p>
    <w:p>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（5）不同供应商的响应文件相互混装；</w:t>
      </w:r>
    </w:p>
    <w:p>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（6）不同供应商的谈判保证金从同一单位或者个人账户转出。</w:t>
      </w:r>
    </w:p>
    <w:p>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7.6供应商有下列情形之一的，属于恶意串通行为</w:t>
      </w:r>
      <w:bookmarkStart w:id="112" w:name="_Hlk54682620"/>
      <w:r>
        <w:rPr>
          <w:rFonts w:hint="eastAsia" w:ascii="宋体" w:hAnsi="宋体" w:eastAsia="宋体" w:cs="宋体"/>
          <w:b/>
          <w:bCs/>
          <w:color w:val="auto"/>
          <w:szCs w:val="21"/>
          <w:highlight w:val="none"/>
        </w:rPr>
        <w:t>，将报同级监督管理部门</w:t>
      </w:r>
      <w:bookmarkEnd w:id="112"/>
      <w:r>
        <w:rPr>
          <w:rFonts w:hint="eastAsia" w:ascii="宋体" w:hAnsi="宋体" w:eastAsia="宋体" w:cs="宋体"/>
          <w:b/>
          <w:bCs/>
          <w:color w:val="auto"/>
          <w:szCs w:val="21"/>
          <w:highlight w:val="none"/>
        </w:rPr>
        <w:t>：</w:t>
      </w:r>
    </w:p>
    <w:p>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（1）供应商直接或者间接从采购人或者采购代理机构处获得其他供应商的相关信息并修改其响应文件；</w:t>
      </w:r>
    </w:p>
    <w:p>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（2）供应商按照采购人或者采购代理机构的授意撤换、修改响应文件；</w:t>
      </w:r>
    </w:p>
    <w:p>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（3）供应商之间协商报价、技术方案等响应文件的实质性内容；</w:t>
      </w:r>
    </w:p>
    <w:p>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（4）属于同一集团、协会、商会等组织成员的供应商按照该组织要求协同参加政府采购活动；</w:t>
      </w:r>
    </w:p>
    <w:p>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（5）供应商之间事先约定一致抬高或者压低报价</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rPr>
        <w:t>或者在政府采购活动中事先约定轮流以高价位或者低价位成交</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rPr>
        <w:t>或者事先约定由某一特定供应商成交</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rPr>
        <w:t>然后再参加竞标；</w:t>
      </w:r>
    </w:p>
    <w:p>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（6）供应商之间商定部分供应商放弃参加政府采购活动或者放弃成交；</w:t>
      </w:r>
    </w:p>
    <w:p>
      <w:pPr>
        <w:spacing w:line="360" w:lineRule="auto"/>
        <w:ind w:firstLine="422" w:firstLineChars="200"/>
        <w:rPr>
          <w:rFonts w:hint="eastAsia" w:ascii="宋体" w:hAnsi="宋体" w:eastAsia="宋体" w:cs="宋体"/>
          <w:b/>
          <w:bCs/>
          <w:color w:val="auto"/>
          <w:szCs w:val="24"/>
          <w:highlight w:val="none"/>
        </w:rPr>
      </w:pPr>
      <w:r>
        <w:rPr>
          <w:rFonts w:hint="eastAsia" w:ascii="宋体" w:hAnsi="宋体" w:eastAsia="宋体" w:cs="宋体"/>
          <w:b/>
          <w:bCs/>
          <w:color w:val="auto"/>
          <w:szCs w:val="24"/>
          <w:highlight w:val="none"/>
        </w:rPr>
        <w:t>（7）供应商与采购人或者采购代理机构之间、供应商相互之间，为谋求特定供应商成交或者排斥其他供应商的其他串通行为。</w:t>
      </w:r>
      <w:bookmarkStart w:id="113" w:name="_Toc254970534"/>
      <w:bookmarkStart w:id="114" w:name="_Toc254970675"/>
    </w:p>
    <w:p>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4"/>
          <w:highlight w:val="none"/>
        </w:rPr>
        <w:t>7.7</w:t>
      </w:r>
      <w:r>
        <w:rPr>
          <w:rFonts w:hint="eastAsia" w:ascii="宋体" w:hAnsi="宋体" w:eastAsia="宋体" w:cs="宋体"/>
          <w:b/>
          <w:bCs/>
          <w:color w:val="auto"/>
          <w:szCs w:val="21"/>
          <w:highlight w:val="none"/>
        </w:rPr>
        <w:t>单一产品采购项目，提供相同品牌产品的不同供应商参加同一合同项下竞标的，以其中通过资格审查、符合性审查、谈判且最后报价最低的参加评审；最后报价相同的，由采购人或者采购人委托谈判小组按照竞争性谈判文件规定的方式确定一个参加评审的供应商，竞争性谈判文件未规定的采取随机抽取方式确定，</w:t>
      </w:r>
      <w:r>
        <w:rPr>
          <w:rFonts w:hint="eastAsia" w:ascii="宋体" w:hAnsi="宋体" w:eastAsia="宋体" w:cs="宋体"/>
          <w:b/>
          <w:bCs/>
          <w:color w:val="auto"/>
          <w:kern w:val="0"/>
          <w:szCs w:val="21"/>
          <w:highlight w:val="none"/>
        </w:rPr>
        <w:t>其他竞标无效</w:t>
      </w:r>
      <w:r>
        <w:rPr>
          <w:rFonts w:hint="eastAsia" w:ascii="宋体" w:hAnsi="宋体" w:eastAsia="宋体" w:cs="宋体"/>
          <w:b/>
          <w:bCs/>
          <w:color w:val="auto"/>
          <w:szCs w:val="21"/>
          <w:highlight w:val="none"/>
        </w:rPr>
        <w:t>。</w:t>
      </w:r>
    </w:p>
    <w:p>
      <w:pPr>
        <w:spacing w:line="360" w:lineRule="auto"/>
        <w:ind w:firstLine="422" w:firstLineChars="200"/>
        <w:rPr>
          <w:rFonts w:hint="eastAsia" w:ascii="宋体" w:hAnsi="宋体" w:eastAsia="宋体" w:cs="宋体"/>
          <w:b/>
          <w:bCs/>
          <w:color w:val="auto"/>
          <w:highlight w:val="none"/>
        </w:rPr>
      </w:pPr>
      <w:r>
        <w:rPr>
          <w:rFonts w:hint="eastAsia" w:ascii="宋体" w:hAnsi="宋体" w:eastAsia="宋体" w:cs="宋体"/>
          <w:b/>
          <w:bCs/>
          <w:color w:val="auto"/>
          <w:szCs w:val="21"/>
          <w:highlight w:val="none"/>
        </w:rPr>
        <w:t>非单一产品采购项目，多家供应商提供的核心产品品牌相同的，按前款规定处理。</w:t>
      </w:r>
    </w:p>
    <w:p>
      <w:pPr>
        <w:keepNext/>
        <w:keepLines/>
        <w:spacing w:line="360" w:lineRule="auto"/>
        <w:ind w:firstLine="640" w:firstLineChars="200"/>
        <w:outlineLvl w:val="2"/>
        <w:rPr>
          <w:rFonts w:hint="eastAsia" w:ascii="宋体" w:hAnsi="宋体" w:eastAsia="宋体" w:cs="Times New Roman"/>
          <w:color w:val="auto"/>
          <w:sz w:val="32"/>
          <w:szCs w:val="32"/>
          <w:highlight w:val="none"/>
          <w:lang w:val="zh-CN"/>
        </w:rPr>
      </w:pPr>
      <w:bookmarkStart w:id="115" w:name="_Toc80205926"/>
      <w:bookmarkStart w:id="116" w:name="_Toc10931"/>
      <w:bookmarkStart w:id="117" w:name="_Toc30516"/>
      <w:r>
        <w:rPr>
          <w:rFonts w:hint="eastAsia" w:ascii="宋体" w:hAnsi="宋体" w:eastAsia="宋体" w:cs="Times New Roman"/>
          <w:color w:val="auto"/>
          <w:sz w:val="32"/>
          <w:szCs w:val="32"/>
          <w:highlight w:val="none"/>
          <w:lang w:val="zh-CN"/>
        </w:rPr>
        <w:t>二、谈判文件</w:t>
      </w:r>
      <w:bookmarkEnd w:id="113"/>
      <w:bookmarkEnd w:id="114"/>
      <w:bookmarkEnd w:id="115"/>
      <w:bookmarkEnd w:id="116"/>
      <w:bookmarkEnd w:id="117"/>
    </w:p>
    <w:p>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8.谈判文件的构成</w:t>
      </w:r>
    </w:p>
    <w:p>
      <w:pPr>
        <w:spacing w:line="360" w:lineRule="auto"/>
        <w:ind w:firstLine="420" w:firstLineChars="200"/>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第一章 竞争性谈判公告；</w:t>
      </w:r>
    </w:p>
    <w:p>
      <w:pPr>
        <w:spacing w:line="360" w:lineRule="auto"/>
        <w:ind w:firstLine="420" w:firstLineChars="200"/>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第二章 采购需求；</w:t>
      </w:r>
    </w:p>
    <w:p>
      <w:pPr>
        <w:spacing w:line="360" w:lineRule="auto"/>
        <w:ind w:firstLine="420" w:firstLineChars="200"/>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 xml:space="preserve">第三章 供应商须知； </w:t>
      </w:r>
    </w:p>
    <w:p>
      <w:pPr>
        <w:spacing w:line="360" w:lineRule="auto"/>
        <w:ind w:firstLine="420" w:firstLineChars="200"/>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第四章 评审程序、评审方法和成交标准；</w:t>
      </w:r>
    </w:p>
    <w:p>
      <w:pPr>
        <w:spacing w:line="360" w:lineRule="auto"/>
        <w:ind w:firstLine="420" w:firstLineChars="200"/>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第五章 响应文件格式；</w:t>
      </w:r>
    </w:p>
    <w:p>
      <w:pPr>
        <w:spacing w:line="360" w:lineRule="auto"/>
        <w:ind w:firstLine="420" w:firstLineChars="200"/>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第六章 合同文本；</w:t>
      </w:r>
    </w:p>
    <w:p>
      <w:pPr>
        <w:spacing w:line="360" w:lineRule="auto"/>
        <w:ind w:firstLine="420" w:firstLineChars="200"/>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第七章 质疑、投诉材料格式。</w:t>
      </w:r>
    </w:p>
    <w:p>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9.供应商的询问</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供应商应认真阅读谈判文件的采购需求，如供应商对谈判文件有疑问的，如要求采购人作出澄清或者修改的，供应商应在</w:t>
      </w:r>
      <w:r>
        <w:rPr>
          <w:rFonts w:ascii="宋体" w:hAnsi="宋体" w:eastAsia="宋体" w:cs="Times New Roman"/>
          <w:color w:val="auto"/>
          <w:szCs w:val="21"/>
          <w:highlight w:val="none"/>
        </w:rPr>
        <w:t>提交首次响应文件截止之日前</w:t>
      </w:r>
      <w:r>
        <w:rPr>
          <w:rFonts w:hint="eastAsia" w:ascii="宋体" w:hAnsi="宋体" w:eastAsia="宋体" w:cs="Times New Roman"/>
          <w:color w:val="auto"/>
          <w:szCs w:val="21"/>
          <w:highlight w:val="none"/>
        </w:rPr>
        <w:t>，以书面形式向</w:t>
      </w:r>
      <w:r>
        <w:rPr>
          <w:rFonts w:ascii="宋体" w:hAnsi="宋体" w:eastAsia="宋体" w:cs="Times New Roman"/>
          <w:color w:val="auto"/>
          <w:szCs w:val="21"/>
          <w:highlight w:val="none"/>
        </w:rPr>
        <w:t>采购人、采购代理机构</w:t>
      </w:r>
      <w:r>
        <w:rPr>
          <w:rFonts w:hint="eastAsia" w:ascii="宋体" w:hAnsi="宋体" w:eastAsia="宋体" w:cs="Times New Roman"/>
          <w:color w:val="auto"/>
          <w:szCs w:val="21"/>
          <w:highlight w:val="none"/>
        </w:rPr>
        <w:t>提出。</w:t>
      </w:r>
    </w:p>
    <w:p>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10.谈判文件的澄清和修改</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10.1已获取谈判文件的潜在供应商，若有问题需要澄清，应于应标截止时间前，以书面形式向采购代理机构提出，采购代理机构与采购人研究后，对认为有必要回答的问题，按照本章10.3的内容处理。</w:t>
      </w:r>
    </w:p>
    <w:p>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10.2采购人或者采购代理机构可以对已发出的谈判文件进行必要的澄清或者修改，但不得改变采购标的和资格条件。澄清或者修改应当在原公告发布媒体上发布澄清公告。澄清或者修改的内容为谈判文件的组成部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10.3提交首次响应文件截止之日前，采购人、采购代理机构或者谈判小组可以对已发出的谈判文件进行必要的澄清或者修改，澄清或者修改的内容作为谈判文件的组成部分。澄清或者修改的内容可能影响响应文件编制的，采购人、采购代理机构或者谈判小组在提交首次响应文件截止之日3个工作日前，以书面形式（目前为网上公告和系统短信等形式）通知所有接收谈判文件的供应商，不足3个工作日的，应当顺延提交首次响应文件截止之日。澄清或者更正公告在竞争性谈判公告发布媒体上发布，一经发布，视作已以书面形式通知所有接收谈判文件的潜在供应商，不再另行通知，所有潜在供应商应密切关注竞争性谈判公告发布媒体，因未能及时获知，由此产生的后果均应自行承担。</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10.4</w:t>
      </w:r>
      <w:r>
        <w:rPr>
          <w:rFonts w:hint="eastAsia" w:ascii="宋体" w:hAnsi="宋体" w:eastAsia="宋体" w:cs="宋体"/>
          <w:color w:val="auto"/>
          <w:szCs w:val="24"/>
          <w:highlight w:val="none"/>
          <w:shd w:val="clear" w:color="auto" w:fill="FFFFFF"/>
        </w:rPr>
        <w:t>采购信息更正公告的内容应当包括采购人和采购代理机构名称、地址、联系方式，原公告的采购项目名称及首次公告日期，更正事项、内容及日期，采购项目联系人和电话。</w:t>
      </w:r>
    </w:p>
    <w:p>
      <w:pPr>
        <w:spacing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10.5  采购人和采购代理机构可以视采购具体情况，变更提交首次响应文件截止时间和竞谈时间，将变更时间将在“竞争性谈判公告”中“七、其他补充事宜</w:t>
      </w:r>
      <w:r>
        <w:rPr>
          <w:rFonts w:hint="eastAsia" w:ascii="宋体" w:hAnsi="宋体" w:eastAsia="宋体" w:cs="宋体"/>
          <w:color w:val="auto"/>
          <w:kern w:val="0"/>
          <w:szCs w:val="21"/>
          <w:highlight w:val="none"/>
        </w:rPr>
        <w:t>（二）</w:t>
      </w:r>
      <w:r>
        <w:rPr>
          <w:rFonts w:hint="eastAsia" w:ascii="宋体" w:hAnsi="宋体" w:eastAsia="宋体" w:cs="宋体"/>
          <w:color w:val="auto"/>
          <w:szCs w:val="24"/>
          <w:highlight w:val="none"/>
        </w:rPr>
        <w:t>网上查询地址”规定的政府采购信息发布媒体上发布更正公告。</w:t>
      </w:r>
    </w:p>
    <w:p>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eastAsia" w:ascii="宋体" w:hAnsi="宋体" w:eastAsia="宋体" w:cs="宋体"/>
          <w:b/>
          <w:color w:val="auto"/>
          <w:kern w:val="0"/>
          <w:szCs w:val="21"/>
          <w:highlight w:val="none"/>
        </w:rPr>
        <w:t>响应文件未按谈判文件的澄清、修改的内容编制，又不符合实质性要求的，其响应文件作无效处理。</w:t>
      </w:r>
    </w:p>
    <w:p>
      <w:pPr>
        <w:keepNext/>
        <w:keepLines/>
        <w:spacing w:line="360" w:lineRule="auto"/>
        <w:ind w:firstLine="640" w:firstLineChars="200"/>
        <w:outlineLvl w:val="2"/>
        <w:rPr>
          <w:rFonts w:hint="eastAsia" w:ascii="宋体" w:hAnsi="宋体" w:eastAsia="宋体" w:cs="Times New Roman"/>
          <w:color w:val="auto"/>
          <w:sz w:val="32"/>
          <w:szCs w:val="32"/>
          <w:highlight w:val="none"/>
          <w:lang w:val="zh-CN"/>
        </w:rPr>
      </w:pPr>
      <w:r>
        <w:rPr>
          <w:rFonts w:hint="eastAsia" w:ascii="宋体" w:hAnsi="宋体" w:eastAsia="宋体" w:cs="Times New Roman"/>
          <w:color w:val="auto"/>
          <w:sz w:val="32"/>
          <w:szCs w:val="32"/>
          <w:highlight w:val="none"/>
          <w:lang w:val="zh-CN"/>
        </w:rPr>
        <w:t xml:space="preserve">  </w:t>
      </w:r>
      <w:bookmarkStart w:id="118" w:name="_Toc80205927"/>
      <w:bookmarkStart w:id="119" w:name="_Toc12627"/>
      <w:bookmarkStart w:id="120" w:name="_Toc11107"/>
      <w:r>
        <w:rPr>
          <w:rFonts w:hint="eastAsia" w:ascii="宋体" w:hAnsi="宋体" w:eastAsia="宋体" w:cs="Times New Roman"/>
          <w:color w:val="auto"/>
          <w:sz w:val="32"/>
          <w:szCs w:val="32"/>
          <w:highlight w:val="none"/>
          <w:lang w:val="zh-CN"/>
        </w:rPr>
        <w:t>三、响应文件的编制</w:t>
      </w:r>
      <w:bookmarkEnd w:id="118"/>
      <w:bookmarkEnd w:id="119"/>
      <w:bookmarkEnd w:id="120"/>
    </w:p>
    <w:p>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11.响应文件的编制原则</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供应商必须按照谈判文件的要求编制响应文件，并对其提交的响应文件的真实性、合法性承担法律责任。响应文件必须对谈判文件作出实质性响应。</w:t>
      </w:r>
    </w:p>
    <w:p>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12.响应文件的组成</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12.1响应文件由资格证明文件、报价文件、商务和技术文件三部分组成。</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ascii="宋体" w:hAnsi="宋体" w:eastAsia="宋体" w:cs="宋体"/>
          <w:color w:val="auto"/>
          <w:szCs w:val="21"/>
          <w:highlight w:val="none"/>
        </w:rPr>
        <w:t>2.1.1</w:t>
      </w:r>
      <w:r>
        <w:rPr>
          <w:rFonts w:hint="eastAsia" w:ascii="宋体" w:hAnsi="宋体" w:eastAsia="宋体" w:cs="宋体"/>
          <w:color w:val="auto"/>
          <w:szCs w:val="21"/>
          <w:highlight w:val="none"/>
        </w:rPr>
        <w:t>资格证明文件：详见供应商须知前附表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12.1.2商务技术文件：详见供应商须知前附表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ascii="宋体" w:hAnsi="宋体" w:eastAsia="宋体" w:cs="宋体"/>
          <w:color w:val="auto"/>
          <w:szCs w:val="21"/>
          <w:highlight w:val="none"/>
        </w:rPr>
        <w:t>2.1.</w:t>
      </w:r>
      <w:r>
        <w:rPr>
          <w:rFonts w:hint="eastAsia" w:ascii="宋体" w:hAnsi="宋体" w:eastAsia="宋体" w:cs="宋体"/>
          <w:color w:val="auto"/>
          <w:szCs w:val="21"/>
          <w:highlight w:val="none"/>
        </w:rPr>
        <w:t>3报价文件：详见供应商须知前附表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r>
        <w:rPr>
          <w:rFonts w:ascii="宋体" w:hAnsi="宋体" w:eastAsia="宋体" w:cs="宋体"/>
          <w:color w:val="auto"/>
          <w:szCs w:val="21"/>
          <w:highlight w:val="none"/>
        </w:rPr>
        <w:t>2</w:t>
      </w:r>
      <w:r>
        <w:rPr>
          <w:rFonts w:hint="eastAsia" w:ascii="宋体" w:hAnsi="宋体" w:eastAsia="宋体" w:cs="宋体"/>
          <w:color w:val="auto"/>
          <w:szCs w:val="21"/>
          <w:highlight w:val="none"/>
        </w:rPr>
        <w:t>响应文件电子版：详见供应商须知前附表</w:t>
      </w:r>
    </w:p>
    <w:p>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13.计量单位</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谈判文件已有明确规定的，使用谈判文件规定的计量单位；谈判文件没有规定的，应采用中华人民共和国法定计量单位，货币种类为人民币，否则视同未响应。</w:t>
      </w:r>
    </w:p>
    <w:p>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14.竞标的风险</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供应商没有按照谈判文件要求提供全部资料，或者供应商没有对谈判文件在各方面作出实质性响应可能导致其响应无效，是供应商应当考虑的风险。</w:t>
      </w:r>
    </w:p>
    <w:p>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15.响应报价要求和构成</w:t>
      </w:r>
    </w:p>
    <w:p>
      <w:pPr>
        <w:tabs>
          <w:tab w:val="left" w:pos="2492"/>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15.1响应报价应按“第五章 响应文件格式”中“响应报价表”格式填写。</w:t>
      </w:r>
    </w:p>
    <w:p>
      <w:pPr>
        <w:tabs>
          <w:tab w:val="left" w:pos="2492"/>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15.2响应报价的价格构成见“供应商须知前附表”。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15.3响应报价要求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15.3.1供应商的响应报价应符合以下要求，否则响应文件作无效响应处理：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（1）供应商必须就“采购需求”中所竞标的项目/每个分标的全部内容分别作完整唯一总价报价，不得存在漏项报价；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（2）供应商必须就所竞标的项目/分标的单项内容作唯一报价。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15.3.2响应报价（包含首次报价、最后报价）超过所竞标项目/分标规定的采购预算金额或者最高限价的（如本项目公布了最高限价），其响应文件将作无效处理。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15.3.3</w:t>
      </w:r>
      <w:bookmarkStart w:id="121" w:name="_Hlk42592874"/>
      <w:r>
        <w:rPr>
          <w:rFonts w:hint="eastAsia" w:ascii="宋体" w:hAnsi="宋体" w:eastAsia="宋体" w:cs="宋体"/>
          <w:color w:val="auto"/>
          <w:szCs w:val="21"/>
          <w:highlight w:val="none"/>
        </w:rPr>
        <w:t>响应报价（包含首次报价、最后报价）超过分项采购预算金额或者最高限价的（如本项目公布了最高限价），其响应文件将作无效处理。</w:t>
      </w:r>
    </w:p>
    <w:bookmarkEnd w:id="121"/>
    <w:p>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16.竞标有效期</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 竞标有效期应由供应商按“供应商须知前附表”规定的期限作出响应。</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16.3供应商的响应文件在竞标有效期内均保持有效。</w:t>
      </w:r>
    </w:p>
    <w:p>
      <w:pPr>
        <w:spacing w:line="360" w:lineRule="auto"/>
        <w:ind w:firstLine="422" w:firstLineChars="175"/>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17.谈判保证金</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17.1供应商须按“供应商须知前附表”的规定提交谈判保证金。</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17.2谈判保证金的退还</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17.2.1未</w:t>
      </w:r>
      <w:r>
        <w:rPr>
          <w:rFonts w:hint="eastAsia" w:ascii="宋体" w:hAnsi="宋体" w:eastAsia="宋体" w:cs="宋体"/>
          <w:color w:val="auto"/>
          <w:spacing w:val="-6"/>
          <w:szCs w:val="21"/>
          <w:highlight w:val="none"/>
        </w:rPr>
        <w:t>成交供应商的谈判保证金自成交通知书发出之日起5个工作日内退还，退还方式如下：</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（1）采用银行转账方式的，以转账方式退回到供应商银行账户。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（2）采用支票、汇票、本票或者金融机构、担保机构出具的保函等方式的，由供应商代表持相关授权证明材料至采购代理机构办理支票、汇票、本票或者金融机构、担保机构出具的保函等原件退还手续。</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17.2.2成交供应商的谈判保证金自签订合同之日起5个工作日内退还，退还方式同未成交供应商的谈判保证金的退还方式；或者转为成交供应商的履约保证金。 </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17.3谈判保证金不计息。</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17.4供应商有下列情形之一的，谈判保证金将不予退还： </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（1）供应商在提交响应文件截止时间后撤回响应文件的；</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（2）供应商在响应文件中提供虚假材料的；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（3）除因不可抗力或者竞争性谈判文件认可的情形以外，成交供应商不与采购人签订合同的；</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（4）供应商与采购人、其他供应商或者采购代理机构恶意串通的；</w:t>
      </w:r>
    </w:p>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（5）竞争性谈判文件规定的其他情形。</w:t>
      </w:r>
    </w:p>
    <w:p>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18.响应文件编制的要求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18.1各供应商在编制响应文件时请按照谈判文件“第五章 响应文件格式”规定的格式进行，混乱的编排导致响应文件被误读或谈判小组查找不到有效文件是供应商的风险。不完整、编排混乱导致响应文件被误读、漏读或者查找不到相关内容的，</w:t>
      </w:r>
      <w:r>
        <w:rPr>
          <w:rFonts w:hint="eastAsia" w:ascii="宋体" w:hAnsi="宋体" w:eastAsia="宋体" w:cs="宋体"/>
          <w:color w:val="auto"/>
          <w:szCs w:val="24"/>
          <w:highlight w:val="none"/>
        </w:rPr>
        <w:t>由此引发的</w:t>
      </w:r>
      <w:r>
        <w:rPr>
          <w:rFonts w:hint="eastAsia" w:ascii="宋体" w:hAnsi="宋体" w:eastAsia="宋体" w:cs="宋体"/>
          <w:color w:val="auto"/>
          <w:szCs w:val="21"/>
          <w:highlight w:val="none"/>
        </w:rPr>
        <w:t>后果由供应商承担。</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18.2响应文件应按资格证明、报价分别编制，商务技术文件合并编制，本谈判只接收电子版响应文件，要求见本章“12.2响应文件电子版要求”。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w:t>
      </w:r>
      <w:bookmarkStart w:id="122" w:name="_Hlk65832699"/>
      <w:r>
        <w:rPr>
          <w:rFonts w:hint="eastAsia" w:ascii="宋体" w:hAnsi="宋体" w:eastAsia="宋体" w:cs="宋体"/>
          <w:color w:val="auto"/>
          <w:szCs w:val="21"/>
          <w:highlight w:val="none"/>
        </w:rPr>
        <w:t>3</w:t>
      </w:r>
      <w:r>
        <w:rPr>
          <w:rFonts w:hint="eastAsia" w:ascii="宋体" w:hAnsi="宋体" w:eastAsia="宋体" w:cs="Times New Roman"/>
          <w:color w:val="auto"/>
          <w:szCs w:val="21"/>
          <w:highlight w:val="none"/>
        </w:rPr>
        <w:t>响应文件须由供应商按</w:t>
      </w:r>
      <w:r>
        <w:rPr>
          <w:rFonts w:hint="eastAsia" w:ascii="宋体" w:hAnsi="宋体" w:eastAsia="宋体" w:cs="仿宋_GB2312"/>
          <w:color w:val="auto"/>
          <w:kern w:val="0"/>
          <w:szCs w:val="21"/>
          <w:highlight w:val="none"/>
          <w:lang w:val="zh-CN"/>
        </w:rPr>
        <w:t>“</w:t>
      </w:r>
      <w:r>
        <w:rPr>
          <w:rFonts w:hint="eastAsia" w:ascii="宋体" w:hAnsi="宋体" w:eastAsia="宋体" w:cs="Times New Roman"/>
          <w:color w:val="auto"/>
          <w:szCs w:val="21"/>
          <w:highlight w:val="none"/>
        </w:rPr>
        <w:t>第五章 响应文件格式</w:t>
      </w:r>
      <w:r>
        <w:rPr>
          <w:rFonts w:hint="eastAsia" w:ascii="宋体" w:hAnsi="宋体" w:eastAsia="宋体" w:cs="仿宋_GB2312"/>
          <w:color w:val="auto"/>
          <w:kern w:val="0"/>
          <w:szCs w:val="21"/>
          <w:highlight w:val="none"/>
          <w:lang w:val="zh-CN"/>
        </w:rPr>
        <w:t>”</w:t>
      </w:r>
      <w:r>
        <w:rPr>
          <w:rFonts w:hint="eastAsia" w:ascii="宋体" w:hAnsi="宋体" w:eastAsia="宋体" w:cs="Times New Roman"/>
          <w:color w:val="auto"/>
          <w:szCs w:val="21"/>
          <w:highlight w:val="none"/>
        </w:rPr>
        <w:t>要求</w:t>
      </w:r>
      <w:r>
        <w:rPr>
          <w:rFonts w:hint="eastAsia" w:ascii="宋体" w:hAnsi="宋体" w:eastAsia="宋体" w:cs="仿宋_GB2312"/>
          <w:color w:val="auto"/>
          <w:szCs w:val="21"/>
          <w:highlight w:val="none"/>
        </w:rPr>
        <w:t>进行签署、盖章</w:t>
      </w:r>
      <w:bookmarkEnd w:id="122"/>
      <w:r>
        <w:rPr>
          <w:rFonts w:hint="eastAsia" w:ascii="宋体" w:hAnsi="宋体" w:eastAsia="宋体" w:cs="宋体"/>
          <w:color w:val="auto"/>
          <w:szCs w:val="21"/>
          <w:highlight w:val="none"/>
        </w:rPr>
        <w:t>，</w:t>
      </w:r>
      <w:r>
        <w:rPr>
          <w:rFonts w:hint="eastAsia" w:ascii="宋体" w:hAnsi="宋体" w:eastAsia="宋体" w:cs="宋体"/>
          <w:b/>
          <w:bCs/>
          <w:color w:val="auto"/>
          <w:szCs w:val="21"/>
          <w:highlight w:val="none"/>
        </w:rPr>
        <w:t>否则其响应文件作无效响应处理。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18.4响应文件中标注的供应商名称应与营业执照（事业单位法人证书、执业许可证、自然人身份证）及公章一致，</w:t>
      </w:r>
      <w:r>
        <w:rPr>
          <w:rFonts w:hint="eastAsia" w:ascii="宋体" w:hAnsi="宋体" w:eastAsia="宋体" w:cs="宋体"/>
          <w:b/>
          <w:bCs/>
          <w:color w:val="auto"/>
          <w:szCs w:val="21"/>
          <w:highlight w:val="none"/>
        </w:rPr>
        <w:t>否则其响应文件作无效响应处理</w:t>
      </w:r>
      <w:r>
        <w:rPr>
          <w:rFonts w:hint="eastAsia" w:ascii="宋体" w:hAnsi="宋体" w:eastAsia="宋体" w:cs="宋体"/>
          <w:color w:val="auto"/>
          <w:szCs w:val="21"/>
          <w:highlight w:val="none"/>
        </w:rPr>
        <w:t>。</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18.5响应文件应避免涂改、行间插字或者删除。</w:t>
      </w:r>
    </w:p>
    <w:p>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19.响应文件的密封和标记</w:t>
      </w:r>
    </w:p>
    <w:p>
      <w:pPr>
        <w:spacing w:line="360" w:lineRule="auto"/>
        <w:ind w:firstLine="420" w:firstLineChars="200"/>
        <w:rPr>
          <w:rFonts w:hint="eastAsia" w:ascii="宋体" w:hAnsi="宋体" w:eastAsia="宋体" w:cs="仿宋_GB2312"/>
          <w:color w:val="auto"/>
          <w:kern w:val="0"/>
          <w:szCs w:val="21"/>
          <w:highlight w:val="none"/>
          <w:lang w:val="zh-CN"/>
        </w:rPr>
      </w:pPr>
      <w:r>
        <w:rPr>
          <w:rFonts w:hint="eastAsia" w:ascii="宋体" w:hAnsi="宋体" w:eastAsia="宋体" w:cs="仿宋_GB2312"/>
          <w:color w:val="auto"/>
          <w:kern w:val="0"/>
          <w:szCs w:val="21"/>
          <w:highlight w:val="none"/>
          <w:lang w:val="zh-CN"/>
        </w:rPr>
        <w:t>19.1供应商进行电子交易应安装客户端软件—“</w:t>
      </w:r>
      <w:r>
        <w:rPr>
          <w:rFonts w:hint="eastAsia" w:ascii="宋体" w:hAnsi="宋体" w:cs="宋体"/>
          <w:color w:val="auto"/>
          <w:szCs w:val="21"/>
          <w:highlight w:val="none"/>
        </w:rPr>
        <w:t>广西政府采购云平台新版客户端</w:t>
      </w:r>
      <w:r>
        <w:rPr>
          <w:rFonts w:hint="eastAsia" w:ascii="宋体" w:hAnsi="宋体" w:eastAsia="宋体" w:cs="仿宋_GB2312"/>
          <w:color w:val="auto"/>
          <w:kern w:val="0"/>
          <w:szCs w:val="21"/>
          <w:highlight w:val="none"/>
          <w:lang w:val="zh-CN"/>
        </w:rPr>
        <w:t>”，并按照谈判文件和电子交易平台的要求编制并加密响应文件。供应商未按规定加密的响应文件，电子交易平台将拒收并提示。</w:t>
      </w:r>
    </w:p>
    <w:p>
      <w:pPr>
        <w:spacing w:line="360" w:lineRule="auto"/>
        <w:ind w:firstLine="420" w:firstLineChars="200"/>
        <w:rPr>
          <w:rFonts w:hint="eastAsia" w:ascii="宋体" w:hAnsi="宋体" w:eastAsia="宋体" w:cs="仿宋_GB2312"/>
          <w:color w:val="auto"/>
          <w:kern w:val="0"/>
          <w:szCs w:val="21"/>
          <w:highlight w:val="none"/>
          <w:lang w:val="zh-CN"/>
        </w:rPr>
      </w:pPr>
      <w:r>
        <w:rPr>
          <w:rFonts w:hint="eastAsia" w:ascii="宋体" w:hAnsi="宋体" w:eastAsia="宋体" w:cs="仿宋_GB2312"/>
          <w:color w:val="auto"/>
          <w:kern w:val="0"/>
          <w:szCs w:val="21"/>
          <w:highlight w:val="none"/>
          <w:lang w:val="zh-CN"/>
        </w:rPr>
        <w:t>19.2使用“</w:t>
      </w:r>
      <w:r>
        <w:rPr>
          <w:rFonts w:hint="eastAsia" w:ascii="宋体" w:hAnsi="宋体" w:cs="宋体"/>
          <w:color w:val="auto"/>
          <w:szCs w:val="21"/>
          <w:highlight w:val="none"/>
        </w:rPr>
        <w:t>广西政府采购云平台</w:t>
      </w:r>
      <w:r>
        <w:rPr>
          <w:rFonts w:hint="eastAsia" w:ascii="宋体" w:hAnsi="宋体" w:eastAsia="宋体" w:cs="仿宋_GB2312"/>
          <w:color w:val="auto"/>
          <w:kern w:val="0"/>
          <w:szCs w:val="21"/>
          <w:highlight w:val="none"/>
          <w:lang w:val="zh-CN"/>
        </w:rPr>
        <w:t>电子交易客户端”需要提前申领CA数字证书。</w:t>
      </w:r>
    </w:p>
    <w:p>
      <w:pPr>
        <w:spacing w:line="360" w:lineRule="auto"/>
        <w:ind w:firstLine="420" w:firstLineChars="200"/>
        <w:rPr>
          <w:rFonts w:hint="eastAsia" w:ascii="宋体" w:hAnsi="宋体" w:eastAsia="宋体" w:cs="仿宋_GB2312"/>
          <w:color w:val="auto"/>
          <w:kern w:val="0"/>
          <w:szCs w:val="21"/>
          <w:highlight w:val="none"/>
          <w:lang w:val="zh-CN"/>
        </w:rPr>
      </w:pPr>
      <w:r>
        <w:rPr>
          <w:rFonts w:hint="eastAsia" w:ascii="宋体" w:hAnsi="宋体" w:eastAsia="宋体" w:cs="仿宋_GB2312"/>
          <w:color w:val="auto"/>
          <w:kern w:val="0"/>
          <w:szCs w:val="21"/>
          <w:highlight w:val="none"/>
          <w:lang w:val="zh-CN"/>
        </w:rPr>
        <w:t>19.3为确保网上操作合法、有效和安全，供应商应当在响应文件提交截止时间前完成在“</w:t>
      </w:r>
      <w:r>
        <w:rPr>
          <w:rFonts w:hint="eastAsia" w:ascii="宋体" w:hAnsi="宋体" w:cs="宋体"/>
          <w:color w:val="auto"/>
          <w:szCs w:val="21"/>
          <w:highlight w:val="none"/>
        </w:rPr>
        <w:t>广西政府采购云平台</w:t>
      </w:r>
      <w:r>
        <w:rPr>
          <w:rFonts w:hint="eastAsia" w:ascii="宋体" w:hAnsi="宋体" w:eastAsia="宋体" w:cs="仿宋_GB2312"/>
          <w:color w:val="auto"/>
          <w:kern w:val="0"/>
          <w:szCs w:val="21"/>
          <w:highlight w:val="none"/>
          <w:lang w:val="zh-CN"/>
        </w:rPr>
        <w:t>”的身份认证，确保在电子交易过程中能够对相关数据电文进行加密和使用电子签名。</w:t>
      </w:r>
    </w:p>
    <w:p>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20.响应文件的提交</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20.1供应商必须在“供应商须知前附表”规定的时间和地点提交响应文件。</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宋体"/>
          <w:color w:val="auto"/>
          <w:szCs w:val="21"/>
          <w:highlight w:val="none"/>
        </w:rPr>
        <w:t>20</w:t>
      </w:r>
      <w:r>
        <w:rPr>
          <w:rFonts w:hint="eastAsia" w:ascii="宋体" w:hAnsi="宋体" w:eastAsia="宋体" w:cs="Times New Roman"/>
          <w:color w:val="auto"/>
          <w:szCs w:val="21"/>
          <w:highlight w:val="none"/>
        </w:rPr>
        <w:t>.2 在响应文件提交截止时间以后，不能补充、修改响应文件。</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20.3 在提交“最后报价”后，供应商不能退出谈判。</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20.5 采购机构不可视情况延长提交响应文件的截止时间。</w:t>
      </w:r>
    </w:p>
    <w:p>
      <w:pPr>
        <w:spacing w:line="360" w:lineRule="auto"/>
        <w:ind w:firstLine="420" w:firstLineChars="200"/>
        <w:rPr>
          <w:rFonts w:hint="eastAsia" w:ascii="黑体" w:hAnsi="黑体" w:eastAsia="黑体" w:cs="Times New Roman"/>
          <w:color w:val="auto"/>
          <w:sz w:val="24"/>
          <w:szCs w:val="24"/>
          <w:highlight w:val="none"/>
        </w:rPr>
      </w:pPr>
      <w:r>
        <w:rPr>
          <w:rFonts w:hint="eastAsia" w:ascii="宋体" w:hAnsi="宋体" w:eastAsia="宋体" w:cs="Times New Roman"/>
          <w:color w:val="auto"/>
          <w:szCs w:val="21"/>
          <w:highlight w:val="none"/>
        </w:rPr>
        <w:t>20.6备份响应文件。</w:t>
      </w:r>
      <w:r>
        <w:rPr>
          <w:rFonts w:hint="eastAsia" w:ascii="Times New Roman" w:hAnsi="宋体" w:eastAsia="宋体" w:cs="Times New Roman"/>
          <w:bCs/>
          <w:color w:val="auto"/>
          <w:szCs w:val="21"/>
          <w:highlight w:val="none"/>
        </w:rPr>
        <w:t>详见“供应商须知前附表”。</w:t>
      </w:r>
    </w:p>
    <w:p>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21.首次响应文件的补充、修改与撤回</w:t>
      </w:r>
    </w:p>
    <w:p>
      <w:pPr>
        <w:adjustRightInd w:val="0"/>
        <w:spacing w:line="360" w:lineRule="auto"/>
        <w:ind w:firstLine="420" w:firstLineChars="200"/>
        <w:rPr>
          <w:rFonts w:hint="eastAsia" w:ascii="宋体" w:hAnsi="宋体" w:eastAsia="宋体" w:cs="仿宋_GB2312"/>
          <w:color w:val="auto"/>
          <w:kern w:val="0"/>
          <w:szCs w:val="21"/>
          <w:highlight w:val="none"/>
        </w:rPr>
      </w:pPr>
      <w:r>
        <w:rPr>
          <w:rFonts w:hint="eastAsia" w:ascii="宋体" w:hAnsi="宋体" w:eastAsia="宋体" w:cs="仿宋_GB2312"/>
          <w:color w:val="auto"/>
          <w:kern w:val="0"/>
          <w:szCs w:val="21"/>
          <w:highlight w:val="none"/>
        </w:rPr>
        <w:t>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文件提交截止时间后提交的响应文件，电子交易平台将拒收。</w:t>
      </w:r>
    </w:p>
    <w:p>
      <w:pPr>
        <w:spacing w:line="360" w:lineRule="auto"/>
        <w:ind w:firstLine="482" w:firstLineChars="200"/>
        <w:rPr>
          <w:rFonts w:hint="eastAsia" w:ascii="黑体" w:hAnsi="黑体" w:eastAsia="黑体" w:cs="宋体"/>
          <w:b/>
          <w:bCs/>
          <w:color w:val="auto"/>
          <w:sz w:val="24"/>
          <w:szCs w:val="24"/>
          <w:highlight w:val="none"/>
        </w:rPr>
      </w:pPr>
      <w:bookmarkStart w:id="123" w:name="_Hlk45702405"/>
      <w:r>
        <w:rPr>
          <w:rFonts w:hint="eastAsia" w:ascii="黑体" w:hAnsi="黑体" w:eastAsia="黑体" w:cs="宋体"/>
          <w:b/>
          <w:bCs/>
          <w:color w:val="auto"/>
          <w:sz w:val="24"/>
          <w:szCs w:val="24"/>
          <w:highlight w:val="none"/>
        </w:rPr>
        <w:t>22. 截止时间后的撤回</w:t>
      </w:r>
    </w:p>
    <w:bookmarkEnd w:id="123"/>
    <w:p>
      <w:pPr>
        <w:pStyle w:val="13"/>
        <w:spacing w:after="0"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供应商在首次响应文件提交截止时间后向采购人、采购代理机构书面申请撤回响应文件的，将根据本须知正文第17.4条的规定不予退还其谈判保证金（</w:t>
      </w:r>
      <w:r>
        <w:rPr>
          <w:rFonts w:hint="eastAsia" w:ascii="宋体" w:hAnsi="宋体" w:cs="宋体"/>
          <w:color w:val="auto"/>
          <w:szCs w:val="21"/>
          <w:highlight w:val="none"/>
          <w:lang w:val="en-US"/>
        </w:rPr>
        <w:t>如有</w:t>
      </w:r>
      <w:r>
        <w:rPr>
          <w:rFonts w:hint="eastAsia" w:ascii="宋体" w:hAnsi="宋体" w:cs="宋体"/>
          <w:color w:val="auto"/>
          <w:szCs w:val="21"/>
          <w:highlight w:val="none"/>
        </w:rPr>
        <w:t>）。</w:t>
      </w:r>
    </w:p>
    <w:p>
      <w:pPr>
        <w:keepNext/>
        <w:keepLines/>
        <w:spacing w:line="360" w:lineRule="auto"/>
        <w:ind w:firstLine="640" w:firstLineChars="200"/>
        <w:outlineLvl w:val="2"/>
        <w:rPr>
          <w:rFonts w:hint="eastAsia" w:ascii="宋体" w:hAnsi="宋体" w:eastAsia="宋体" w:cs="Times New Roman"/>
          <w:color w:val="auto"/>
          <w:sz w:val="32"/>
          <w:szCs w:val="32"/>
          <w:highlight w:val="none"/>
          <w:lang w:val="zh-CN"/>
        </w:rPr>
      </w:pPr>
      <w:r>
        <w:rPr>
          <w:rFonts w:hint="eastAsia" w:ascii="宋体" w:hAnsi="宋体" w:eastAsia="宋体" w:cs="Times New Roman"/>
          <w:color w:val="auto"/>
          <w:sz w:val="32"/>
          <w:szCs w:val="32"/>
          <w:highlight w:val="none"/>
          <w:lang w:val="zh-CN"/>
        </w:rPr>
        <w:t xml:space="preserve">  </w:t>
      </w:r>
      <w:bookmarkStart w:id="124" w:name="_Toc29978"/>
      <w:bookmarkStart w:id="125" w:name="_Toc80205928"/>
      <w:bookmarkStart w:id="126" w:name="_Toc8836"/>
      <w:r>
        <w:rPr>
          <w:rFonts w:hint="eastAsia" w:ascii="宋体" w:hAnsi="宋体" w:eastAsia="宋体" w:cs="Times New Roman"/>
          <w:color w:val="auto"/>
          <w:sz w:val="32"/>
          <w:szCs w:val="32"/>
          <w:highlight w:val="none"/>
          <w:lang w:val="zh-CN"/>
        </w:rPr>
        <w:t>四、评审及谈判</w:t>
      </w:r>
      <w:bookmarkEnd w:id="124"/>
      <w:bookmarkEnd w:id="125"/>
      <w:bookmarkEnd w:id="126"/>
    </w:p>
    <w:p>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23.谈判小组成立</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23.1谈判小组由采购人代表和评审专家共3人以上单数组成，其中评审专家人数不得少于谈判小组成员总数的2/3。采购人代表不得以评审专家身份参加本部门或者本单位采购项目的评审。采购代理机构人员不得参加本机构代理的采购项目的评审。达到公开招标数额标准的货物或者货物采购项目，或者达到公开招标规模标准的政府采购工程，经批准采用竞争性谈判方式采购的，谈判小组由5人以上单数组成。</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23.2评审专家应当从政府采购评审专家库内相关专业的专家名单中随机抽取。</w:t>
      </w:r>
    </w:p>
    <w:p>
      <w:pPr>
        <w:spacing w:line="360" w:lineRule="auto"/>
        <w:ind w:firstLine="482" w:firstLineChars="200"/>
        <w:rPr>
          <w:rFonts w:hint="eastAsia" w:ascii="黑体" w:hAnsi="黑体" w:eastAsia="黑体" w:cs="宋体"/>
          <w:b/>
          <w:bCs/>
          <w:color w:val="auto"/>
          <w:sz w:val="24"/>
          <w:szCs w:val="24"/>
          <w:highlight w:val="none"/>
        </w:rPr>
      </w:pPr>
      <w:r>
        <w:rPr>
          <w:rFonts w:ascii="黑体" w:hAnsi="黑体" w:eastAsia="黑体" w:cs="宋体"/>
          <w:b/>
          <w:bCs/>
          <w:color w:val="auto"/>
          <w:sz w:val="24"/>
          <w:szCs w:val="24"/>
          <w:highlight w:val="none"/>
        </w:rPr>
        <w:t>2</w:t>
      </w:r>
      <w:r>
        <w:rPr>
          <w:rFonts w:hint="eastAsia" w:ascii="黑体" w:hAnsi="黑体" w:eastAsia="黑体" w:cs="宋体"/>
          <w:b/>
          <w:bCs/>
          <w:color w:val="auto"/>
          <w:sz w:val="24"/>
          <w:szCs w:val="24"/>
          <w:highlight w:val="none"/>
        </w:rPr>
        <w:t>4</w:t>
      </w:r>
      <w:r>
        <w:rPr>
          <w:rFonts w:ascii="黑体" w:hAnsi="黑体" w:eastAsia="黑体" w:cs="宋体"/>
          <w:b/>
          <w:bCs/>
          <w:color w:val="auto"/>
          <w:sz w:val="24"/>
          <w:szCs w:val="24"/>
          <w:highlight w:val="none"/>
        </w:rPr>
        <w:t>.</w:t>
      </w:r>
      <w:r>
        <w:rPr>
          <w:rFonts w:hint="eastAsia" w:ascii="黑体" w:hAnsi="黑体" w:eastAsia="黑体" w:cs="宋体"/>
          <w:b/>
          <w:bCs/>
          <w:color w:val="auto"/>
          <w:sz w:val="24"/>
          <w:szCs w:val="24"/>
          <w:highlight w:val="none"/>
        </w:rPr>
        <w:t>首次响应文件的开启</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24.1首次响应文件由谈判小组或者采购代理机构在“供应商须知前附表”规定的时间开启。</w:t>
      </w:r>
    </w:p>
    <w:p>
      <w:pPr>
        <w:spacing w:line="360" w:lineRule="auto"/>
        <w:ind w:firstLine="400" w:firstLineChars="200"/>
        <w:rPr>
          <w:rFonts w:hint="eastAsia" w:ascii="宋体" w:hAnsi="宋体" w:eastAsia="宋体" w:cs="宋体"/>
          <w:bCs/>
          <w:color w:val="auto"/>
          <w:kern w:val="0"/>
          <w:sz w:val="20"/>
          <w:szCs w:val="21"/>
          <w:highlight w:val="none"/>
          <w:lang w:val="zh-CN"/>
        </w:rPr>
      </w:pPr>
      <w:r>
        <w:rPr>
          <w:rFonts w:hint="eastAsia" w:ascii="宋体" w:hAnsi="宋体" w:eastAsia="宋体" w:cs="宋体"/>
          <w:color w:val="auto"/>
          <w:kern w:val="0"/>
          <w:sz w:val="20"/>
          <w:szCs w:val="21"/>
          <w:highlight w:val="none"/>
          <w:lang w:val="zh-CN"/>
        </w:rPr>
        <w:t>2</w:t>
      </w:r>
      <w:r>
        <w:rPr>
          <w:rFonts w:hint="eastAsia" w:ascii="宋体" w:hAnsi="宋体" w:eastAsia="宋体" w:cs="宋体"/>
          <w:color w:val="auto"/>
          <w:kern w:val="0"/>
          <w:sz w:val="20"/>
          <w:szCs w:val="21"/>
          <w:highlight w:val="none"/>
        </w:rPr>
        <w:t>4</w:t>
      </w:r>
      <w:r>
        <w:rPr>
          <w:rFonts w:hint="eastAsia" w:ascii="宋体" w:hAnsi="宋体" w:eastAsia="宋体" w:cs="宋体"/>
          <w:color w:val="auto"/>
          <w:kern w:val="0"/>
          <w:sz w:val="20"/>
          <w:szCs w:val="21"/>
          <w:highlight w:val="none"/>
          <w:lang w:val="zh-CN"/>
        </w:rPr>
        <w:t xml:space="preserve">.2 </w:t>
      </w:r>
      <w:r>
        <w:rPr>
          <w:rFonts w:hint="eastAsia" w:ascii="宋体" w:hAnsi="宋体" w:eastAsia="宋体" w:cs="宋体"/>
          <w:bCs/>
          <w:color w:val="auto"/>
          <w:kern w:val="0"/>
          <w:sz w:val="20"/>
          <w:szCs w:val="21"/>
          <w:highlight w:val="none"/>
          <w:lang w:val="zh-CN"/>
        </w:rPr>
        <w:t>响应文件解密</w:t>
      </w:r>
    </w:p>
    <w:p>
      <w:pPr>
        <w:snapToGrid w:val="0"/>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bCs/>
          <w:color w:val="auto"/>
          <w:kern w:val="0"/>
          <w:szCs w:val="21"/>
          <w:highlight w:val="none"/>
          <w:lang w:val="zh-CN"/>
        </w:rPr>
        <w:t>采购代理机构将在“供应商须知前附表”规定的时</w:t>
      </w:r>
      <w:r>
        <w:rPr>
          <w:rFonts w:hint="eastAsia" w:ascii="宋体" w:hAnsi="宋体" w:eastAsia="宋体" w:cs="宋体"/>
          <w:color w:val="auto"/>
          <w:kern w:val="0"/>
          <w:szCs w:val="21"/>
          <w:highlight w:val="none"/>
          <w:lang w:val="zh-CN"/>
        </w:rPr>
        <w:t>间通过电子交易平台组织响应文件开启，采购机构依托电子交易平台发起开始解密指令，供应商的法定代表人或其委托代理人</w:t>
      </w:r>
      <w:r>
        <w:rPr>
          <w:rFonts w:hint="eastAsia" w:ascii="宋体" w:hAnsi="宋体" w:eastAsia="宋体" w:cs="宋体"/>
          <w:b/>
          <w:color w:val="auto"/>
          <w:kern w:val="0"/>
          <w:szCs w:val="21"/>
          <w:highlight w:val="none"/>
          <w:lang w:val="zh-CN"/>
        </w:rPr>
        <w:t>须携带加密时所用的CA锁按平台提示和采购文件的规定登录到广西政府采购云平台电子开标大厅签到并在发起解密指令之时起在</w:t>
      </w:r>
      <w:r>
        <w:rPr>
          <w:rFonts w:hint="eastAsia" w:ascii="宋体" w:hAnsi="宋体" w:eastAsia="宋体" w:cs="宋体"/>
          <w:b/>
          <w:color w:val="auto"/>
          <w:kern w:val="0"/>
          <w:szCs w:val="21"/>
          <w:highlight w:val="none"/>
        </w:rPr>
        <w:t>规定的时间内</w:t>
      </w:r>
      <w:r>
        <w:rPr>
          <w:rFonts w:hint="eastAsia" w:ascii="宋体" w:hAnsi="宋体" w:eastAsia="宋体" w:cs="宋体"/>
          <w:b/>
          <w:color w:val="auto"/>
          <w:kern w:val="0"/>
          <w:szCs w:val="21"/>
          <w:highlight w:val="none"/>
          <w:lang w:val="zh-CN"/>
        </w:rPr>
        <w:t>完成对电子响应文件在线解密</w:t>
      </w:r>
      <w:r>
        <w:rPr>
          <w:rFonts w:hint="eastAsia" w:ascii="宋体" w:hAnsi="宋体" w:eastAsia="宋体" w:cs="宋体"/>
          <w:color w:val="auto"/>
          <w:kern w:val="0"/>
          <w:szCs w:val="21"/>
          <w:highlight w:val="none"/>
          <w:lang w:val="zh-CN"/>
        </w:rPr>
        <w:t>。</w:t>
      </w:r>
      <w:r>
        <w:rPr>
          <w:rFonts w:hint="eastAsia" w:ascii="宋体" w:hAnsi="宋体" w:eastAsia="宋体" w:cs="宋体"/>
          <w:color w:val="auto"/>
          <w:kern w:val="1"/>
          <w:szCs w:val="21"/>
          <w:highlight w:val="none"/>
        </w:rPr>
        <w:t>响应文件未按时</w:t>
      </w:r>
      <w:r>
        <w:rPr>
          <w:rFonts w:hint="eastAsia" w:ascii="宋体" w:hAnsi="宋体" w:eastAsia="宋体" w:cs="宋体"/>
          <w:color w:val="auto"/>
          <w:kern w:val="0"/>
          <w:szCs w:val="21"/>
          <w:highlight w:val="none"/>
          <w:lang w:val="zh-CN"/>
        </w:rPr>
        <w:t>解密的，</w:t>
      </w:r>
      <w:r>
        <w:rPr>
          <w:rFonts w:hint="eastAsia" w:ascii="宋体" w:hAnsi="宋体" w:eastAsia="宋体" w:cs="宋体"/>
          <w:b/>
          <w:color w:val="auto"/>
          <w:kern w:val="0"/>
          <w:szCs w:val="21"/>
          <w:highlight w:val="none"/>
          <w:lang w:val="zh-CN"/>
        </w:rPr>
        <w:t>视为响应文件无效。</w:t>
      </w:r>
      <w:r>
        <w:rPr>
          <w:rFonts w:hint="eastAsia" w:ascii="宋体" w:hAnsi="宋体" w:eastAsia="宋体" w:cs="宋体"/>
          <w:color w:val="auto"/>
          <w:kern w:val="0"/>
          <w:szCs w:val="21"/>
          <w:highlight w:val="none"/>
          <w:lang w:val="zh-CN"/>
        </w:rPr>
        <w:t>（解密</w:t>
      </w:r>
      <w:r>
        <w:rPr>
          <w:rFonts w:hint="eastAsia" w:ascii="宋体" w:hAnsi="宋体" w:eastAsia="宋体" w:cs="宋体"/>
          <w:bCs/>
          <w:color w:val="auto"/>
          <w:kern w:val="0"/>
          <w:szCs w:val="21"/>
          <w:highlight w:val="none"/>
          <w:lang w:val="zh-CN"/>
        </w:rPr>
        <w:t>异常情况处理：详见本章</w:t>
      </w:r>
      <w:r>
        <w:rPr>
          <w:rFonts w:hint="eastAsia" w:ascii="宋体" w:hAnsi="宋体" w:eastAsia="宋体" w:cs="宋体"/>
          <w:color w:val="auto"/>
          <w:kern w:val="0"/>
          <w:szCs w:val="21"/>
          <w:highlight w:val="none"/>
          <w:lang w:val="zh-CN"/>
        </w:rPr>
        <w:t>2</w:t>
      </w:r>
      <w:r>
        <w:rPr>
          <w:rFonts w:hint="eastAsia" w:ascii="宋体" w:hAnsi="宋体" w:eastAsia="宋体" w:cs="宋体"/>
          <w:color w:val="auto"/>
          <w:kern w:val="0"/>
          <w:szCs w:val="21"/>
          <w:highlight w:val="none"/>
        </w:rPr>
        <w:t>5</w:t>
      </w:r>
      <w:r>
        <w:rPr>
          <w:rFonts w:hint="eastAsia" w:ascii="宋体" w:hAnsi="宋体" w:eastAsia="宋体" w:cs="宋体"/>
          <w:color w:val="auto"/>
          <w:kern w:val="0"/>
          <w:szCs w:val="21"/>
          <w:highlight w:val="none"/>
          <w:lang w:val="zh-CN"/>
        </w:rPr>
        <w:t>.3 电子交易活动的中止。）</w:t>
      </w:r>
    </w:p>
    <w:p>
      <w:pPr>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如</w:t>
      </w:r>
      <w:r>
        <w:rPr>
          <w:rFonts w:hint="eastAsia" w:ascii="宋体" w:hAnsi="宋体" w:eastAsia="宋体" w:cs="宋体"/>
          <w:bCs/>
          <w:color w:val="auto"/>
          <w:kern w:val="0"/>
          <w:szCs w:val="21"/>
          <w:highlight w:val="none"/>
          <w:lang w:val="zh-CN"/>
        </w:rPr>
        <w:t>供应商成功解密响应文件，但未在“</w:t>
      </w:r>
      <w:r>
        <w:rPr>
          <w:rFonts w:hint="eastAsia" w:ascii="宋体" w:hAnsi="宋体" w:cs="宋体"/>
          <w:color w:val="auto"/>
          <w:szCs w:val="21"/>
          <w:highlight w:val="none"/>
        </w:rPr>
        <w:t>广西政府采购云平台</w:t>
      </w:r>
      <w:r>
        <w:rPr>
          <w:rFonts w:hint="eastAsia" w:ascii="宋体" w:hAnsi="宋体" w:eastAsia="宋体" w:cs="宋体"/>
          <w:bCs/>
          <w:color w:val="auto"/>
          <w:kern w:val="0"/>
          <w:szCs w:val="21"/>
          <w:highlight w:val="none"/>
          <w:lang w:val="zh-CN"/>
        </w:rPr>
        <w:t>”电子开标大厅参加谈判的，视同认可谈判过程和结果，</w:t>
      </w:r>
      <w:r>
        <w:rPr>
          <w:rFonts w:hint="eastAsia" w:ascii="宋体" w:hAnsi="宋体" w:eastAsia="宋体" w:cs="宋体"/>
          <w:color w:val="auto"/>
          <w:kern w:val="0"/>
          <w:szCs w:val="21"/>
          <w:highlight w:val="none"/>
          <w:lang w:val="zh-CN"/>
        </w:rPr>
        <w:t>由此产生的后果由供应商自行负责。 参与谈判的供应商不足3家的，不得谈判。</w:t>
      </w:r>
    </w:p>
    <w:p>
      <w:pPr>
        <w:spacing w:line="360" w:lineRule="auto"/>
        <w:ind w:firstLine="422" w:firstLineChars="200"/>
        <w:rPr>
          <w:rFonts w:hint="eastAsia" w:ascii="宋体" w:hAnsi="宋体" w:eastAsia="宋体" w:cs="宋体"/>
          <w:b/>
          <w:bCs/>
          <w:color w:val="auto"/>
          <w:szCs w:val="21"/>
          <w:highlight w:val="none"/>
        </w:rPr>
      </w:pPr>
      <w:r>
        <w:rPr>
          <w:rFonts w:ascii="宋体" w:hAnsi="宋体" w:eastAsia="宋体" w:cs="宋体"/>
          <w:b/>
          <w:bCs/>
          <w:color w:val="auto"/>
          <w:szCs w:val="21"/>
          <w:highlight w:val="none"/>
        </w:rPr>
        <w:t>2</w:t>
      </w:r>
      <w:r>
        <w:rPr>
          <w:rFonts w:hint="eastAsia" w:ascii="宋体" w:hAnsi="宋体" w:eastAsia="宋体" w:cs="宋体"/>
          <w:b/>
          <w:bCs/>
          <w:color w:val="auto"/>
          <w:szCs w:val="21"/>
          <w:highlight w:val="none"/>
        </w:rPr>
        <w:t>5.评审程序、评审方法和成交标准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25.1</w:t>
      </w:r>
      <w:r>
        <w:rPr>
          <w:rFonts w:hint="eastAsia" w:ascii="宋体" w:hAnsi="宋体" w:eastAsia="宋体" w:cs="宋体"/>
          <w:color w:val="auto"/>
          <w:highlight w:val="none"/>
        </w:rPr>
        <w:t>本项目的评审方法详见“供应商须知前附表”。</w:t>
      </w:r>
      <w:r>
        <w:rPr>
          <w:rFonts w:hint="eastAsia" w:ascii="宋体" w:hAnsi="宋体" w:eastAsia="宋体" w:cs="宋体"/>
          <w:color w:val="auto"/>
          <w:szCs w:val="21"/>
          <w:highlight w:val="none"/>
        </w:rPr>
        <w:t>谈判小组按照“第四章 评审程序、评审方法和成交标准”规定的方法、评审因素、标准和程序对响应文件进行评审。</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25.2 采购需求负偏离要求及谈判顺序详见 “供应商须知前附表”。</w:t>
      </w:r>
    </w:p>
    <w:p>
      <w:pPr>
        <w:spacing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25.3电子交易活动的中止。采购过程中出现以下情形，导致电子交易平台无法正常运行，或者无法保证电子交易的公平、公正和安全时，采购机构可中止电子交易活动：</w:t>
      </w:r>
    </w:p>
    <w:p>
      <w:pPr>
        <w:spacing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（1）电子交易平台发生故障而无法登录访问的； </w:t>
      </w:r>
    </w:p>
    <w:p>
      <w:pPr>
        <w:spacing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（2）电子交易平台应用或数据库出现错误，不能进行正常操作的；</w:t>
      </w:r>
    </w:p>
    <w:p>
      <w:pPr>
        <w:spacing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（3）电子交易平台发现严重安全漏洞，有潜在泄密危险的；</w:t>
      </w:r>
    </w:p>
    <w:p>
      <w:pPr>
        <w:spacing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（4）病毒发作导致不能进行正常操作的； </w:t>
      </w:r>
    </w:p>
    <w:p>
      <w:pPr>
        <w:spacing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（5）其他无法保证电子交易的公平、公正和安全的情况。</w:t>
      </w:r>
    </w:p>
    <w:p>
      <w:pPr>
        <w:spacing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25.4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pPr>
        <w:keepNext/>
        <w:keepLines/>
        <w:spacing w:line="360" w:lineRule="auto"/>
        <w:ind w:firstLine="640" w:firstLineChars="200"/>
        <w:outlineLvl w:val="2"/>
        <w:rPr>
          <w:rFonts w:hint="eastAsia" w:ascii="宋体" w:hAnsi="宋体" w:eastAsia="宋体" w:cs="Times New Roman"/>
          <w:color w:val="auto"/>
          <w:sz w:val="32"/>
          <w:szCs w:val="32"/>
          <w:highlight w:val="none"/>
          <w:lang w:val="zh-CN"/>
        </w:rPr>
      </w:pPr>
      <w:r>
        <w:rPr>
          <w:rFonts w:hint="eastAsia" w:ascii="宋体" w:hAnsi="宋体" w:eastAsia="宋体" w:cs="Times New Roman"/>
          <w:color w:val="auto"/>
          <w:sz w:val="32"/>
          <w:szCs w:val="32"/>
          <w:highlight w:val="none"/>
          <w:lang w:val="zh-CN"/>
        </w:rPr>
        <w:t xml:space="preserve">  </w:t>
      </w:r>
      <w:bookmarkStart w:id="127" w:name="_Toc29707"/>
      <w:bookmarkStart w:id="128" w:name="_Toc80205929"/>
      <w:bookmarkStart w:id="129" w:name="_Toc27003"/>
      <w:r>
        <w:rPr>
          <w:rFonts w:hint="eastAsia" w:ascii="宋体" w:hAnsi="宋体" w:eastAsia="宋体" w:cs="Times New Roman"/>
          <w:color w:val="auto"/>
          <w:sz w:val="32"/>
          <w:szCs w:val="32"/>
          <w:highlight w:val="none"/>
          <w:lang w:val="zh-CN"/>
        </w:rPr>
        <w:t>五、成交及合同</w:t>
      </w:r>
      <w:bookmarkEnd w:id="127"/>
      <w:bookmarkEnd w:id="128"/>
      <w:bookmarkEnd w:id="129"/>
    </w:p>
    <w:p>
      <w:pPr>
        <w:spacing w:line="360" w:lineRule="auto"/>
        <w:ind w:firstLine="482" w:firstLineChars="200"/>
        <w:rPr>
          <w:rFonts w:hint="eastAsia" w:ascii="黑体" w:hAnsi="黑体" w:eastAsia="黑体" w:cs="宋体"/>
          <w:b/>
          <w:bCs/>
          <w:color w:val="auto"/>
          <w:sz w:val="24"/>
          <w:szCs w:val="24"/>
          <w:highlight w:val="none"/>
        </w:rPr>
      </w:pPr>
      <w:r>
        <w:rPr>
          <w:rFonts w:ascii="黑体" w:hAnsi="黑体" w:eastAsia="黑体" w:cs="宋体"/>
          <w:b/>
          <w:bCs/>
          <w:color w:val="auto"/>
          <w:sz w:val="24"/>
          <w:szCs w:val="24"/>
          <w:highlight w:val="none"/>
        </w:rPr>
        <w:t>2</w:t>
      </w:r>
      <w:r>
        <w:rPr>
          <w:rFonts w:hint="eastAsia" w:ascii="黑体" w:hAnsi="黑体" w:eastAsia="黑体" w:cs="宋体"/>
          <w:b/>
          <w:bCs/>
          <w:color w:val="auto"/>
          <w:sz w:val="24"/>
          <w:szCs w:val="24"/>
          <w:highlight w:val="none"/>
        </w:rPr>
        <w:t>6.确定成交供应商及结果公告</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26.1</w:t>
      </w:r>
      <w:r>
        <w:rPr>
          <w:rFonts w:hint="eastAsia" w:ascii="宋体" w:hAnsi="宋体" w:eastAsia="宋体" w:cs="宋体"/>
          <w:color w:val="auto"/>
          <w:szCs w:val="21"/>
          <w:highlight w:val="none"/>
          <w:u w:val="single"/>
        </w:rPr>
        <w:t>确定成交供应商。</w:t>
      </w:r>
      <w:r>
        <w:rPr>
          <w:rFonts w:hint="eastAsia" w:ascii="宋体" w:hAnsi="宋体" w:eastAsia="宋体" w:cs="宋体"/>
          <w:color w:val="auto"/>
          <w:szCs w:val="21"/>
          <w:highlight w:val="none"/>
        </w:rPr>
        <w:t>采购代理机构应当在评审结束后2个工作日内将评审报告送采购人确认。采购人应当在收到评审报告后5个工作日内，将评审报告提出的排名第一的成交候选人确定为成交供应商，也可以书面授权谈判小组直接确定成交供应商。采购人逾期未确定成交供应商且不提出异议的，视为确定评审报告提出的排名第一的成交候选人为成交供应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26.2成交通知及成交结果公告。采购代理机构应当在</w:t>
      </w:r>
      <w:r>
        <w:rPr>
          <w:rFonts w:hint="eastAsia" w:ascii="宋体" w:hAnsi="宋体" w:eastAsia="宋体" w:cs="宋体"/>
          <w:color w:val="auto"/>
          <w:kern w:val="0"/>
          <w:szCs w:val="21"/>
          <w:highlight w:val="none"/>
        </w:rPr>
        <w:t>成交</w:t>
      </w:r>
      <w:r>
        <w:rPr>
          <w:rFonts w:hint="eastAsia" w:ascii="宋体" w:hAnsi="宋体" w:eastAsia="宋体" w:cs="宋体"/>
          <w:color w:val="auto"/>
          <w:szCs w:val="21"/>
          <w:highlight w:val="none"/>
        </w:rPr>
        <w:t>供应商确定后2个工作日内，在省级以上财政部门指定的媒体上公告成交结果，同时向成交供应商发出成交通知书。</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26.3采购人或者采购代理机构发出成交通知书前，应当对成交供应商信用进行查询核实，对列入失信被执行人、重大税收违法失信主体、政府采购严重违法失信行为记录名单及其他不符合《中华人民共和国政府采购法》第二十二条规定条件的供应商，取消其成交资格，并依法确定排名第二的成交候选人为成交供应商。排名第二的成交候选人因上述规定的同样原因被取消成交资格的，采购人可以依法确定排名第三的成交候选人为成交供应商，以此类推。以上信息查询记录及相关证据与谈判文件一并保存。</w:t>
      </w:r>
      <w:bookmarkStart w:id="130" w:name="_Hlk66782294"/>
      <w:r>
        <w:rPr>
          <w:rFonts w:hint="eastAsia" w:ascii="宋体" w:hAnsi="宋体" w:eastAsia="宋体" w:cs="宋体"/>
          <w:color w:val="auto"/>
          <w:szCs w:val="21"/>
          <w:highlight w:val="none"/>
        </w:rPr>
        <w:t>成交供应商享受《政府采购促进中小企业发展管理办法》（财库〔2020〕46号）规定的中小企业扶持政策的，采购人、采购代理机构应当随成交结果公开成交供应商的《中小企业声明函》。</w:t>
      </w:r>
      <w:bookmarkEnd w:id="130"/>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26.5排名第一的成交候选人放弃成交，采购人可以按照评审报告推荐的成交候选人名单排序，依法确定下一候选人为成交</w:t>
      </w:r>
      <w:r>
        <w:rPr>
          <w:rFonts w:hint="eastAsia" w:ascii="宋体" w:hAnsi="宋体" w:eastAsia="宋体" w:cs="宋体"/>
          <w:color w:val="auto"/>
          <w:szCs w:val="21"/>
          <w:highlight w:val="none"/>
        </w:rPr>
        <w:t>供应商</w:t>
      </w:r>
      <w:r>
        <w:rPr>
          <w:rFonts w:hint="eastAsia" w:ascii="宋体" w:hAnsi="宋体" w:eastAsia="宋体" w:cs="宋体"/>
          <w:bCs/>
          <w:color w:val="auto"/>
          <w:szCs w:val="21"/>
          <w:highlight w:val="none"/>
        </w:rPr>
        <w:t>，也可以重新开展政府采购活动。</w:t>
      </w:r>
    </w:p>
    <w:p>
      <w:pPr>
        <w:spacing w:line="360" w:lineRule="auto"/>
        <w:ind w:firstLine="482" w:firstLineChars="200"/>
        <w:rPr>
          <w:rFonts w:hint="eastAsia" w:ascii="黑体" w:hAnsi="黑体" w:eastAsia="黑体" w:cs="宋体"/>
          <w:b/>
          <w:bCs/>
          <w:color w:val="auto"/>
          <w:sz w:val="24"/>
          <w:szCs w:val="24"/>
          <w:highlight w:val="none"/>
        </w:rPr>
      </w:pPr>
      <w:r>
        <w:rPr>
          <w:rFonts w:ascii="黑体" w:hAnsi="黑体" w:eastAsia="黑体" w:cs="宋体"/>
          <w:b/>
          <w:bCs/>
          <w:color w:val="auto"/>
          <w:sz w:val="24"/>
          <w:szCs w:val="24"/>
          <w:highlight w:val="none"/>
        </w:rPr>
        <w:t>2</w:t>
      </w:r>
      <w:r>
        <w:rPr>
          <w:rFonts w:hint="eastAsia" w:ascii="黑体" w:hAnsi="黑体" w:eastAsia="黑体" w:cs="宋体"/>
          <w:b/>
          <w:bCs/>
          <w:color w:val="auto"/>
          <w:sz w:val="24"/>
          <w:szCs w:val="24"/>
          <w:highlight w:val="none"/>
        </w:rPr>
        <w:t>7.履约保证金</w:t>
      </w:r>
    </w:p>
    <w:p>
      <w:pPr>
        <w:pStyle w:val="11"/>
        <w:spacing w:line="360" w:lineRule="auto"/>
        <w:ind w:firstLine="420" w:firstLineChars="200"/>
        <w:rPr>
          <w:rFonts w:hint="eastAsia" w:ascii="宋体" w:hAnsi="宋体" w:cs="宋体"/>
          <w:color w:val="auto"/>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rPr>
        <w:t>7</w:t>
      </w:r>
      <w:r>
        <w:rPr>
          <w:rFonts w:hint="eastAsia" w:ascii="宋体" w:hAnsi="宋体" w:cs="宋体"/>
          <w:color w:val="auto"/>
          <w:szCs w:val="21"/>
          <w:highlight w:val="none"/>
        </w:rPr>
        <w:t>.1履约保证金的金额、提交方式、退付的时间和条件详见 “供应商须知前附表”。成交供应商未按规定提交履约保证金的，视为拒绝</w:t>
      </w:r>
      <w:r>
        <w:rPr>
          <w:rFonts w:hint="eastAsia" w:ascii="宋体" w:hAnsi="宋体" w:cs="宋体"/>
          <w:color w:val="auto"/>
          <w:highlight w:val="none"/>
        </w:rPr>
        <w:t>与采购人</w:t>
      </w:r>
      <w:r>
        <w:rPr>
          <w:rFonts w:hint="eastAsia" w:ascii="宋体" w:hAnsi="宋体" w:cs="宋体"/>
          <w:color w:val="auto"/>
          <w:szCs w:val="21"/>
          <w:highlight w:val="none"/>
        </w:rPr>
        <w:t>签订合同，采购人可以按照评审报告推荐的成交候选人名单排序，</w:t>
      </w:r>
      <w:r>
        <w:rPr>
          <w:rFonts w:hint="eastAsia" w:ascii="宋体" w:hAnsi="宋体" w:cs="宋体"/>
          <w:color w:val="auto"/>
          <w:szCs w:val="21"/>
          <w:highlight w:val="none"/>
          <w:lang w:val="en-US"/>
        </w:rPr>
        <w:t>依法</w:t>
      </w:r>
      <w:r>
        <w:rPr>
          <w:rFonts w:hint="eastAsia" w:ascii="宋体" w:hAnsi="宋体" w:cs="宋体"/>
          <w:color w:val="auto"/>
          <w:szCs w:val="21"/>
          <w:highlight w:val="none"/>
        </w:rPr>
        <w:t>确定下一候选人为成交供应商，也可以重新开展政府采购活动。</w:t>
      </w:r>
    </w:p>
    <w:p>
      <w:pPr>
        <w:spacing w:line="360" w:lineRule="auto"/>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27.2签订合同后，如成交供应商不按双方签订的合同规定履约，则没收其全部履约保证金，履约保证金不足以赔偿损失的，按实际损失赔偿。</w:t>
      </w:r>
    </w:p>
    <w:p>
      <w:pPr>
        <w:spacing w:line="360" w:lineRule="auto"/>
        <w:ind w:firstLine="424" w:firstLineChars="202"/>
        <w:rPr>
          <w:rFonts w:hint="eastAsia" w:ascii="宋体" w:hAnsi="宋体" w:eastAsia="宋体" w:cs="宋体"/>
          <w:color w:val="auto"/>
          <w:szCs w:val="21"/>
          <w:highlight w:val="none"/>
        </w:rPr>
      </w:pPr>
      <w:r>
        <w:rPr>
          <w:rFonts w:hint="eastAsia" w:ascii="宋体" w:hAnsi="宋体" w:eastAsia="宋体" w:cs="宋体"/>
          <w:color w:val="auto"/>
          <w:szCs w:val="21"/>
          <w:highlight w:val="none"/>
        </w:rPr>
        <w:t>27.3在履约保证金退还日期前，若成交供应商的开户名称、开户银行、账号有变动的，请以书面形式通知履约保证金收取单位，否则由此产生的后果由成交供应商自负。</w:t>
      </w:r>
    </w:p>
    <w:p>
      <w:pPr>
        <w:spacing w:line="360" w:lineRule="auto"/>
        <w:ind w:firstLine="482" w:firstLineChars="200"/>
        <w:rPr>
          <w:rFonts w:hint="eastAsia" w:ascii="黑体" w:hAnsi="黑体" w:eastAsia="黑体" w:cs="宋体"/>
          <w:b/>
          <w:bCs/>
          <w:color w:val="auto"/>
          <w:sz w:val="24"/>
          <w:szCs w:val="24"/>
          <w:highlight w:val="none"/>
        </w:rPr>
      </w:pPr>
      <w:r>
        <w:rPr>
          <w:rFonts w:ascii="黑体" w:hAnsi="黑体" w:eastAsia="黑体" w:cs="宋体"/>
          <w:b/>
          <w:bCs/>
          <w:color w:val="auto"/>
          <w:sz w:val="24"/>
          <w:szCs w:val="24"/>
          <w:highlight w:val="none"/>
        </w:rPr>
        <w:t>2</w:t>
      </w:r>
      <w:r>
        <w:rPr>
          <w:rFonts w:hint="eastAsia" w:ascii="黑体" w:hAnsi="黑体" w:eastAsia="黑体" w:cs="宋体"/>
          <w:b/>
          <w:bCs/>
          <w:color w:val="auto"/>
          <w:sz w:val="24"/>
          <w:szCs w:val="24"/>
          <w:highlight w:val="none"/>
        </w:rPr>
        <w:t>8.签订合同</w:t>
      </w:r>
    </w:p>
    <w:p>
      <w:pPr>
        <w:adjustRightInd w:val="0"/>
        <w:snapToGrid w:val="0"/>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rPr>
        <w:t>28.1采购人与成交供应商应当在成交通知书规定的时间内，按照谈判文件确定的合同文本以及采购标的、货物技术、采购金额、采购数量、技术和货物要求等事项签订政府采购合同。</w:t>
      </w:r>
      <w:r>
        <w:rPr>
          <w:rFonts w:hint="eastAsia" w:ascii="宋体" w:hAnsi="宋体" w:eastAsia="宋体" w:cs="宋体"/>
          <w:color w:val="auto"/>
          <w:kern w:val="0"/>
          <w:szCs w:val="21"/>
          <w:highlight w:val="none"/>
          <w:lang w:val="zh-CN"/>
        </w:rPr>
        <w:t>如成交供应商为联合体的，由联合体成员各方法定代表人或其授权代表与采购人代表签订合同。</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28.2采购人不得向成交供应商提出超出谈判文件以外的任何要求作为签订合同的条件，不得与成交供应商订立背离谈判文件确定的合同文本以及采购标的、货物技术、采购金额、采购数量、技术和货物要求等实质性内容的协议。</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28.3成交供应商拒绝签订政府采购合同的，采购人可以按照评审报告推荐的成交候选人名单排序，依法确定下一候选人为成交供应商，也可以重新开展采购活动。拒绝签订政府采购合同的成交供应商不得参加对该项目重新开展的采购活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28.4如签订合同并生效后，供应商无故拒绝或延期，除按照合同条款处理外，列入不良行为记录，并给予通报。</w:t>
      </w:r>
    </w:p>
    <w:p>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28.5采购合同由采购人与成交供应商根据谈判文件、响应文件等内容签订，</w:t>
      </w:r>
      <w:r>
        <w:rPr>
          <w:rFonts w:hint="eastAsia" w:ascii="宋体" w:hAnsi="宋体" w:eastAsia="宋体" w:cs="宋体"/>
          <w:color w:val="auto"/>
          <w:szCs w:val="21"/>
          <w:highlight w:val="none"/>
        </w:rPr>
        <w:t>成交供应商应当在签订合同时按供应商须知前附表规定向采购人出示相关证明材料，经采购人核验合格后方可签订合同。</w:t>
      </w:r>
    </w:p>
    <w:p>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29.政府采购合同公告</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pPr>
        <w:spacing w:line="360" w:lineRule="auto"/>
        <w:ind w:firstLine="482" w:firstLineChars="200"/>
        <w:rPr>
          <w:rFonts w:hint="eastAsia" w:ascii="黑体" w:hAnsi="黑体" w:eastAsia="黑体" w:cs="宋体"/>
          <w:b/>
          <w:bCs/>
          <w:color w:val="auto"/>
          <w:sz w:val="24"/>
          <w:szCs w:val="24"/>
          <w:highlight w:val="none"/>
        </w:rPr>
      </w:pPr>
      <w:r>
        <w:rPr>
          <w:rFonts w:ascii="黑体" w:hAnsi="黑体" w:eastAsia="黑体" w:cs="宋体"/>
          <w:b/>
          <w:bCs/>
          <w:color w:val="auto"/>
          <w:sz w:val="24"/>
          <w:szCs w:val="24"/>
          <w:highlight w:val="none"/>
        </w:rPr>
        <w:t>3</w:t>
      </w:r>
      <w:r>
        <w:rPr>
          <w:rFonts w:hint="eastAsia" w:ascii="黑体" w:hAnsi="黑体" w:eastAsia="黑体" w:cs="宋体"/>
          <w:b/>
          <w:bCs/>
          <w:color w:val="auto"/>
          <w:sz w:val="24"/>
          <w:szCs w:val="24"/>
          <w:highlight w:val="none"/>
        </w:rPr>
        <w:t>0. 询问、质疑和投诉</w:t>
      </w:r>
    </w:p>
    <w:p>
      <w:pPr>
        <w:spacing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30.1供应商对政府采购活动事项有疑问的，可以向采购人或者采购代理机构提出询问，采购人或者采购代理机构应当在3个工作日内对供应商依法提出的询问作出答复。</w:t>
      </w:r>
    </w:p>
    <w:p>
      <w:pPr>
        <w:spacing w:line="360" w:lineRule="auto"/>
        <w:ind w:firstLine="420" w:firstLineChars="200"/>
        <w:rPr>
          <w:rFonts w:hint="eastAsia" w:ascii="宋体" w:hAnsi="宋体" w:eastAsia="宋体" w:cs="宋体"/>
          <w:b/>
          <w:color w:val="auto"/>
          <w:szCs w:val="21"/>
          <w:highlight w:val="none"/>
        </w:rPr>
      </w:pPr>
      <w:r>
        <w:rPr>
          <w:rFonts w:hint="eastAsia" w:ascii="宋体" w:hAnsi="宋体" w:eastAsia="宋体" w:cs="宋体"/>
          <w:color w:val="auto"/>
          <w:szCs w:val="24"/>
          <w:highlight w:val="none"/>
        </w:rPr>
        <w:t>30.2供应商认为谈判文件、采购过程或者成交结果使自己的合法权益受到损害的，应当在知道或者应知其权益受到损害之日起7个工作日内，以书面形式向采购人或者采购代理机构提出质疑，</w:t>
      </w:r>
      <w:r>
        <w:rPr>
          <w:rFonts w:hint="eastAsia" w:ascii="宋体" w:hAnsi="宋体" w:eastAsia="宋体" w:cs="宋体"/>
          <w:color w:val="auto"/>
          <w:szCs w:val="24"/>
          <w:highlight w:val="none"/>
          <w:shd w:val="clear" w:color="auto" w:fill="FFFFFF"/>
        </w:rPr>
        <w:t>接收质疑函的方式、联系部门、联系电话和通讯地址等信息详见</w:t>
      </w:r>
      <w:r>
        <w:rPr>
          <w:rFonts w:hint="eastAsia" w:ascii="宋体" w:hAnsi="宋体" w:eastAsia="宋体" w:cs="宋体"/>
          <w:color w:val="auto"/>
          <w:szCs w:val="21"/>
          <w:highlight w:val="none"/>
        </w:rPr>
        <w:t>“供应商须知前附表”</w:t>
      </w:r>
      <w:r>
        <w:rPr>
          <w:rFonts w:hint="eastAsia" w:ascii="宋体" w:hAnsi="宋体" w:eastAsia="宋体" w:cs="宋体"/>
          <w:color w:val="auto"/>
          <w:szCs w:val="24"/>
          <w:highlight w:val="none"/>
        </w:rPr>
        <w:t>。</w:t>
      </w:r>
      <w:r>
        <w:rPr>
          <w:rFonts w:hint="eastAsia" w:ascii="宋体" w:hAnsi="宋体" w:eastAsia="宋体" w:cs="宋体"/>
          <w:b/>
          <w:color w:val="auto"/>
          <w:szCs w:val="21"/>
          <w:highlight w:val="none"/>
        </w:rPr>
        <w:t xml:space="preserve">具体质疑起算时间及处理方式如下： </w:t>
      </w:r>
    </w:p>
    <w:p>
      <w:pPr>
        <w:spacing w:line="360" w:lineRule="auto"/>
        <w:ind w:firstLine="420" w:firstLineChars="200"/>
        <w:rPr>
          <w:rFonts w:hint="eastAsia" w:ascii="宋体" w:hAnsi="宋体" w:eastAsia="宋体" w:cs="宋体"/>
          <w:bCs/>
          <w:color w:val="auto"/>
          <w:szCs w:val="24"/>
          <w:highlight w:val="none"/>
        </w:rPr>
      </w:pPr>
      <w:r>
        <w:rPr>
          <w:rFonts w:hint="eastAsia" w:ascii="宋体" w:hAnsi="宋体" w:eastAsia="宋体" w:cs="宋体"/>
          <w:bCs/>
          <w:color w:val="auto"/>
          <w:szCs w:val="24"/>
          <w:highlight w:val="none"/>
        </w:rPr>
        <w:t>（1）潜在供应商依法获取采购文件后，认为采购文件使自己的权益受到损害的，应当在竞争性谈判文件公告期限届满之日起7个工作日内提出质疑。</w:t>
      </w:r>
      <w:r>
        <w:rPr>
          <w:rFonts w:hint="eastAsia" w:ascii="宋体" w:hAnsi="宋体" w:eastAsia="宋体" w:cs="宋体"/>
          <w:color w:val="auto"/>
          <w:szCs w:val="24"/>
          <w:highlight w:val="none"/>
        </w:rPr>
        <w:t>委托代理协议无特殊约定的，</w:t>
      </w:r>
      <w:r>
        <w:rPr>
          <w:rFonts w:hint="eastAsia" w:ascii="宋体" w:hAnsi="宋体" w:eastAsia="宋体" w:cs="宋体"/>
          <w:bCs/>
          <w:color w:val="auto"/>
          <w:szCs w:val="24"/>
          <w:highlight w:val="none"/>
        </w:rPr>
        <w:t>对竞争性谈判文件中采购需求（含资格要求、采购预算、</w:t>
      </w:r>
      <w:r>
        <w:rPr>
          <w:rFonts w:hint="eastAsia"/>
          <w:color w:val="auto"/>
          <w:highlight w:val="none"/>
          <w:lang w:val="zh-CN"/>
        </w:rPr>
        <w:t>评审方法和成交标准</w:t>
      </w:r>
      <w:r>
        <w:rPr>
          <w:rFonts w:hint="eastAsia" w:ascii="宋体" w:hAnsi="宋体" w:eastAsia="宋体" w:cs="宋体"/>
          <w:bCs/>
          <w:color w:val="auto"/>
          <w:szCs w:val="24"/>
          <w:highlight w:val="none"/>
        </w:rPr>
        <w:t>）的质疑由采购人受理并负责答复；对竞争性谈判文件中的采购执行程序的质疑由采购代理机构受理并负责答复。</w:t>
      </w:r>
    </w:p>
    <w:p>
      <w:pPr>
        <w:spacing w:line="360" w:lineRule="auto"/>
        <w:ind w:firstLine="420" w:firstLineChars="200"/>
        <w:rPr>
          <w:rFonts w:hint="eastAsia" w:ascii="宋体" w:hAnsi="宋体" w:eastAsia="宋体" w:cs="宋体"/>
          <w:bCs/>
          <w:color w:val="auto"/>
          <w:szCs w:val="24"/>
          <w:highlight w:val="none"/>
        </w:rPr>
      </w:pPr>
      <w:r>
        <w:rPr>
          <w:rFonts w:hint="eastAsia" w:ascii="宋体" w:hAnsi="宋体" w:eastAsia="宋体" w:cs="宋体"/>
          <w:bCs/>
          <w:color w:val="auto"/>
          <w:szCs w:val="24"/>
          <w:highlight w:val="none"/>
        </w:rPr>
        <w:t>（2）供应商认为采购过程使自己的权益受到损害的，应当在各采购程序环节结束之日起7个工作日内提出质疑。对采购过程中资格审查、符合性审查等具体评审情况的质疑应向采购人或者采购代理机构提出，由采购人或者采购代理机构受理并负责答复；对采购过程中采购执行程序的质疑由采购代理机构受理并负责答复。</w:t>
      </w:r>
    </w:p>
    <w:p>
      <w:pPr>
        <w:spacing w:line="360" w:lineRule="auto"/>
        <w:ind w:firstLine="420" w:firstLineChars="200"/>
        <w:rPr>
          <w:rFonts w:hint="eastAsia" w:ascii="宋体" w:hAnsi="宋体" w:eastAsia="宋体" w:cs="宋体"/>
          <w:bCs/>
          <w:color w:val="auto"/>
          <w:szCs w:val="24"/>
          <w:highlight w:val="none"/>
        </w:rPr>
      </w:pPr>
      <w:r>
        <w:rPr>
          <w:rFonts w:hint="eastAsia" w:ascii="宋体" w:hAnsi="宋体" w:eastAsia="宋体" w:cs="宋体"/>
          <w:bCs/>
          <w:color w:val="auto"/>
          <w:szCs w:val="24"/>
          <w:highlight w:val="none"/>
        </w:rPr>
        <w:t>（3）供应商认为成交结果使自己的权益受到损害的，应当在成交结果公告期限届满之日起7个工作日内提出质疑，由采购人受理并负责答复。</w:t>
      </w:r>
    </w:p>
    <w:p>
      <w:pPr>
        <w:spacing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30.3供应商提出的询问或者质疑超出采购人对采购代理机构委托授权范围的，采购代理机构应当告知供应商向采购人提出。政府采购评审专家应当配合采购人或者采购代理机构答复供应商的询问和质疑。</w:t>
      </w:r>
    </w:p>
    <w:p>
      <w:pPr>
        <w:spacing w:line="360" w:lineRule="auto"/>
        <w:ind w:firstLine="422" w:firstLineChars="200"/>
        <w:rPr>
          <w:rFonts w:hint="eastAsia" w:ascii="宋体" w:hAnsi="宋体" w:eastAsia="宋体" w:cs="宋体"/>
          <w:color w:val="auto"/>
          <w:szCs w:val="24"/>
          <w:highlight w:val="none"/>
        </w:rPr>
      </w:pPr>
      <w:r>
        <w:rPr>
          <w:rFonts w:hint="eastAsia" w:ascii="宋体" w:hAnsi="宋体" w:eastAsia="宋体" w:cs="宋体"/>
          <w:b/>
          <w:bCs/>
          <w:color w:val="auto"/>
          <w:szCs w:val="24"/>
          <w:highlight w:val="none"/>
        </w:rPr>
        <w:t>30.4 供应商提出质疑应当提交质疑函和必要的证明材料，针对同一采购程序环节的质疑必须在法定质疑期内一次性提出。质疑函应当包括下列内容（质疑函格式后附）：</w:t>
      </w:r>
    </w:p>
    <w:p>
      <w:pPr>
        <w:spacing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（1）供应商的姓名或者名称、地址、邮编、联系人及联系电话；</w:t>
      </w:r>
    </w:p>
    <w:p>
      <w:pPr>
        <w:spacing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（2）质疑项目的名称、编号；</w:t>
      </w:r>
    </w:p>
    <w:p>
      <w:pPr>
        <w:spacing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（3）具体、明确的质疑事项和与质疑事项相关的请求；</w:t>
      </w:r>
    </w:p>
    <w:p>
      <w:pPr>
        <w:spacing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（4）事实依据；</w:t>
      </w:r>
    </w:p>
    <w:p>
      <w:pPr>
        <w:spacing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（5）必要的法律依据；</w:t>
      </w:r>
    </w:p>
    <w:p>
      <w:pPr>
        <w:spacing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（6）提出质疑的日期。</w:t>
      </w:r>
    </w:p>
    <w:p>
      <w:pPr>
        <w:spacing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供应商为自然人的，应当由本人签字；供应商为法人或者其他组织的，应当由法定代表人、主要负责人，或者其委托代理人签字或者盖章，并加盖公章。</w:t>
      </w:r>
    </w:p>
    <w:p>
      <w:pPr>
        <w:spacing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30.5采购人、采购代理机构认为供应商质疑不成立，或者成立但未对成交结果构成影响的，继续开展采购活动；认为供应商质疑成立且影响或者可能影响成交结果的，按照下列情况处理：</w:t>
      </w:r>
    </w:p>
    <w:p>
      <w:pPr>
        <w:spacing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（一）对采购文件提出的质疑，依法通过澄清或者修改可以继续开展采购活动的，澄清或者修改采购文件后继续开展采购活动；否则应当修改采购文件后重新开展采购活动。</w:t>
      </w:r>
    </w:p>
    <w:p>
      <w:pPr>
        <w:spacing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（二）对采购过程或者成交结果提出的质疑，合格供应商符合法定数量时，可以从合格的成交候选人中另行确定成交供应商的，应当依法另行确定成交供应商；否则应当重新开展采购活动。</w:t>
      </w:r>
    </w:p>
    <w:p>
      <w:pPr>
        <w:spacing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质疑答复导致成交结果改变的，采购人或者采购代理机构应当将有关情况书面报告本级财政部门。</w:t>
      </w:r>
    </w:p>
    <w:p>
      <w:pPr>
        <w:spacing w:line="360" w:lineRule="auto"/>
        <w:ind w:firstLine="422" w:firstLineChars="200"/>
        <w:rPr>
          <w:rFonts w:hint="eastAsia" w:ascii="宋体" w:hAnsi="宋体" w:eastAsia="宋体" w:cs="宋体"/>
          <w:b/>
          <w:bCs/>
          <w:color w:val="auto"/>
          <w:szCs w:val="24"/>
          <w:highlight w:val="none"/>
        </w:rPr>
      </w:pPr>
      <w:r>
        <w:rPr>
          <w:rFonts w:hint="eastAsia" w:ascii="宋体" w:hAnsi="宋体" w:eastAsia="宋体" w:cs="宋体"/>
          <w:b/>
          <w:bCs/>
          <w:color w:val="auto"/>
          <w:szCs w:val="24"/>
          <w:highlight w:val="none"/>
        </w:rPr>
        <w:t>30.6投诉的权利。质疑供应商对采购人或采购代理机构的答复不满意，或者采购人或采购代理机构未在规定时间内作出答复的，可以在答复期满后15个工作日内向《政府采购质疑和投诉办法》（财政部令第94号）第六条规定的财政部门提起投诉（投诉书格式后附），受理投诉方式见“供应商须知前附表”。</w:t>
      </w:r>
    </w:p>
    <w:p>
      <w:pPr>
        <w:keepNext/>
        <w:keepLines/>
        <w:spacing w:line="360" w:lineRule="auto"/>
        <w:ind w:firstLine="643" w:firstLineChars="200"/>
        <w:outlineLvl w:val="2"/>
        <w:rPr>
          <w:rFonts w:hint="eastAsia" w:ascii="宋体" w:hAnsi="宋体" w:eastAsia="宋体" w:cs="Times New Roman"/>
          <w:bCs/>
          <w:color w:val="auto"/>
          <w:sz w:val="32"/>
          <w:szCs w:val="32"/>
          <w:highlight w:val="none"/>
          <w:lang w:val="zh-CN"/>
        </w:rPr>
      </w:pPr>
      <w:bookmarkStart w:id="131" w:name="_Toc80205930"/>
      <w:bookmarkStart w:id="132" w:name="_Toc25772"/>
      <w:bookmarkStart w:id="133" w:name="_Toc6502"/>
      <w:r>
        <w:rPr>
          <w:rFonts w:hint="eastAsia" w:ascii="宋体" w:hAnsi="宋体" w:eastAsia="宋体" w:cs="Times New Roman"/>
          <w:b/>
          <w:bCs/>
          <w:color w:val="auto"/>
          <w:sz w:val="32"/>
          <w:szCs w:val="32"/>
          <w:highlight w:val="none"/>
          <w:lang w:val="zh-CN"/>
        </w:rPr>
        <w:t>六</w:t>
      </w:r>
      <w:r>
        <w:rPr>
          <w:rFonts w:hint="eastAsia" w:ascii="宋体" w:hAnsi="宋体" w:eastAsia="宋体" w:cs="Times New Roman"/>
          <w:bCs/>
          <w:color w:val="auto"/>
          <w:sz w:val="32"/>
          <w:szCs w:val="32"/>
          <w:highlight w:val="none"/>
          <w:lang w:val="zh-CN"/>
        </w:rPr>
        <w:t>、验收</w:t>
      </w:r>
      <w:bookmarkEnd w:id="131"/>
      <w:bookmarkEnd w:id="132"/>
      <w:bookmarkEnd w:id="133"/>
    </w:p>
    <w:p>
      <w:pPr>
        <w:tabs>
          <w:tab w:val="left" w:pos="0"/>
        </w:tabs>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31.验收</w:t>
      </w:r>
    </w:p>
    <w:p>
      <w:pPr>
        <w:tabs>
          <w:tab w:val="left" w:pos="0"/>
        </w:tabs>
        <w:spacing w:line="360" w:lineRule="auto"/>
        <w:ind w:firstLine="420" w:firstLineChars="200"/>
        <w:rPr>
          <w:rFonts w:hint="eastAsia" w:ascii="宋体" w:hAnsi="宋体" w:eastAsia="宋体" w:cs="Helvetica"/>
          <w:color w:val="auto"/>
          <w:kern w:val="0"/>
          <w:szCs w:val="21"/>
          <w:highlight w:val="none"/>
        </w:rPr>
      </w:pPr>
      <w:r>
        <w:rPr>
          <w:rFonts w:hint="eastAsia" w:ascii="宋体" w:hAnsi="宋体" w:eastAsia="宋体" w:cs="Helvetica"/>
          <w:color w:val="auto"/>
          <w:kern w:val="0"/>
          <w:szCs w:val="21"/>
          <w:highlight w:val="none"/>
        </w:rPr>
        <w:t>31.1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20" w:firstLineChars="200"/>
        <w:rPr>
          <w:rFonts w:hint="eastAsia" w:ascii="宋体" w:hAnsi="宋体" w:eastAsia="宋体" w:cs="Helvetica"/>
          <w:color w:val="auto"/>
          <w:kern w:val="0"/>
          <w:szCs w:val="21"/>
          <w:highlight w:val="none"/>
        </w:rPr>
      </w:pPr>
      <w:r>
        <w:rPr>
          <w:rFonts w:hint="eastAsia" w:ascii="宋体" w:hAnsi="宋体" w:eastAsia="宋体" w:cs="Helvetica"/>
          <w:color w:val="auto"/>
          <w:kern w:val="0"/>
          <w:szCs w:val="21"/>
          <w:highlight w:val="none"/>
        </w:rPr>
        <w:t>31.2采购人可以邀请参加本项目的其他供应商或者第三方机构参与验收。参与验收的供应商或者第三方机构的意见作为验收书的参考资料一并存档。</w:t>
      </w:r>
    </w:p>
    <w:p>
      <w:pPr>
        <w:tabs>
          <w:tab w:val="left" w:pos="0"/>
        </w:tabs>
        <w:spacing w:line="360" w:lineRule="auto"/>
        <w:ind w:firstLine="420" w:firstLineChars="200"/>
        <w:rPr>
          <w:rFonts w:hint="eastAsia" w:ascii="宋体" w:hAnsi="宋体" w:eastAsia="宋体" w:cs="Helvetica"/>
          <w:color w:val="auto"/>
          <w:kern w:val="0"/>
          <w:szCs w:val="21"/>
          <w:highlight w:val="none"/>
        </w:rPr>
      </w:pPr>
      <w:r>
        <w:rPr>
          <w:rFonts w:hint="eastAsia" w:ascii="宋体" w:hAnsi="宋体" w:eastAsia="宋体" w:cs="Helvetica"/>
          <w:color w:val="auto"/>
          <w:kern w:val="0"/>
          <w:szCs w:val="21"/>
          <w:highlight w:val="none"/>
        </w:rPr>
        <w:t>31.3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w:t>
      </w:r>
      <w:r>
        <w:rPr>
          <w:rFonts w:hint="eastAsia" w:ascii="宋体" w:hAnsi="宋体" w:eastAsia="宋体" w:cs="宋体"/>
          <w:color w:val="auto"/>
          <w:kern w:val="0"/>
          <w:szCs w:val="21"/>
          <w:highlight w:val="none"/>
        </w:rPr>
        <w:t>（如有）</w:t>
      </w:r>
      <w:r>
        <w:rPr>
          <w:rFonts w:hint="eastAsia" w:ascii="宋体" w:hAnsi="宋体" w:eastAsia="宋体" w:cs="Helvetica"/>
          <w:color w:val="auto"/>
          <w:kern w:val="0"/>
          <w:szCs w:val="21"/>
          <w:highlight w:val="none"/>
        </w:rPr>
        <w:t>返还条件挂钩。履约验收的各项资料应当存档备查。</w:t>
      </w:r>
    </w:p>
    <w:p>
      <w:pPr>
        <w:tabs>
          <w:tab w:val="left" w:pos="0"/>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Helvetica"/>
          <w:color w:val="auto"/>
          <w:kern w:val="0"/>
          <w:szCs w:val="21"/>
          <w:highlight w:val="none"/>
        </w:rPr>
        <w:t>31.4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keepNext/>
        <w:keepLines/>
        <w:spacing w:line="360" w:lineRule="auto"/>
        <w:ind w:firstLine="640" w:firstLineChars="200"/>
        <w:outlineLvl w:val="2"/>
        <w:rPr>
          <w:rFonts w:hint="eastAsia" w:ascii="宋体" w:hAnsi="宋体" w:eastAsia="宋体" w:cs="Times New Roman"/>
          <w:color w:val="auto"/>
          <w:sz w:val="32"/>
          <w:szCs w:val="32"/>
          <w:highlight w:val="none"/>
          <w:lang w:val="zh-CN"/>
        </w:rPr>
      </w:pPr>
      <w:r>
        <w:rPr>
          <w:rFonts w:hint="eastAsia" w:ascii="宋体" w:hAnsi="宋体" w:eastAsia="宋体" w:cs="Times New Roman"/>
          <w:color w:val="auto"/>
          <w:sz w:val="32"/>
          <w:szCs w:val="32"/>
          <w:highlight w:val="none"/>
          <w:lang w:val="zh-CN"/>
        </w:rPr>
        <w:t xml:space="preserve">  </w:t>
      </w:r>
      <w:bookmarkStart w:id="134" w:name="_Toc15842"/>
      <w:bookmarkStart w:id="135" w:name="_Toc1379"/>
      <w:bookmarkStart w:id="136" w:name="_Toc80205931"/>
      <w:r>
        <w:rPr>
          <w:rFonts w:hint="eastAsia" w:ascii="宋体" w:hAnsi="宋体" w:eastAsia="宋体" w:cs="Times New Roman"/>
          <w:color w:val="auto"/>
          <w:sz w:val="32"/>
          <w:szCs w:val="32"/>
          <w:highlight w:val="none"/>
          <w:lang w:val="zh-CN"/>
        </w:rPr>
        <w:t>七、其他事项</w:t>
      </w:r>
      <w:bookmarkEnd w:id="134"/>
      <w:bookmarkEnd w:id="135"/>
      <w:bookmarkEnd w:id="136"/>
    </w:p>
    <w:p>
      <w:pPr>
        <w:spacing w:line="360" w:lineRule="auto"/>
        <w:ind w:firstLine="482" w:firstLineChars="200"/>
        <w:rPr>
          <w:rFonts w:hint="eastAsia" w:ascii="黑体" w:hAnsi="黑体" w:eastAsia="黑体" w:cs="宋体"/>
          <w:b/>
          <w:bCs/>
          <w:color w:val="auto"/>
          <w:sz w:val="24"/>
          <w:szCs w:val="24"/>
          <w:highlight w:val="none"/>
        </w:rPr>
      </w:pPr>
      <w:r>
        <w:rPr>
          <w:rFonts w:ascii="黑体" w:hAnsi="黑体" w:eastAsia="黑体" w:cs="宋体"/>
          <w:b/>
          <w:bCs/>
          <w:color w:val="auto"/>
          <w:sz w:val="24"/>
          <w:szCs w:val="24"/>
          <w:highlight w:val="none"/>
        </w:rPr>
        <w:t>3</w:t>
      </w:r>
      <w:r>
        <w:rPr>
          <w:rFonts w:hint="eastAsia" w:ascii="黑体" w:hAnsi="黑体" w:eastAsia="黑体" w:cs="宋体"/>
          <w:b/>
          <w:bCs/>
          <w:color w:val="auto"/>
          <w:sz w:val="24"/>
          <w:szCs w:val="24"/>
          <w:highlight w:val="none"/>
        </w:rPr>
        <w:t>2.采购代理服务费</w:t>
      </w:r>
    </w:p>
    <w:p>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32.1采购代理服务费收费标准及缴费账户详见“供应商须知前附表”，供应商为联合体的，可以由联合体中的一方或者多方共同缴纳采购代理服务费。</w:t>
      </w:r>
    </w:p>
    <w:p>
      <w:pPr>
        <w:pStyle w:val="13"/>
        <w:spacing w:after="0" w:line="360" w:lineRule="auto"/>
        <w:ind w:firstLine="420" w:firstLineChars="200"/>
        <w:rPr>
          <w:rFonts w:hint="eastAsia" w:ascii="宋体" w:hAnsi="宋体" w:cs="宋体"/>
          <w:color w:val="auto"/>
          <w:highlight w:val="none"/>
          <w:lang w:val="en-US"/>
        </w:rPr>
      </w:pPr>
      <w:r>
        <w:rPr>
          <w:rFonts w:hint="eastAsia" w:ascii="宋体" w:hAnsi="宋体" w:cs="宋体"/>
          <w:color w:val="auto"/>
          <w:highlight w:val="none"/>
          <w:lang w:val="en-US"/>
        </w:rPr>
        <w:t>32.2采购代理服务费收费计算标准：</w:t>
      </w:r>
    </w:p>
    <w:tbl>
      <w:tblPr>
        <w:tblStyle w:val="29"/>
        <w:tblW w:w="51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金额</w:t>
            </w:r>
          </w:p>
        </w:tc>
        <w:tc>
          <w:tcPr>
            <w:tcW w:w="1659" w:type="dxa"/>
          </w:tcPr>
          <w:p>
            <w:pPr>
              <w:spacing w:line="360" w:lineRule="auto"/>
              <w:jc w:val="center"/>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100万元以下</w:t>
            </w:r>
          </w:p>
        </w:tc>
        <w:tc>
          <w:tcPr>
            <w:tcW w:w="1659" w:type="dxa"/>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  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100～500万元</w:t>
            </w:r>
          </w:p>
        </w:tc>
        <w:tc>
          <w:tcPr>
            <w:tcW w:w="1659" w:type="dxa"/>
          </w:tcPr>
          <w:p>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500～1000万元</w:t>
            </w:r>
          </w:p>
        </w:tc>
        <w:tc>
          <w:tcPr>
            <w:tcW w:w="1659" w:type="dxa"/>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  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1000～5000万元</w:t>
            </w:r>
          </w:p>
        </w:tc>
        <w:tc>
          <w:tcPr>
            <w:tcW w:w="1659" w:type="dxa"/>
          </w:tcPr>
          <w:p>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5000万元～1亿元</w:t>
            </w:r>
          </w:p>
        </w:tc>
        <w:tc>
          <w:tcPr>
            <w:tcW w:w="1659" w:type="dxa"/>
          </w:tcPr>
          <w:p>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 xml:space="preserve">0.25%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1～5亿元</w:t>
            </w:r>
          </w:p>
        </w:tc>
        <w:tc>
          <w:tcPr>
            <w:tcW w:w="1659" w:type="dxa"/>
          </w:tcPr>
          <w:p>
            <w:pPr>
              <w:spacing w:line="360" w:lineRule="auto"/>
              <w:ind w:firstLine="210" w:firstLineChars="1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5～10亿元</w:t>
            </w:r>
          </w:p>
        </w:tc>
        <w:tc>
          <w:tcPr>
            <w:tcW w:w="1659" w:type="dxa"/>
          </w:tcPr>
          <w:p>
            <w:pPr>
              <w:spacing w:line="360" w:lineRule="auto"/>
              <w:ind w:firstLine="105" w:firstLineChars="5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10～50亿元</w:t>
            </w:r>
          </w:p>
        </w:tc>
        <w:tc>
          <w:tcPr>
            <w:tcW w:w="1659" w:type="dxa"/>
          </w:tcPr>
          <w:p>
            <w:pPr>
              <w:spacing w:line="360" w:lineRule="auto"/>
              <w:ind w:firstLine="105" w:firstLineChars="5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50～100亿元</w:t>
            </w:r>
          </w:p>
        </w:tc>
        <w:tc>
          <w:tcPr>
            <w:tcW w:w="1659" w:type="dxa"/>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100亿元以上</w:t>
            </w:r>
          </w:p>
        </w:tc>
        <w:tc>
          <w:tcPr>
            <w:tcW w:w="1659" w:type="dxa"/>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0.004%</w:t>
            </w:r>
          </w:p>
        </w:tc>
      </w:tr>
    </w:tbl>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注： </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（1）按本表费率计算的收费为采购代理的收费基准价格；</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（2）采购代理收费按差额定率累进法计算。</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例如：某采购代理业务成交金额或者暂定价为150万元，计算采购代理收费额如下：</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100 万元 ×l.5 ％＝ 1.5 万元</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150 － 100 ）万元 ×1.1％＝ 0.55 万元</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合计收费＝ 1.5 ＋ 0.55＝ 2.05 （万元）</w:t>
      </w:r>
    </w:p>
    <w:p>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33</w:t>
      </w:r>
      <w:r>
        <w:rPr>
          <w:rFonts w:ascii="黑体" w:hAnsi="黑体" w:eastAsia="黑体" w:cs="宋体"/>
          <w:b/>
          <w:bCs/>
          <w:color w:val="auto"/>
          <w:sz w:val="24"/>
          <w:szCs w:val="24"/>
          <w:highlight w:val="none"/>
        </w:rPr>
        <w:t>.需要补充的其他内容</w:t>
      </w:r>
    </w:p>
    <w:p>
      <w:pPr>
        <w:spacing w:line="360" w:lineRule="auto"/>
        <w:ind w:firstLine="420" w:firstLineChars="200"/>
        <w:contextualSpacing/>
        <w:rPr>
          <w:rFonts w:hint="eastAsia" w:ascii="宋体" w:hAnsi="宋体" w:eastAsia="宋体" w:cs="Times New Roman"/>
          <w:color w:val="auto"/>
          <w:kern w:val="0"/>
          <w:szCs w:val="21"/>
          <w:highlight w:val="none"/>
          <w:lang w:val="zh-CN"/>
        </w:rPr>
      </w:pPr>
      <w:r>
        <w:rPr>
          <w:rFonts w:ascii="宋体" w:hAnsi="宋体" w:eastAsia="宋体" w:cs="Times New Roman"/>
          <w:color w:val="auto"/>
          <w:kern w:val="0"/>
          <w:szCs w:val="21"/>
          <w:highlight w:val="none"/>
          <w:lang w:val="zh-CN"/>
        </w:rPr>
        <w:t>3</w:t>
      </w:r>
      <w:r>
        <w:rPr>
          <w:rFonts w:hint="eastAsia" w:ascii="宋体" w:hAnsi="宋体" w:eastAsia="宋体" w:cs="Times New Roman"/>
          <w:color w:val="auto"/>
          <w:kern w:val="0"/>
          <w:szCs w:val="21"/>
          <w:highlight w:val="none"/>
        </w:rPr>
        <w:t>3</w:t>
      </w:r>
      <w:r>
        <w:rPr>
          <w:rFonts w:ascii="宋体" w:hAnsi="宋体" w:eastAsia="宋体" w:cs="Times New Roman"/>
          <w:color w:val="auto"/>
          <w:kern w:val="0"/>
          <w:szCs w:val="21"/>
          <w:highlight w:val="none"/>
          <w:lang w:val="zh-CN"/>
        </w:rPr>
        <w:t>.1</w:t>
      </w:r>
      <w:r>
        <w:rPr>
          <w:rFonts w:hint="eastAsia" w:ascii="宋体" w:hAnsi="宋体" w:eastAsia="宋体" w:cs="宋体"/>
          <w:color w:val="auto"/>
          <w:kern w:val="0"/>
          <w:szCs w:val="21"/>
          <w:highlight w:val="none"/>
          <w:lang w:val="zh-CN"/>
        </w:rPr>
        <w:t>本谈判文件解释规则详见</w:t>
      </w:r>
      <w:r>
        <w:rPr>
          <w:rFonts w:hint="eastAsia" w:ascii="宋体" w:hAnsi="宋体" w:eastAsia="宋体" w:cs="Times New Roman"/>
          <w:color w:val="auto"/>
          <w:kern w:val="0"/>
          <w:szCs w:val="21"/>
          <w:highlight w:val="none"/>
          <w:lang w:val="zh-CN"/>
        </w:rPr>
        <w:t>“供应商须知前附表”。</w:t>
      </w:r>
    </w:p>
    <w:p>
      <w:pPr>
        <w:spacing w:line="360" w:lineRule="auto"/>
        <w:ind w:firstLine="420" w:firstLineChars="200"/>
        <w:contextualSpacing/>
        <w:rPr>
          <w:rFonts w:hint="eastAsia" w:ascii="Times New Roman" w:hAnsi="宋体" w:eastAsia="宋体" w:cs="Times New Roman"/>
          <w:color w:val="auto"/>
          <w:szCs w:val="24"/>
          <w:highlight w:val="none"/>
        </w:rPr>
      </w:pPr>
      <w:r>
        <w:rPr>
          <w:rFonts w:ascii="宋体" w:hAnsi="宋体" w:eastAsia="宋体" w:cs="宋体"/>
          <w:color w:val="auto"/>
          <w:kern w:val="0"/>
          <w:szCs w:val="21"/>
          <w:highlight w:val="none"/>
        </w:rPr>
        <w:t>3</w:t>
      </w:r>
      <w:r>
        <w:rPr>
          <w:rFonts w:hint="eastAsia" w:ascii="宋体" w:hAnsi="宋体" w:eastAsia="宋体" w:cs="宋体"/>
          <w:color w:val="auto"/>
          <w:kern w:val="0"/>
          <w:szCs w:val="21"/>
          <w:highlight w:val="none"/>
        </w:rPr>
        <w:t>3</w:t>
      </w:r>
      <w:r>
        <w:rPr>
          <w:rFonts w:ascii="宋体" w:hAnsi="宋体" w:eastAsia="宋体" w:cs="宋体"/>
          <w:color w:val="auto"/>
          <w:kern w:val="0"/>
          <w:szCs w:val="21"/>
          <w:highlight w:val="none"/>
        </w:rPr>
        <w:t>.2</w:t>
      </w:r>
      <w:r>
        <w:rPr>
          <w:rFonts w:hint="eastAsia" w:ascii="宋体" w:hAnsi="宋体" w:eastAsia="宋体" w:cs="宋体"/>
          <w:color w:val="auto"/>
          <w:kern w:val="0"/>
          <w:szCs w:val="21"/>
          <w:highlight w:val="none"/>
        </w:rPr>
        <w:t xml:space="preserve"> 其他事</w:t>
      </w:r>
      <w:r>
        <w:rPr>
          <w:rFonts w:hint="eastAsia" w:ascii="Times New Roman" w:hAnsi="宋体" w:eastAsia="宋体" w:cs="Times New Roman"/>
          <w:color w:val="auto"/>
          <w:szCs w:val="24"/>
          <w:highlight w:val="none"/>
        </w:rPr>
        <w:t>项详见“供应商须知前附表”。</w:t>
      </w:r>
    </w:p>
    <w:p>
      <w:pPr>
        <w:spacing w:line="360" w:lineRule="auto"/>
        <w:ind w:firstLine="420" w:firstLineChars="200"/>
        <w:contextualSpacing/>
        <w:rPr>
          <w:rFonts w:hint="eastAsia" w:hAnsi="宋体" w:cs="宋体"/>
          <w:color w:val="auto"/>
          <w:highlight w:val="none"/>
        </w:rPr>
      </w:pPr>
      <w:r>
        <w:rPr>
          <w:rFonts w:hint="eastAsia" w:ascii="宋体" w:hAnsi="宋体" w:eastAsia="宋体" w:cs="Times New Roman"/>
          <w:color w:val="auto"/>
          <w:kern w:val="0"/>
          <w:szCs w:val="21"/>
          <w:highlight w:val="none"/>
          <w:lang w:val="zh-CN"/>
        </w:rPr>
        <w:t>3</w:t>
      </w:r>
      <w:r>
        <w:rPr>
          <w:rFonts w:hint="eastAsia" w:ascii="宋体" w:hAnsi="宋体" w:eastAsia="宋体" w:cs="Times New Roman"/>
          <w:color w:val="auto"/>
          <w:kern w:val="0"/>
          <w:szCs w:val="21"/>
          <w:highlight w:val="none"/>
        </w:rPr>
        <w:t>3</w:t>
      </w:r>
      <w:r>
        <w:rPr>
          <w:rFonts w:ascii="宋体" w:hAnsi="宋体" w:eastAsia="宋体" w:cs="Times New Roman"/>
          <w:color w:val="auto"/>
          <w:kern w:val="0"/>
          <w:szCs w:val="21"/>
          <w:highlight w:val="none"/>
          <w:lang w:val="zh-CN"/>
        </w:rPr>
        <w:t>.3</w:t>
      </w:r>
      <w:bookmarkStart w:id="137" w:name="_Hlk65857140"/>
      <w:r>
        <w:rPr>
          <w:rFonts w:hint="eastAsia" w:ascii="宋体" w:hAnsi="宋体" w:eastAsia="宋体" w:cs="Times New Roman"/>
          <w:color w:val="auto"/>
          <w:kern w:val="0"/>
          <w:szCs w:val="21"/>
          <w:highlight w:val="none"/>
          <w:lang w:val="zh-CN"/>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r>
        <w:rPr>
          <w:rFonts w:hint="eastAsia" w:hAnsi="宋体" w:cs="宋体"/>
          <w:color w:val="auto"/>
          <w:highlight w:val="none"/>
        </w:rPr>
        <w:t>在政府采购活动中，供应商提供的货物由中小企业制造，即货物由中小企业生产且使用该中小企业商号或者注册商标，不对其中涉及的工程承建商和服务的承接商作出要求的，享受本文件规定的中小企业扶持政策。</w:t>
      </w:r>
    </w:p>
    <w:p>
      <w:pPr>
        <w:pStyle w:val="18"/>
        <w:spacing w:line="360" w:lineRule="auto"/>
        <w:ind w:firstLine="420" w:firstLineChars="200"/>
        <w:rPr>
          <w:rFonts w:hint="eastAsia" w:hAnsi="宋体"/>
          <w:color w:val="auto"/>
          <w:sz w:val="21"/>
          <w:highlight w:val="none"/>
        </w:rPr>
      </w:pPr>
      <w:r>
        <w:rPr>
          <w:rFonts w:hint="eastAsia" w:hAnsi="宋体" w:cs="宋体"/>
          <w:color w:val="auto"/>
          <w:sz w:val="21"/>
          <w:highlight w:val="none"/>
        </w:rPr>
        <w:t>在货物采购项目中，供应商提供的货物既有中小企业制造货物，也有大型企业制造货物的，不享受本文件规定的中小企业扶持政策。以联合体形式参加政府采购活动，联合体各方均为中小企业的，联合体视同中小企业。其中，联合体各方均为小微企业的，联合体视同小微企业。</w:t>
      </w:r>
    </w:p>
    <w:p>
      <w:pPr>
        <w:spacing w:line="360" w:lineRule="auto"/>
        <w:ind w:firstLine="420" w:firstLineChars="200"/>
        <w:textAlignment w:val="center"/>
        <w:rPr>
          <w:rFonts w:hint="eastAsia" w:ascii="宋体" w:hAnsi="宋体" w:eastAsia="宋体" w:cs="Times New Roman"/>
          <w:color w:val="auto"/>
          <w:kern w:val="0"/>
          <w:szCs w:val="21"/>
          <w:highlight w:val="none"/>
          <w:lang w:val="zh-CN"/>
        </w:rPr>
      </w:pPr>
      <w:r>
        <w:rPr>
          <w:rFonts w:hint="eastAsia" w:ascii="宋体" w:hAnsi="宋体" w:eastAsia="宋体" w:cs="Times New Roman"/>
          <w:color w:val="auto"/>
          <w:kern w:val="0"/>
          <w:szCs w:val="21"/>
          <w:highlight w:val="none"/>
          <w:lang w:val="zh-CN"/>
        </w:rPr>
        <w:t>依据本文件规定享受扶持政策获得政府采购合同的，小微企业不得将合同分包给大中型企业，中型企业不得将合同分包给大型企业。</w:t>
      </w:r>
      <w:bookmarkEnd w:id="137"/>
    </w:p>
    <w:p>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34. 广西线上“政采贷”政策告知函</w:t>
      </w:r>
    </w:p>
    <w:p>
      <w:pPr>
        <w:spacing w:line="580" w:lineRule="exact"/>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广西线上“政采贷”政策告知函</w:t>
      </w:r>
    </w:p>
    <w:p>
      <w:pPr>
        <w:spacing w:line="580" w:lineRule="exact"/>
        <w:ind w:firstLine="420" w:firstLineChars="200"/>
        <w:rPr>
          <w:rFonts w:hint="eastAsia" w:ascii="宋体" w:hAnsi="宋体" w:cs="宋体"/>
          <w:color w:val="auto"/>
          <w:szCs w:val="32"/>
          <w:highlight w:val="none"/>
        </w:rPr>
      </w:pPr>
    </w:p>
    <w:p>
      <w:pPr>
        <w:spacing w:line="580" w:lineRule="exact"/>
        <w:rPr>
          <w:rFonts w:hint="eastAsia" w:ascii="宋体" w:hAnsi="宋体" w:cs="宋体"/>
          <w:color w:val="auto"/>
          <w:szCs w:val="21"/>
          <w:highlight w:val="none"/>
        </w:rPr>
      </w:pPr>
      <w:r>
        <w:rPr>
          <w:rFonts w:hint="eastAsia" w:ascii="宋体" w:hAnsi="宋体" w:cs="宋体"/>
          <w:color w:val="auto"/>
          <w:szCs w:val="21"/>
          <w:highlight w:val="none"/>
        </w:rPr>
        <w:t>各供应商：</w:t>
      </w:r>
    </w:p>
    <w:p>
      <w:pPr>
        <w:spacing w:line="5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欢迎贵公司参与广西政府采购活动！</w:t>
      </w:r>
    </w:p>
    <w:p>
      <w:pPr>
        <w:spacing w:line="5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w:t>
      </w:r>
      <w:r>
        <w:rPr>
          <w:rFonts w:hint="eastAsia" w:ascii="宋体" w:hAnsi="宋体" w:eastAsia="宋体" w:cs="宋体"/>
          <w:color w:val="auto"/>
          <w:szCs w:val="21"/>
          <w:highlight w:val="none"/>
        </w:rPr>
        <w:t>银行业金融机构</w:t>
      </w:r>
      <w:r>
        <w:rPr>
          <w:rFonts w:hint="eastAsia" w:ascii="宋体" w:hAnsi="宋体" w:cs="宋体"/>
          <w:color w:val="auto"/>
          <w:szCs w:val="21"/>
          <w:highlight w:val="none"/>
        </w:rPr>
        <w:t>申请贷款，融资机构将根据《中国人民银行南宁中心支行 广西壮族自治区财政厅关于推广线上“政采贷”融资模式的通知》（南宁银发〔2021〕258号），按照双方自愿的原则提供便捷、优惠的贷款服务。</w:t>
      </w:r>
    </w:p>
    <w:p>
      <w:pPr>
        <w:spacing w:line="5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相关金融产品和</w:t>
      </w:r>
      <w:r>
        <w:rPr>
          <w:rFonts w:hint="eastAsia" w:ascii="宋体" w:hAnsi="宋体" w:eastAsia="宋体" w:cs="宋体"/>
          <w:color w:val="auto"/>
          <w:szCs w:val="21"/>
          <w:highlight w:val="none"/>
        </w:rPr>
        <w:t>银行业金融机构</w:t>
      </w:r>
      <w:r>
        <w:rPr>
          <w:rFonts w:hint="eastAsia" w:ascii="宋体" w:hAnsi="宋体" w:cs="宋体"/>
          <w:color w:val="auto"/>
          <w:szCs w:val="21"/>
          <w:highlight w:val="none"/>
        </w:rPr>
        <w:t>联系方式，可在中征应收账款融资服务平台查询（网址：</w:t>
      </w:r>
      <w:r>
        <w:rPr>
          <w:color w:val="auto"/>
          <w:highlight w:val="none"/>
        </w:rPr>
        <w:fldChar w:fldCharType="begin"/>
      </w:r>
      <w:r>
        <w:rPr>
          <w:color w:val="auto"/>
          <w:highlight w:val="none"/>
        </w:rPr>
        <w:instrText xml:space="preserve"> HYPERLINK "https://www.crcrfsp.com/" </w:instrText>
      </w:r>
      <w:r>
        <w:rPr>
          <w:color w:val="auto"/>
          <w:highlight w:val="none"/>
        </w:rPr>
        <w:fldChar w:fldCharType="separate"/>
      </w:r>
      <w:r>
        <w:rPr>
          <w:rStyle w:val="35"/>
          <w:rFonts w:hint="eastAsia" w:ascii="宋体" w:hAnsi="宋体" w:eastAsia="宋体" w:cs="宋体"/>
          <w:color w:val="auto"/>
          <w:szCs w:val="21"/>
          <w:highlight w:val="none"/>
        </w:rPr>
        <w:t>https://www.crcrfsp.com/</w:t>
      </w:r>
      <w:r>
        <w:rPr>
          <w:rStyle w:val="35"/>
          <w:rFonts w:hint="eastAsia" w:ascii="宋体" w:hAnsi="宋体" w:eastAsia="宋体" w:cs="宋体"/>
          <w:color w:val="auto"/>
          <w:szCs w:val="21"/>
          <w:highlight w:val="none"/>
        </w:rPr>
        <w:fldChar w:fldCharType="end"/>
      </w:r>
      <w:r>
        <w:rPr>
          <w:rFonts w:hint="eastAsia" w:ascii="宋体" w:hAnsi="宋体" w:cs="宋体"/>
          <w:color w:val="auto"/>
          <w:szCs w:val="21"/>
          <w:highlight w:val="none"/>
        </w:rPr>
        <w:t>，客服电话：400-009-0001）。</w:t>
      </w:r>
    </w:p>
    <w:p>
      <w:pPr>
        <w:spacing w:line="360" w:lineRule="auto"/>
        <w:ind w:firstLine="402" w:firstLineChars="200"/>
        <w:contextualSpacing/>
        <w:rPr>
          <w:rFonts w:hint="eastAsia" w:ascii="宋体" w:hAnsi="宋体" w:eastAsia="宋体" w:cs="Times New Roman"/>
          <w:b/>
          <w:color w:val="auto"/>
          <w:kern w:val="0"/>
          <w:sz w:val="20"/>
          <w:szCs w:val="21"/>
          <w:highlight w:val="none"/>
        </w:rPr>
      </w:pPr>
    </w:p>
    <w:p>
      <w:pPr>
        <w:rPr>
          <w:rFonts w:hint="eastAsia" w:ascii="宋体" w:hAnsi="宋体" w:eastAsia="宋体" w:cs="Times New Roman"/>
          <w:b/>
          <w:color w:val="auto"/>
          <w:kern w:val="0"/>
          <w:sz w:val="20"/>
          <w:szCs w:val="21"/>
          <w:highlight w:val="none"/>
        </w:rPr>
      </w:pPr>
      <w:r>
        <w:rPr>
          <w:rFonts w:ascii="宋体" w:hAnsi="宋体" w:eastAsia="宋体" w:cs="Times New Roman"/>
          <w:b/>
          <w:color w:val="auto"/>
          <w:kern w:val="0"/>
          <w:sz w:val="20"/>
          <w:szCs w:val="21"/>
          <w:highlight w:val="none"/>
        </w:rPr>
        <w:br w:type="page"/>
      </w:r>
    </w:p>
    <w:p>
      <w:pPr>
        <w:pStyle w:val="2"/>
        <w:spacing w:line="360" w:lineRule="auto"/>
        <w:ind w:firstLine="1325" w:firstLineChars="300"/>
        <w:rPr>
          <w:color w:val="auto"/>
          <w:highlight w:val="none"/>
        </w:rPr>
      </w:pPr>
      <w:bookmarkStart w:id="138" w:name="_Toc80205932"/>
      <w:bookmarkStart w:id="139" w:name="_Toc17139"/>
      <w:bookmarkStart w:id="140" w:name="_Toc11174"/>
      <w:bookmarkStart w:id="141" w:name="_Toc23199"/>
      <w:r>
        <w:rPr>
          <w:rFonts w:hint="eastAsia"/>
          <w:color w:val="auto"/>
          <w:highlight w:val="none"/>
        </w:rPr>
        <w:t>第四章 评审程序、评审方法和成交标准</w:t>
      </w:r>
      <w:bookmarkEnd w:id="138"/>
      <w:bookmarkEnd w:id="139"/>
      <w:bookmarkEnd w:id="140"/>
      <w:bookmarkEnd w:id="141"/>
    </w:p>
    <w:p>
      <w:pPr>
        <w:keepNext/>
        <w:keepLines/>
        <w:spacing w:line="360" w:lineRule="auto"/>
        <w:ind w:firstLine="640" w:firstLineChars="200"/>
        <w:jc w:val="center"/>
        <w:outlineLvl w:val="1"/>
        <w:rPr>
          <w:rFonts w:hint="eastAsia" w:ascii="宋体" w:hAnsi="宋体" w:eastAsia="宋体" w:cs="Times New Roman"/>
          <w:bCs/>
          <w:color w:val="auto"/>
          <w:sz w:val="32"/>
          <w:szCs w:val="32"/>
          <w:highlight w:val="none"/>
          <w:lang w:val="zh-CN"/>
        </w:rPr>
      </w:pPr>
      <w:bookmarkStart w:id="142" w:name="_Toc18230"/>
      <w:bookmarkStart w:id="143" w:name="_Toc10464"/>
      <w:bookmarkStart w:id="144" w:name="_Toc80205933"/>
      <w:r>
        <w:rPr>
          <w:rFonts w:hint="eastAsia" w:ascii="宋体" w:hAnsi="宋体" w:eastAsia="宋体" w:cs="Times New Roman"/>
          <w:bCs/>
          <w:color w:val="auto"/>
          <w:sz w:val="32"/>
          <w:szCs w:val="32"/>
          <w:highlight w:val="none"/>
          <w:lang w:val="zh-CN"/>
        </w:rPr>
        <w:t>第一节 评审程序和评审方法</w:t>
      </w:r>
      <w:bookmarkEnd w:id="142"/>
      <w:bookmarkEnd w:id="143"/>
      <w:bookmarkEnd w:id="144"/>
    </w:p>
    <w:p>
      <w:pPr>
        <w:spacing w:line="360" w:lineRule="auto"/>
        <w:ind w:firstLine="482" w:firstLineChars="200"/>
        <w:rPr>
          <w:rFonts w:hint="eastAsia" w:ascii="黑体" w:hAnsi="黑体" w:eastAsia="黑体" w:cs="宋体"/>
          <w:b/>
          <w:bCs/>
          <w:color w:val="auto"/>
          <w:sz w:val="24"/>
          <w:szCs w:val="24"/>
          <w:highlight w:val="none"/>
        </w:rPr>
      </w:pPr>
      <w:r>
        <w:rPr>
          <w:rFonts w:ascii="黑体" w:hAnsi="黑体" w:eastAsia="黑体" w:cs="宋体"/>
          <w:b/>
          <w:bCs/>
          <w:color w:val="auto"/>
          <w:sz w:val="24"/>
          <w:szCs w:val="24"/>
          <w:highlight w:val="none"/>
        </w:rPr>
        <w:t>1</w:t>
      </w:r>
      <w:r>
        <w:rPr>
          <w:rFonts w:hint="eastAsia" w:ascii="黑体" w:hAnsi="黑体" w:eastAsia="黑体" w:cs="宋体"/>
          <w:b/>
          <w:bCs/>
          <w:color w:val="auto"/>
          <w:sz w:val="24"/>
          <w:szCs w:val="24"/>
          <w:highlight w:val="none"/>
        </w:rPr>
        <w:t>.确认谈判文件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由谈判小组确认谈判文件。</w:t>
      </w:r>
    </w:p>
    <w:p>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2.资格审查</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2.1响应文件开启后，谈判小组依法对供应商的资格证明文件进行审查。</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注：采购人代表或者采购代理机构在资格审查结束前，对供应商进行信用查询。</w:t>
      </w:r>
    </w:p>
    <w:p>
      <w:pPr>
        <w:snapToGrid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（1）查询渠道：</w:t>
      </w:r>
      <w:r>
        <w:rPr>
          <w:rFonts w:hint="eastAsia" w:ascii="宋体" w:hAnsi="宋体" w:cs="宋体"/>
          <w:color w:val="auto"/>
          <w:szCs w:val="21"/>
          <w:highlight w:val="none"/>
        </w:rPr>
        <w:t>广西政府采购云平台</w:t>
      </w:r>
      <w:r>
        <w:rPr>
          <w:rFonts w:hint="eastAsia" w:ascii="宋体" w:hAnsi="宋体" w:eastAsia="宋体" w:cs="宋体"/>
          <w:color w:val="auto"/>
          <w:szCs w:val="21"/>
          <w:highlight w:val="none"/>
        </w:rPr>
        <w:t>“信用中国”网站(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Fonts w:hint="eastAsia" w:ascii="宋体" w:hAnsi="宋体" w:eastAsia="宋体" w:cs="宋体"/>
          <w:color w:val="auto"/>
          <w:szCs w:val="21"/>
          <w:highlight w:val="none"/>
          <w:u w:val="single"/>
        </w:rPr>
        <w:t>www.creditchina.gov.cn</w:t>
      </w:r>
      <w:r>
        <w:rPr>
          <w:rFonts w:hint="eastAsia" w:ascii="宋体" w:hAnsi="宋体" w:eastAsia="宋体" w:cs="宋体"/>
          <w:color w:val="auto"/>
          <w:szCs w:val="21"/>
          <w:highlight w:val="none"/>
          <w:u w:val="single"/>
        </w:rPr>
        <w:fldChar w:fldCharType="end"/>
      </w:r>
      <w:r>
        <w:rPr>
          <w:rFonts w:hint="eastAsia" w:ascii="宋体" w:hAnsi="宋体" w:eastAsia="宋体" w:cs="宋体"/>
          <w:color w:val="auto"/>
          <w:szCs w:val="21"/>
          <w:highlight w:val="none"/>
        </w:rPr>
        <w:t>)、中国政府采购网(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Fonts w:hint="eastAsia" w:ascii="宋体" w:hAnsi="宋体" w:eastAsia="宋体" w:cs="宋体"/>
          <w:color w:val="auto"/>
          <w:szCs w:val="21"/>
          <w:highlight w:val="none"/>
          <w:u w:val="single"/>
        </w:rPr>
        <w:t>www.ccgp.gov.cn</w:t>
      </w:r>
      <w:r>
        <w:rPr>
          <w:rFonts w:hint="eastAsia" w:ascii="宋体" w:hAnsi="宋体" w:eastAsia="宋体" w:cs="宋体"/>
          <w:color w:val="auto"/>
          <w:szCs w:val="21"/>
          <w:highlight w:val="none"/>
          <w:u w:val="single"/>
        </w:rPr>
        <w:fldChar w:fldCharType="end"/>
      </w:r>
      <w:r>
        <w:rPr>
          <w:rFonts w:hint="eastAsia" w:ascii="宋体" w:hAnsi="宋体" w:eastAsia="宋体" w:cs="宋体"/>
          <w:color w:val="auto"/>
          <w:szCs w:val="21"/>
          <w:highlight w:val="none"/>
        </w:rPr>
        <w:t>)链接入口。</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（2）信用查询截止时点：资格审查结束前。</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查询记录和证据留存方式：在查询网站中直接查询记录，截图另存为电子文档作为评审资料保存。</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2.2资格审查标准为本谈判文件中载明对供应商资格要求的条件。资格审查采用合格制，凡符合谈判文件规定的供应商资格要求的响应文件均通过资格审查。</w:t>
      </w:r>
    </w:p>
    <w:p>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2.3供应商有下列情形之一的，资格审查不通过，其响应文件作无效响应处理：</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（1）不具备谈判文件中规定的资格要求的；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（2）响应文件未提供任一项“供应商须知前附表”资格证明文件规定的“必须提供”的文件资料的；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（3）响应文件提供的资格证明文件出现任一项不符合“供应商须知前附表”资格证明文件规定的“必须提供”的文件资料要求或者无效的。</w:t>
      </w:r>
    </w:p>
    <w:p>
      <w:pPr>
        <w:spacing w:line="360" w:lineRule="auto"/>
        <w:ind w:firstLine="420" w:firstLineChars="200"/>
        <w:rPr>
          <w:rFonts w:hint="eastAsia" w:ascii="宋体" w:hAnsi="宋体" w:eastAsia="宋体" w:cs="宋体"/>
          <w:color w:val="auto"/>
          <w:szCs w:val="21"/>
          <w:highlight w:val="none"/>
        </w:rPr>
      </w:pPr>
      <w:bookmarkStart w:id="145" w:name="_Hlk68601553"/>
      <w:r>
        <w:rPr>
          <w:rFonts w:hint="eastAsia" w:ascii="宋体" w:hAnsi="宋体" w:eastAsia="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145"/>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2.4通过资格审查的合格供应商不足3家的，不得进入符合性审查环节，采购人或者采购代理机构应当重新开展采购活动。</w:t>
      </w:r>
    </w:p>
    <w:p>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3.符合性审查</w:t>
      </w:r>
    </w:p>
    <w:p>
      <w:pPr>
        <w:spacing w:line="360" w:lineRule="auto"/>
        <w:ind w:firstLine="420" w:firstLineChars="200"/>
        <w:rPr>
          <w:rFonts w:hint="eastAsia" w:ascii="宋体" w:hAnsi="宋体" w:eastAsia="宋体" w:cs="宋体"/>
          <w:color w:val="auto"/>
          <w:szCs w:val="21"/>
          <w:highlight w:val="none"/>
        </w:rPr>
      </w:pPr>
      <w:bookmarkStart w:id="146" w:name="_Hlk42528882"/>
      <w:r>
        <w:rPr>
          <w:rFonts w:hint="eastAsia" w:ascii="宋体" w:hAnsi="宋体" w:eastAsia="宋体" w:cs="宋体"/>
          <w:color w:val="auto"/>
          <w:szCs w:val="21"/>
          <w:highlight w:val="none"/>
        </w:rPr>
        <w:t>3.1由谈判小组对通过资格审查的合格供应商的响应文件的响应报价、商务、技术等实质性要求进行符合性审查，以确定其是否满足谈判文件的实质性要求。</w:t>
      </w:r>
    </w:p>
    <w:bookmarkEnd w:id="146"/>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3.2谈判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60" w:lineRule="auto"/>
        <w:ind w:firstLine="420" w:firstLineChars="200"/>
        <w:rPr>
          <w:rFonts w:hint="eastAsia" w:ascii="宋体" w:hAnsi="宋体" w:eastAsia="宋体" w:cs="宋体"/>
          <w:color w:val="auto"/>
          <w:spacing w:val="-6"/>
          <w:szCs w:val="21"/>
          <w:highlight w:val="none"/>
        </w:rPr>
      </w:pPr>
      <w:r>
        <w:rPr>
          <w:rFonts w:hint="eastAsia" w:ascii="宋体" w:hAnsi="宋体" w:eastAsia="宋体" w:cs="宋体"/>
          <w:color w:val="auto"/>
          <w:szCs w:val="21"/>
          <w:highlight w:val="none"/>
        </w:rPr>
        <w:t>3.3谈判小组要求供应商澄清、说明或者更正响应文件应当以电子澄清函形式作出。供应商的澄清、说明或者更正应当以电子回函形式按照谈判小组的要求作出明确的澄清、说明或者更正，未按谈判小组的要求作出明确澄清、说明或者更正的供应商的响应文件将按照有利于采购人的原则由谈判小组进行判定。供应商的澄清、说明或者更正必须加盖公章</w:t>
      </w:r>
      <w:r>
        <w:rPr>
          <w:rFonts w:hint="eastAsia" w:ascii="宋体" w:hAnsi="宋体" w:eastAsia="宋体" w:cs="宋体"/>
          <w:color w:val="auto"/>
          <w:spacing w:val="-6"/>
          <w:szCs w:val="21"/>
          <w:highlight w:val="none"/>
        </w:rPr>
        <w:t>。供应商为自然人的，必须由本人签字并附身份证明。</w:t>
      </w:r>
    </w:p>
    <w:p>
      <w:pPr>
        <w:spacing w:line="360" w:lineRule="auto"/>
        <w:ind w:firstLine="396" w:firstLineChars="200"/>
        <w:rPr>
          <w:rFonts w:hint="eastAsia" w:ascii="宋体" w:hAnsi="宋体" w:eastAsia="宋体" w:cs="宋体"/>
          <w:color w:val="auto"/>
          <w:szCs w:val="21"/>
          <w:highlight w:val="none"/>
        </w:rPr>
      </w:pPr>
      <w:r>
        <w:rPr>
          <w:rFonts w:hint="eastAsia" w:ascii="宋体" w:hAnsi="宋体" w:eastAsia="宋体" w:cs="宋体"/>
          <w:color w:val="auto"/>
          <w:spacing w:val="-6"/>
          <w:szCs w:val="21"/>
          <w:highlight w:val="none"/>
        </w:rPr>
        <w:t>3.4</w:t>
      </w:r>
      <w:r>
        <w:rPr>
          <w:rFonts w:hint="eastAsia" w:ascii="宋体" w:hAnsi="宋体" w:eastAsia="宋体" w:cs="宋体"/>
          <w:color w:val="auto"/>
          <w:szCs w:val="21"/>
          <w:highlight w:val="none"/>
        </w:rPr>
        <w:t xml:space="preserve">首次响应文件报价出现前后不一致的，按照下列规定修正： </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（1）响应文件中响应报价表内容与响应文件中相应内容不一致的，以响应报价表为准；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（2）大写金额和小写金额不一致的，以大写金额为准；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（3）单价金额小数点或者百分比有明显错位的，以响应报价表的总价为准，并修改单价；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（4）总价金额与按单价汇总金额不一致的，以单价金额计算结果为准。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同时出现两种以上不一致的，按照以上（1）-（4）规定的顺序逐条进行修正。修正后的报价经供应商确认后产生约束力，供应商不确认的，其响应文件作无效响应处理。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3.5商务技术、报价评审</w:t>
      </w:r>
    </w:p>
    <w:p>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在评审时，如发现下列情形之一的，将被视为响应文件无效处理：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（1）商务技术评审</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1）响应文件未按谈判文件要求签署、盖章；</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2）委托代理人未能出具有效身份证明或者出具的身份证明与授权委托书中的信息不符； </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4）商务条款中标“▲”的条款发生负偏离的或者允许负偏离的条款数超过“供应商须知前附表”规定项数的或者标明实质性的要求发生负偏离；</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5）未对竞标有效期作出响应或者响应文件承诺的竞标有效期不满足谈判文件要求；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6）响应文件的实质性内容未使用中文表述、使用计量单位不符合谈判文件要求；</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7）响应文件中的文件资料因填写不齐全或者内容虚假或者出现其他情形而导致被谈判小组认定无效；</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8）响应文件含有采购人不能接受的附加条件；</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9）属于“供应商须知正文”第7.5条情形；</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10）技术需求允许负偏离的条款数超过“供应商须知前附表”规定项数；</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11）虚假竞标，或者出现其他情形而导致被谈判小组认定无效；</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12）竞标技术方案不明确，谈判文件未允许但响应文件中存在一个或者一个以上备选（替代）竞标方案；</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13）响应文件标注的项目名称或者项目编号与竞争性谈判文件标注的项目名称或者项目编号不一致的；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14）未响应谈判文件实质性要求；</w:t>
      </w:r>
    </w:p>
    <w:p>
      <w:pPr>
        <w:pStyle w:val="13"/>
        <w:spacing w:after="0" w:line="360" w:lineRule="auto"/>
        <w:ind w:firstLine="420" w:firstLineChars="200"/>
        <w:rPr>
          <w:rFonts w:hint="eastAsia" w:ascii="宋体" w:hAnsi="宋体" w:cs="宋体"/>
          <w:color w:val="auto"/>
          <w:highlight w:val="none"/>
        </w:rPr>
      </w:pPr>
      <w:r>
        <w:rPr>
          <w:rFonts w:hint="eastAsia" w:ascii="宋体" w:hAnsi="宋体" w:cs="宋体"/>
          <w:color w:val="auto"/>
          <w:szCs w:val="21"/>
          <w:highlight w:val="none"/>
        </w:rPr>
        <w:t>15）提交的谈判保证金无效的或者未按照竞争性谈判文件的规定提交谈判保证金；</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16）法律、法规和谈判文件规定的其他无效情形。</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（2）报价评审</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 响应文件未提供“供应商须知前附表” 报价文件中规定的“响应报价表”；</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2）未采用人民币报价或者未按照谈判文件标明的币种报价；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未就所竞标项目/分标进行报价或者存在漏项报价；供应商未就所竞标项目/分标的单项内容作唯一报价；供应商未就所竞标项目/分标的全部内容作唯一总价报价；供应商响应文件中存在有选择、有条件报价的（谈判文件允许有备选方案或者其他约定的除外）；</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4）响应报价（包含首次报价、最后报价）超过所竞标项目/分标规定的采购预算金额或者最高限价的（如本项目公布了最高限价）；</w:t>
      </w:r>
      <w:bookmarkStart w:id="147" w:name="_Hlk42596405"/>
      <w:r>
        <w:rPr>
          <w:rFonts w:hint="eastAsia" w:ascii="宋体" w:hAnsi="宋体" w:eastAsia="宋体" w:cs="宋体"/>
          <w:color w:val="auto"/>
          <w:szCs w:val="21"/>
          <w:highlight w:val="none"/>
        </w:rPr>
        <w:t>响应报价（包含首次报价、最后报价）</w:t>
      </w:r>
      <w:bookmarkEnd w:id="147"/>
      <w:bookmarkStart w:id="148" w:name="_Hlk42596276"/>
      <w:r>
        <w:rPr>
          <w:rFonts w:hint="eastAsia" w:ascii="宋体" w:hAnsi="宋体" w:eastAsia="宋体" w:cs="宋体"/>
          <w:color w:val="auto"/>
          <w:szCs w:val="21"/>
          <w:highlight w:val="none"/>
        </w:rPr>
        <w:t>超过谈判文件分项采购预算金额或者最高限价的</w:t>
      </w:r>
      <w:bookmarkEnd w:id="148"/>
      <w:r>
        <w:rPr>
          <w:rFonts w:hint="eastAsia" w:ascii="宋体" w:hAnsi="宋体" w:eastAsia="宋体" w:cs="宋体"/>
          <w:color w:val="auto"/>
          <w:szCs w:val="21"/>
          <w:highlight w:val="none"/>
        </w:rPr>
        <w:t>（如本项目公布了最高限价）；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修正后的报价，供应商不确认的；或者经供应商确认修正后的响应报价（包含首次报价、最后报价）超过所竞标项目/分标规定的采购预算金额或者最高限价（如本项目公布了最高限价）；或者经供应商确认修正后响应报价（包含首次报价、最后报价）超过谈判文件分项采购预算金额或者最高限价的（如本项目公布了最高限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6）响应文件响应的标的数量及单位与竞争性谈判文件要求实质性不一致的。</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3.6谈判小组对响应文件进行评审，未实质性响应谈判文件的响应文件作无效处理。谈判小组应当将资格和符合性不通过的情况告知有关供应商。谈判小组从符合谈判文件规定的相应资格条件的供应商名单中确定不少于3家的供应商参加谈判。</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3.7通过符合性审查的合格供应商不足3家的，不得进入谈判环节，应当重新开展采购活动。</w:t>
      </w:r>
    </w:p>
    <w:p>
      <w:pPr>
        <w:spacing w:line="360" w:lineRule="auto"/>
        <w:ind w:firstLine="482" w:firstLineChars="200"/>
        <w:rPr>
          <w:rFonts w:hint="eastAsia" w:ascii="黑体" w:hAnsi="黑体" w:eastAsia="黑体" w:cs="宋体"/>
          <w:b/>
          <w:bCs/>
          <w:color w:val="auto"/>
          <w:sz w:val="24"/>
          <w:szCs w:val="24"/>
          <w:highlight w:val="none"/>
        </w:rPr>
      </w:pPr>
      <w:r>
        <w:rPr>
          <w:rFonts w:hint="eastAsia" w:ascii="黑体" w:hAnsi="黑体" w:eastAsia="黑体" w:cs="宋体"/>
          <w:b/>
          <w:bCs/>
          <w:color w:val="auto"/>
          <w:sz w:val="24"/>
          <w:szCs w:val="24"/>
          <w:highlight w:val="none"/>
        </w:rPr>
        <w:t>4.谈判程序</w:t>
      </w:r>
    </w:p>
    <w:p>
      <w:pPr>
        <w:spacing w:line="360" w:lineRule="auto"/>
        <w:ind w:firstLine="420" w:firstLineChars="200"/>
        <w:rPr>
          <w:rFonts w:hint="eastAsia" w:ascii="宋体" w:hAnsi="宋体" w:eastAsia="宋体" w:cs="宋体"/>
          <w:b/>
          <w:color w:val="auto"/>
          <w:kern w:val="0"/>
          <w:szCs w:val="21"/>
          <w:highlight w:val="none"/>
        </w:rPr>
      </w:pPr>
      <w:r>
        <w:rPr>
          <w:rFonts w:hint="eastAsia" w:ascii="宋体" w:hAnsi="宋体" w:eastAsia="宋体" w:cs="宋体"/>
          <w:color w:val="auto"/>
          <w:kern w:val="0"/>
          <w:szCs w:val="21"/>
          <w:highlight w:val="none"/>
        </w:rPr>
        <w:t>4.1谈判小组按照“供应商须知前附表”</w:t>
      </w:r>
      <w:r>
        <w:rPr>
          <w:rFonts w:hint="eastAsia" w:ascii="宋体" w:hAnsi="宋体" w:eastAsia="宋体" w:cs="宋体"/>
          <w:color w:val="auto"/>
          <w:szCs w:val="21"/>
          <w:highlight w:val="none"/>
        </w:rPr>
        <w:t xml:space="preserve"> </w:t>
      </w:r>
      <w:r>
        <w:rPr>
          <w:rFonts w:hint="eastAsia" w:ascii="宋体" w:hAnsi="宋体" w:eastAsia="宋体" w:cs="宋体"/>
          <w:color w:val="auto"/>
          <w:kern w:val="0"/>
          <w:szCs w:val="21"/>
          <w:highlight w:val="none"/>
        </w:rPr>
        <w:t>确定的</w:t>
      </w:r>
      <w:r>
        <w:rPr>
          <w:rFonts w:hint="eastAsia" w:ascii="宋体" w:hAnsi="宋体" w:eastAsia="宋体" w:cs="宋体"/>
          <w:color w:val="auto"/>
          <w:szCs w:val="21"/>
          <w:highlight w:val="none"/>
        </w:rPr>
        <w:t>顺序，集中与单一供应商分别进行谈判，并给予所有参加谈判的供应商平等的谈判机会。符合谈判资格的供应商必须在接到谈判通知后规定时间内参加谈判，未在规定时间内参加谈判的视同放弃参加谈判权利，</w:t>
      </w:r>
      <w:r>
        <w:rPr>
          <w:rFonts w:hint="eastAsia" w:ascii="宋体" w:hAnsi="宋体" w:eastAsia="宋体" w:cs="宋体"/>
          <w:b/>
          <w:color w:val="auto"/>
          <w:szCs w:val="21"/>
          <w:highlight w:val="none"/>
        </w:rPr>
        <w:t>其响应文件作无效响应处理。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4.2在谈判过程中，谈判小组可以根据谈判文件和谈判情况实质性变动采购需求中的技术、货物要求以及合同草案条款，但不得变动谈判文件中的其他内容。实质性变动的内容，须经采购人代表确认。可能实质性变动的内容为采购需求中的技术、货物要求以及合同草案条款。</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4.3对谈判文件作出的实质性变动是谈判文件的有效组成部分，由谈判小组及时以电子澄清函形式同时通知所有参加谈判的供应商。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4.4供应商必须按照谈判文件的变动情况和谈判小组的要求以回函的形式重新提交响应文件，并加盖供应商公章。供应商为自然人的，必须由本人签字并附身份证明。参加谈判的供应商未在规定时间内重新提交响应文件的，视同退出谈判。</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4.5谈判中，</w:t>
      </w:r>
      <w:r>
        <w:rPr>
          <w:rFonts w:hint="eastAsia" w:ascii="宋体" w:hAnsi="宋体" w:eastAsia="宋体" w:cs="宋体"/>
          <w:color w:val="auto"/>
          <w:spacing w:val="-6"/>
          <w:szCs w:val="21"/>
          <w:highlight w:val="none"/>
        </w:rPr>
        <w:t>谈判的任何一方不得透露与谈判有关的其他供应商的技术资料、价格和其他信息。</w:t>
      </w:r>
    </w:p>
    <w:p>
      <w:pPr>
        <w:widowControl/>
        <w:tabs>
          <w:tab w:val="left" w:pos="540"/>
        </w:tabs>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4.6谈判小组应对谈判过程和重要谈判内容进行记录，作为评审报告一部分，谈判小组在记录上签字确认。</w:t>
      </w:r>
      <w:r>
        <w:rPr>
          <w:rFonts w:hint="eastAsia" w:ascii="宋体" w:hAnsi="宋体" w:eastAsia="宋体" w:cs="宋体"/>
          <w:b/>
          <w:color w:val="auto"/>
          <w:szCs w:val="24"/>
          <w:highlight w:val="none"/>
        </w:rPr>
        <w:t>主要内容包括：</w:t>
      </w:r>
    </w:p>
    <w:p>
      <w:pPr>
        <w:adjustRightInd w:val="0"/>
        <w:spacing w:line="360" w:lineRule="auto"/>
        <w:ind w:firstLine="396" w:firstLineChars="200"/>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（1）按照相关规定进行公示的，公示情况说明；</w:t>
      </w:r>
    </w:p>
    <w:p>
      <w:pPr>
        <w:adjustRightInd w:val="0"/>
        <w:spacing w:line="360" w:lineRule="auto"/>
        <w:ind w:firstLine="396" w:firstLineChars="200"/>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（2）谈判日期和地点，谈判人员名单；</w:t>
      </w:r>
    </w:p>
    <w:p>
      <w:pPr>
        <w:adjustRightInd w:val="0"/>
        <w:spacing w:line="360" w:lineRule="auto"/>
        <w:ind w:firstLine="396" w:firstLineChars="200"/>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（3）合同主要条款及价格商定情况。</w:t>
      </w:r>
    </w:p>
    <w:p>
      <w:pPr>
        <w:widowControl/>
        <w:tabs>
          <w:tab w:val="left" w:pos="540"/>
        </w:tabs>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4.7谈判过程中重新提交的响应文件，供应商可以在开启前补充、修改。</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4.8对谈判过程提交的响应文件进行有效性、完整性和响应程度审查，通过审查的合格供应商不足3家的，采购人或者采购代理机构应当重新开展采购活动。</w:t>
      </w:r>
    </w:p>
    <w:p>
      <w:pPr>
        <w:spacing w:line="360" w:lineRule="auto"/>
        <w:ind w:firstLine="482" w:firstLineChars="200"/>
        <w:rPr>
          <w:rFonts w:hint="eastAsia" w:ascii="宋体" w:hAnsi="宋体" w:eastAsia="宋体" w:cs="宋体"/>
          <w:color w:val="auto"/>
          <w:szCs w:val="21"/>
          <w:highlight w:val="none"/>
        </w:rPr>
      </w:pPr>
      <w:r>
        <w:rPr>
          <w:rFonts w:hint="eastAsia" w:ascii="黑体" w:hAnsi="黑体" w:eastAsia="黑体" w:cs="宋体"/>
          <w:b/>
          <w:bCs/>
          <w:color w:val="auto"/>
          <w:sz w:val="24"/>
          <w:szCs w:val="24"/>
          <w:highlight w:val="none"/>
        </w:rPr>
        <w:t>5</w:t>
      </w:r>
      <w:r>
        <w:rPr>
          <w:rFonts w:ascii="黑体" w:hAnsi="黑体" w:eastAsia="黑体" w:cs="宋体"/>
          <w:b/>
          <w:bCs/>
          <w:color w:val="auto"/>
          <w:sz w:val="24"/>
          <w:szCs w:val="24"/>
          <w:highlight w:val="none"/>
        </w:rPr>
        <w:t>.</w:t>
      </w:r>
      <w:r>
        <w:rPr>
          <w:rFonts w:hint="eastAsia" w:ascii="黑体" w:hAnsi="黑体" w:eastAsia="黑体" w:cs="宋体"/>
          <w:b/>
          <w:bCs/>
          <w:color w:val="auto"/>
          <w:sz w:val="24"/>
          <w:szCs w:val="24"/>
          <w:highlight w:val="none"/>
        </w:rPr>
        <w:t xml:space="preserve"> 最后报价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5.1谈判文件能够详细列明采购标的的技术、货物要求的，谈判结束后，由谈判小组要求所有继续参加谈判的供应商在规定时间内密封提交最后报价，提交最后报价的供应商不得少于3家，否则必须重新采购。</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谈判文件不能详细列明采购标的的技术、货物要求，需经谈判由供应商提供最后设计方案或者解决方案的，谈判结束后，由谈判小组按照少数服从多数的原则投票推荐3家以上供应商的设计方案或者解决方案，并要求其在规定时间内在</w:t>
      </w:r>
      <w:r>
        <w:rPr>
          <w:rFonts w:hint="eastAsia" w:ascii="宋体" w:hAnsi="宋体" w:cs="宋体"/>
          <w:color w:val="auto"/>
          <w:szCs w:val="21"/>
          <w:highlight w:val="none"/>
        </w:rPr>
        <w:t>广西政府采购云平台</w:t>
      </w:r>
      <w:r>
        <w:rPr>
          <w:rFonts w:hint="eastAsia" w:ascii="宋体" w:hAnsi="宋体" w:eastAsia="宋体" w:cs="宋体"/>
          <w:color w:val="auto"/>
          <w:szCs w:val="21"/>
          <w:highlight w:val="none"/>
        </w:rPr>
        <w:t>远程不见面开标大厅响应最后报价。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5.3 最后报价是供应商响应文件的有效组成部分。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5.4已经提交响应文件的供应商，在提交最后报价之前，可以根据谈判情况退出谈判，退出谈判的供应商的响应文件作无效响应处理。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5.5供应商未在规定时间内提交最后报价的</w:t>
      </w:r>
      <w:r>
        <w:rPr>
          <w:rFonts w:hint="eastAsia" w:ascii="宋体" w:hAnsi="宋体" w:eastAsia="宋体" w:cs="宋体"/>
          <w:b/>
          <w:color w:val="auto"/>
          <w:szCs w:val="21"/>
          <w:highlight w:val="none"/>
        </w:rPr>
        <w:t>，视同放弃报价权利退出谈判。</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5.6最终响应文件的报价出现前后不一致的，按照本章第3.4条的规定修正。 </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5.7修正后的最后报价出现下列情形的，作无效响应处理：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（1）供应商不确认的（全流程电子化评标采取在线确认）；</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经供应商确认修正后的响应报价（包含首次报价、最后报价）超过所竞标项目/分标规定的采购预算金额或者最高限价的（如本项目公布了最高限价）（全流程电子化评标多轮报价设置了上限控制价，即预算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（3）经供应商确认修正后的响应报价（包含首次报价、最后报价）超过分项采购预算金额或者最高限价的（如本项目公布了最高限价）。</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5.8经供应商确认修正后的最后报价作为评审及签订合同的依据。</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5.9供应商出现最后报价作无效响应处理或者响应文件作无效处理时</w:t>
      </w:r>
      <w:r>
        <w:rPr>
          <w:rFonts w:hint="eastAsia" w:ascii="宋体" w:hAnsi="宋体" w:eastAsia="宋体" w:cs="宋体"/>
          <w:color w:val="auto"/>
          <w:sz w:val="22"/>
          <w:highlight w:val="none"/>
        </w:rPr>
        <w:t>，</w:t>
      </w:r>
      <w:r>
        <w:rPr>
          <w:rFonts w:hint="eastAsia" w:ascii="宋体" w:hAnsi="宋体" w:eastAsia="宋体" w:cs="宋体"/>
          <w:b/>
          <w:bCs/>
          <w:color w:val="auto"/>
          <w:sz w:val="22"/>
          <w:highlight w:val="none"/>
        </w:rPr>
        <w:t>谈判小组应当告知有关供应商</w:t>
      </w:r>
      <w:r>
        <w:rPr>
          <w:rFonts w:hint="eastAsia" w:ascii="宋体" w:hAnsi="宋体" w:eastAsia="宋体" w:cs="宋体"/>
          <w:color w:val="auto"/>
          <w:szCs w:val="21"/>
          <w:highlight w:val="none"/>
        </w:rPr>
        <w:t>。</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5.10最后报价结束后，谈判小组不得再与供应商进行任何形式的商谈。</w:t>
      </w:r>
    </w:p>
    <w:p>
      <w:pPr>
        <w:spacing w:line="360" w:lineRule="auto"/>
        <w:ind w:firstLine="422" w:firstLineChars="200"/>
        <w:jc w:val="left"/>
        <w:rPr>
          <w:rFonts w:hint="eastAsia" w:ascii="宋体" w:hAnsi="宋体" w:eastAsia="宋体" w:cs="宋体"/>
          <w:b/>
          <w:bCs/>
          <w:color w:val="auto"/>
          <w:szCs w:val="21"/>
          <w:highlight w:val="none"/>
          <w:lang w:val="zh-CN"/>
        </w:rPr>
      </w:pPr>
      <w:r>
        <w:rPr>
          <w:rFonts w:hint="eastAsia" w:ascii="宋体" w:hAnsi="宋体" w:eastAsia="宋体" w:cs="宋体"/>
          <w:b/>
          <w:bCs/>
          <w:color w:val="auto"/>
          <w:szCs w:val="21"/>
          <w:highlight w:val="none"/>
        </w:rPr>
        <w:t>注：</w:t>
      </w:r>
      <w:r>
        <w:rPr>
          <w:rFonts w:hint="eastAsia" w:ascii="宋体" w:hAnsi="宋体" w:eastAsia="宋体" w:cs="宋体"/>
          <w:b/>
          <w:bCs/>
          <w:color w:val="auto"/>
          <w:highlight w:val="none"/>
        </w:rPr>
        <w:t>如谈判小组要求提供最后报价附件的，需按规定的时间提供。最后报价有时间限制，供应商可参照竞争性谈判文件“第五章 响应文件格式”的最后报价表提前准备，以免耽误最后报价</w:t>
      </w:r>
      <w:r>
        <w:rPr>
          <w:rFonts w:hint="eastAsia" w:ascii="宋体" w:hAnsi="宋体" w:eastAsia="宋体" w:cs="宋体"/>
          <w:b/>
          <w:bCs/>
          <w:color w:val="auto"/>
          <w:szCs w:val="21"/>
          <w:highlight w:val="none"/>
          <w:lang w:val="zh-CN"/>
        </w:rPr>
        <w:t>。</w:t>
      </w:r>
    </w:p>
    <w:p>
      <w:pPr>
        <w:pStyle w:val="21"/>
        <w:spacing w:line="360" w:lineRule="auto"/>
        <w:rPr>
          <w:b/>
          <w:bCs/>
          <w:color w:val="auto"/>
          <w:highlight w:val="none"/>
        </w:rPr>
      </w:pPr>
    </w:p>
    <w:p>
      <w:pPr>
        <w:spacing w:line="360" w:lineRule="auto"/>
        <w:ind w:firstLine="482" w:firstLineChars="200"/>
        <w:rPr>
          <w:rFonts w:hint="eastAsia" w:ascii="黑体" w:hAnsi="黑体" w:eastAsia="黑体" w:cs="宋体"/>
          <w:b/>
          <w:bCs/>
          <w:color w:val="auto"/>
          <w:sz w:val="24"/>
          <w:szCs w:val="24"/>
          <w:highlight w:val="none"/>
        </w:rPr>
      </w:pPr>
      <w:r>
        <w:rPr>
          <w:rFonts w:ascii="黑体" w:hAnsi="黑体" w:eastAsia="黑体" w:cs="宋体"/>
          <w:b/>
          <w:bCs/>
          <w:color w:val="auto"/>
          <w:sz w:val="24"/>
          <w:szCs w:val="24"/>
          <w:highlight w:val="none"/>
        </w:rPr>
        <w:t>6.</w:t>
      </w:r>
      <w:r>
        <w:rPr>
          <w:rFonts w:hint="eastAsia" w:ascii="黑体" w:hAnsi="黑体" w:eastAsia="黑体" w:cs="宋体"/>
          <w:b/>
          <w:bCs/>
          <w:color w:val="auto"/>
          <w:sz w:val="24"/>
          <w:szCs w:val="24"/>
          <w:highlight w:val="none"/>
        </w:rPr>
        <w:t xml:space="preserve"> 最后报价政府采购政策性扣除</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6.1评审价为供应商的最后报价进行政策性扣除后的价格，评审价只是作为评审时使用。最终成交供应商的成交金额等于最后报价（如有修正，以确认修正后的最后报价为准）。</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6.2按照《政府采购促进中小企业发展管理办法》（财库〔2020〕46号）及《广西壮族自治区财政厅关于贯彻落实政府采购支持中小企业发展政策的通知》（桂财采〔2022〕31号）的规定，</w:t>
      </w:r>
      <w:r>
        <w:rPr>
          <w:rFonts w:hint="eastAsia" w:ascii="宋体" w:hAnsi="宋体" w:eastAsia="宋体" w:cs="宋体"/>
          <w:color w:val="auto"/>
          <w:highlight w:val="none"/>
        </w:rPr>
        <w:t>供应商在其</w:t>
      </w:r>
      <w:r>
        <w:rPr>
          <w:rFonts w:hint="eastAsia" w:ascii="宋体" w:hAnsi="宋体" w:eastAsia="宋体" w:cs="宋体"/>
          <w:color w:val="auto"/>
          <w:szCs w:val="21"/>
          <w:highlight w:val="none"/>
        </w:rPr>
        <w:t>响应文件中提供《中小企业声明函》，且其提供的货物全部由符合政策要求的小型、微型企业制造，即货物由小型、微型企业生产且使用该小型、微型企业商号或者注册商标，对其最后报价给予10%的扣除。</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6.4按照《关于促进残疾人就业政府采购政策的通知》（财库〔2017〕141号）的规定，残疾人福利性单位视同小型、微型企业，享受预留份额、评审中价格扣除等</w:t>
      </w:r>
      <w:r>
        <w:rPr>
          <w:rFonts w:hint="eastAsia" w:ascii="宋体" w:hAnsi="宋体" w:eastAsia="宋体" w:cs="宋体"/>
          <w:color w:val="auto"/>
          <w:highlight w:val="none"/>
        </w:rPr>
        <w:t>促进中小企业发展的政府采购政策。残疾人福利性单位参加政府采购活动时，应当提供该通知规定的《残疾人福利性单位声明函》，并对声明的真实性负责。残疾人福利性单位属于小型、微型企业的，不重复享受政策。</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6.5政策性扣除计算方法。</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供应商被评定为监狱企业或者残疾人福利性单位或者其</w:t>
      </w:r>
      <w:r>
        <w:rPr>
          <w:rFonts w:hint="eastAsia" w:ascii="宋体" w:hAnsi="宋体" w:eastAsia="宋体" w:cs="宋体"/>
          <w:color w:val="auto"/>
          <w:szCs w:val="21"/>
          <w:highlight w:val="none"/>
        </w:rPr>
        <w:t>提供的货物全部由符合政策要求的小型、微型企业制造，即货物由小型、微型企业生产且使用该小型、微型企业商号或者注册商标的</w:t>
      </w:r>
      <w:r>
        <w:rPr>
          <w:rFonts w:hint="eastAsia" w:ascii="宋体" w:hAnsi="宋体" w:eastAsia="宋体" w:cs="宋体"/>
          <w:color w:val="auto"/>
          <w:highlight w:val="none"/>
        </w:rPr>
        <w:t>，该供应商的最后报价给予10%的扣除，扣除后的价格为评审价，即评审价=最后报价×（1-10%）；</w:t>
      </w:r>
      <w:r>
        <w:rPr>
          <w:rFonts w:hint="eastAsia" w:ascii="宋体" w:hAnsi="宋体" w:eastAsia="宋体" w:cs="宋体"/>
          <w:color w:val="auto"/>
          <w:szCs w:val="21"/>
          <w:highlight w:val="none"/>
        </w:rPr>
        <w:t>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30%以上的，对联合体或者大中型企业的报价给予6%的扣除，用扣除后的价格参加评审，</w:t>
      </w:r>
      <w:r>
        <w:rPr>
          <w:rFonts w:hint="eastAsia" w:ascii="宋体" w:hAnsi="宋体" w:eastAsia="宋体" w:cs="宋体"/>
          <w:color w:val="auto"/>
          <w:highlight w:val="none"/>
        </w:rPr>
        <w:t>扣除后的价格为评审价，即评审价=最后报价×（1-</w:t>
      </w:r>
      <w:r>
        <w:rPr>
          <w:rFonts w:hint="eastAsia" w:ascii="宋体" w:hAnsi="宋体" w:eastAsia="宋体" w:cs="宋体"/>
          <w:color w:val="auto"/>
          <w:szCs w:val="21"/>
          <w:highlight w:val="none"/>
        </w:rPr>
        <w:t>6%</w:t>
      </w:r>
      <w:r>
        <w:rPr>
          <w:rFonts w:hint="eastAsia" w:ascii="宋体" w:hAnsi="宋体" w:eastAsia="宋体" w:cs="宋体"/>
          <w:color w:val="auto"/>
          <w:highlight w:val="none"/>
        </w:rPr>
        <w:t>）。</w:t>
      </w:r>
    </w:p>
    <w:p>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6.6除上述情况外，评审价＝最后报价。</w:t>
      </w:r>
    </w:p>
    <w:p>
      <w:pPr>
        <w:pStyle w:val="13"/>
        <w:rPr>
          <w:rFonts w:hint="eastAsia" w:ascii="宋体" w:hAnsi="宋体" w:cs="宋体"/>
          <w:color w:val="auto"/>
          <w:highlight w:val="none"/>
        </w:rPr>
      </w:pPr>
    </w:p>
    <w:p>
      <w:pPr>
        <w:keepNext/>
        <w:keepLines/>
        <w:spacing w:line="360" w:lineRule="auto"/>
        <w:ind w:firstLine="640" w:firstLineChars="200"/>
        <w:jc w:val="center"/>
        <w:outlineLvl w:val="1"/>
        <w:rPr>
          <w:rFonts w:hint="eastAsia" w:ascii="宋体" w:hAnsi="宋体" w:eastAsia="宋体" w:cs="Times New Roman"/>
          <w:bCs/>
          <w:color w:val="auto"/>
          <w:sz w:val="32"/>
          <w:szCs w:val="32"/>
          <w:highlight w:val="none"/>
          <w:lang w:val="zh-CN"/>
        </w:rPr>
      </w:pPr>
      <w:bookmarkStart w:id="149" w:name="_Toc5389"/>
      <w:bookmarkStart w:id="150" w:name="_Toc17730"/>
      <w:bookmarkStart w:id="151" w:name="_Toc80205934"/>
      <w:r>
        <w:rPr>
          <w:rFonts w:hint="eastAsia" w:ascii="宋体" w:hAnsi="宋体" w:eastAsia="宋体" w:cs="Times New Roman"/>
          <w:bCs/>
          <w:color w:val="auto"/>
          <w:sz w:val="32"/>
          <w:szCs w:val="32"/>
          <w:highlight w:val="none"/>
          <w:lang w:val="zh-CN"/>
        </w:rPr>
        <w:t>第二节 评审原则</w:t>
      </w:r>
      <w:bookmarkEnd w:id="149"/>
      <w:bookmarkEnd w:id="150"/>
      <w:bookmarkEnd w:id="151"/>
    </w:p>
    <w:p>
      <w:pPr>
        <w:spacing w:line="360" w:lineRule="auto"/>
        <w:ind w:firstLine="480" w:firstLineChars="200"/>
        <w:jc w:val="left"/>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1.评审原则</w:t>
      </w:r>
    </w:p>
    <w:p>
      <w:pPr>
        <w:spacing w:line="360" w:lineRule="auto"/>
        <w:ind w:firstLine="420" w:firstLineChars="20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1.1谈判小组成员要依法独立评审，并对评审意见承担个人责任。谈判小组成员对需要共同认定的事项存在争议的，按照少数服从多数的原则做出结论。持不同意见的谈判小组成员应当在评审报告上签署不同意见并说明理由，否则视为同意。</w:t>
      </w:r>
    </w:p>
    <w:p>
      <w:pPr>
        <w:spacing w:line="360" w:lineRule="auto"/>
        <w:ind w:firstLine="420" w:firstLineChars="20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1.2根据《政府采购非招标采购方式管理办法》（财政部令第74号）第二十一条规定，</w:t>
      </w:r>
      <w:r>
        <w:rPr>
          <w:rFonts w:hint="eastAsia" w:ascii="宋体" w:hAnsi="宋体" w:eastAsia="宋体" w:cs="宋体"/>
          <w:color w:val="auto"/>
          <w:kern w:val="0"/>
          <w:szCs w:val="21"/>
          <w:highlight w:val="none"/>
        </w:rPr>
        <w:t>除资格性审查认定错误和价格计算错误外，采购人或者采购代理机构不得以任何理由组织重新评审。采购人、采购代理机构发现谈判小组未按照竞争性谈判文件规定的评定成交的标准进行评审的，应当重新开展采购活动，并同时书面报告本级财政部门</w:t>
      </w:r>
      <w:r>
        <w:rPr>
          <w:rFonts w:hint="eastAsia" w:ascii="宋体" w:hAnsi="宋体" w:eastAsia="宋体" w:cs="宋体"/>
          <w:color w:val="auto"/>
          <w:szCs w:val="24"/>
          <w:highlight w:val="none"/>
        </w:rPr>
        <w:t>。</w:t>
      </w:r>
      <w:bookmarkStart w:id="152" w:name="_Toc321836413"/>
      <w:bookmarkStart w:id="153" w:name="_Toc432106535"/>
      <w:bookmarkStart w:id="154" w:name="_Toc432194885"/>
    </w:p>
    <w:bookmarkEnd w:id="152"/>
    <w:bookmarkEnd w:id="153"/>
    <w:bookmarkEnd w:id="154"/>
    <w:p>
      <w:pPr>
        <w:spacing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1.3谈判小组发现竞争性谈判文件存在歧义、重大缺陷导致评审工作无法进行，或者竞争性谈判文件内容违反国家有关规定的，要停止评审工作并向采购人或采购代理机构书面说明情况，采购人或采购代理机构应当修改竞争性谈判文件后重新组织采购活动；发现供应商提供虚假材料、串通等违法违规行为的，要及时向采购人或采购代理机构报告。</w:t>
      </w:r>
    </w:p>
    <w:p>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2.终止竞争性谈判采购活动</w:t>
      </w:r>
    </w:p>
    <w:p>
      <w:pPr>
        <w:spacing w:line="360" w:lineRule="auto"/>
        <w:ind w:firstLine="420" w:firstLineChars="20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出现下列情形之一的，采购人或者采购代理机构应当终止竞争性谈判采购活动，发布项目终止公告并说明原因，重新开展采购活动：</w:t>
      </w:r>
    </w:p>
    <w:p>
      <w:pPr>
        <w:spacing w:line="360" w:lineRule="auto"/>
        <w:ind w:firstLine="420" w:firstLineChars="20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（1）因情况变化，不再符合规定的竞争性谈判采购方式适用情形的； </w:t>
      </w:r>
    </w:p>
    <w:p>
      <w:pPr>
        <w:spacing w:line="360" w:lineRule="auto"/>
        <w:ind w:firstLine="420" w:firstLineChars="20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（2）出现影响采购公正的违法、违规行为的；</w:t>
      </w:r>
    </w:p>
    <w:p>
      <w:pPr>
        <w:spacing w:line="360" w:lineRule="auto"/>
        <w:ind w:firstLine="420" w:firstLineChars="200"/>
        <w:jc w:val="left"/>
        <w:rPr>
          <w:rFonts w:hint="eastAsia" w:ascii="宋体" w:hAnsi="宋体" w:eastAsia="宋体" w:cs="宋体"/>
          <w:color w:val="auto"/>
          <w:szCs w:val="24"/>
          <w:highlight w:val="none"/>
        </w:rPr>
      </w:pPr>
      <w:r>
        <w:rPr>
          <w:rFonts w:hint="eastAsia" w:ascii="宋体" w:hAnsi="宋体" w:eastAsia="宋体" w:cs="宋体"/>
          <w:color w:val="auto"/>
          <w:szCs w:val="24"/>
          <w:highlight w:val="none"/>
        </w:rPr>
        <w:t>（3）在采购过程中符合竞争要求的供应商或者报价未超过采购预算的供应商不足3家的，但《政府采购非招标采购方式管理办法》第二十七条第二款规定的情形除外。</w:t>
      </w:r>
    </w:p>
    <w:p>
      <w:pPr>
        <w:keepNext/>
        <w:keepLines/>
        <w:spacing w:line="360" w:lineRule="auto"/>
        <w:ind w:firstLine="640" w:firstLineChars="200"/>
        <w:jc w:val="center"/>
        <w:outlineLvl w:val="1"/>
        <w:rPr>
          <w:rFonts w:hint="eastAsia" w:ascii="宋体" w:hAnsi="宋体" w:eastAsia="宋体" w:cs="Times New Roman"/>
          <w:bCs/>
          <w:color w:val="auto"/>
          <w:sz w:val="32"/>
          <w:szCs w:val="32"/>
          <w:highlight w:val="none"/>
          <w:lang w:val="zh-CN"/>
        </w:rPr>
      </w:pPr>
      <w:bookmarkStart w:id="155" w:name="_Toc80205935"/>
      <w:bookmarkStart w:id="156" w:name="_Toc9627"/>
      <w:bookmarkStart w:id="157" w:name="_Toc16039"/>
      <w:r>
        <w:rPr>
          <w:rFonts w:hint="eastAsia" w:ascii="宋体" w:hAnsi="宋体" w:eastAsia="宋体" w:cs="Times New Roman"/>
          <w:bCs/>
          <w:color w:val="auto"/>
          <w:sz w:val="32"/>
          <w:szCs w:val="32"/>
          <w:highlight w:val="none"/>
          <w:lang w:val="zh-CN"/>
        </w:rPr>
        <w:t>第三节 评审报告</w:t>
      </w:r>
      <w:bookmarkEnd w:id="155"/>
      <w:bookmarkEnd w:id="156"/>
      <w:bookmarkEnd w:id="157"/>
    </w:p>
    <w:p>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1.成交标准</w:t>
      </w:r>
    </w:p>
    <w:p>
      <w:pPr>
        <w:spacing w:line="360" w:lineRule="auto"/>
        <w:ind w:firstLine="420" w:firstLineChars="200"/>
        <w:rPr>
          <w:rFonts w:hint="eastAsia" w:ascii="宋体" w:hAnsi="宋体" w:eastAsia="宋体" w:cs="宋体"/>
          <w:color w:val="auto"/>
          <w:sz w:val="24"/>
          <w:szCs w:val="24"/>
          <w:highlight w:val="none"/>
        </w:rPr>
      </w:pPr>
      <w:r>
        <w:rPr>
          <w:rFonts w:hint="eastAsia" w:ascii="宋体" w:hAnsi="宋体" w:eastAsia="宋体" w:cs="宋体"/>
          <w:color w:val="auto"/>
          <w:szCs w:val="24"/>
          <w:highlight w:val="none"/>
        </w:rPr>
        <w:t>谈判小组应当从质量和货物均能满足谈判文件实质性响应要求的供应商中，按照评审价由低到高的顺序提出3名以上成交候选人（评审价相同时，按照最后报价由低到高顺序依次推荐；最后报价相同时，由谈判小组按“供应商须知前附表”第25条规定的顺序推荐）,并在线编写电子评审报告。</w:t>
      </w:r>
    </w:p>
    <w:p>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2.评标争议</w:t>
      </w:r>
      <w:r>
        <w:rPr>
          <w:rFonts w:ascii="黑体" w:hAnsi="黑体" w:eastAsia="黑体" w:cs="宋体"/>
          <w:color w:val="auto"/>
          <w:sz w:val="24"/>
          <w:szCs w:val="32"/>
          <w:highlight w:val="none"/>
        </w:rPr>
        <w:t>事项</w:t>
      </w:r>
      <w:r>
        <w:rPr>
          <w:rFonts w:hint="eastAsia" w:ascii="黑体" w:hAnsi="黑体" w:eastAsia="黑体" w:cs="宋体"/>
          <w:color w:val="auto"/>
          <w:sz w:val="24"/>
          <w:szCs w:val="32"/>
          <w:highlight w:val="none"/>
        </w:rPr>
        <w:t>处理</w:t>
      </w:r>
    </w:p>
    <w:p>
      <w:pPr>
        <w:adjustRightInd w:val="0"/>
        <w:spacing w:line="360" w:lineRule="auto"/>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谈判小组</w:t>
      </w:r>
      <w:r>
        <w:rPr>
          <w:rFonts w:ascii="宋体" w:hAnsi="宋体" w:eastAsia="宋体" w:cs="宋体"/>
          <w:color w:val="auto"/>
          <w:szCs w:val="24"/>
          <w:highlight w:val="none"/>
        </w:rPr>
        <w:t>成员对需要共同认定的事项存在争议的，应当按照少数服从多数的原则作出结论。持不同意见的</w:t>
      </w:r>
      <w:r>
        <w:rPr>
          <w:rFonts w:hint="eastAsia" w:ascii="宋体" w:hAnsi="宋体" w:eastAsia="宋体" w:cs="宋体"/>
          <w:color w:val="auto"/>
          <w:szCs w:val="24"/>
          <w:highlight w:val="none"/>
        </w:rPr>
        <w:t>谈判小组</w:t>
      </w:r>
      <w:r>
        <w:rPr>
          <w:rFonts w:ascii="宋体" w:hAnsi="宋体" w:eastAsia="宋体" w:cs="宋体"/>
          <w:color w:val="auto"/>
          <w:szCs w:val="24"/>
          <w:highlight w:val="none"/>
        </w:rPr>
        <w:t>成员应当在评</w:t>
      </w:r>
      <w:r>
        <w:rPr>
          <w:rFonts w:hint="eastAsia" w:ascii="宋体" w:hAnsi="宋体" w:eastAsia="宋体" w:cs="宋体"/>
          <w:color w:val="auto"/>
          <w:szCs w:val="24"/>
          <w:highlight w:val="none"/>
        </w:rPr>
        <w:t>审</w:t>
      </w:r>
      <w:r>
        <w:rPr>
          <w:rFonts w:ascii="宋体" w:hAnsi="宋体" w:eastAsia="宋体" w:cs="宋体"/>
          <w:color w:val="auto"/>
          <w:szCs w:val="24"/>
          <w:highlight w:val="none"/>
        </w:rPr>
        <w:t>报告上签署不同意见及理由，否则视为同意评</w:t>
      </w:r>
      <w:r>
        <w:rPr>
          <w:rFonts w:hint="eastAsia" w:ascii="宋体" w:hAnsi="宋体" w:eastAsia="宋体" w:cs="宋体"/>
          <w:color w:val="auto"/>
          <w:szCs w:val="24"/>
          <w:highlight w:val="none"/>
        </w:rPr>
        <w:t>审</w:t>
      </w:r>
      <w:r>
        <w:rPr>
          <w:rFonts w:ascii="宋体" w:hAnsi="宋体" w:eastAsia="宋体" w:cs="宋体"/>
          <w:color w:val="auto"/>
          <w:szCs w:val="24"/>
          <w:highlight w:val="none"/>
        </w:rPr>
        <w:t>报告。</w:t>
      </w:r>
    </w:p>
    <w:p>
      <w:pPr>
        <w:keepNext/>
        <w:keepLines/>
        <w:spacing w:line="360" w:lineRule="auto"/>
        <w:ind w:firstLine="640" w:firstLineChars="200"/>
        <w:jc w:val="center"/>
        <w:outlineLvl w:val="1"/>
        <w:rPr>
          <w:rFonts w:hint="eastAsia" w:ascii="宋体" w:hAnsi="宋体" w:eastAsia="宋体" w:cs="Times New Roman"/>
          <w:bCs/>
          <w:color w:val="auto"/>
          <w:sz w:val="32"/>
          <w:szCs w:val="32"/>
          <w:highlight w:val="none"/>
          <w:lang w:val="zh-CN"/>
        </w:rPr>
      </w:pPr>
      <w:bookmarkStart w:id="158" w:name="_Toc80205936"/>
      <w:bookmarkStart w:id="159" w:name="_Toc17221"/>
      <w:bookmarkStart w:id="160" w:name="_Toc27241"/>
      <w:r>
        <w:rPr>
          <w:rFonts w:hint="eastAsia" w:ascii="宋体" w:hAnsi="宋体" w:eastAsia="宋体" w:cs="Times New Roman"/>
          <w:bCs/>
          <w:color w:val="auto"/>
          <w:sz w:val="32"/>
          <w:szCs w:val="32"/>
          <w:highlight w:val="none"/>
          <w:lang w:val="zh-CN"/>
        </w:rPr>
        <w:t>第四节 评审过程的保密与录像</w:t>
      </w:r>
      <w:bookmarkEnd w:id="158"/>
      <w:bookmarkEnd w:id="159"/>
      <w:bookmarkEnd w:id="160"/>
    </w:p>
    <w:p>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1.保密。</w:t>
      </w:r>
    </w:p>
    <w:p>
      <w:pPr>
        <w:widowControl/>
        <w:spacing w:line="360" w:lineRule="auto"/>
        <w:ind w:firstLine="420" w:firstLineChars="200"/>
        <w:rPr>
          <w:rFonts w:hint="eastAsia" w:ascii="宋体" w:hAnsi="宋体" w:eastAsia="宋体" w:cs="宋体"/>
          <w:color w:val="auto"/>
          <w:szCs w:val="24"/>
          <w:highlight w:val="none"/>
        </w:rPr>
      </w:pPr>
      <w:r>
        <w:rPr>
          <w:rFonts w:ascii="宋体" w:hAnsi="宋体" w:eastAsia="宋体" w:cs="宋体"/>
          <w:color w:val="auto"/>
          <w:szCs w:val="24"/>
          <w:highlight w:val="none"/>
        </w:rPr>
        <w:t>评审活动在严格保密的情况下进行。评审过程中凡是与采购响应文件评审和比较、中标成交供应商推荐等评审有关的情况，以及涉及国家秘密和商业秘密等信息，</w:t>
      </w:r>
      <w:r>
        <w:rPr>
          <w:rFonts w:hint="eastAsia" w:ascii="宋体" w:hAnsi="宋体" w:eastAsia="宋体" w:cs="宋体"/>
          <w:color w:val="auto"/>
          <w:szCs w:val="24"/>
          <w:highlight w:val="none"/>
        </w:rPr>
        <w:t>谈判小组</w:t>
      </w:r>
      <w:r>
        <w:rPr>
          <w:rFonts w:ascii="宋体" w:hAnsi="宋体" w:eastAsia="宋体" w:cs="宋体"/>
          <w:color w:val="auto"/>
          <w:szCs w:val="24"/>
          <w:highlight w:val="none"/>
        </w:rPr>
        <w:t>成员、采购人和采购机构工作人员、相关监督人员等与评审有关的人员应当予以保密。</w:t>
      </w:r>
    </w:p>
    <w:p>
      <w:pPr>
        <w:widowControl/>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2.录音录像。</w:t>
      </w:r>
    </w:p>
    <w:p>
      <w:pPr>
        <w:spacing w:line="360" w:lineRule="auto"/>
        <w:ind w:firstLine="420" w:firstLineChars="200"/>
        <w:rPr>
          <w:rFonts w:ascii="Times New Roman" w:hAnsi="Times New Roman" w:eastAsia="宋体" w:cs="Times New Roman"/>
          <w:color w:val="auto"/>
          <w:szCs w:val="24"/>
          <w:highlight w:val="none"/>
        </w:rPr>
      </w:pPr>
      <w:r>
        <w:rPr>
          <w:rFonts w:hint="eastAsia" w:ascii="宋体" w:hAnsi="宋体" w:eastAsia="宋体" w:cs="宋体"/>
          <w:color w:val="auto"/>
          <w:szCs w:val="24"/>
          <w:highlight w:val="none"/>
        </w:rPr>
        <w:t>采购代理机构对评审工作现场及操作屏幕进行全过程录音录像，录音录像资料作为采购项目文件随其他文件一并存档。</w:t>
      </w:r>
      <w:r>
        <w:rPr>
          <w:rFonts w:ascii="Times New Roman" w:hAnsi="Times New Roman" w:eastAsia="宋体" w:cs="Times New Roman"/>
          <w:color w:val="auto"/>
          <w:szCs w:val="24"/>
          <w:highlight w:val="none"/>
        </w:rPr>
        <w:br w:type="page"/>
      </w:r>
    </w:p>
    <w:p>
      <w:pPr>
        <w:keepNext/>
        <w:keepLines/>
        <w:spacing w:before="260" w:after="260" w:line="416" w:lineRule="auto"/>
        <w:jc w:val="center"/>
        <w:outlineLvl w:val="1"/>
        <w:rPr>
          <w:rFonts w:ascii="Cambria" w:hAnsi="Cambria" w:eastAsia="宋体" w:cs="Times New Roman"/>
          <w:b/>
          <w:bCs/>
          <w:color w:val="auto"/>
          <w:sz w:val="32"/>
          <w:szCs w:val="32"/>
          <w:highlight w:val="none"/>
          <w:lang w:val="zh-CN"/>
        </w:rPr>
      </w:pPr>
    </w:p>
    <w:p>
      <w:pPr>
        <w:keepNext/>
        <w:keepLines/>
        <w:spacing w:before="260" w:after="260" w:line="416" w:lineRule="auto"/>
        <w:jc w:val="center"/>
        <w:outlineLvl w:val="1"/>
        <w:rPr>
          <w:rFonts w:ascii="Cambria" w:hAnsi="Cambria" w:eastAsia="宋体" w:cs="Times New Roman"/>
          <w:b/>
          <w:bCs/>
          <w:color w:val="auto"/>
          <w:sz w:val="32"/>
          <w:szCs w:val="32"/>
          <w:highlight w:val="none"/>
          <w:lang w:val="zh-CN"/>
        </w:rPr>
      </w:pPr>
    </w:p>
    <w:p>
      <w:pPr>
        <w:keepNext/>
        <w:keepLines/>
        <w:spacing w:before="260" w:after="260" w:line="416" w:lineRule="auto"/>
        <w:jc w:val="center"/>
        <w:outlineLvl w:val="1"/>
        <w:rPr>
          <w:rFonts w:ascii="Cambria" w:hAnsi="Cambria" w:eastAsia="宋体" w:cs="Times New Roman"/>
          <w:b/>
          <w:bCs/>
          <w:color w:val="auto"/>
          <w:sz w:val="32"/>
          <w:szCs w:val="32"/>
          <w:highlight w:val="none"/>
          <w:lang w:val="zh-CN"/>
        </w:rPr>
      </w:pPr>
    </w:p>
    <w:p>
      <w:pPr>
        <w:keepNext/>
        <w:keepLines/>
        <w:spacing w:before="260" w:after="260" w:line="416" w:lineRule="auto"/>
        <w:jc w:val="center"/>
        <w:outlineLvl w:val="1"/>
        <w:rPr>
          <w:rFonts w:ascii="Cambria" w:hAnsi="Cambria" w:eastAsia="宋体" w:cs="Times New Roman"/>
          <w:b/>
          <w:bCs/>
          <w:color w:val="auto"/>
          <w:sz w:val="32"/>
          <w:szCs w:val="32"/>
          <w:highlight w:val="none"/>
          <w:lang w:val="zh-CN"/>
        </w:rPr>
      </w:pPr>
    </w:p>
    <w:p>
      <w:pPr>
        <w:keepNext/>
        <w:keepLines/>
        <w:spacing w:before="260" w:after="260" w:line="416" w:lineRule="auto"/>
        <w:jc w:val="center"/>
        <w:outlineLvl w:val="1"/>
        <w:rPr>
          <w:rFonts w:ascii="Cambria" w:hAnsi="Cambria" w:eastAsia="宋体" w:cs="Times New Roman"/>
          <w:b/>
          <w:bCs/>
          <w:color w:val="auto"/>
          <w:sz w:val="32"/>
          <w:szCs w:val="32"/>
          <w:highlight w:val="none"/>
          <w:lang w:val="zh-CN"/>
        </w:rPr>
      </w:pPr>
    </w:p>
    <w:p>
      <w:pPr>
        <w:keepNext/>
        <w:keepLines/>
        <w:spacing w:before="340" w:after="330" w:line="578" w:lineRule="auto"/>
        <w:jc w:val="center"/>
        <w:outlineLvl w:val="0"/>
        <w:rPr>
          <w:rFonts w:ascii="Times New Roman" w:hAnsi="Times New Roman" w:eastAsia="宋体" w:cs="Times New Roman"/>
          <w:b/>
          <w:bCs/>
          <w:color w:val="auto"/>
          <w:kern w:val="44"/>
          <w:sz w:val="44"/>
          <w:szCs w:val="44"/>
          <w:highlight w:val="none"/>
          <w:lang w:val="zh-CN"/>
        </w:rPr>
      </w:pPr>
      <w:bookmarkStart w:id="161" w:name="_Toc80205937"/>
      <w:bookmarkStart w:id="162" w:name="_Toc25678"/>
      <w:bookmarkStart w:id="163" w:name="_Toc916"/>
      <w:bookmarkStart w:id="164" w:name="_Toc4187"/>
      <w:bookmarkStart w:id="165" w:name="_Toc30615"/>
      <w:bookmarkStart w:id="166" w:name="_Toc71"/>
      <w:bookmarkStart w:id="167" w:name="_Toc9300"/>
      <w:bookmarkStart w:id="168" w:name="_Toc21666"/>
      <w:bookmarkStart w:id="169" w:name="_Toc28917"/>
      <w:r>
        <w:rPr>
          <w:rFonts w:hint="eastAsia" w:ascii="Times New Roman" w:hAnsi="Times New Roman" w:eastAsia="宋体" w:cs="Times New Roman"/>
          <w:b/>
          <w:bCs/>
          <w:color w:val="auto"/>
          <w:kern w:val="44"/>
          <w:sz w:val="44"/>
          <w:szCs w:val="44"/>
          <w:highlight w:val="none"/>
          <w:lang w:val="zh-CN"/>
        </w:rPr>
        <w:t>第五章 响应文件格式</w:t>
      </w:r>
      <w:bookmarkEnd w:id="161"/>
      <w:r>
        <w:rPr>
          <w:rFonts w:ascii="Times New Roman" w:hAnsi="Times New Roman" w:eastAsia="宋体" w:cs="Times New Roman"/>
          <w:b/>
          <w:bCs/>
          <w:color w:val="auto"/>
          <w:kern w:val="44"/>
          <w:sz w:val="44"/>
          <w:szCs w:val="44"/>
          <w:highlight w:val="none"/>
          <w:lang w:val="zh-CN"/>
        </w:rPr>
        <w:br w:type="page"/>
      </w:r>
      <w:bookmarkEnd w:id="162"/>
      <w:bookmarkEnd w:id="163"/>
      <w:bookmarkEnd w:id="164"/>
      <w:bookmarkEnd w:id="165"/>
      <w:bookmarkEnd w:id="166"/>
      <w:bookmarkEnd w:id="167"/>
      <w:bookmarkEnd w:id="168"/>
      <w:bookmarkEnd w:id="169"/>
    </w:p>
    <w:p>
      <w:pPr>
        <w:spacing w:line="240" w:lineRule="atLeast"/>
        <w:rPr>
          <w:rFonts w:hint="eastAsia" w:ascii="宋体" w:hAnsi="宋体" w:eastAsia="宋体" w:cs="Times New Roman"/>
          <w:b/>
          <w:bCs/>
          <w:color w:val="auto"/>
          <w:szCs w:val="24"/>
          <w:highlight w:val="none"/>
        </w:rPr>
      </w:pPr>
    </w:p>
    <w:p>
      <w:pPr>
        <w:snapToGrid w:val="0"/>
        <w:spacing w:before="120" w:beforeLines="50" w:after="50" w:line="360" w:lineRule="auto"/>
        <w:jc w:val="center"/>
        <w:outlineLvl w:val="1"/>
        <w:rPr>
          <w:rFonts w:hint="eastAsia" w:ascii="宋体" w:hAnsi="宋体" w:eastAsia="宋体" w:cs="Times New Roman"/>
          <w:bCs/>
          <w:color w:val="auto"/>
          <w:sz w:val="32"/>
          <w:szCs w:val="32"/>
          <w:highlight w:val="none"/>
        </w:rPr>
      </w:pPr>
      <w:bookmarkStart w:id="170" w:name="_Toc17254"/>
      <w:bookmarkStart w:id="171" w:name="_Toc80205939"/>
      <w:bookmarkStart w:id="172" w:name="_Toc10486"/>
      <w:r>
        <w:rPr>
          <w:rFonts w:hint="eastAsia" w:ascii="宋体" w:hAnsi="宋体" w:eastAsia="宋体" w:cs="Times New Roman"/>
          <w:bCs/>
          <w:color w:val="auto"/>
          <w:sz w:val="32"/>
          <w:szCs w:val="32"/>
          <w:highlight w:val="none"/>
        </w:rPr>
        <w:t>第一节 资格证明文件格式</w:t>
      </w:r>
      <w:bookmarkEnd w:id="170"/>
      <w:bookmarkEnd w:id="171"/>
      <w:bookmarkEnd w:id="172"/>
    </w:p>
    <w:p>
      <w:pPr>
        <w:pStyle w:val="21"/>
        <w:rPr>
          <w:rFonts w:hint="eastAsia" w:ascii="宋体" w:hAnsi="宋体" w:cs="宋体"/>
          <w:b/>
          <w:bCs/>
          <w:color w:val="auto"/>
          <w:sz w:val="28"/>
          <w:szCs w:val="28"/>
          <w:highlight w:val="none"/>
        </w:rPr>
      </w:pPr>
    </w:p>
    <w:p>
      <w:pPr>
        <w:pStyle w:val="21"/>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1.资格证明文件封面的格式（参照此格式自拟）：</w:t>
      </w:r>
    </w:p>
    <w:p>
      <w:pPr>
        <w:snapToGrid w:val="0"/>
        <w:spacing w:before="120" w:beforeLines="50" w:after="50"/>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                                                   </w:t>
      </w:r>
    </w:p>
    <w:p>
      <w:pPr>
        <w:snapToGrid w:val="0"/>
        <w:spacing w:before="120" w:beforeLines="50" w:after="50"/>
        <w:ind w:firstLine="5760" w:firstLineChars="2400"/>
        <w:rPr>
          <w:rFonts w:hint="eastAsia" w:ascii="宋体" w:hAnsi="宋体" w:eastAsia="宋体" w:cs="Times New Roman"/>
          <w:bCs/>
          <w:color w:val="auto"/>
          <w:sz w:val="32"/>
          <w:szCs w:val="20"/>
          <w:highlight w:val="none"/>
        </w:rPr>
      </w:pPr>
      <w:r>
        <w:rPr>
          <w:rFonts w:hint="eastAsia" w:ascii="宋体" w:hAnsi="宋体" w:eastAsia="宋体" w:cs="Times New Roman"/>
          <w:color w:val="auto"/>
          <w:sz w:val="24"/>
          <w:szCs w:val="24"/>
          <w:highlight w:val="none"/>
        </w:rPr>
        <w:t xml:space="preserve"> </w:t>
      </w:r>
      <w:r>
        <w:rPr>
          <w:rFonts w:hint="eastAsia" w:ascii="宋体" w:hAnsi="宋体" w:eastAsia="宋体" w:cs="Times New Roman"/>
          <w:bCs/>
          <w:color w:val="auto"/>
          <w:szCs w:val="24"/>
          <w:highlight w:val="none"/>
        </w:rPr>
        <w:t>全流程电子文件</w:t>
      </w:r>
    </w:p>
    <w:p>
      <w:pPr>
        <w:snapToGrid w:val="0"/>
        <w:spacing w:before="120" w:beforeLines="50" w:after="50"/>
        <w:rPr>
          <w:rFonts w:hint="eastAsia" w:ascii="宋体" w:hAnsi="宋体" w:eastAsia="宋体" w:cs="Times New Roman"/>
          <w:color w:val="auto"/>
          <w:sz w:val="24"/>
          <w:szCs w:val="20"/>
          <w:highlight w:val="none"/>
        </w:rPr>
      </w:pPr>
    </w:p>
    <w:p>
      <w:pPr>
        <w:snapToGrid w:val="0"/>
        <w:spacing w:before="120" w:beforeLines="50" w:after="50"/>
        <w:rPr>
          <w:rFonts w:hint="eastAsia" w:ascii="宋体" w:hAnsi="宋体" w:eastAsia="宋体" w:cs="Times New Roman"/>
          <w:color w:val="auto"/>
          <w:sz w:val="24"/>
          <w:szCs w:val="20"/>
          <w:highlight w:val="none"/>
        </w:rPr>
      </w:pPr>
    </w:p>
    <w:p>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证  明  文  件</w:t>
      </w:r>
    </w:p>
    <w:p>
      <w:pPr>
        <w:snapToGrid w:val="0"/>
        <w:spacing w:before="120" w:beforeLines="50" w:after="50"/>
        <w:rPr>
          <w:rFonts w:hint="eastAsia" w:ascii="宋体" w:hAnsi="宋体" w:eastAsia="宋体" w:cs="Times New Roman"/>
          <w:bCs/>
          <w:color w:val="auto"/>
          <w:sz w:val="24"/>
          <w:szCs w:val="20"/>
          <w:highlight w:val="none"/>
        </w:rPr>
      </w:pPr>
    </w:p>
    <w:p>
      <w:pPr>
        <w:snapToGrid w:val="0"/>
        <w:spacing w:before="120" w:beforeLines="50" w:after="50"/>
        <w:rPr>
          <w:rFonts w:hint="eastAsia" w:ascii="宋体" w:hAnsi="宋体" w:eastAsia="宋体" w:cs="Times New Roman"/>
          <w:bCs/>
          <w:color w:val="auto"/>
          <w:sz w:val="24"/>
          <w:szCs w:val="20"/>
          <w:highlight w:val="none"/>
        </w:rPr>
      </w:pPr>
    </w:p>
    <w:p>
      <w:pPr>
        <w:snapToGrid w:val="0"/>
        <w:spacing w:before="120" w:beforeLines="50" w:after="50"/>
        <w:rPr>
          <w:rFonts w:hint="eastAsia" w:ascii="宋体" w:hAnsi="宋体" w:eastAsia="宋体" w:cs="Times New Roman"/>
          <w:bCs/>
          <w:color w:val="auto"/>
          <w:sz w:val="24"/>
          <w:szCs w:val="20"/>
          <w:highlight w:val="none"/>
        </w:rPr>
      </w:pPr>
    </w:p>
    <w:p>
      <w:pPr>
        <w:snapToGrid w:val="0"/>
        <w:spacing w:before="120" w:beforeLines="50" w:after="50"/>
        <w:rPr>
          <w:rFonts w:hint="eastAsia" w:ascii="宋体" w:hAnsi="宋体" w:eastAsia="宋体" w:cs="Times New Roman"/>
          <w:bCs/>
          <w:color w:val="auto"/>
          <w:sz w:val="24"/>
          <w:szCs w:val="20"/>
          <w:highlight w:val="none"/>
        </w:rPr>
      </w:pPr>
    </w:p>
    <w:p>
      <w:pPr>
        <w:snapToGrid w:val="0"/>
        <w:spacing w:before="120" w:beforeLines="50" w:after="50"/>
        <w:rPr>
          <w:rFonts w:hint="eastAsia" w:ascii="宋体" w:hAnsi="宋体" w:eastAsia="宋体" w:cs="Times New Roman"/>
          <w:bCs/>
          <w:color w:val="auto"/>
          <w:sz w:val="24"/>
          <w:szCs w:val="20"/>
          <w:highlight w:val="none"/>
        </w:rPr>
      </w:pPr>
    </w:p>
    <w:p>
      <w:pPr>
        <w:snapToGrid w:val="0"/>
        <w:spacing w:before="120" w:beforeLines="50" w:after="50"/>
        <w:ind w:firstLine="640" w:firstLineChars="200"/>
        <w:rPr>
          <w:rFonts w:hint="eastAsia"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 xml:space="preserve">项目名称： </w:t>
      </w:r>
    </w:p>
    <w:p>
      <w:pPr>
        <w:snapToGrid w:val="0"/>
        <w:spacing w:before="120" w:beforeLines="50" w:after="50"/>
        <w:ind w:firstLine="720" w:firstLineChars="225"/>
        <w:rPr>
          <w:rFonts w:hint="eastAsia" w:ascii="宋体" w:hAnsi="宋体" w:eastAsia="宋体" w:cs="仿宋_GB2312"/>
          <w:bCs/>
          <w:color w:val="auto"/>
          <w:sz w:val="32"/>
          <w:szCs w:val="32"/>
          <w:highlight w:val="none"/>
        </w:rPr>
      </w:pPr>
    </w:p>
    <w:p>
      <w:pPr>
        <w:snapToGrid w:val="0"/>
        <w:spacing w:before="120" w:beforeLines="50" w:after="50"/>
        <w:ind w:firstLine="720" w:firstLineChars="225"/>
        <w:rPr>
          <w:rFonts w:hint="eastAsia"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 xml:space="preserve">项目编号： </w:t>
      </w:r>
    </w:p>
    <w:p>
      <w:pPr>
        <w:snapToGrid w:val="0"/>
        <w:spacing w:before="120" w:beforeLines="50" w:after="50"/>
        <w:ind w:firstLine="720" w:firstLineChars="225"/>
        <w:rPr>
          <w:rFonts w:hint="eastAsia"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 xml:space="preserve"> </w:t>
      </w:r>
    </w:p>
    <w:p>
      <w:pPr>
        <w:snapToGrid w:val="0"/>
        <w:spacing w:before="120" w:beforeLines="50" w:after="50"/>
        <w:ind w:firstLine="720" w:firstLineChars="225"/>
        <w:rPr>
          <w:rFonts w:hint="eastAsia"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所竞分标（如有则填写，无分标时填写“无”或者留空）：</w:t>
      </w:r>
    </w:p>
    <w:p>
      <w:pPr>
        <w:snapToGrid w:val="0"/>
        <w:spacing w:before="120" w:beforeLines="50" w:after="50"/>
        <w:ind w:firstLine="720" w:firstLineChars="225"/>
        <w:rPr>
          <w:rFonts w:hint="eastAsia" w:ascii="宋体" w:hAnsi="宋体" w:eastAsia="宋体" w:cs="仿宋_GB2312"/>
          <w:bCs/>
          <w:color w:val="auto"/>
          <w:sz w:val="32"/>
          <w:szCs w:val="32"/>
          <w:highlight w:val="none"/>
        </w:rPr>
      </w:pPr>
    </w:p>
    <w:p>
      <w:pPr>
        <w:snapToGrid w:val="0"/>
        <w:spacing w:before="50" w:after="50"/>
        <w:ind w:firstLine="720" w:firstLineChars="225"/>
        <w:rPr>
          <w:rFonts w:hint="eastAsia"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供应商名称：</w:t>
      </w:r>
    </w:p>
    <w:p>
      <w:pPr>
        <w:snapToGrid w:val="0"/>
        <w:spacing w:before="50" w:after="50"/>
        <w:ind w:firstLine="720" w:firstLineChars="225"/>
        <w:rPr>
          <w:rFonts w:hint="eastAsia" w:ascii="宋体" w:hAnsi="宋体" w:eastAsia="宋体" w:cs="仿宋_GB2312"/>
          <w:bCs/>
          <w:color w:val="auto"/>
          <w:sz w:val="32"/>
          <w:szCs w:val="32"/>
          <w:highlight w:val="none"/>
        </w:rPr>
      </w:pPr>
    </w:p>
    <w:p>
      <w:pPr>
        <w:snapToGrid w:val="0"/>
        <w:spacing w:before="50" w:after="50"/>
        <w:ind w:firstLine="720" w:firstLineChars="225"/>
        <w:rPr>
          <w:rFonts w:hint="eastAsia" w:ascii="宋体" w:hAnsi="宋体" w:eastAsia="宋体" w:cs="仿宋_GB2312"/>
          <w:bCs/>
          <w:color w:val="auto"/>
          <w:sz w:val="32"/>
          <w:szCs w:val="32"/>
          <w:highlight w:val="none"/>
        </w:rPr>
      </w:pPr>
    </w:p>
    <w:p>
      <w:pPr>
        <w:snapToGrid w:val="0"/>
        <w:spacing w:before="50" w:after="50"/>
        <w:ind w:firstLine="720" w:firstLineChars="225"/>
        <w:rPr>
          <w:rFonts w:hint="eastAsia" w:ascii="宋体" w:hAnsi="宋体" w:eastAsia="宋体" w:cs="仿宋_GB2312"/>
          <w:bCs/>
          <w:color w:val="auto"/>
          <w:sz w:val="32"/>
          <w:szCs w:val="32"/>
          <w:highlight w:val="none"/>
        </w:rPr>
      </w:pPr>
    </w:p>
    <w:p>
      <w:pPr>
        <w:snapToGrid w:val="0"/>
        <w:spacing w:before="50" w:after="50"/>
        <w:ind w:firstLine="1280" w:firstLineChars="400"/>
        <w:rPr>
          <w:rFonts w:hint="eastAsia" w:ascii="宋体" w:hAnsi="宋体" w:eastAsia="宋体" w:cs="仿宋_GB2312"/>
          <w:bCs/>
          <w:color w:val="auto"/>
          <w:sz w:val="32"/>
          <w:szCs w:val="32"/>
          <w:highlight w:val="none"/>
        </w:rPr>
      </w:pPr>
    </w:p>
    <w:p>
      <w:pPr>
        <w:snapToGrid w:val="0"/>
        <w:spacing w:before="120" w:beforeLines="50" w:after="50"/>
        <w:jc w:val="center"/>
        <w:rPr>
          <w:rFonts w:hint="eastAsia" w:ascii="宋体" w:hAnsi="宋体" w:eastAsia="宋体" w:cs="仿宋_GB2312"/>
          <w:color w:val="auto"/>
          <w:sz w:val="32"/>
          <w:szCs w:val="32"/>
          <w:highlight w:val="none"/>
        </w:rPr>
      </w:pPr>
      <w:r>
        <w:rPr>
          <w:rFonts w:hint="eastAsia" w:ascii="宋体" w:hAnsi="宋体" w:eastAsia="宋体" w:cs="仿宋_GB2312"/>
          <w:color w:val="auto"/>
          <w:sz w:val="32"/>
          <w:szCs w:val="32"/>
          <w:highlight w:val="none"/>
        </w:rPr>
        <w:t>年    月    日</w:t>
      </w:r>
    </w:p>
    <w:p>
      <w:pPr>
        <w:snapToGrid w:val="0"/>
        <w:spacing w:before="120" w:beforeLines="50" w:after="50" w:line="360" w:lineRule="auto"/>
        <w:ind w:left="142"/>
        <w:jc w:val="left"/>
        <w:rPr>
          <w:rFonts w:hint="eastAsia" w:ascii="宋体" w:hAnsi="宋体" w:eastAsia="宋体" w:cs="宋体"/>
          <w:b/>
          <w:bCs/>
          <w:color w:val="auto"/>
          <w:sz w:val="28"/>
          <w:szCs w:val="28"/>
          <w:highlight w:val="none"/>
        </w:rPr>
      </w:pPr>
      <w:r>
        <w:rPr>
          <w:rFonts w:ascii="宋体" w:hAnsi="宋体" w:eastAsia="宋体" w:cs="Times New Roman"/>
          <w:color w:val="auto"/>
          <w:sz w:val="24"/>
          <w:szCs w:val="24"/>
          <w:highlight w:val="none"/>
        </w:rPr>
        <w:br w:type="page"/>
      </w:r>
      <w:r>
        <w:rPr>
          <w:rFonts w:hint="eastAsia" w:ascii="宋体" w:hAnsi="宋体" w:eastAsia="宋体" w:cs="宋体"/>
          <w:b/>
          <w:bCs/>
          <w:color w:val="auto"/>
          <w:sz w:val="28"/>
          <w:szCs w:val="28"/>
          <w:highlight w:val="none"/>
        </w:rPr>
        <w:t>2.资格证明文件目录</w:t>
      </w:r>
    </w:p>
    <w:p>
      <w:pPr>
        <w:spacing w:line="360" w:lineRule="auto"/>
        <w:ind w:firstLine="560" w:firstLineChars="200"/>
        <w:contextualSpacing/>
        <w:jc w:val="left"/>
        <w:rPr>
          <w:rFonts w:hint="eastAsia" w:ascii="仿宋_GB2312" w:hAnsi="仿宋" w:eastAsia="仿宋_GB2312" w:cs="仿宋_GB2312"/>
          <w:color w:val="auto"/>
          <w:kern w:val="0"/>
          <w:sz w:val="24"/>
          <w:szCs w:val="24"/>
          <w:highlight w:val="none"/>
        </w:rPr>
      </w:pPr>
      <w:r>
        <w:rPr>
          <w:rFonts w:hint="eastAsia" w:ascii="宋体" w:hAnsi="宋体" w:eastAsia="宋体" w:cs="宋体"/>
          <w:color w:val="auto"/>
          <w:sz w:val="28"/>
          <w:szCs w:val="28"/>
          <w:highlight w:val="none"/>
        </w:rPr>
        <w:t>根据竞争性谈判文件规定及供应商提供的材料自行编写目录（部分格式后附）。</w:t>
      </w:r>
      <w:r>
        <w:rPr>
          <w:rFonts w:hint="eastAsia" w:ascii="仿宋_GB2312" w:hAnsi="仿宋" w:eastAsia="仿宋_GB2312" w:cs="仿宋_GB2312"/>
          <w:color w:val="auto"/>
          <w:kern w:val="0"/>
          <w:sz w:val="24"/>
          <w:szCs w:val="24"/>
          <w:highlight w:val="none"/>
        </w:rPr>
        <w:br w:type="page"/>
      </w:r>
    </w:p>
    <w:p>
      <w:pPr>
        <w:snapToGrid w:val="0"/>
        <w:spacing w:line="360" w:lineRule="auto"/>
        <w:ind w:right="480"/>
        <w:rPr>
          <w:rFonts w:hint="default" w:ascii="宋体" w:hAnsi="宋体" w:eastAsia="宋体" w:cs="宋体"/>
          <w:b/>
          <w:color w:val="auto"/>
          <w:kern w:val="0"/>
          <w:sz w:val="32"/>
          <w:szCs w:val="32"/>
          <w:highlight w:val="none"/>
          <w:lang w:val="en-US" w:eastAsia="zh-CN"/>
        </w:rPr>
      </w:pPr>
      <w:r>
        <w:rPr>
          <w:rFonts w:hint="eastAsia" w:ascii="宋体" w:hAnsi="宋体" w:eastAsia="宋体" w:cs="宋体"/>
          <w:b/>
          <w:color w:val="auto"/>
          <w:kern w:val="0"/>
          <w:sz w:val="28"/>
          <w:szCs w:val="28"/>
          <w:highlight w:val="none"/>
          <w:lang w:val="en-US" w:eastAsia="zh-CN"/>
        </w:rPr>
        <w:t>3.供应商直接控股股东信息表</w:t>
      </w:r>
    </w:p>
    <w:p>
      <w:pPr>
        <w:snapToGrid w:val="0"/>
        <w:spacing w:before="50" w:after="120" w:afterLines="50" w:line="360" w:lineRule="auto"/>
        <w:jc w:val="center"/>
        <w:rPr>
          <w:rFonts w:hint="eastAsia" w:ascii="仿宋_GB2312" w:hAnsi="仿宋" w:eastAsia="仿宋_GB2312" w:cs="仿宋_GB2312"/>
          <w:b/>
          <w:color w:val="auto"/>
          <w:kern w:val="0"/>
          <w:sz w:val="32"/>
          <w:szCs w:val="32"/>
          <w:highlight w:val="none"/>
        </w:rPr>
      </w:pPr>
      <w:r>
        <w:rPr>
          <w:rFonts w:hint="eastAsia" w:ascii="仿宋_GB2312" w:hAnsi="仿宋" w:eastAsia="仿宋_GB2312" w:cs="仿宋_GB2312"/>
          <w:b/>
          <w:color w:val="auto"/>
          <w:kern w:val="0"/>
          <w:sz w:val="32"/>
          <w:szCs w:val="32"/>
          <w:highlight w:val="none"/>
        </w:rPr>
        <w:t>供应商直接控股股东信息表</w:t>
      </w:r>
    </w:p>
    <w:tbl>
      <w:tblPr>
        <w:tblStyle w:val="29"/>
        <w:tblW w:w="0" w:type="auto"/>
        <w:tblInd w:w="125" w:type="dxa"/>
        <w:shd w:val="clear" w:color="auto" w:fill="FBFBFB"/>
        <w:tblLayout w:type="fixed"/>
        <w:tblCellMar>
          <w:top w:w="0" w:type="dxa"/>
          <w:left w:w="0" w:type="dxa"/>
          <w:bottom w:w="0" w:type="dxa"/>
          <w:right w:w="0" w:type="dxa"/>
        </w:tblCellMar>
      </w:tblPr>
      <w:tblGrid>
        <w:gridCol w:w="828"/>
        <w:gridCol w:w="2269"/>
        <w:gridCol w:w="1239"/>
        <w:gridCol w:w="3879"/>
        <w:gridCol w:w="1261"/>
      </w:tblGrid>
      <w:tr>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pPr>
              <w:spacing w:line="36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pPr>
              <w:spacing w:line="36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pPr>
              <w:spacing w:line="36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出资比例</w:t>
            </w:r>
          </w:p>
        </w:tc>
        <w:tc>
          <w:tcPr>
            <w:tcW w:w="387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pPr>
              <w:spacing w:line="36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身份证号码或者统一社会信用代码</w:t>
            </w:r>
          </w:p>
        </w:tc>
        <w:tc>
          <w:tcPr>
            <w:tcW w:w="1261"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pPr>
              <w:spacing w:line="36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备注</w:t>
            </w:r>
          </w:p>
        </w:tc>
      </w:tr>
      <w:tr>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szCs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szCs w:val="24"/>
                <w:highlight w:val="none"/>
              </w:rPr>
            </w:pPr>
          </w:p>
        </w:tc>
        <w:tc>
          <w:tcPr>
            <w:tcW w:w="387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szCs w:val="24"/>
                <w:highlight w:val="none"/>
              </w:rPr>
            </w:pPr>
          </w:p>
        </w:tc>
        <w:tc>
          <w:tcPr>
            <w:tcW w:w="1261"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szCs w:val="24"/>
                <w:highlight w:val="none"/>
              </w:rPr>
            </w:pPr>
          </w:p>
        </w:tc>
      </w:tr>
      <w:tr>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szCs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szCs w:val="24"/>
                <w:highlight w:val="none"/>
              </w:rPr>
            </w:pPr>
          </w:p>
        </w:tc>
        <w:tc>
          <w:tcPr>
            <w:tcW w:w="387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szCs w:val="24"/>
                <w:highlight w:val="none"/>
              </w:rPr>
            </w:pPr>
          </w:p>
        </w:tc>
        <w:tc>
          <w:tcPr>
            <w:tcW w:w="1261"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szCs w:val="24"/>
                <w:highlight w:val="none"/>
              </w:rPr>
            </w:pPr>
          </w:p>
        </w:tc>
      </w:tr>
      <w:tr>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szCs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szCs w:val="24"/>
                <w:highlight w:val="none"/>
              </w:rPr>
            </w:pPr>
          </w:p>
        </w:tc>
        <w:tc>
          <w:tcPr>
            <w:tcW w:w="387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szCs w:val="24"/>
                <w:highlight w:val="none"/>
              </w:rPr>
            </w:pPr>
          </w:p>
        </w:tc>
        <w:tc>
          <w:tcPr>
            <w:tcW w:w="1261"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szCs w:val="24"/>
                <w:highlight w:val="none"/>
              </w:rPr>
            </w:pPr>
          </w:p>
        </w:tc>
      </w:tr>
      <w:tr>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szCs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szCs w:val="24"/>
                <w:highlight w:val="none"/>
              </w:rPr>
            </w:pPr>
          </w:p>
        </w:tc>
        <w:tc>
          <w:tcPr>
            <w:tcW w:w="387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szCs w:val="24"/>
                <w:highlight w:val="none"/>
              </w:rPr>
            </w:pPr>
          </w:p>
        </w:tc>
        <w:tc>
          <w:tcPr>
            <w:tcW w:w="1261"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szCs w:val="24"/>
                <w:highlight w:val="none"/>
              </w:rPr>
            </w:pPr>
          </w:p>
        </w:tc>
      </w:tr>
    </w:tbl>
    <w:p>
      <w:pPr>
        <w:snapToGrid w:val="0"/>
        <w:spacing w:line="360" w:lineRule="auto"/>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注：</w:t>
      </w:r>
    </w:p>
    <w:p>
      <w:pPr>
        <w:snapToGrid w:val="0"/>
        <w:spacing w:line="360" w:lineRule="auto"/>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snapToGrid w:val="0"/>
        <w:spacing w:line="360" w:lineRule="auto"/>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2.本表所指的控股关系仅限于直接控股关系，不包括间接的控股关系。公司实际控制人与公司之间的关系不属于本表所指的直接控股关系。</w:t>
      </w:r>
    </w:p>
    <w:p>
      <w:pPr>
        <w:snapToGrid w:val="0"/>
        <w:spacing w:line="360" w:lineRule="auto"/>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3.供应商不存在直接控股股东的，则填“无”。</w:t>
      </w:r>
    </w:p>
    <w:p>
      <w:pPr>
        <w:snapToGrid w:val="0"/>
        <w:spacing w:line="360" w:lineRule="auto"/>
        <w:jc w:val="left"/>
        <w:rPr>
          <w:rFonts w:hint="eastAsia" w:ascii="宋体" w:hAnsi="宋体" w:eastAsia="宋体" w:cs="Times New Roman"/>
          <w:color w:val="auto"/>
          <w:sz w:val="24"/>
          <w:szCs w:val="24"/>
          <w:highlight w:val="none"/>
        </w:rPr>
      </w:pPr>
    </w:p>
    <w:p>
      <w:pPr>
        <w:snapToGrid w:val="0"/>
        <w:spacing w:line="360" w:lineRule="auto"/>
        <w:jc w:val="left"/>
        <w:rPr>
          <w:rFonts w:hint="eastAsia" w:ascii="宋体" w:hAnsi="宋体" w:eastAsia="宋体" w:cs="Times New Roman"/>
          <w:color w:val="auto"/>
          <w:sz w:val="24"/>
          <w:szCs w:val="24"/>
          <w:highlight w:val="none"/>
        </w:rPr>
      </w:pPr>
    </w:p>
    <w:p>
      <w:pPr>
        <w:snapToGrid w:val="0"/>
        <w:spacing w:line="360" w:lineRule="auto"/>
        <w:ind w:firstLine="5040" w:firstLineChars="2100"/>
        <w:rPr>
          <w:rFonts w:hint="eastAsia" w:ascii="仿宋_GB2312" w:hAnsi="仿宋" w:eastAsia="仿宋_GB2312" w:cs="仿宋_GB2312"/>
          <w:color w:val="auto"/>
          <w:kern w:val="0"/>
          <w:sz w:val="24"/>
          <w:szCs w:val="24"/>
          <w:highlight w:val="none"/>
        </w:rPr>
      </w:pPr>
      <w:r>
        <w:rPr>
          <w:rFonts w:hint="eastAsia" w:ascii="仿宋_GB2312" w:hAnsi="仿宋" w:eastAsia="仿宋_GB2312" w:cs="仿宋_GB2312"/>
          <w:color w:val="auto"/>
          <w:kern w:val="0"/>
          <w:sz w:val="24"/>
          <w:szCs w:val="24"/>
          <w:highlight w:val="none"/>
          <w:lang w:val="zh-CN"/>
        </w:rPr>
        <w:t>供应商名称(电子签章)：</w:t>
      </w:r>
    </w:p>
    <w:p>
      <w:pPr>
        <w:snapToGrid w:val="0"/>
        <w:spacing w:line="360" w:lineRule="auto"/>
        <w:ind w:firstLine="5160" w:firstLineChars="2150"/>
        <w:rPr>
          <w:rFonts w:hint="eastAsia" w:ascii="仿宋_GB2312" w:hAnsi="仿宋" w:eastAsia="仿宋_GB2312" w:cs="仿宋_GB2312"/>
          <w:color w:val="auto"/>
          <w:kern w:val="0"/>
          <w:sz w:val="24"/>
          <w:szCs w:val="24"/>
          <w:highlight w:val="none"/>
          <w:lang w:val="zh-CN"/>
        </w:rPr>
      </w:pPr>
      <w:r>
        <w:rPr>
          <w:rFonts w:hint="eastAsia" w:ascii="仿宋_GB2312" w:hAnsi="仿宋" w:eastAsia="仿宋_GB2312" w:cs="仿宋_GB2312"/>
          <w:color w:val="auto"/>
          <w:kern w:val="0"/>
          <w:sz w:val="24"/>
          <w:szCs w:val="24"/>
          <w:highlight w:val="none"/>
          <w:lang w:val="zh-CN"/>
        </w:rPr>
        <w:t>日期</w:t>
      </w:r>
      <w:r>
        <w:rPr>
          <w:rFonts w:hint="eastAsia" w:ascii="仿宋_GB2312" w:hAnsi="仿宋" w:eastAsia="仿宋_GB2312" w:cs="仿宋_GB2312"/>
          <w:color w:val="auto"/>
          <w:kern w:val="0"/>
          <w:sz w:val="24"/>
          <w:szCs w:val="24"/>
          <w:highlight w:val="none"/>
        </w:rPr>
        <w:t xml:space="preserve">：  年  </w:t>
      </w:r>
      <w:r>
        <w:rPr>
          <w:rFonts w:hint="eastAsia" w:ascii="仿宋_GB2312" w:hAnsi="仿宋" w:eastAsia="仿宋_GB2312" w:cs="仿宋_GB2312"/>
          <w:color w:val="auto"/>
          <w:kern w:val="0"/>
          <w:sz w:val="24"/>
          <w:szCs w:val="24"/>
          <w:highlight w:val="none"/>
          <w:lang w:val="zh-CN"/>
        </w:rPr>
        <w:t>月</w:t>
      </w:r>
      <w:r>
        <w:rPr>
          <w:rFonts w:hint="eastAsia" w:ascii="仿宋_GB2312" w:hAnsi="仿宋" w:eastAsia="仿宋_GB2312" w:cs="仿宋_GB2312"/>
          <w:color w:val="auto"/>
          <w:kern w:val="0"/>
          <w:sz w:val="24"/>
          <w:szCs w:val="24"/>
          <w:highlight w:val="none"/>
        </w:rPr>
        <w:t xml:space="preserve">   </w:t>
      </w:r>
      <w:r>
        <w:rPr>
          <w:rFonts w:hint="eastAsia" w:ascii="仿宋_GB2312" w:hAnsi="仿宋" w:eastAsia="仿宋_GB2312" w:cs="仿宋_GB2312"/>
          <w:color w:val="auto"/>
          <w:kern w:val="0"/>
          <w:sz w:val="24"/>
          <w:szCs w:val="24"/>
          <w:highlight w:val="none"/>
          <w:lang w:val="zh-CN"/>
        </w:rPr>
        <w:t>日</w:t>
      </w:r>
    </w:p>
    <w:p>
      <w:pPr>
        <w:snapToGrid w:val="0"/>
        <w:spacing w:line="360" w:lineRule="auto"/>
        <w:ind w:right="480"/>
        <w:rPr>
          <w:rFonts w:hint="default" w:ascii="宋体" w:hAnsi="宋体" w:eastAsia="宋体" w:cs="宋体"/>
          <w:b/>
          <w:color w:val="auto"/>
          <w:kern w:val="0"/>
          <w:sz w:val="32"/>
          <w:szCs w:val="32"/>
          <w:highlight w:val="none"/>
          <w:lang w:val="en-US" w:eastAsia="zh-CN"/>
        </w:rPr>
      </w:pPr>
      <w:r>
        <w:rPr>
          <w:rFonts w:hint="eastAsia" w:ascii="宋体" w:hAnsi="宋体" w:eastAsia="宋体" w:cs="宋体"/>
          <w:b/>
          <w:color w:val="auto"/>
          <w:kern w:val="0"/>
          <w:sz w:val="32"/>
          <w:szCs w:val="32"/>
          <w:highlight w:val="none"/>
        </w:rPr>
        <w:br w:type="page"/>
      </w:r>
      <w:r>
        <w:rPr>
          <w:rFonts w:hint="eastAsia" w:ascii="宋体" w:hAnsi="宋体" w:eastAsia="宋体" w:cs="宋体"/>
          <w:b/>
          <w:color w:val="auto"/>
          <w:kern w:val="0"/>
          <w:sz w:val="28"/>
          <w:szCs w:val="28"/>
          <w:highlight w:val="none"/>
          <w:lang w:val="en-US" w:eastAsia="zh-CN"/>
        </w:rPr>
        <w:t>4.供应商直接管理关系信息表</w:t>
      </w:r>
    </w:p>
    <w:p>
      <w:pPr>
        <w:snapToGrid w:val="0"/>
        <w:spacing w:line="360" w:lineRule="auto"/>
        <w:jc w:val="center"/>
        <w:rPr>
          <w:rFonts w:hint="eastAsia" w:ascii="宋体" w:hAnsi="宋体" w:eastAsia="宋体" w:cs="Times New Roman"/>
          <w:color w:val="auto"/>
          <w:sz w:val="32"/>
          <w:szCs w:val="32"/>
          <w:highlight w:val="none"/>
        </w:rPr>
      </w:pPr>
      <w:r>
        <w:rPr>
          <w:rFonts w:hint="eastAsia" w:ascii="宋体" w:hAnsi="宋体" w:eastAsia="宋体" w:cs="Times New Roman"/>
          <w:b/>
          <w:color w:val="auto"/>
          <w:sz w:val="32"/>
          <w:szCs w:val="32"/>
          <w:highlight w:val="none"/>
        </w:rPr>
        <w:t>供应商直接管理关系信息表</w:t>
      </w:r>
    </w:p>
    <w:tbl>
      <w:tblPr>
        <w:tblStyle w:val="29"/>
        <w:tblW w:w="0" w:type="auto"/>
        <w:tblInd w:w="125" w:type="dxa"/>
        <w:shd w:val="clear" w:color="auto" w:fill="FBFBFB"/>
        <w:tblLayout w:type="fixed"/>
        <w:tblCellMar>
          <w:top w:w="0" w:type="dxa"/>
          <w:left w:w="0" w:type="dxa"/>
          <w:bottom w:w="0" w:type="dxa"/>
          <w:right w:w="0" w:type="dxa"/>
        </w:tblCellMar>
      </w:tblPr>
      <w:tblGrid>
        <w:gridCol w:w="1005"/>
        <w:gridCol w:w="2659"/>
        <w:gridCol w:w="3924"/>
        <w:gridCol w:w="2064"/>
      </w:tblGrid>
      <w:tr>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pPr>
              <w:spacing w:line="36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pPr>
              <w:spacing w:line="36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pPr>
              <w:spacing w:line="36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pPr>
              <w:spacing w:line="36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备注</w:t>
            </w:r>
          </w:p>
        </w:tc>
      </w:tr>
      <w:tr>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szCs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szCs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szCs w:val="24"/>
                <w:highlight w:val="none"/>
              </w:rPr>
            </w:pPr>
          </w:p>
        </w:tc>
      </w:tr>
      <w:tr>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szCs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szCs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szCs w:val="24"/>
                <w:highlight w:val="none"/>
              </w:rPr>
            </w:pPr>
          </w:p>
        </w:tc>
      </w:tr>
      <w:tr>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szCs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szCs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szCs w:val="24"/>
                <w:highlight w:val="none"/>
              </w:rPr>
            </w:pPr>
          </w:p>
        </w:tc>
      </w:tr>
      <w:tr>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szCs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szCs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pPr>
              <w:spacing w:line="360" w:lineRule="auto"/>
              <w:jc w:val="center"/>
              <w:rPr>
                <w:rFonts w:hint="eastAsia" w:ascii="宋体" w:hAnsi="宋体" w:eastAsia="宋体" w:cs="宋体"/>
                <w:color w:val="auto"/>
                <w:kern w:val="0"/>
                <w:sz w:val="24"/>
                <w:szCs w:val="24"/>
                <w:highlight w:val="none"/>
              </w:rPr>
            </w:pPr>
          </w:p>
        </w:tc>
      </w:tr>
    </w:tbl>
    <w:p>
      <w:pPr>
        <w:snapToGrid w:val="0"/>
        <w:spacing w:line="360" w:lineRule="auto"/>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注：</w:t>
      </w:r>
    </w:p>
    <w:p>
      <w:pPr>
        <w:snapToGrid w:val="0"/>
        <w:spacing w:line="360" w:lineRule="auto"/>
        <w:ind w:firstLine="480" w:firstLineChars="200"/>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1.管理关系：是指不具有出资持股关系的其他单位之间存在的管理与被管理关系，如一些上下级关系的事业单位和团体组织。</w:t>
      </w:r>
    </w:p>
    <w:p>
      <w:pPr>
        <w:snapToGrid w:val="0"/>
        <w:spacing w:line="360" w:lineRule="auto"/>
        <w:ind w:firstLine="480" w:firstLineChars="200"/>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w:t>
      </w:r>
      <w:r>
        <w:rPr>
          <w:rFonts w:hint="eastAsia" w:ascii="宋体" w:hAnsi="宋体" w:eastAsia="宋体" w:cs="Times New Roman"/>
          <w:color w:val="auto"/>
          <w:spacing w:val="-6"/>
          <w:sz w:val="24"/>
          <w:szCs w:val="24"/>
          <w:highlight w:val="none"/>
        </w:rPr>
        <w:t>本表所指的管理关系仅限于直接管理关系，不包括间接的管理关系。</w:t>
      </w:r>
    </w:p>
    <w:p>
      <w:pPr>
        <w:snapToGrid w:val="0"/>
        <w:spacing w:line="360" w:lineRule="auto"/>
        <w:ind w:firstLine="480" w:firstLineChars="200"/>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3.供应商不存在直接管理关系的，则填“无”。</w:t>
      </w:r>
    </w:p>
    <w:p>
      <w:pPr>
        <w:snapToGrid w:val="0"/>
        <w:spacing w:line="360" w:lineRule="auto"/>
        <w:jc w:val="left"/>
        <w:rPr>
          <w:rFonts w:ascii="Times New Roman" w:hAnsi="Times New Roman" w:eastAsia="宋体" w:cs="Times New Roman"/>
          <w:color w:val="auto"/>
          <w:sz w:val="24"/>
          <w:szCs w:val="24"/>
          <w:highlight w:val="none"/>
        </w:rPr>
      </w:pPr>
    </w:p>
    <w:p>
      <w:pPr>
        <w:snapToGrid w:val="0"/>
        <w:spacing w:line="360" w:lineRule="auto"/>
        <w:jc w:val="left"/>
        <w:rPr>
          <w:rFonts w:ascii="宋体" w:hAnsi="宋体" w:eastAsia="宋体" w:cs="Times New Roman"/>
          <w:color w:val="auto"/>
          <w:sz w:val="24"/>
          <w:szCs w:val="24"/>
          <w:highlight w:val="none"/>
        </w:rPr>
      </w:pPr>
    </w:p>
    <w:p>
      <w:pPr>
        <w:snapToGrid w:val="0"/>
        <w:spacing w:line="360" w:lineRule="auto"/>
        <w:jc w:val="left"/>
        <w:rPr>
          <w:rFonts w:hint="eastAsia" w:ascii="宋体" w:hAnsi="宋体" w:eastAsia="宋体" w:cs="Times New Roman"/>
          <w:color w:val="auto"/>
          <w:sz w:val="24"/>
          <w:szCs w:val="24"/>
          <w:highlight w:val="none"/>
        </w:rPr>
      </w:pPr>
    </w:p>
    <w:p>
      <w:pPr>
        <w:snapToGrid w:val="0"/>
        <w:spacing w:line="360" w:lineRule="auto"/>
        <w:ind w:firstLine="5040" w:firstLineChars="2100"/>
        <w:rPr>
          <w:rFonts w:hint="eastAsia" w:ascii="仿宋_GB2312" w:hAnsi="仿宋" w:eastAsia="仿宋_GB2312" w:cs="仿宋_GB2312"/>
          <w:color w:val="auto"/>
          <w:kern w:val="0"/>
          <w:sz w:val="24"/>
          <w:szCs w:val="24"/>
          <w:highlight w:val="none"/>
        </w:rPr>
      </w:pPr>
      <w:r>
        <w:rPr>
          <w:rFonts w:hint="eastAsia" w:ascii="仿宋_GB2312" w:hAnsi="仿宋" w:eastAsia="仿宋_GB2312" w:cs="仿宋_GB2312"/>
          <w:color w:val="auto"/>
          <w:kern w:val="0"/>
          <w:sz w:val="24"/>
          <w:szCs w:val="24"/>
          <w:highlight w:val="none"/>
          <w:lang w:val="zh-CN"/>
        </w:rPr>
        <w:t>供应商名称(电子签章)：</w:t>
      </w:r>
    </w:p>
    <w:p>
      <w:pPr>
        <w:snapToGrid w:val="0"/>
        <w:spacing w:line="360" w:lineRule="auto"/>
        <w:ind w:firstLine="5160" w:firstLineChars="2150"/>
        <w:rPr>
          <w:rFonts w:hint="eastAsia" w:ascii="仿宋_GB2312" w:hAnsi="仿宋" w:eastAsia="仿宋_GB2312" w:cs="仿宋_GB2312"/>
          <w:color w:val="auto"/>
          <w:kern w:val="0"/>
          <w:sz w:val="24"/>
          <w:szCs w:val="24"/>
          <w:highlight w:val="none"/>
          <w:lang w:val="zh-CN"/>
        </w:rPr>
      </w:pPr>
      <w:r>
        <w:rPr>
          <w:rFonts w:hint="eastAsia" w:ascii="仿宋_GB2312" w:hAnsi="仿宋" w:eastAsia="仿宋_GB2312" w:cs="仿宋_GB2312"/>
          <w:color w:val="auto"/>
          <w:kern w:val="0"/>
          <w:sz w:val="24"/>
          <w:szCs w:val="24"/>
          <w:highlight w:val="none"/>
          <w:lang w:val="zh-CN"/>
        </w:rPr>
        <w:t>日期</w:t>
      </w:r>
      <w:r>
        <w:rPr>
          <w:rFonts w:hint="eastAsia" w:ascii="仿宋_GB2312" w:hAnsi="仿宋" w:eastAsia="仿宋_GB2312" w:cs="仿宋_GB2312"/>
          <w:color w:val="auto"/>
          <w:kern w:val="0"/>
          <w:sz w:val="24"/>
          <w:szCs w:val="24"/>
          <w:highlight w:val="none"/>
        </w:rPr>
        <w:t xml:space="preserve">：  年  </w:t>
      </w:r>
      <w:r>
        <w:rPr>
          <w:rFonts w:hint="eastAsia" w:ascii="仿宋_GB2312" w:hAnsi="仿宋" w:eastAsia="仿宋_GB2312" w:cs="仿宋_GB2312"/>
          <w:color w:val="auto"/>
          <w:kern w:val="0"/>
          <w:sz w:val="24"/>
          <w:szCs w:val="24"/>
          <w:highlight w:val="none"/>
          <w:lang w:val="zh-CN"/>
        </w:rPr>
        <w:t>月</w:t>
      </w:r>
      <w:r>
        <w:rPr>
          <w:rFonts w:hint="eastAsia" w:ascii="仿宋_GB2312" w:hAnsi="仿宋" w:eastAsia="仿宋_GB2312" w:cs="仿宋_GB2312"/>
          <w:color w:val="auto"/>
          <w:kern w:val="0"/>
          <w:sz w:val="24"/>
          <w:szCs w:val="24"/>
          <w:highlight w:val="none"/>
        </w:rPr>
        <w:t xml:space="preserve">   </w:t>
      </w:r>
      <w:r>
        <w:rPr>
          <w:rFonts w:hint="eastAsia" w:ascii="仿宋_GB2312" w:hAnsi="仿宋" w:eastAsia="仿宋_GB2312" w:cs="仿宋_GB2312"/>
          <w:color w:val="auto"/>
          <w:kern w:val="0"/>
          <w:sz w:val="24"/>
          <w:szCs w:val="24"/>
          <w:highlight w:val="none"/>
          <w:lang w:val="zh-CN"/>
        </w:rPr>
        <w:t>日</w:t>
      </w:r>
    </w:p>
    <w:p>
      <w:pPr>
        <w:rPr>
          <w:rFonts w:hint="eastAsia" w:ascii="宋体" w:hAnsi="宋体" w:eastAsia="宋体" w:cs="宋体"/>
          <w:b/>
          <w:bCs/>
          <w:color w:val="auto"/>
          <w:kern w:val="0"/>
          <w:sz w:val="28"/>
          <w:szCs w:val="28"/>
          <w:highlight w:val="none"/>
          <w:lang w:val="en-US" w:eastAsia="zh-CN"/>
        </w:rPr>
      </w:pPr>
      <w:r>
        <w:rPr>
          <w:rFonts w:hint="eastAsia" w:ascii="宋体" w:hAnsi="宋体" w:eastAsia="宋体" w:cs="宋体"/>
          <w:b/>
          <w:bCs/>
          <w:color w:val="auto"/>
          <w:kern w:val="0"/>
          <w:sz w:val="28"/>
          <w:szCs w:val="28"/>
          <w:highlight w:val="none"/>
          <w:lang w:val="en-US" w:eastAsia="zh-CN"/>
        </w:rPr>
        <w:br w:type="page"/>
      </w:r>
    </w:p>
    <w:p>
      <w:pPr>
        <w:spacing w:line="320" w:lineRule="exact"/>
        <w:jc w:val="left"/>
        <w:rPr>
          <w:rFonts w:hint="eastAsia" w:ascii="宋体" w:hAnsi="宋体" w:eastAsia="宋体" w:cs="宋体"/>
          <w:color w:val="auto"/>
          <w:sz w:val="28"/>
          <w:szCs w:val="28"/>
          <w:highlight w:val="none"/>
        </w:rPr>
      </w:pPr>
      <w:r>
        <w:rPr>
          <w:rFonts w:hint="eastAsia" w:ascii="宋体" w:hAnsi="宋体" w:eastAsia="宋体" w:cs="宋体"/>
          <w:b/>
          <w:bCs/>
          <w:color w:val="auto"/>
          <w:kern w:val="0"/>
          <w:sz w:val="28"/>
          <w:szCs w:val="28"/>
          <w:highlight w:val="none"/>
          <w:lang w:val="en-US" w:eastAsia="zh-CN"/>
        </w:rPr>
        <w:t>5</w:t>
      </w:r>
      <w:r>
        <w:rPr>
          <w:rFonts w:hint="eastAsia" w:ascii="宋体" w:hAnsi="宋体" w:eastAsia="宋体" w:cs="宋体"/>
          <w:b/>
          <w:color w:val="auto"/>
          <w:kern w:val="0"/>
          <w:sz w:val="28"/>
          <w:szCs w:val="28"/>
          <w:highlight w:val="none"/>
        </w:rPr>
        <w:t>.声明函的格式：</w:t>
      </w:r>
    </w:p>
    <w:p>
      <w:pPr>
        <w:spacing w:line="320" w:lineRule="exact"/>
        <w:jc w:val="center"/>
        <w:rPr>
          <w:rFonts w:hint="eastAsia" w:ascii="宋体" w:hAnsi="宋体" w:eastAsia="宋体" w:cs="Times New Roman"/>
          <w:b/>
          <w:color w:val="auto"/>
          <w:sz w:val="32"/>
          <w:szCs w:val="32"/>
          <w:highlight w:val="none"/>
        </w:rPr>
      </w:pPr>
    </w:p>
    <w:p>
      <w:pPr>
        <w:spacing w:line="320" w:lineRule="exact"/>
        <w:jc w:val="center"/>
        <w:rPr>
          <w:rFonts w:hint="eastAsia" w:ascii="宋体" w:hAnsi="宋体" w:eastAsia="宋体" w:cs="Times New Roman"/>
          <w:b/>
          <w:color w:val="auto"/>
          <w:sz w:val="32"/>
          <w:szCs w:val="32"/>
          <w:highlight w:val="none"/>
        </w:rPr>
      </w:pPr>
      <w:r>
        <w:rPr>
          <w:rFonts w:hint="eastAsia" w:ascii="宋体" w:hAnsi="宋体" w:eastAsia="宋体" w:cs="Times New Roman"/>
          <w:b/>
          <w:color w:val="auto"/>
          <w:sz w:val="32"/>
          <w:szCs w:val="32"/>
          <w:highlight w:val="none"/>
        </w:rPr>
        <w:t>声明函</w:t>
      </w:r>
    </w:p>
    <w:p>
      <w:pPr>
        <w:spacing w:line="320" w:lineRule="exact"/>
        <w:jc w:val="center"/>
        <w:rPr>
          <w:rFonts w:hint="eastAsia" w:ascii="宋体" w:hAnsi="宋体" w:eastAsia="宋体" w:cs="Times New Roman"/>
          <w:color w:val="auto"/>
          <w:sz w:val="24"/>
          <w:szCs w:val="20"/>
          <w:highlight w:val="none"/>
        </w:rPr>
      </w:pPr>
    </w:p>
    <w:p>
      <w:pPr>
        <w:spacing w:line="360" w:lineRule="exact"/>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w:t>
      </w:r>
      <w:bookmarkStart w:id="173" w:name="PO_3000001871_PM031"/>
      <w:r>
        <w:rPr>
          <w:rFonts w:hint="eastAsia" w:ascii="宋体" w:hAnsi="宋体" w:eastAsia="宋体" w:cs="宋体"/>
          <w:color w:val="auto"/>
          <w:sz w:val="24"/>
          <w:szCs w:val="24"/>
          <w:highlight w:val="none"/>
          <w:u w:val="single"/>
        </w:rPr>
        <w:t>广西科联招标中心有限公司</w:t>
      </w:r>
      <w:bookmarkEnd w:id="173"/>
      <w:r>
        <w:rPr>
          <w:rFonts w:hint="eastAsia" w:ascii="宋体" w:hAnsi="宋体" w:eastAsia="宋体" w:cs="宋体"/>
          <w:color w:val="auto"/>
          <w:sz w:val="24"/>
          <w:szCs w:val="24"/>
          <w:highlight w:val="none"/>
        </w:rPr>
        <w:t>：</w:t>
      </w:r>
    </w:p>
    <w:p>
      <w:pPr>
        <w:spacing w:line="360" w:lineRule="exact"/>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i/>
          <w:iCs/>
          <w:color w:val="auto"/>
          <w:sz w:val="24"/>
          <w:szCs w:val="24"/>
          <w:highlight w:val="none"/>
          <w:u w:val="single"/>
        </w:rPr>
        <w:t>（供应商名称）</w:t>
      </w:r>
      <w:r>
        <w:rPr>
          <w:rFonts w:hint="eastAsia" w:ascii="宋体" w:hAnsi="宋体" w:eastAsia="宋体" w:cs="宋体"/>
          <w:color w:val="auto"/>
          <w:sz w:val="24"/>
          <w:szCs w:val="24"/>
          <w:highlight w:val="none"/>
        </w:rPr>
        <w:t>系中华人民共和国合法供应商，经营地址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spacing w:line="360" w:lineRule="exact"/>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我方愿意参加贵方组织的</w:t>
      </w:r>
      <w:bookmarkStart w:id="174" w:name="PO_3000001871_PM002_4"/>
      <w:r>
        <w:rPr>
          <w:rFonts w:hint="eastAsia" w:ascii="宋体" w:hAnsi="宋体" w:eastAsia="宋体" w:cs="宋体"/>
          <w:i/>
          <w:iCs/>
          <w:color w:val="auto"/>
          <w:sz w:val="24"/>
          <w:szCs w:val="24"/>
          <w:highlight w:val="none"/>
        </w:rPr>
        <w:t>（</w:t>
      </w:r>
      <w:bookmarkEnd w:id="174"/>
      <w:r>
        <w:rPr>
          <w:rFonts w:hint="eastAsia" w:ascii="宋体" w:hAnsi="宋体" w:eastAsia="宋体" w:cs="宋体"/>
          <w:i/>
          <w:iCs/>
          <w:color w:val="auto"/>
          <w:sz w:val="24"/>
          <w:szCs w:val="24"/>
          <w:highlight w:val="none"/>
          <w:u w:val="single"/>
        </w:rPr>
        <w:t>项目名称</w:t>
      </w:r>
      <w:r>
        <w:rPr>
          <w:rFonts w:hint="eastAsia" w:ascii="宋体" w:hAnsi="宋体" w:eastAsia="宋体" w:cs="宋体"/>
          <w:i/>
          <w:iCs/>
          <w:color w:val="auto"/>
          <w:sz w:val="24"/>
          <w:szCs w:val="24"/>
          <w:highlight w:val="none"/>
        </w:rPr>
        <w:t>）</w:t>
      </w:r>
      <w:r>
        <w:rPr>
          <w:rFonts w:hint="eastAsia" w:ascii="宋体" w:hAnsi="宋体" w:eastAsia="宋体" w:cs="宋体"/>
          <w:color w:val="auto"/>
          <w:sz w:val="24"/>
          <w:szCs w:val="24"/>
          <w:highlight w:val="none"/>
        </w:rPr>
        <w:t>项目的竞标，为便于贵方公正、择优地确定成交供应商及其竞标产品和服务，我方就本次竞标有关事项郑重声明如下：</w:t>
      </w:r>
    </w:p>
    <w:p>
      <w:pPr>
        <w:spacing w:line="360" w:lineRule="exact"/>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1.我方向贵方提交的所有响应文件、资料都是准确的和真实的。</w:t>
      </w:r>
    </w:p>
    <w:p>
      <w:pPr>
        <w:spacing w:line="360" w:lineRule="exact"/>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pPr>
        <w:spacing w:line="360" w:lineRule="exact"/>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3.在此，我方宣布同意如下：</w:t>
      </w:r>
    </w:p>
    <w:p>
      <w:pPr>
        <w:spacing w:line="360" w:lineRule="exact"/>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（1）将按谈判文件的约定履行合同责任和义务；</w:t>
      </w:r>
    </w:p>
    <w:p>
      <w:pPr>
        <w:spacing w:line="360" w:lineRule="exact"/>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（2）已详细审查谈判文件的全部内容，包括澄清或者更正公告（如有）；</w:t>
      </w:r>
    </w:p>
    <w:p>
      <w:pPr>
        <w:spacing w:line="360" w:lineRule="exact"/>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（3）同意提供按照贵方可能要求的与谈判有关的一切数据或者资料。</w:t>
      </w:r>
    </w:p>
    <w:p>
      <w:pPr>
        <w:spacing w:line="360" w:lineRule="exact"/>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w:t>
      </w:r>
    </w:p>
    <w:p>
      <w:pPr>
        <w:spacing w:line="360" w:lineRule="exact"/>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根据《中华人民共和国政府采购法实施条例》第五十条要求对政府采购合同进行公告，但政府采购合同中涉及国家秘密、商业秘密的内容除外。我方就对本次响应文件进行注明如下：（两项内容中必须选择一项）</w:t>
      </w:r>
    </w:p>
    <w:p>
      <w:pPr>
        <w:spacing w:line="360" w:lineRule="exact"/>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□我方本次响应文件</w:t>
      </w:r>
      <w:r>
        <w:rPr>
          <w:rFonts w:hint="eastAsia" w:ascii="宋体" w:hAnsi="宋体" w:eastAsia="宋体" w:cs="宋体"/>
          <w:color w:val="auto"/>
          <w:kern w:val="0"/>
          <w:sz w:val="24"/>
          <w:szCs w:val="24"/>
          <w:highlight w:val="none"/>
        </w:rPr>
        <w:t>内容中</w:t>
      </w:r>
      <w:r>
        <w:rPr>
          <w:rFonts w:hint="eastAsia" w:ascii="宋体" w:hAnsi="宋体" w:eastAsia="宋体" w:cs="宋体"/>
          <w:color w:val="auto"/>
          <w:sz w:val="24"/>
          <w:szCs w:val="24"/>
          <w:highlight w:val="none"/>
        </w:rPr>
        <w:t>未</w:t>
      </w:r>
      <w:r>
        <w:rPr>
          <w:rFonts w:hint="eastAsia" w:ascii="宋体" w:hAnsi="宋体" w:eastAsia="宋体" w:cs="宋体"/>
          <w:color w:val="auto"/>
          <w:kern w:val="0"/>
          <w:sz w:val="24"/>
          <w:szCs w:val="24"/>
          <w:highlight w:val="none"/>
        </w:rPr>
        <w:t>涉及商业秘密；</w:t>
      </w:r>
    </w:p>
    <w:p>
      <w:pPr>
        <w:spacing w:line="360" w:lineRule="exact"/>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□我方本次响应文件</w:t>
      </w:r>
      <w:r>
        <w:rPr>
          <w:rFonts w:hint="eastAsia" w:ascii="宋体" w:hAnsi="宋体" w:eastAsia="宋体" w:cs="宋体"/>
          <w:color w:val="auto"/>
          <w:kern w:val="0"/>
          <w:sz w:val="24"/>
          <w:szCs w:val="24"/>
          <w:highlight w:val="none"/>
        </w:rPr>
        <w:t>涉及商业秘密的内容有：</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w:t>
      </w:r>
    </w:p>
    <w:p>
      <w:pPr>
        <w:tabs>
          <w:tab w:val="left" w:pos="939"/>
        </w:tabs>
        <w:spacing w:line="360" w:lineRule="exact"/>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6.以上事项如有虚假或者隐瞒，我方愿意承担一切后果，并不再寻求任何旨在减轻或者免除法律责任的辩解。</w:t>
      </w:r>
    </w:p>
    <w:p>
      <w:pPr>
        <w:tabs>
          <w:tab w:val="left" w:pos="939"/>
        </w:tabs>
        <w:spacing w:line="360" w:lineRule="exact"/>
        <w:ind w:left="141" w:leftChars="67" w:firstLine="360" w:firstLineChars="15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tabs>
          <w:tab w:val="left" w:pos="939"/>
        </w:tabs>
        <w:spacing w:line="360" w:lineRule="exact"/>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注：如为联合体竞标，盖章处须加盖联合体各方公章，否则其响应文件作无效响应处理。</w:t>
      </w:r>
    </w:p>
    <w:p>
      <w:pPr>
        <w:tabs>
          <w:tab w:val="left" w:pos="939"/>
        </w:tabs>
        <w:spacing w:line="360" w:lineRule="exact"/>
        <w:ind w:firstLine="480" w:firstLineChars="200"/>
        <w:contextualSpacing/>
        <w:rPr>
          <w:rFonts w:hint="eastAsia" w:ascii="宋体" w:hAnsi="宋体" w:eastAsia="宋体" w:cs="宋体"/>
          <w:color w:val="auto"/>
          <w:sz w:val="24"/>
          <w:szCs w:val="24"/>
          <w:highlight w:val="none"/>
        </w:rPr>
      </w:pPr>
    </w:p>
    <w:p>
      <w:pPr>
        <w:autoSpaceDE w:val="0"/>
        <w:autoSpaceDN w:val="0"/>
        <w:spacing w:line="360" w:lineRule="exact"/>
        <w:ind w:left="4365" w:leftChars="1850" w:hanging="480" w:hanging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pPr>
        <w:autoSpaceDE w:val="0"/>
        <w:autoSpaceDN w:val="0"/>
        <w:spacing w:line="360" w:lineRule="exact"/>
        <w:ind w:firstLine="6120" w:firstLineChars="2550"/>
        <w:rPr>
          <w:rFonts w:hint="eastAsia" w:ascii="宋体" w:hAnsi="宋体" w:eastAsia="宋体" w:cs="宋体"/>
          <w:color w:val="auto"/>
          <w:kern w:val="0"/>
          <w:sz w:val="24"/>
          <w:szCs w:val="24"/>
          <w:highlight w:val="none"/>
          <w:lang w:val="zh-CN"/>
        </w:rPr>
        <w:sectPr>
          <w:pgSz w:w="11910" w:h="16840"/>
          <w:pgMar w:top="1134" w:right="1134" w:bottom="1134" w:left="1134" w:header="720" w:footer="720" w:gutter="0"/>
          <w:cols w:space="720" w:num="1"/>
        </w:sectPr>
      </w:pPr>
      <w:r>
        <w:rPr>
          <w:rFonts w:hint="eastAsia" w:ascii="宋体" w:hAnsi="宋体" w:eastAsia="宋体" w:cs="宋体"/>
          <w:color w:val="auto"/>
          <w:kern w:val="0"/>
          <w:sz w:val="24"/>
          <w:szCs w:val="24"/>
          <w:highlight w:val="none"/>
          <w:lang w:val="zh-CN"/>
        </w:rPr>
        <w:t>日期：  年  月   日</w:t>
      </w:r>
    </w:p>
    <w:p>
      <w:pPr>
        <w:overflowPunct w:val="0"/>
        <w:spacing w:line="520" w:lineRule="exact"/>
        <w:rPr>
          <w:rFonts w:hint="eastAsia" w:ascii="宋体" w:hAnsi="宋体" w:eastAsia="宋体" w:cs="Times New Roman"/>
          <w:b/>
          <w:bCs/>
          <w:color w:val="auto"/>
          <w:sz w:val="32"/>
          <w:szCs w:val="32"/>
          <w:highlight w:val="none"/>
        </w:rPr>
      </w:pPr>
      <w:r>
        <w:rPr>
          <w:rFonts w:hint="eastAsia" w:ascii="宋体" w:hAnsi="宋体" w:eastAsia="宋体" w:cs="宋体"/>
          <w:b/>
          <w:color w:val="auto"/>
          <w:kern w:val="0"/>
          <w:sz w:val="28"/>
          <w:szCs w:val="28"/>
          <w:highlight w:val="none"/>
          <w:lang w:val="en-US" w:eastAsia="zh-CN"/>
        </w:rPr>
        <w:t>6</w:t>
      </w:r>
      <w:r>
        <w:rPr>
          <w:rFonts w:hint="eastAsia" w:ascii="宋体" w:hAnsi="宋体" w:eastAsia="宋体" w:cs="宋体"/>
          <w:b/>
          <w:color w:val="auto"/>
          <w:kern w:val="0"/>
          <w:sz w:val="28"/>
          <w:szCs w:val="28"/>
          <w:highlight w:val="none"/>
        </w:rPr>
        <w:t>.联合体竞标协议书的格式：</w:t>
      </w:r>
    </w:p>
    <w:p>
      <w:pPr>
        <w:spacing w:line="600" w:lineRule="exact"/>
        <w:jc w:val="center"/>
        <w:rPr>
          <w:rFonts w:hint="eastAsia" w:ascii="方正小标宋简体" w:hAnsi="方正小标宋简体" w:eastAsia="方正小标宋简体" w:cs="方正小标宋简体"/>
          <w:color w:val="auto"/>
          <w:sz w:val="44"/>
          <w:szCs w:val="44"/>
          <w:highlight w:val="none"/>
          <w:lang w:val="zh-CN"/>
        </w:rPr>
      </w:pPr>
    </w:p>
    <w:p>
      <w:pPr>
        <w:spacing w:line="600" w:lineRule="exact"/>
        <w:jc w:val="center"/>
        <w:rPr>
          <w:rFonts w:hint="eastAsia" w:ascii="宋体" w:hAnsi="宋体" w:eastAsia="宋体" w:cs="宋体"/>
          <w:color w:val="auto"/>
          <w:sz w:val="44"/>
          <w:szCs w:val="44"/>
          <w:highlight w:val="none"/>
          <w:lang w:val="zh-CN"/>
        </w:rPr>
      </w:pPr>
      <w:r>
        <w:rPr>
          <w:rFonts w:hint="eastAsia" w:ascii="宋体" w:hAnsi="宋体" w:eastAsia="宋体" w:cs="宋体"/>
          <w:b/>
          <w:bCs/>
          <w:color w:val="auto"/>
          <w:sz w:val="32"/>
          <w:szCs w:val="32"/>
          <w:highlight w:val="none"/>
          <w:lang w:val="zh-CN"/>
        </w:rPr>
        <w:t>联合体竞标协议书</w:t>
      </w:r>
    </w:p>
    <w:p>
      <w:pPr>
        <w:autoSpaceDE w:val="0"/>
        <w:autoSpaceDN w:val="0"/>
        <w:adjustRightInd w:val="0"/>
        <w:spacing w:line="360" w:lineRule="auto"/>
        <w:jc w:val="left"/>
        <w:rPr>
          <w:rFonts w:hint="eastAsia" w:ascii="宋体" w:hAnsi="宋体" w:eastAsia="宋体" w:cs="宋体"/>
          <w:color w:val="auto"/>
          <w:kern w:val="0"/>
          <w:szCs w:val="21"/>
          <w:highlight w:val="none"/>
          <w:u w:val="single"/>
        </w:rPr>
      </w:pPr>
    </w:p>
    <w:p>
      <w:pPr>
        <w:autoSpaceDE w:val="0"/>
        <w:autoSpaceDN w:val="0"/>
        <w:adjustRightInd w:val="0"/>
        <w:spacing w:line="36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（所有成员单位名称）自愿组成联合体，共同参加</w:t>
      </w:r>
      <w:r>
        <w:rPr>
          <w:rFonts w:hint="eastAsia" w:ascii="宋体" w:hAnsi="宋体" w:eastAsia="宋体" w:cs="宋体"/>
          <w:color w:val="auto"/>
          <w:kern w:val="0"/>
          <w:sz w:val="24"/>
          <w:szCs w:val="24"/>
          <w:highlight w:val="none"/>
          <w:u w:val="single"/>
        </w:rPr>
        <w:t xml:space="preserve"> </w:t>
      </w:r>
      <w:bookmarkStart w:id="175" w:name="PO_3000001871_PM031_4"/>
      <w:r>
        <w:rPr>
          <w:rFonts w:hint="eastAsia" w:ascii="宋体" w:hAnsi="宋体" w:eastAsia="宋体" w:cs="宋体"/>
          <w:color w:val="auto"/>
          <w:kern w:val="0"/>
          <w:sz w:val="24"/>
          <w:szCs w:val="24"/>
          <w:highlight w:val="none"/>
          <w:u w:val="single"/>
        </w:rPr>
        <w:t>广西科联招标中心有限公司</w:t>
      </w:r>
      <w:bookmarkEnd w:id="175"/>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组织的</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i/>
          <w:iCs/>
          <w:color w:val="auto"/>
          <w:kern w:val="0"/>
          <w:sz w:val="24"/>
          <w:szCs w:val="24"/>
          <w:highlight w:val="none"/>
          <w:u w:val="single"/>
        </w:rPr>
        <w:t xml:space="preserve"> （项目名称）</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（项目编号：</w:t>
      </w:r>
      <w:bookmarkStart w:id="176" w:name="PO_3000001871_PM001_4"/>
      <w:r>
        <w:rPr>
          <w:rFonts w:hint="eastAsia" w:ascii="宋体" w:hAnsi="宋体" w:eastAsia="宋体" w:cs="宋体"/>
          <w:i/>
          <w:iCs/>
          <w:color w:val="auto"/>
          <w:kern w:val="0"/>
          <w:sz w:val="24"/>
          <w:szCs w:val="24"/>
          <w:highlight w:val="none"/>
        </w:rPr>
        <w:t>（</w:t>
      </w:r>
      <w:bookmarkEnd w:id="176"/>
      <w:r>
        <w:rPr>
          <w:rFonts w:hint="eastAsia" w:ascii="宋体" w:hAnsi="宋体" w:eastAsia="宋体" w:cs="宋体"/>
          <w:i/>
          <w:iCs/>
          <w:color w:val="auto"/>
          <w:kern w:val="0"/>
          <w:sz w:val="24"/>
          <w:szCs w:val="24"/>
          <w:highlight w:val="none"/>
          <w:u w:val="single"/>
        </w:rPr>
        <w:t>项目编号</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）竞争性谈判采购。现就联合体竞标事宜订立如下协议：</w:t>
      </w:r>
    </w:p>
    <w:p>
      <w:pPr>
        <w:autoSpaceDE w:val="0"/>
        <w:autoSpaceDN w:val="0"/>
        <w:adjustRightInd w:val="0"/>
        <w:spacing w:line="360" w:lineRule="exact"/>
        <w:ind w:firstLine="42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（某成员单位名称）为联合体名称牵头人。</w:t>
      </w:r>
    </w:p>
    <w:p>
      <w:pPr>
        <w:autoSpaceDE w:val="0"/>
        <w:autoSpaceDN w:val="0"/>
        <w:adjustRightInd w:val="0"/>
        <w:spacing w:line="360" w:lineRule="exact"/>
        <w:ind w:firstLine="42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2.</w:t>
      </w:r>
      <w:r>
        <w:rPr>
          <w:rFonts w:hint="eastAsia" w:ascii="宋体" w:hAnsi="宋体" w:eastAsia="宋体" w:cs="宋体"/>
          <w:color w:val="auto"/>
          <w:kern w:val="0"/>
          <w:sz w:val="24"/>
          <w:szCs w:val="24"/>
          <w:highlight w:val="none"/>
        </w:rPr>
        <w:t>联合体牵头人合法代表联合体各成员负责本谈判项目响应文件编制和合同谈判活动，并代表联合体提交和接收相关的资料、信息及指示，并处理与之有关的一切事务，负责合同实施阶段的主办、组织和协调工作。</w:t>
      </w:r>
    </w:p>
    <w:p>
      <w:pPr>
        <w:autoSpaceDE w:val="0"/>
        <w:autoSpaceDN w:val="0"/>
        <w:adjustRightInd w:val="0"/>
        <w:spacing w:line="360" w:lineRule="exact"/>
        <w:ind w:firstLine="42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3.</w:t>
      </w:r>
      <w:r>
        <w:rPr>
          <w:rFonts w:hint="eastAsia" w:ascii="宋体" w:hAnsi="宋体" w:eastAsia="宋体" w:cs="宋体"/>
          <w:color w:val="auto"/>
          <w:kern w:val="0"/>
          <w:sz w:val="24"/>
          <w:szCs w:val="24"/>
          <w:highlight w:val="none"/>
        </w:rPr>
        <w:t>联合体牵头人在本项目中签署和盖章的一切文件和处理的一切事宜，联合体各成员均予以承认。 联合体各成员将严格按照谈判文件、响应文件和合同的要求全面履行义务，并向采购人承担连带责任。</w:t>
      </w:r>
    </w:p>
    <w:p>
      <w:pPr>
        <w:autoSpaceDE w:val="0"/>
        <w:autoSpaceDN w:val="0"/>
        <w:adjustRightInd w:val="0"/>
        <w:spacing w:line="360" w:lineRule="exact"/>
        <w:ind w:firstLine="42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4.</w:t>
      </w:r>
      <w:r>
        <w:rPr>
          <w:rFonts w:hint="eastAsia" w:ascii="宋体" w:hAnsi="宋体" w:eastAsia="宋体" w:cs="宋体"/>
          <w:color w:val="auto"/>
          <w:kern w:val="0"/>
          <w:sz w:val="24"/>
          <w:szCs w:val="24"/>
          <w:highlight w:val="none"/>
        </w:rPr>
        <w:t>联合体各成员单位内部的职责分工如下：</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w:t>
      </w:r>
    </w:p>
    <w:p>
      <w:pPr>
        <w:spacing w:line="360" w:lineRule="exact"/>
        <w:ind w:firstLine="480" w:firstLineChars="20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5.本联合体中，</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lang w:val="zh-CN"/>
        </w:rPr>
        <w:t>（某成员单位名称）为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lang w:val="zh-CN"/>
        </w:rPr>
        <w:t>（请填写：中型、小型、微型）企业，其协议合同金额占联合体协议合同总金额的</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lang w:val="zh-CN"/>
        </w:rPr>
        <w:t>%。【如联合体成员中有小型、微型企业的，请填写此条，否则无需填写；如联合体成员中有多个小型、微型企业的，请逐一列出】</w:t>
      </w:r>
    </w:p>
    <w:p>
      <w:pPr>
        <w:autoSpaceDE w:val="0"/>
        <w:autoSpaceDN w:val="0"/>
        <w:adjustRightInd w:val="0"/>
        <w:spacing w:line="360" w:lineRule="exact"/>
        <w:ind w:firstLine="42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6.</w:t>
      </w:r>
      <w:r>
        <w:rPr>
          <w:rFonts w:hint="eastAsia" w:ascii="宋体" w:hAnsi="宋体" w:eastAsia="宋体" w:cs="宋体"/>
          <w:color w:val="auto"/>
          <w:kern w:val="0"/>
          <w:sz w:val="24"/>
          <w:szCs w:val="24"/>
          <w:highlight w:val="none"/>
        </w:rPr>
        <w:t>本协议书自签署之日起生效，合同履行完毕后自动失效。</w:t>
      </w:r>
    </w:p>
    <w:p>
      <w:pPr>
        <w:autoSpaceDE w:val="0"/>
        <w:autoSpaceDN w:val="0"/>
        <w:adjustRightInd w:val="0"/>
        <w:spacing w:line="360" w:lineRule="exact"/>
        <w:ind w:firstLine="42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7.</w:t>
      </w:r>
      <w:r>
        <w:rPr>
          <w:rFonts w:hint="eastAsia" w:ascii="宋体" w:hAnsi="宋体" w:eastAsia="宋体" w:cs="宋体"/>
          <w:color w:val="auto"/>
          <w:kern w:val="0"/>
          <w:sz w:val="24"/>
          <w:szCs w:val="24"/>
          <w:highlight w:val="none"/>
        </w:rPr>
        <w:t>本协议书一式</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份，联合体成员和采购代理机构各执一份。</w:t>
      </w:r>
    </w:p>
    <w:p>
      <w:pPr>
        <w:autoSpaceDE w:val="0"/>
        <w:autoSpaceDN w:val="0"/>
        <w:adjustRightInd w:val="0"/>
        <w:spacing w:line="360" w:lineRule="exact"/>
        <w:ind w:firstLine="42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注：本协议书由法定代表人签字的，应附法定代表人身份证明；本协议书由委托代理人签字的，应附法定代表人授权委托书。</w:t>
      </w:r>
    </w:p>
    <w:p>
      <w:pPr>
        <w:autoSpaceDE w:val="0"/>
        <w:autoSpaceDN w:val="0"/>
        <w:adjustRightInd w:val="0"/>
        <w:spacing w:line="36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牵头人名称：</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（盖公章）</w:t>
      </w:r>
    </w:p>
    <w:p>
      <w:pPr>
        <w:autoSpaceDE w:val="0"/>
        <w:autoSpaceDN w:val="0"/>
        <w:adjustRightInd w:val="0"/>
        <w:spacing w:line="36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法定代表人或其委托代理人：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（签字）</w:t>
      </w:r>
    </w:p>
    <w:p>
      <w:pPr>
        <w:autoSpaceDE w:val="0"/>
        <w:autoSpaceDN w:val="0"/>
        <w:adjustRightInd w:val="0"/>
        <w:spacing w:line="360" w:lineRule="exact"/>
        <w:jc w:val="left"/>
        <w:rPr>
          <w:rFonts w:hint="eastAsia" w:ascii="宋体" w:hAnsi="宋体" w:eastAsia="宋体" w:cs="宋体"/>
          <w:color w:val="auto"/>
          <w:kern w:val="0"/>
          <w:sz w:val="24"/>
          <w:szCs w:val="24"/>
          <w:highlight w:val="none"/>
        </w:rPr>
      </w:pPr>
    </w:p>
    <w:p>
      <w:pPr>
        <w:autoSpaceDE w:val="0"/>
        <w:autoSpaceDN w:val="0"/>
        <w:adjustRightInd w:val="0"/>
        <w:spacing w:line="36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成员一名称：</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（盖公章）</w:t>
      </w:r>
    </w:p>
    <w:p>
      <w:pPr>
        <w:autoSpaceDE w:val="0"/>
        <w:autoSpaceDN w:val="0"/>
        <w:adjustRightInd w:val="0"/>
        <w:spacing w:line="36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法定代表人或其委托代理人：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（签字）</w:t>
      </w:r>
    </w:p>
    <w:p>
      <w:pPr>
        <w:autoSpaceDE w:val="0"/>
        <w:autoSpaceDN w:val="0"/>
        <w:adjustRightInd w:val="0"/>
        <w:spacing w:line="360" w:lineRule="exact"/>
        <w:jc w:val="left"/>
        <w:rPr>
          <w:rFonts w:hint="eastAsia" w:ascii="宋体" w:hAnsi="宋体" w:eastAsia="宋体" w:cs="宋体"/>
          <w:color w:val="auto"/>
          <w:kern w:val="0"/>
          <w:szCs w:val="21"/>
          <w:highlight w:val="none"/>
        </w:rPr>
      </w:pPr>
    </w:p>
    <w:p>
      <w:pPr>
        <w:autoSpaceDE w:val="0"/>
        <w:autoSpaceDN w:val="0"/>
        <w:adjustRightInd w:val="0"/>
        <w:spacing w:line="36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成员二名称：</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（盖公章）</w:t>
      </w:r>
    </w:p>
    <w:p>
      <w:pPr>
        <w:autoSpaceDE w:val="0"/>
        <w:autoSpaceDN w:val="0"/>
        <w:adjustRightInd w:val="0"/>
        <w:spacing w:line="36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法定代表人或其委托代理人：                         （签字）</w:t>
      </w:r>
    </w:p>
    <w:p>
      <w:pPr>
        <w:pStyle w:val="6"/>
        <w:overflowPunct w:val="0"/>
        <w:spacing w:line="360" w:lineRule="exact"/>
        <w:ind w:firstLineChars="175"/>
        <w:rPr>
          <w:rFonts w:hint="eastAsia" w:ascii="宋体" w:hAnsi="宋体" w:cs="宋体"/>
          <w:color w:val="auto"/>
          <w:sz w:val="24"/>
          <w:highlight w:val="none"/>
        </w:rPr>
      </w:pPr>
      <w:r>
        <w:rPr>
          <w:rFonts w:hint="eastAsia" w:ascii="宋体" w:hAnsi="宋体" w:cs="宋体"/>
          <w:color w:val="auto"/>
          <w:sz w:val="24"/>
          <w:highlight w:val="none"/>
        </w:rPr>
        <w:t>……</w:t>
      </w:r>
    </w:p>
    <w:p>
      <w:pPr>
        <w:autoSpaceDE w:val="0"/>
        <w:autoSpaceDN w:val="0"/>
        <w:adjustRightInd w:val="0"/>
        <w:spacing w:line="360" w:lineRule="exact"/>
        <w:jc w:val="left"/>
        <w:rPr>
          <w:rFonts w:hint="eastAsia" w:ascii="宋体" w:hAnsi="宋体" w:eastAsia="宋体" w:cs="宋体"/>
          <w:color w:val="auto"/>
          <w:kern w:val="0"/>
          <w:sz w:val="24"/>
          <w:szCs w:val="24"/>
          <w:highlight w:val="none"/>
        </w:rPr>
      </w:pPr>
    </w:p>
    <w:p>
      <w:pPr>
        <w:autoSpaceDE w:val="0"/>
        <w:autoSpaceDN w:val="0"/>
        <w:adjustRightInd w:val="0"/>
        <w:spacing w:line="360" w:lineRule="exact"/>
        <w:jc w:val="left"/>
        <w:rPr>
          <w:rFonts w:hint="eastAsia" w:ascii="宋体" w:hAnsi="宋体" w:eastAsia="宋体" w:cs="宋体"/>
          <w:color w:val="auto"/>
          <w:kern w:val="0"/>
          <w:sz w:val="24"/>
          <w:szCs w:val="24"/>
          <w:highlight w:val="none"/>
        </w:rPr>
      </w:pPr>
    </w:p>
    <w:p>
      <w:pPr>
        <w:autoSpaceDE w:val="0"/>
        <w:autoSpaceDN w:val="0"/>
        <w:spacing w:line="360" w:lineRule="exact"/>
        <w:ind w:left="4365" w:leftChars="1850" w:hanging="480" w:hangingChars="200"/>
        <w:rPr>
          <w:rFonts w:hint="eastAsia" w:ascii="宋体" w:hAnsi="宋体" w:eastAsia="宋体" w:cs="宋体"/>
          <w:color w:val="auto"/>
          <w:kern w:val="0"/>
          <w:sz w:val="24"/>
          <w:szCs w:val="24"/>
          <w:highlight w:val="none"/>
        </w:rPr>
      </w:pPr>
    </w:p>
    <w:p>
      <w:pPr>
        <w:autoSpaceDE w:val="0"/>
        <w:autoSpaceDN w:val="0"/>
        <w:spacing w:line="360" w:lineRule="exact"/>
        <w:ind w:firstLine="6120" w:firstLineChars="255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日期：  年  月   日</w:t>
      </w:r>
    </w:p>
    <w:p>
      <w:pPr>
        <w:autoSpaceDE w:val="0"/>
        <w:autoSpaceDN w:val="0"/>
        <w:spacing w:line="360" w:lineRule="exact"/>
        <w:ind w:firstLine="6120" w:firstLineChars="2550"/>
        <w:rPr>
          <w:rFonts w:hint="eastAsia" w:ascii="仿宋_GB2312" w:hAnsi="仿宋" w:eastAsia="仿宋_GB2312" w:cs="仿宋_GB2312"/>
          <w:color w:val="auto"/>
          <w:kern w:val="0"/>
          <w:sz w:val="24"/>
          <w:szCs w:val="24"/>
          <w:highlight w:val="none"/>
          <w:lang w:val="zh-CN"/>
        </w:rPr>
      </w:pPr>
    </w:p>
    <w:p>
      <w:pPr>
        <w:autoSpaceDE w:val="0"/>
        <w:autoSpaceDN w:val="0"/>
        <w:spacing w:line="360" w:lineRule="auto"/>
        <w:ind w:firstLine="6120" w:firstLineChars="2550"/>
        <w:rPr>
          <w:rFonts w:hint="eastAsia" w:ascii="仿宋_GB2312" w:hAnsi="仿宋" w:eastAsia="仿宋_GB2312" w:cs="仿宋_GB2312"/>
          <w:color w:val="auto"/>
          <w:kern w:val="0"/>
          <w:sz w:val="24"/>
          <w:szCs w:val="24"/>
          <w:highlight w:val="none"/>
          <w:lang w:val="zh-CN"/>
        </w:rPr>
      </w:pPr>
    </w:p>
    <w:p>
      <w:pPr>
        <w:keepNext/>
        <w:keepLines/>
        <w:spacing w:before="260" w:after="260" w:line="416" w:lineRule="auto"/>
        <w:jc w:val="center"/>
        <w:outlineLvl w:val="1"/>
        <w:rPr>
          <w:rFonts w:hint="eastAsia" w:ascii="宋体" w:hAnsi="宋体" w:eastAsia="宋体" w:cs="Times New Roman"/>
          <w:bCs/>
          <w:color w:val="auto"/>
          <w:sz w:val="32"/>
          <w:szCs w:val="32"/>
          <w:highlight w:val="none"/>
          <w:lang w:val="zh-CN"/>
        </w:rPr>
      </w:pPr>
      <w:bookmarkStart w:id="177" w:name="_Toc26899"/>
      <w:bookmarkStart w:id="178" w:name="_Toc80205940"/>
      <w:bookmarkStart w:id="179" w:name="_Toc798"/>
      <w:r>
        <w:rPr>
          <w:rFonts w:hint="eastAsia" w:ascii="宋体" w:hAnsi="宋体" w:eastAsia="宋体" w:cs="Times New Roman"/>
          <w:color w:val="auto"/>
          <w:sz w:val="32"/>
          <w:szCs w:val="32"/>
          <w:highlight w:val="none"/>
          <w:lang w:val="zh-CN"/>
        </w:rPr>
        <w:t xml:space="preserve">第二节 </w:t>
      </w:r>
      <w:r>
        <w:rPr>
          <w:rFonts w:hint="eastAsia" w:ascii="宋体" w:hAnsi="宋体" w:eastAsia="宋体" w:cs="Times New Roman"/>
          <w:bCs/>
          <w:color w:val="auto"/>
          <w:sz w:val="32"/>
          <w:szCs w:val="32"/>
          <w:highlight w:val="none"/>
          <w:lang w:val="zh-CN"/>
        </w:rPr>
        <w:t>商务技术文件格式</w:t>
      </w:r>
      <w:bookmarkEnd w:id="177"/>
      <w:bookmarkEnd w:id="178"/>
      <w:bookmarkEnd w:id="179"/>
    </w:p>
    <w:p>
      <w:pPr>
        <w:snapToGrid w:val="0"/>
        <w:spacing w:before="120" w:beforeLines="50" w:after="50"/>
        <w:rPr>
          <w:rFonts w:hint="eastAsia" w:ascii="宋体" w:hAnsi="宋体" w:eastAsia="宋体" w:cs="Times New Roman"/>
          <w:color w:val="auto"/>
          <w:sz w:val="24"/>
          <w:szCs w:val="24"/>
          <w:highlight w:val="none"/>
        </w:rPr>
      </w:pPr>
      <w:r>
        <w:rPr>
          <w:rFonts w:hint="eastAsia" w:ascii="宋体" w:hAnsi="宋体" w:cs="宋体"/>
          <w:b/>
          <w:color w:val="auto"/>
          <w:sz w:val="28"/>
          <w:szCs w:val="28"/>
          <w:highlight w:val="none"/>
        </w:rPr>
        <w:t>1.</w:t>
      </w:r>
      <w:r>
        <w:rPr>
          <w:rFonts w:hint="eastAsia" w:ascii="宋体" w:hAnsi="宋体" w:eastAsia="宋体" w:cs="宋体"/>
          <w:b/>
          <w:color w:val="auto"/>
          <w:sz w:val="28"/>
          <w:szCs w:val="28"/>
          <w:highlight w:val="none"/>
        </w:rPr>
        <w:t>商务技术文件封面</w:t>
      </w:r>
      <w:r>
        <w:rPr>
          <w:rFonts w:hint="eastAsia" w:ascii="宋体" w:hAnsi="宋体" w:cs="宋体"/>
          <w:b/>
          <w:color w:val="auto"/>
          <w:sz w:val="28"/>
          <w:szCs w:val="28"/>
          <w:highlight w:val="none"/>
        </w:rPr>
        <w:t>的</w:t>
      </w:r>
      <w:r>
        <w:rPr>
          <w:rFonts w:hint="eastAsia" w:ascii="宋体" w:hAnsi="宋体" w:eastAsia="宋体" w:cs="宋体"/>
          <w:b/>
          <w:color w:val="auto"/>
          <w:sz w:val="28"/>
          <w:szCs w:val="28"/>
          <w:highlight w:val="none"/>
        </w:rPr>
        <w:t>格式</w:t>
      </w:r>
      <w:r>
        <w:rPr>
          <w:rFonts w:hint="eastAsia" w:ascii="宋体" w:hAnsi="宋体" w:eastAsia="宋体" w:cs="宋体"/>
          <w:b/>
          <w:bCs/>
          <w:color w:val="auto"/>
          <w:sz w:val="28"/>
          <w:szCs w:val="28"/>
          <w:highlight w:val="none"/>
        </w:rPr>
        <w:t>（参照此格式自拟）</w:t>
      </w:r>
      <w:r>
        <w:rPr>
          <w:rFonts w:hint="eastAsia" w:ascii="宋体" w:hAnsi="宋体" w:eastAsia="宋体" w:cs="宋体"/>
          <w:b/>
          <w:color w:val="auto"/>
          <w:sz w:val="28"/>
          <w:szCs w:val="28"/>
          <w:highlight w:val="none"/>
        </w:rPr>
        <w:t>：</w:t>
      </w:r>
      <w:r>
        <w:rPr>
          <w:rFonts w:hint="eastAsia" w:ascii="宋体" w:hAnsi="宋体" w:eastAsia="宋体" w:cs="Times New Roman"/>
          <w:color w:val="auto"/>
          <w:sz w:val="24"/>
          <w:szCs w:val="24"/>
          <w:highlight w:val="none"/>
        </w:rPr>
        <w:t xml:space="preserve">                                                   </w:t>
      </w:r>
    </w:p>
    <w:p>
      <w:pPr>
        <w:snapToGrid w:val="0"/>
        <w:spacing w:before="120" w:beforeLines="50" w:after="50"/>
        <w:ind w:firstLine="6480" w:firstLineChars="2700"/>
        <w:rPr>
          <w:rFonts w:hint="eastAsia" w:ascii="宋体" w:hAnsi="宋体" w:eastAsia="宋体" w:cs="Times New Roman"/>
          <w:bCs/>
          <w:color w:val="auto"/>
          <w:sz w:val="32"/>
          <w:szCs w:val="20"/>
          <w:highlight w:val="none"/>
        </w:rPr>
      </w:pPr>
      <w:r>
        <w:rPr>
          <w:rFonts w:hint="eastAsia" w:ascii="宋体" w:hAnsi="宋体" w:eastAsia="宋体" w:cs="Times New Roman"/>
          <w:color w:val="auto"/>
          <w:sz w:val="24"/>
          <w:szCs w:val="24"/>
          <w:highlight w:val="none"/>
        </w:rPr>
        <w:t xml:space="preserve"> </w:t>
      </w:r>
      <w:r>
        <w:rPr>
          <w:rFonts w:hint="eastAsia" w:ascii="宋体" w:hAnsi="宋体" w:eastAsia="宋体" w:cs="Times New Roman"/>
          <w:bCs/>
          <w:color w:val="auto"/>
          <w:szCs w:val="24"/>
          <w:highlight w:val="none"/>
        </w:rPr>
        <w:t>全流程电子文件</w:t>
      </w:r>
    </w:p>
    <w:p>
      <w:pPr>
        <w:snapToGrid w:val="0"/>
        <w:spacing w:before="120" w:beforeLines="50" w:after="50"/>
        <w:rPr>
          <w:rFonts w:hint="eastAsia" w:ascii="宋体" w:hAnsi="宋体" w:eastAsia="宋体" w:cs="Times New Roman"/>
          <w:color w:val="auto"/>
          <w:sz w:val="24"/>
          <w:szCs w:val="20"/>
          <w:highlight w:val="none"/>
        </w:rPr>
      </w:pPr>
    </w:p>
    <w:p>
      <w:pPr>
        <w:snapToGrid w:val="0"/>
        <w:spacing w:before="120" w:beforeLines="50" w:after="50"/>
        <w:rPr>
          <w:rFonts w:hint="eastAsia" w:ascii="宋体" w:hAnsi="宋体" w:eastAsia="宋体" w:cs="Times New Roman"/>
          <w:color w:val="auto"/>
          <w:sz w:val="24"/>
          <w:szCs w:val="20"/>
          <w:highlight w:val="none"/>
        </w:rPr>
      </w:pPr>
    </w:p>
    <w:p>
      <w:pPr>
        <w:snapToGrid w:val="0"/>
        <w:spacing w:before="120" w:beforeLines="50" w:after="50"/>
        <w:rPr>
          <w:rFonts w:hint="eastAsia" w:ascii="宋体" w:hAnsi="宋体" w:eastAsia="宋体" w:cs="Times New Roman"/>
          <w:color w:val="auto"/>
          <w:sz w:val="24"/>
          <w:szCs w:val="20"/>
          <w:highlight w:val="none"/>
        </w:rPr>
      </w:pPr>
    </w:p>
    <w:p>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  务  技  术  文  件</w:t>
      </w:r>
    </w:p>
    <w:p>
      <w:pPr>
        <w:snapToGrid w:val="0"/>
        <w:spacing w:before="120" w:beforeLines="50" w:after="50"/>
        <w:rPr>
          <w:rFonts w:hint="eastAsia" w:ascii="宋体" w:hAnsi="宋体" w:eastAsia="宋体" w:cs="Times New Roman"/>
          <w:bCs/>
          <w:color w:val="auto"/>
          <w:sz w:val="24"/>
          <w:szCs w:val="20"/>
          <w:highlight w:val="none"/>
        </w:rPr>
      </w:pPr>
    </w:p>
    <w:p>
      <w:pPr>
        <w:snapToGrid w:val="0"/>
        <w:spacing w:before="120" w:beforeLines="50" w:after="50"/>
        <w:rPr>
          <w:rFonts w:hint="eastAsia" w:ascii="宋体" w:hAnsi="宋体" w:eastAsia="宋体" w:cs="Times New Roman"/>
          <w:bCs/>
          <w:color w:val="auto"/>
          <w:sz w:val="24"/>
          <w:szCs w:val="20"/>
          <w:highlight w:val="none"/>
        </w:rPr>
      </w:pPr>
    </w:p>
    <w:p>
      <w:pPr>
        <w:snapToGrid w:val="0"/>
        <w:spacing w:before="120" w:beforeLines="50" w:after="50"/>
        <w:rPr>
          <w:rFonts w:hint="eastAsia" w:ascii="宋体" w:hAnsi="宋体" w:eastAsia="宋体" w:cs="Times New Roman"/>
          <w:bCs/>
          <w:color w:val="auto"/>
          <w:sz w:val="24"/>
          <w:szCs w:val="20"/>
          <w:highlight w:val="none"/>
        </w:rPr>
      </w:pPr>
    </w:p>
    <w:p>
      <w:pPr>
        <w:snapToGrid w:val="0"/>
        <w:spacing w:before="120" w:beforeLines="50" w:after="50"/>
        <w:rPr>
          <w:rFonts w:hint="eastAsia" w:ascii="宋体" w:hAnsi="宋体" w:eastAsia="宋体" w:cs="Times New Roman"/>
          <w:bCs/>
          <w:color w:val="auto"/>
          <w:sz w:val="24"/>
          <w:szCs w:val="20"/>
          <w:highlight w:val="none"/>
        </w:rPr>
      </w:pPr>
    </w:p>
    <w:p>
      <w:pPr>
        <w:snapToGrid w:val="0"/>
        <w:spacing w:before="120" w:beforeLines="50" w:after="50"/>
        <w:rPr>
          <w:rFonts w:hint="eastAsia" w:ascii="宋体" w:hAnsi="宋体" w:eastAsia="宋体" w:cs="Times New Roman"/>
          <w:bCs/>
          <w:color w:val="auto"/>
          <w:sz w:val="24"/>
          <w:szCs w:val="20"/>
          <w:highlight w:val="none"/>
        </w:rPr>
      </w:pPr>
    </w:p>
    <w:p>
      <w:pPr>
        <w:snapToGrid w:val="0"/>
        <w:spacing w:before="120" w:beforeLines="50" w:after="50"/>
        <w:ind w:firstLine="640" w:firstLineChars="200"/>
        <w:rPr>
          <w:rFonts w:hint="eastAsia"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 xml:space="preserve">项目名称： </w:t>
      </w:r>
    </w:p>
    <w:p>
      <w:pPr>
        <w:snapToGrid w:val="0"/>
        <w:spacing w:before="120" w:beforeLines="50" w:after="50"/>
        <w:ind w:firstLine="720" w:firstLineChars="225"/>
        <w:rPr>
          <w:rFonts w:hint="eastAsia" w:ascii="宋体" w:hAnsi="宋体" w:eastAsia="宋体" w:cs="仿宋_GB2312"/>
          <w:bCs/>
          <w:color w:val="auto"/>
          <w:sz w:val="32"/>
          <w:szCs w:val="32"/>
          <w:highlight w:val="none"/>
        </w:rPr>
      </w:pPr>
    </w:p>
    <w:p>
      <w:pPr>
        <w:snapToGrid w:val="0"/>
        <w:spacing w:before="120" w:beforeLines="50" w:after="50"/>
        <w:ind w:firstLine="640" w:firstLineChars="200"/>
        <w:rPr>
          <w:rFonts w:hint="eastAsia"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 xml:space="preserve">项目编号： </w:t>
      </w:r>
    </w:p>
    <w:p>
      <w:pPr>
        <w:snapToGrid w:val="0"/>
        <w:spacing w:before="120" w:beforeLines="50" w:after="50"/>
        <w:ind w:firstLine="720" w:firstLineChars="225"/>
        <w:rPr>
          <w:rFonts w:hint="eastAsia"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 xml:space="preserve"> </w:t>
      </w:r>
    </w:p>
    <w:p>
      <w:pPr>
        <w:snapToGrid w:val="0"/>
        <w:spacing w:before="120" w:beforeLines="50" w:after="50"/>
        <w:ind w:firstLine="640" w:firstLineChars="200"/>
        <w:rPr>
          <w:rFonts w:hint="eastAsia"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所竞分标（如有则填写，无分标时填写“无”或者留空）：</w:t>
      </w:r>
    </w:p>
    <w:p>
      <w:pPr>
        <w:snapToGrid w:val="0"/>
        <w:spacing w:before="120" w:beforeLines="50" w:after="50"/>
        <w:ind w:firstLine="720" w:firstLineChars="225"/>
        <w:rPr>
          <w:rFonts w:hint="eastAsia" w:ascii="宋体" w:hAnsi="宋体" w:eastAsia="宋体" w:cs="仿宋_GB2312"/>
          <w:bCs/>
          <w:color w:val="auto"/>
          <w:sz w:val="32"/>
          <w:szCs w:val="32"/>
          <w:highlight w:val="none"/>
        </w:rPr>
      </w:pPr>
    </w:p>
    <w:p>
      <w:pPr>
        <w:snapToGrid w:val="0"/>
        <w:spacing w:before="50" w:after="50"/>
        <w:ind w:firstLine="640" w:firstLineChars="200"/>
        <w:rPr>
          <w:rFonts w:hint="eastAsia"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供应商名称：</w:t>
      </w:r>
    </w:p>
    <w:p>
      <w:pPr>
        <w:snapToGrid w:val="0"/>
        <w:spacing w:before="50" w:after="50"/>
        <w:ind w:firstLine="720" w:firstLineChars="225"/>
        <w:rPr>
          <w:rFonts w:hint="eastAsia" w:ascii="宋体" w:hAnsi="宋体" w:eastAsia="宋体" w:cs="仿宋_GB2312"/>
          <w:bCs/>
          <w:color w:val="auto"/>
          <w:sz w:val="32"/>
          <w:szCs w:val="32"/>
          <w:highlight w:val="none"/>
        </w:rPr>
      </w:pPr>
    </w:p>
    <w:p>
      <w:pPr>
        <w:snapToGrid w:val="0"/>
        <w:spacing w:before="50" w:after="50"/>
        <w:ind w:firstLine="720" w:firstLineChars="225"/>
        <w:rPr>
          <w:rFonts w:hint="eastAsia" w:ascii="宋体" w:hAnsi="宋体" w:eastAsia="宋体" w:cs="仿宋_GB2312"/>
          <w:bCs/>
          <w:color w:val="auto"/>
          <w:sz w:val="32"/>
          <w:szCs w:val="32"/>
          <w:highlight w:val="none"/>
        </w:rPr>
      </w:pPr>
    </w:p>
    <w:p>
      <w:pPr>
        <w:snapToGrid w:val="0"/>
        <w:spacing w:before="50" w:after="50"/>
        <w:ind w:firstLine="1280" w:firstLineChars="400"/>
        <w:rPr>
          <w:rFonts w:hint="eastAsia" w:ascii="宋体" w:hAnsi="宋体" w:eastAsia="宋体" w:cs="仿宋_GB2312"/>
          <w:bCs/>
          <w:color w:val="auto"/>
          <w:sz w:val="32"/>
          <w:szCs w:val="32"/>
          <w:highlight w:val="none"/>
        </w:rPr>
      </w:pPr>
    </w:p>
    <w:p>
      <w:pPr>
        <w:snapToGrid w:val="0"/>
        <w:spacing w:before="120" w:beforeLines="50" w:after="50"/>
        <w:jc w:val="center"/>
        <w:rPr>
          <w:rFonts w:hint="eastAsia" w:ascii="宋体" w:hAnsi="宋体" w:eastAsia="宋体" w:cs="仿宋_GB2312"/>
          <w:color w:val="auto"/>
          <w:sz w:val="32"/>
          <w:szCs w:val="32"/>
          <w:highlight w:val="none"/>
        </w:rPr>
      </w:pPr>
      <w:r>
        <w:rPr>
          <w:rFonts w:hint="eastAsia" w:ascii="宋体" w:hAnsi="宋体" w:eastAsia="宋体" w:cs="仿宋_GB2312"/>
          <w:color w:val="auto"/>
          <w:sz w:val="32"/>
          <w:szCs w:val="32"/>
          <w:highlight w:val="none"/>
        </w:rPr>
        <w:t>年    月    日</w:t>
      </w:r>
    </w:p>
    <w:p>
      <w:pPr>
        <w:spacing w:line="360" w:lineRule="auto"/>
        <w:ind w:right="420"/>
        <w:rPr>
          <w:rFonts w:hint="eastAsia" w:ascii="宋体" w:hAnsi="宋体" w:cs="宋体"/>
          <w:color w:val="auto"/>
          <w:sz w:val="24"/>
          <w:szCs w:val="20"/>
          <w:highlight w:val="none"/>
        </w:rPr>
      </w:pPr>
      <w:r>
        <w:rPr>
          <w:rFonts w:ascii="宋体" w:hAnsi="宋体" w:eastAsia="宋体" w:cs="Times New Roman"/>
          <w:color w:val="auto"/>
          <w:sz w:val="24"/>
          <w:szCs w:val="24"/>
          <w:highlight w:val="none"/>
        </w:rPr>
        <w:br w:type="page"/>
      </w:r>
      <w:r>
        <w:rPr>
          <w:rFonts w:hint="eastAsia" w:ascii="宋体" w:hAnsi="宋体" w:eastAsia="宋体" w:cs="宋体"/>
          <w:b/>
          <w:bCs/>
          <w:color w:val="auto"/>
          <w:sz w:val="28"/>
          <w:szCs w:val="28"/>
          <w:highlight w:val="none"/>
        </w:rPr>
        <w:t>2.商务技术文件目录</w:t>
      </w:r>
    </w:p>
    <w:p>
      <w:pPr>
        <w:spacing w:line="360" w:lineRule="auto"/>
        <w:rPr>
          <w:rFonts w:hint="eastAsia" w:ascii="仿宋_GB2312" w:hAnsi="仿宋" w:eastAsia="仿宋_GB2312" w:cs="仿宋_GB2312"/>
          <w:b/>
          <w:bCs/>
          <w:color w:val="auto"/>
          <w:sz w:val="24"/>
          <w:szCs w:val="24"/>
          <w:highlight w:val="none"/>
        </w:rPr>
      </w:pPr>
      <w:r>
        <w:rPr>
          <w:rFonts w:hint="eastAsia" w:ascii="宋体" w:hAnsi="宋体" w:eastAsia="宋体" w:cs="宋体"/>
          <w:color w:val="auto"/>
          <w:kern w:val="0"/>
          <w:sz w:val="24"/>
          <w:szCs w:val="24"/>
          <w:highlight w:val="none"/>
        </w:rPr>
        <w:t>根据竞争性谈判文件规定及供应商提供的材料自行编写目录（部分格式后附）。</w:t>
      </w:r>
    </w:p>
    <w:p>
      <w:pPr>
        <w:snapToGrid w:val="0"/>
        <w:spacing w:before="120" w:beforeLines="50" w:after="50" w:line="360" w:lineRule="auto"/>
        <w:ind w:left="142" w:firstLine="640" w:firstLineChars="200"/>
        <w:jc w:val="left"/>
        <w:rPr>
          <w:rFonts w:hint="eastAsia" w:ascii="仿宋_GB2312" w:hAnsi="仿宋_GB2312" w:eastAsia="仿宋_GB2312" w:cs="仿宋_GB2312"/>
          <w:color w:val="auto"/>
          <w:sz w:val="32"/>
          <w:szCs w:val="32"/>
          <w:highlight w:val="none"/>
        </w:rPr>
      </w:pPr>
    </w:p>
    <w:p>
      <w:pPr>
        <w:spacing w:line="520" w:lineRule="exact"/>
        <w:ind w:firstLine="220" w:firstLineChars="50"/>
        <w:jc w:val="left"/>
        <w:rPr>
          <w:rFonts w:hint="eastAsia" w:ascii="宋体" w:hAnsi="宋体" w:eastAsia="宋体" w:cs="宋体"/>
          <w:color w:val="auto"/>
          <w:sz w:val="28"/>
          <w:szCs w:val="28"/>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宋体" w:hAnsi="宋体" w:eastAsia="宋体" w:cs="宋体"/>
          <w:b/>
          <w:color w:val="auto"/>
          <w:sz w:val="28"/>
          <w:szCs w:val="28"/>
          <w:highlight w:val="none"/>
        </w:rPr>
        <w:t>3.无串通竞标行为的承诺函的格式：</w:t>
      </w:r>
    </w:p>
    <w:p>
      <w:pPr>
        <w:spacing w:line="520" w:lineRule="exact"/>
        <w:jc w:val="center"/>
        <w:rPr>
          <w:rFonts w:hint="eastAsia" w:ascii="方正小标宋简体" w:hAnsi="方正小标宋简体" w:eastAsia="方正小标宋简体" w:cs="方正小标宋简体"/>
          <w:color w:val="auto"/>
          <w:sz w:val="44"/>
          <w:szCs w:val="44"/>
          <w:highlight w:val="none"/>
        </w:rPr>
      </w:pPr>
    </w:p>
    <w:p>
      <w:pPr>
        <w:spacing w:line="520" w:lineRule="exact"/>
        <w:jc w:val="center"/>
        <w:rPr>
          <w:rFonts w:hint="eastAsia" w:ascii="宋体" w:hAnsi="宋体" w:eastAsia="宋体" w:cs="宋体"/>
          <w:color w:val="auto"/>
          <w:sz w:val="36"/>
          <w:szCs w:val="36"/>
          <w:highlight w:val="none"/>
        </w:rPr>
      </w:pPr>
      <w:r>
        <w:rPr>
          <w:rFonts w:hint="eastAsia" w:ascii="宋体" w:hAnsi="宋体" w:eastAsia="宋体" w:cs="宋体"/>
          <w:b/>
          <w:bCs/>
          <w:color w:val="auto"/>
          <w:sz w:val="32"/>
          <w:szCs w:val="32"/>
          <w:highlight w:val="none"/>
        </w:rPr>
        <w:t>无串通竞标行为的承诺函</w:t>
      </w:r>
    </w:p>
    <w:p>
      <w:pPr>
        <w:spacing w:line="400" w:lineRule="exact"/>
        <w:contextualSpacing/>
        <w:rPr>
          <w:rFonts w:hint="eastAsia" w:ascii="仿宋_GB2312" w:hAnsi="仿宋_GB2312" w:eastAsia="仿宋_GB2312" w:cs="仿宋_GB2312"/>
          <w:color w:val="auto"/>
          <w:sz w:val="32"/>
          <w:szCs w:val="32"/>
          <w:highlight w:val="none"/>
        </w:rPr>
      </w:pPr>
    </w:p>
    <w:p>
      <w:pPr>
        <w:spacing w:line="400" w:lineRule="exact"/>
        <w:ind w:firstLine="482" w:firstLineChars="200"/>
        <w:contextualSpacing/>
        <w:rPr>
          <w:rFonts w:hint="eastAsia" w:ascii="宋体" w:hAnsi="宋体" w:eastAsia="宋体" w:cs="仿宋_GB2312"/>
          <w:b/>
          <w:bCs/>
          <w:color w:val="auto"/>
          <w:sz w:val="24"/>
          <w:szCs w:val="24"/>
          <w:highlight w:val="none"/>
        </w:rPr>
      </w:pPr>
      <w:r>
        <w:rPr>
          <w:rFonts w:hint="eastAsia" w:ascii="宋体" w:hAnsi="宋体" w:eastAsia="宋体" w:cs="仿宋_GB2312"/>
          <w:b/>
          <w:bCs/>
          <w:color w:val="auto"/>
          <w:sz w:val="24"/>
          <w:szCs w:val="24"/>
          <w:highlight w:val="none"/>
        </w:rPr>
        <w:t>一、我方承诺无下列相互串通竞标的情形：</w:t>
      </w:r>
    </w:p>
    <w:p>
      <w:pPr>
        <w:spacing w:line="400" w:lineRule="exact"/>
        <w:ind w:firstLine="480" w:firstLineChars="20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1.不同供应商的响应文件由同一单位或者个人编制；或不同供应商报名的IP地址一致的；</w:t>
      </w:r>
    </w:p>
    <w:p>
      <w:pPr>
        <w:spacing w:line="400" w:lineRule="exact"/>
        <w:ind w:firstLine="480" w:firstLineChars="20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2.不同供应商委托同一单位或者个人办理竞标事宜；</w:t>
      </w:r>
    </w:p>
    <w:p>
      <w:pPr>
        <w:spacing w:line="400" w:lineRule="exact"/>
        <w:ind w:firstLine="480" w:firstLineChars="20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3.不同的供应商的响应文件载明的项目管理员为同一个人；</w:t>
      </w:r>
    </w:p>
    <w:p>
      <w:pPr>
        <w:spacing w:line="400" w:lineRule="exact"/>
        <w:ind w:firstLine="480" w:firstLineChars="20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4.不</w:t>
      </w:r>
      <w:r>
        <w:rPr>
          <w:rFonts w:hint="eastAsia" w:ascii="宋体" w:hAnsi="宋体" w:eastAsia="宋体" w:cs="仿宋_GB2312"/>
          <w:color w:val="auto"/>
          <w:spacing w:val="-6"/>
          <w:sz w:val="24"/>
          <w:szCs w:val="24"/>
          <w:highlight w:val="none"/>
        </w:rPr>
        <w:t>同供应商的响应文件异常一致或者竞标报价呈规律性差异；</w:t>
      </w:r>
    </w:p>
    <w:p>
      <w:pPr>
        <w:spacing w:line="400" w:lineRule="exact"/>
        <w:ind w:firstLine="480" w:firstLineChars="20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5.不同供应商的响应文件相互混装；</w:t>
      </w:r>
    </w:p>
    <w:p>
      <w:pPr>
        <w:spacing w:line="400" w:lineRule="exact"/>
        <w:ind w:firstLine="480" w:firstLineChars="20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6.不同供应商的谈判保证金从同一单位或者个人账户转出。</w:t>
      </w:r>
    </w:p>
    <w:p>
      <w:pPr>
        <w:spacing w:line="400" w:lineRule="exact"/>
        <w:ind w:firstLine="482" w:firstLineChars="200"/>
        <w:contextualSpacing/>
        <w:rPr>
          <w:rFonts w:hint="eastAsia" w:ascii="宋体" w:hAnsi="宋体" w:eastAsia="宋体" w:cs="仿宋_GB2312"/>
          <w:b/>
          <w:bCs/>
          <w:color w:val="auto"/>
          <w:sz w:val="24"/>
          <w:szCs w:val="24"/>
          <w:highlight w:val="none"/>
        </w:rPr>
      </w:pPr>
      <w:r>
        <w:rPr>
          <w:rFonts w:hint="eastAsia" w:ascii="宋体" w:hAnsi="宋体" w:eastAsia="宋体" w:cs="仿宋_GB2312"/>
          <w:b/>
          <w:bCs/>
          <w:color w:val="auto"/>
          <w:sz w:val="24"/>
          <w:szCs w:val="24"/>
          <w:highlight w:val="none"/>
        </w:rPr>
        <w:t>二、我方承诺无下列恶意串通的情形：</w:t>
      </w:r>
    </w:p>
    <w:p>
      <w:pPr>
        <w:spacing w:line="400" w:lineRule="exact"/>
        <w:ind w:firstLine="480" w:firstLineChars="20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1.供应商直接或者间接从采购人或者采购代理机构处获得其他供应商的相关信息并修改其响应文件；</w:t>
      </w:r>
    </w:p>
    <w:p>
      <w:pPr>
        <w:spacing w:line="400" w:lineRule="exact"/>
        <w:ind w:firstLine="480" w:firstLineChars="20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2.供应商按照采购人或者采购代理机构的授意撤换、修改响应文件；</w:t>
      </w:r>
    </w:p>
    <w:p>
      <w:pPr>
        <w:spacing w:line="400" w:lineRule="exact"/>
        <w:ind w:firstLine="480" w:firstLineChars="20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3.供</w:t>
      </w:r>
      <w:r>
        <w:rPr>
          <w:rFonts w:hint="eastAsia" w:ascii="宋体" w:hAnsi="宋体" w:eastAsia="宋体" w:cs="仿宋_GB2312"/>
          <w:color w:val="auto"/>
          <w:spacing w:val="-6"/>
          <w:sz w:val="24"/>
          <w:szCs w:val="24"/>
          <w:highlight w:val="none"/>
        </w:rPr>
        <w:t>应商之间协商报价、技术方案等响应文件的实质性内容；</w:t>
      </w:r>
    </w:p>
    <w:p>
      <w:pPr>
        <w:spacing w:line="400" w:lineRule="exact"/>
        <w:ind w:firstLine="480" w:firstLineChars="20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4.属于同一集团、协会、商会等组织成员的供应商按照该组织要求协同参加政府采购活动；</w:t>
      </w:r>
    </w:p>
    <w:p>
      <w:pPr>
        <w:spacing w:line="400" w:lineRule="exact"/>
        <w:ind w:firstLine="480" w:firstLineChars="20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5.供应商之间事先约定一致抬高或者压低竞标报价</w:t>
      </w:r>
      <w:r>
        <w:rPr>
          <w:rFonts w:hint="eastAsia" w:ascii="宋体" w:hAnsi="宋体" w:eastAsia="宋体" w:cs="仿宋_GB2312"/>
          <w:color w:val="auto"/>
          <w:sz w:val="24"/>
          <w:szCs w:val="24"/>
          <w:highlight w:val="none"/>
          <w:lang w:eastAsia="zh-CN"/>
        </w:rPr>
        <w:t>，</w:t>
      </w:r>
      <w:r>
        <w:rPr>
          <w:rFonts w:hint="eastAsia" w:ascii="宋体" w:hAnsi="宋体" w:eastAsia="宋体" w:cs="仿宋_GB2312"/>
          <w:color w:val="auto"/>
          <w:sz w:val="24"/>
          <w:szCs w:val="24"/>
          <w:highlight w:val="none"/>
        </w:rPr>
        <w:t>或者在竞争性谈判项目中事先约定轮流以高价位或者低价位成交</w:t>
      </w:r>
      <w:r>
        <w:rPr>
          <w:rFonts w:hint="eastAsia" w:ascii="宋体" w:hAnsi="宋体" w:eastAsia="宋体" w:cs="仿宋_GB2312"/>
          <w:color w:val="auto"/>
          <w:sz w:val="24"/>
          <w:szCs w:val="24"/>
          <w:highlight w:val="none"/>
          <w:lang w:eastAsia="zh-CN"/>
        </w:rPr>
        <w:t>，</w:t>
      </w:r>
      <w:r>
        <w:rPr>
          <w:rFonts w:hint="eastAsia" w:ascii="宋体" w:hAnsi="宋体" w:eastAsia="宋体" w:cs="仿宋_GB2312"/>
          <w:color w:val="auto"/>
          <w:sz w:val="24"/>
          <w:szCs w:val="24"/>
          <w:highlight w:val="none"/>
        </w:rPr>
        <w:t>或者事先约定由某一特定供应商成交</w:t>
      </w:r>
      <w:r>
        <w:rPr>
          <w:rFonts w:hint="eastAsia" w:ascii="宋体" w:hAnsi="宋体" w:eastAsia="宋体" w:cs="仿宋_GB2312"/>
          <w:color w:val="auto"/>
          <w:sz w:val="24"/>
          <w:szCs w:val="24"/>
          <w:highlight w:val="none"/>
          <w:lang w:eastAsia="zh-CN"/>
        </w:rPr>
        <w:t>，</w:t>
      </w:r>
      <w:r>
        <w:rPr>
          <w:rFonts w:hint="eastAsia" w:ascii="宋体" w:hAnsi="宋体" w:eastAsia="宋体" w:cs="仿宋_GB2312"/>
          <w:color w:val="auto"/>
          <w:sz w:val="24"/>
          <w:szCs w:val="24"/>
          <w:highlight w:val="none"/>
        </w:rPr>
        <w:t>然后再参加竞标；</w:t>
      </w:r>
    </w:p>
    <w:p>
      <w:pPr>
        <w:spacing w:line="400" w:lineRule="exact"/>
        <w:ind w:firstLine="480" w:firstLineChars="20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6.供应商之间商定部分供应商放弃参加政府采购活动或者放弃成交；</w:t>
      </w:r>
    </w:p>
    <w:p>
      <w:pPr>
        <w:spacing w:line="400" w:lineRule="exact"/>
        <w:ind w:firstLine="480" w:firstLineChars="20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7.供应商与采购人或者采购代理机构之间、供应商相互之间，为</w:t>
      </w:r>
      <w:r>
        <w:rPr>
          <w:rFonts w:hint="eastAsia" w:ascii="宋体" w:hAnsi="宋体" w:eastAsia="宋体" w:cs="仿宋_GB2312"/>
          <w:color w:val="auto"/>
          <w:spacing w:val="-6"/>
          <w:sz w:val="24"/>
          <w:szCs w:val="24"/>
          <w:highlight w:val="none"/>
        </w:rPr>
        <w:t>谋求特定供应商成交或者排斥其他供应商的其他串通行为。</w:t>
      </w:r>
    </w:p>
    <w:p>
      <w:pPr>
        <w:spacing w:line="400" w:lineRule="exact"/>
        <w:ind w:firstLine="480" w:firstLineChars="200"/>
        <w:contextualSpacing/>
        <w:rPr>
          <w:rFonts w:hint="eastAsia" w:ascii="宋体" w:hAnsi="宋体" w:eastAsia="宋体" w:cs="仿宋_GB2312"/>
          <w:color w:val="auto"/>
          <w:sz w:val="24"/>
          <w:szCs w:val="24"/>
          <w:highlight w:val="none"/>
        </w:rPr>
      </w:pPr>
    </w:p>
    <w:p>
      <w:pPr>
        <w:spacing w:line="400" w:lineRule="exact"/>
        <w:ind w:firstLine="482" w:firstLineChars="200"/>
        <w:contextualSpacing/>
        <w:rPr>
          <w:rFonts w:hint="eastAsia" w:ascii="宋体" w:hAnsi="宋体" w:eastAsia="宋体" w:cs="仿宋_GB2312"/>
          <w:b/>
          <w:bCs/>
          <w:color w:val="auto"/>
          <w:sz w:val="24"/>
          <w:szCs w:val="24"/>
          <w:highlight w:val="none"/>
        </w:rPr>
      </w:pPr>
      <w:r>
        <w:rPr>
          <w:rFonts w:hint="eastAsia" w:ascii="宋体" w:hAnsi="宋体" w:eastAsia="宋体"/>
          <w:b/>
          <w:bCs/>
          <w:color w:val="auto"/>
          <w:sz w:val="24"/>
          <w:szCs w:val="24"/>
          <w:highlight w:val="none"/>
        </w:rPr>
        <w:t>以上情形一经核查属实，接受政府采购监管部门对我方认定存在围标串标行为，我方愿意承担一切后果，并不再寻求任何旨在减轻或者免除法律责任的辩解</w:t>
      </w:r>
      <w:r>
        <w:rPr>
          <w:rFonts w:hint="eastAsia" w:ascii="宋体" w:hAnsi="宋体" w:eastAsia="宋体" w:cs="仿宋_GB2312"/>
          <w:b/>
          <w:bCs/>
          <w:color w:val="auto"/>
          <w:sz w:val="24"/>
          <w:szCs w:val="24"/>
          <w:highlight w:val="none"/>
        </w:rPr>
        <w:t>。</w:t>
      </w:r>
    </w:p>
    <w:p>
      <w:pPr>
        <w:pStyle w:val="21"/>
        <w:rPr>
          <w:rFonts w:hint="eastAsia" w:ascii="宋体" w:hAnsi="宋体" w:cs="仿宋_GB2312"/>
          <w:b/>
          <w:bCs/>
          <w:color w:val="auto"/>
          <w:sz w:val="24"/>
          <w:szCs w:val="24"/>
          <w:highlight w:val="none"/>
        </w:rPr>
      </w:pPr>
    </w:p>
    <w:p>
      <w:pPr>
        <w:pStyle w:val="21"/>
        <w:rPr>
          <w:rFonts w:hint="eastAsia" w:ascii="宋体" w:hAnsi="宋体" w:cs="仿宋_GB2312"/>
          <w:b/>
          <w:bCs/>
          <w:color w:val="auto"/>
          <w:sz w:val="24"/>
          <w:szCs w:val="24"/>
          <w:highlight w:val="none"/>
        </w:rPr>
      </w:pPr>
    </w:p>
    <w:p>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pPr>
        <w:spacing w:line="520" w:lineRule="exact"/>
        <w:ind w:firstLine="6360" w:firstLineChars="2650"/>
        <w:jc w:val="left"/>
        <w:rPr>
          <w:rFonts w:hint="eastAsia" w:ascii="仿宋" w:hAnsi="仿宋" w:eastAsia="仿宋" w:cs="仿宋_GB2312"/>
          <w:b/>
          <w:color w:val="auto"/>
          <w:sz w:val="28"/>
          <w:szCs w:val="28"/>
          <w:highlight w:val="none"/>
        </w:rPr>
      </w:pPr>
      <w:r>
        <w:rPr>
          <w:rFonts w:hint="eastAsia" w:ascii="宋体" w:hAnsi="宋体" w:eastAsia="宋体" w:cs="宋体"/>
          <w:color w:val="auto"/>
          <w:kern w:val="0"/>
          <w:sz w:val="24"/>
          <w:szCs w:val="24"/>
          <w:highlight w:val="none"/>
          <w:lang w:val="zh-CN"/>
        </w:rPr>
        <w:t xml:space="preserve">日期：  年  月   日 </w:t>
      </w:r>
      <w:r>
        <w:rPr>
          <w:rFonts w:hint="eastAsia" w:ascii="仿宋_GB2312" w:hAnsi="仿宋" w:eastAsia="仿宋_GB2312" w:cs="仿宋_GB2312"/>
          <w:color w:val="auto"/>
          <w:kern w:val="0"/>
          <w:sz w:val="24"/>
          <w:szCs w:val="24"/>
          <w:highlight w:val="none"/>
          <w:lang w:val="zh-CN"/>
        </w:rPr>
        <w:t xml:space="preserve">       </w:t>
      </w:r>
      <w:r>
        <w:rPr>
          <w:rFonts w:ascii="宋体" w:hAnsi="宋体" w:eastAsia="宋体" w:cs="Times New Roman"/>
          <w:b/>
          <w:bCs/>
          <w:color w:val="auto"/>
          <w:sz w:val="32"/>
          <w:szCs w:val="32"/>
          <w:highlight w:val="none"/>
        </w:rPr>
        <w:br w:type="page"/>
      </w:r>
      <w:r>
        <w:rPr>
          <w:rFonts w:hint="eastAsia" w:ascii="宋体" w:hAnsi="宋体" w:eastAsia="宋体" w:cs="宋体"/>
          <w:b/>
          <w:color w:val="auto"/>
          <w:sz w:val="28"/>
          <w:szCs w:val="28"/>
          <w:highlight w:val="none"/>
        </w:rPr>
        <w:t>4.法定代表人身份证明的格式：</w:t>
      </w:r>
    </w:p>
    <w:p>
      <w:pPr>
        <w:pStyle w:val="21"/>
        <w:rPr>
          <w:color w:val="auto"/>
          <w:highlight w:val="none"/>
        </w:rPr>
      </w:pPr>
    </w:p>
    <w:p>
      <w:pPr>
        <w:spacing w:line="520" w:lineRule="exact"/>
        <w:jc w:val="center"/>
        <w:rPr>
          <w:rFonts w:hint="eastAsia" w:ascii="仿宋_GB2312" w:hAnsi="仿宋_GB2312" w:eastAsia="仿宋_GB2312" w:cs="仿宋_GB2312"/>
          <w:color w:val="auto"/>
          <w:sz w:val="32"/>
          <w:szCs w:val="32"/>
          <w:highlight w:val="none"/>
        </w:rPr>
      </w:pPr>
      <w:r>
        <w:rPr>
          <w:rFonts w:hint="eastAsia" w:ascii="宋体" w:hAnsi="宋体" w:eastAsia="宋体" w:cs="宋体"/>
          <w:b/>
          <w:color w:val="auto"/>
          <w:sz w:val="32"/>
          <w:szCs w:val="32"/>
          <w:highlight w:val="none"/>
        </w:rPr>
        <w:t>法定代表人身份证明</w:t>
      </w:r>
    </w:p>
    <w:p>
      <w:pPr>
        <w:spacing w:line="360" w:lineRule="auto"/>
        <w:ind w:left="540"/>
        <w:contextualSpacing/>
        <w:rPr>
          <w:rFonts w:hint="eastAsia" w:ascii="仿宋_GB2312" w:hAnsi="仿宋_GB2312" w:eastAsia="仿宋_GB2312" w:cs="仿宋_GB2312"/>
          <w:color w:val="auto"/>
          <w:sz w:val="32"/>
          <w:szCs w:val="32"/>
          <w:highlight w:val="none"/>
        </w:rPr>
      </w:pPr>
    </w:p>
    <w:p>
      <w:pPr>
        <w:spacing w:line="360" w:lineRule="auto"/>
        <w:ind w:left="54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u w:val="single"/>
        </w:rPr>
        <w:t xml:space="preserve">                                                        </w:t>
      </w:r>
    </w:p>
    <w:p>
      <w:pPr>
        <w:spacing w:line="360" w:lineRule="auto"/>
        <w:ind w:left="54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single"/>
        </w:rPr>
        <w:t xml:space="preserve">                                                        </w:t>
      </w:r>
    </w:p>
    <w:p>
      <w:pPr>
        <w:spacing w:line="360" w:lineRule="auto"/>
        <w:ind w:left="54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性     别：</w:t>
      </w:r>
      <w:r>
        <w:rPr>
          <w:rFonts w:hint="eastAsia" w:ascii="宋体" w:hAnsi="宋体" w:eastAsia="宋体" w:cs="宋体"/>
          <w:color w:val="auto"/>
          <w:sz w:val="24"/>
          <w:szCs w:val="24"/>
          <w:highlight w:val="none"/>
          <w:u w:val="single"/>
        </w:rPr>
        <w:t xml:space="preserve">                </w:t>
      </w:r>
    </w:p>
    <w:p>
      <w:pPr>
        <w:spacing w:line="360" w:lineRule="auto"/>
        <w:ind w:left="540"/>
        <w:contextualSpacing/>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年    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     务：</w:t>
      </w:r>
      <w:r>
        <w:rPr>
          <w:rFonts w:hint="eastAsia" w:ascii="宋体" w:hAnsi="宋体" w:eastAsia="宋体" w:cs="宋体"/>
          <w:color w:val="auto"/>
          <w:sz w:val="24"/>
          <w:szCs w:val="24"/>
          <w:highlight w:val="none"/>
          <w:u w:val="single"/>
        </w:rPr>
        <w:t xml:space="preserve">                </w:t>
      </w:r>
    </w:p>
    <w:p>
      <w:pPr>
        <w:spacing w:line="360" w:lineRule="auto"/>
        <w:ind w:left="54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身份证号码：</w:t>
      </w:r>
      <w:r>
        <w:rPr>
          <w:rFonts w:hint="eastAsia" w:ascii="宋体" w:hAnsi="宋体" w:eastAsia="宋体" w:cs="宋体"/>
          <w:color w:val="auto"/>
          <w:sz w:val="24"/>
          <w:szCs w:val="24"/>
          <w:highlight w:val="none"/>
          <w:u w:val="single"/>
        </w:rPr>
        <w:t xml:space="preserve">                                        </w:t>
      </w:r>
    </w:p>
    <w:p>
      <w:pPr>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系</w:t>
      </w:r>
      <w:r>
        <w:rPr>
          <w:rFonts w:hint="eastAsia" w:ascii="宋体" w:hAnsi="宋体" w:eastAsia="宋体" w:cs="宋体"/>
          <w:i/>
          <w:iCs/>
          <w:color w:val="auto"/>
          <w:sz w:val="24"/>
          <w:szCs w:val="24"/>
          <w:highlight w:val="none"/>
          <w:u w:val="single"/>
        </w:rPr>
        <w:t>（供应商名称）</w:t>
      </w:r>
      <w:r>
        <w:rPr>
          <w:rFonts w:hint="eastAsia" w:ascii="宋体" w:hAnsi="宋体" w:eastAsia="宋体" w:cs="宋体"/>
          <w:color w:val="auto"/>
          <w:sz w:val="24"/>
          <w:szCs w:val="24"/>
          <w:highlight w:val="none"/>
        </w:rPr>
        <w:t>的法定代表人。</w:t>
      </w:r>
    </w:p>
    <w:p>
      <w:pPr>
        <w:spacing w:line="360" w:lineRule="auto"/>
        <w:ind w:left="54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特此证明。</w:t>
      </w:r>
    </w:p>
    <w:p>
      <w:pPr>
        <w:spacing w:line="360" w:lineRule="auto"/>
        <w:ind w:left="540"/>
        <w:contextualSpacing/>
        <w:rPr>
          <w:rFonts w:hint="eastAsia" w:ascii="宋体" w:hAnsi="宋体" w:eastAsia="宋体" w:cs="宋体"/>
          <w:color w:val="auto"/>
          <w:sz w:val="24"/>
          <w:szCs w:val="24"/>
          <w:highlight w:val="none"/>
        </w:rPr>
      </w:pPr>
    </w:p>
    <w:p>
      <w:pPr>
        <w:spacing w:line="360" w:lineRule="auto"/>
        <w:ind w:left="540"/>
        <w:contextualSpacing/>
        <w:rPr>
          <w:rFonts w:hint="eastAsia" w:ascii="宋体" w:hAnsi="宋体" w:eastAsia="宋体" w:cs="宋体"/>
          <w:color w:val="auto"/>
          <w:sz w:val="24"/>
          <w:szCs w:val="24"/>
          <w:highlight w:val="none"/>
        </w:rPr>
      </w:pPr>
    </w:p>
    <w:p>
      <w:pPr>
        <w:spacing w:line="360" w:lineRule="auto"/>
        <w:ind w:left="540"/>
        <w:contextualSpacing/>
        <w:rPr>
          <w:rFonts w:hint="eastAsia" w:ascii="宋体" w:hAnsi="宋体" w:eastAsia="宋体" w:cs="宋体"/>
          <w:color w:val="auto"/>
          <w:sz w:val="24"/>
          <w:szCs w:val="24"/>
          <w:highlight w:val="none"/>
        </w:rPr>
      </w:pPr>
    </w:p>
    <w:p>
      <w:pPr>
        <w:spacing w:line="360" w:lineRule="auto"/>
        <w:ind w:left="54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附件：法定代表人有效身份证正反面复印件</w:t>
      </w:r>
    </w:p>
    <w:p>
      <w:pPr>
        <w:spacing w:line="360" w:lineRule="auto"/>
        <w:ind w:left="540"/>
        <w:contextualSpacing/>
        <w:rPr>
          <w:rFonts w:hint="eastAsia" w:ascii="宋体" w:hAnsi="宋体" w:eastAsia="宋体" w:cs="宋体"/>
          <w:color w:val="auto"/>
          <w:sz w:val="24"/>
          <w:szCs w:val="24"/>
          <w:highlight w:val="none"/>
        </w:rPr>
      </w:pPr>
    </w:p>
    <w:p>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pPr>
        <w:spacing w:line="360" w:lineRule="auto"/>
        <w:contextualSpacing/>
        <w:jc w:val="center"/>
        <w:rPr>
          <w:rFonts w:hint="eastAsia" w:ascii="宋体" w:hAnsi="宋体" w:eastAsia="宋体" w:cs="宋体"/>
          <w:b/>
          <w:color w:val="auto"/>
          <w:sz w:val="24"/>
          <w:szCs w:val="24"/>
          <w:highlight w:val="none"/>
        </w:rPr>
      </w:pPr>
      <w:r>
        <w:rPr>
          <w:rFonts w:hint="eastAsia" w:ascii="宋体" w:hAnsi="宋体" w:eastAsia="宋体" w:cs="宋体"/>
          <w:color w:val="auto"/>
          <w:kern w:val="0"/>
          <w:sz w:val="24"/>
          <w:szCs w:val="24"/>
          <w:highlight w:val="none"/>
          <w:lang w:val="zh-CN"/>
        </w:rPr>
        <w:t xml:space="preserve">                                                   日期：  年  月   日</w:t>
      </w:r>
    </w:p>
    <w:p>
      <w:pPr>
        <w:spacing w:line="360" w:lineRule="auto"/>
        <w:contextualSpacing/>
        <w:jc w:val="left"/>
        <w:rPr>
          <w:rFonts w:hint="eastAsia" w:ascii="宋体" w:hAnsi="宋体" w:eastAsia="宋体" w:cs="宋体"/>
          <w:color w:val="auto"/>
          <w:sz w:val="24"/>
          <w:szCs w:val="24"/>
          <w:highlight w:val="none"/>
        </w:rPr>
      </w:pPr>
    </w:p>
    <w:p>
      <w:pPr>
        <w:spacing w:line="360" w:lineRule="auto"/>
        <w:contextualSpacing/>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注：1.自然人竞标的无需提供，联合体竞标的只需牵头人出具。</w:t>
      </w:r>
    </w:p>
    <w:p>
      <w:pPr>
        <w:spacing w:line="360" w:lineRule="auto"/>
        <w:ind w:firstLine="480" w:firstLineChars="200"/>
        <w:contextualSpacing/>
        <w:jc w:val="left"/>
        <w:rPr>
          <w:rFonts w:hint="eastAsia" w:ascii="宋体" w:hAnsi="宋体" w:eastAsia="宋体" w:cs="仿宋_GB2312"/>
          <w:color w:val="auto"/>
          <w:sz w:val="24"/>
          <w:szCs w:val="24"/>
          <w:highlight w:val="none"/>
        </w:rPr>
        <w:sectPr>
          <w:pgSz w:w="11910" w:h="16840"/>
          <w:pgMar w:top="1340" w:right="1500" w:bottom="280" w:left="1680" w:header="720" w:footer="720" w:gutter="0"/>
          <w:cols w:space="720" w:num="1"/>
        </w:sectPr>
      </w:pPr>
      <w:r>
        <w:rPr>
          <w:rFonts w:hint="eastAsia" w:ascii="宋体" w:hAnsi="宋体" w:eastAsia="宋体" w:cs="宋体"/>
          <w:color w:val="auto"/>
          <w:sz w:val="24"/>
          <w:szCs w:val="24"/>
          <w:highlight w:val="none"/>
        </w:rPr>
        <w:t>2.供应商为其他组织或者自然人时，本谈判文件规定的法定代表人指负责人或者自然人。本谈判文件所称负责人是指参加竞标的其他组织营业执照上的负责人，本谈判文件所称自然人指参与竞标的自然人本人。</w:t>
      </w:r>
    </w:p>
    <w:tbl>
      <w:tblPr>
        <w:tblStyle w:val="29"/>
        <w:tblpPr w:leftFromText="180" w:rightFromText="180" w:vertAnchor="text" w:horzAnchor="margin" w:tblpY="1169"/>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Pr>
          <w:p>
            <w:pPr>
              <w:spacing w:line="360" w:lineRule="auto"/>
              <w:rPr>
                <w:rFonts w:ascii="宋体" w:hAnsi="Times New Roman" w:eastAsia="宋体" w:cs="Times New Roman"/>
                <w:b/>
                <w:color w:val="auto"/>
                <w:sz w:val="24"/>
                <w:szCs w:val="24"/>
                <w:highlight w:val="none"/>
              </w:rPr>
            </w:pPr>
          </w:p>
          <w:p>
            <w:pPr>
              <w:spacing w:line="360" w:lineRule="auto"/>
              <w:rPr>
                <w:rFonts w:ascii="宋体" w:hAnsi="Times New Roman" w:eastAsia="宋体" w:cs="Times New Roman"/>
                <w:b/>
                <w:color w:val="auto"/>
                <w:sz w:val="24"/>
                <w:szCs w:val="24"/>
                <w:highlight w:val="none"/>
              </w:rPr>
            </w:pPr>
            <w:r>
              <w:rPr>
                <w:rFonts w:hint="eastAsia" w:ascii="宋体" w:hAnsi="Times New Roman" w:eastAsia="宋体" w:cs="Times New Roman"/>
                <w:b/>
                <w:color w:val="auto"/>
                <w:sz w:val="24"/>
                <w:szCs w:val="24"/>
                <w:highlight w:val="none"/>
              </w:rPr>
              <w:t>法定代表人身份证复印件粘贴处（正、反面）</w:t>
            </w:r>
          </w:p>
        </w:tc>
      </w:tr>
    </w:tbl>
    <w:p>
      <w:pPr>
        <w:spacing w:line="360" w:lineRule="auto"/>
        <w:ind w:firstLine="482" w:firstLineChars="200"/>
        <w:contextualSpacing/>
        <w:jc w:val="left"/>
        <w:rPr>
          <w:rFonts w:hint="eastAsia" w:ascii="仿宋_GB2312" w:hAnsi="仿宋_GB2312" w:eastAsia="仿宋_GB2312" w:cs="仿宋_GB2312"/>
          <w:b/>
          <w:color w:val="auto"/>
          <w:sz w:val="32"/>
          <w:szCs w:val="32"/>
          <w:highlight w:val="none"/>
        </w:rPr>
      </w:pPr>
      <w:r>
        <w:rPr>
          <w:rFonts w:hint="eastAsia" w:ascii="Times New Roman" w:hAnsi="宋体" w:eastAsia="宋体" w:cs="Times New Roman"/>
          <w:b/>
          <w:color w:val="auto"/>
          <w:sz w:val="24"/>
          <w:szCs w:val="24"/>
          <w:highlight w:val="none"/>
        </w:rPr>
        <w:t>附件：</w:t>
      </w:r>
    </w:p>
    <w:p>
      <w:pPr>
        <w:adjustRightInd w:val="0"/>
        <w:snapToGrid w:val="0"/>
        <w:spacing w:line="300" w:lineRule="auto"/>
        <w:jc w:val="left"/>
        <w:rPr>
          <w:rFonts w:hint="eastAsia" w:ascii="宋体" w:hAnsi="宋体" w:eastAsia="宋体" w:cs="Times New Roman"/>
          <w:b/>
          <w:color w:val="auto"/>
          <w:szCs w:val="21"/>
          <w:highlight w:val="none"/>
        </w:rPr>
      </w:pPr>
    </w:p>
    <w:p>
      <w:pPr>
        <w:snapToGrid w:val="0"/>
        <w:spacing w:line="360" w:lineRule="auto"/>
        <w:jc w:val="left"/>
        <w:rPr>
          <w:rFonts w:hint="eastAsia" w:ascii="宋体" w:hAnsi="宋体" w:eastAsia="宋体" w:cs="宋体"/>
          <w:b/>
          <w:color w:val="auto"/>
          <w:sz w:val="28"/>
          <w:szCs w:val="28"/>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宋体" w:hAnsi="宋体" w:eastAsia="宋体" w:cs="宋体"/>
          <w:b/>
          <w:color w:val="auto"/>
          <w:sz w:val="28"/>
          <w:szCs w:val="28"/>
          <w:highlight w:val="none"/>
        </w:rPr>
        <w:t>5.法定代表人授权委托书的格式：</w:t>
      </w:r>
    </w:p>
    <w:p>
      <w:pPr>
        <w:spacing w:line="500" w:lineRule="exact"/>
        <w:jc w:val="center"/>
        <w:rPr>
          <w:rFonts w:hint="eastAsia" w:ascii="方正小标宋简体" w:hAnsi="方正小标宋简体" w:eastAsia="方正小标宋简体" w:cs="方正小标宋简体"/>
          <w:color w:val="auto"/>
          <w:sz w:val="44"/>
          <w:szCs w:val="44"/>
          <w:highlight w:val="none"/>
        </w:rPr>
      </w:pPr>
    </w:p>
    <w:p>
      <w:pPr>
        <w:spacing w:line="520" w:lineRule="exact"/>
        <w:jc w:val="center"/>
        <w:rPr>
          <w:rFonts w:hint="eastAsia" w:ascii="方正小标宋简体" w:hAnsi="方正小标宋简体" w:eastAsia="方正小标宋简体" w:cs="方正小标宋简体"/>
          <w:b/>
          <w:bCs/>
          <w:color w:val="auto"/>
          <w:sz w:val="32"/>
          <w:szCs w:val="32"/>
          <w:highlight w:val="none"/>
        </w:rPr>
      </w:pPr>
      <w:r>
        <w:rPr>
          <w:rFonts w:hint="eastAsia" w:ascii="方正小标宋简体" w:hAnsi="方正小标宋简体" w:eastAsia="方正小标宋简体" w:cs="方正小标宋简体"/>
          <w:b/>
          <w:bCs/>
          <w:color w:val="auto"/>
          <w:sz w:val="32"/>
          <w:szCs w:val="32"/>
          <w:highlight w:val="none"/>
        </w:rPr>
        <w:t>授权委托书（非联合体竞标格式）</w:t>
      </w:r>
    </w:p>
    <w:p>
      <w:pPr>
        <w:spacing w:line="520" w:lineRule="exact"/>
        <w:jc w:val="center"/>
        <w:rPr>
          <w:rFonts w:hint="eastAsia" w:ascii="方正小标宋简体" w:hAnsi="方正小标宋简体" w:eastAsia="方正小标宋简体" w:cs="方正小标宋简体"/>
          <w:b/>
          <w:bCs/>
          <w:color w:val="auto"/>
          <w:sz w:val="32"/>
          <w:szCs w:val="32"/>
          <w:highlight w:val="none"/>
        </w:rPr>
      </w:pPr>
      <w:r>
        <w:rPr>
          <w:rFonts w:hint="eastAsia" w:ascii="方正小标宋简体" w:hAnsi="方正小标宋简体" w:eastAsia="方正小标宋简体" w:cs="方正小标宋简体"/>
          <w:b/>
          <w:bCs/>
          <w:color w:val="auto"/>
          <w:sz w:val="32"/>
          <w:szCs w:val="32"/>
          <w:highlight w:val="none"/>
        </w:rPr>
        <w:t>（如有委托时）</w:t>
      </w:r>
    </w:p>
    <w:p>
      <w:pPr>
        <w:spacing w:line="520" w:lineRule="exact"/>
        <w:rPr>
          <w:rFonts w:hint="eastAsia" w:ascii="仿宋_GB2312" w:hAnsi="仿宋_GB2312" w:eastAsia="仿宋_GB2312" w:cs="仿宋_GB2312"/>
          <w:color w:val="auto"/>
          <w:sz w:val="32"/>
          <w:szCs w:val="32"/>
          <w:highlight w:val="none"/>
        </w:rPr>
      </w:pP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w:t>
      </w:r>
      <w:bookmarkStart w:id="180" w:name="PO_3000001923_PM031_1"/>
      <w:r>
        <w:rPr>
          <w:rFonts w:hint="eastAsia" w:ascii="宋体" w:hAnsi="宋体" w:eastAsia="宋体" w:cs="宋体"/>
          <w:color w:val="auto"/>
          <w:sz w:val="24"/>
          <w:szCs w:val="24"/>
          <w:highlight w:val="none"/>
          <w:u w:val="single"/>
        </w:rPr>
        <w:t>广西科联招标中心有限公司</w:t>
      </w:r>
      <w:bookmarkEnd w:id="180"/>
      <w:r>
        <w:rPr>
          <w:rFonts w:hint="eastAsia" w:ascii="宋体" w:hAnsi="宋体" w:eastAsia="宋体" w:cs="宋体"/>
          <w:color w:val="auto"/>
          <w:sz w:val="24"/>
          <w:szCs w:val="24"/>
          <w:highlight w:val="none"/>
        </w:rPr>
        <w:t>：</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w:t>
      </w:r>
      <w:r>
        <w:rPr>
          <w:rFonts w:hint="eastAsia" w:ascii="宋体" w:hAnsi="宋体" w:eastAsia="宋体" w:cs="宋体"/>
          <w:color w:val="auto"/>
          <w:sz w:val="24"/>
          <w:szCs w:val="24"/>
          <w:highlight w:val="none"/>
          <w:u w:val="single"/>
        </w:rPr>
        <w:t xml:space="preserve">  </w:t>
      </w:r>
      <w:r>
        <w:rPr>
          <w:rFonts w:hint="eastAsia" w:ascii="宋体" w:hAnsi="宋体" w:eastAsia="宋体" w:cs="宋体"/>
          <w:i/>
          <w:iCs/>
          <w:color w:val="auto"/>
          <w:sz w:val="24"/>
          <w:szCs w:val="24"/>
          <w:highlight w:val="none"/>
          <w:u w:val="single"/>
        </w:rPr>
        <w:t>（姓名）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系</w:t>
      </w:r>
      <w:r>
        <w:rPr>
          <w:rFonts w:hint="eastAsia" w:ascii="宋体" w:hAnsi="宋体" w:eastAsia="宋体" w:cs="宋体"/>
          <w:color w:val="auto"/>
          <w:sz w:val="24"/>
          <w:szCs w:val="24"/>
          <w:highlight w:val="none"/>
          <w:u w:val="single"/>
        </w:rPr>
        <w:t xml:space="preserve">  </w:t>
      </w:r>
      <w:r>
        <w:rPr>
          <w:rFonts w:hint="eastAsia" w:ascii="宋体" w:hAnsi="宋体" w:eastAsia="宋体" w:cs="宋体"/>
          <w:i/>
          <w:iCs/>
          <w:color w:val="auto"/>
          <w:sz w:val="24"/>
          <w:szCs w:val="24"/>
          <w:highlight w:val="none"/>
          <w:u w:val="single"/>
        </w:rPr>
        <w:t>（供应商名称）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u w:val="single"/>
        </w:rPr>
        <w:t>□法定代表人/□负责人/□自然人本人</w:t>
      </w:r>
      <w:r>
        <w:rPr>
          <w:rFonts w:hint="eastAsia" w:ascii="宋体" w:hAnsi="宋体" w:eastAsia="宋体" w:cs="宋体"/>
          <w:color w:val="auto"/>
          <w:sz w:val="24"/>
          <w:szCs w:val="24"/>
          <w:highlight w:val="none"/>
        </w:rPr>
        <w:t>），现授权</w:t>
      </w:r>
      <w:r>
        <w:rPr>
          <w:rFonts w:hint="eastAsia" w:ascii="宋体" w:hAnsi="宋体" w:eastAsia="宋体" w:cs="宋体"/>
          <w:color w:val="auto"/>
          <w:sz w:val="24"/>
          <w:szCs w:val="24"/>
          <w:highlight w:val="none"/>
          <w:u w:val="single"/>
        </w:rPr>
        <w:t xml:space="preserve"> </w:t>
      </w:r>
      <w:r>
        <w:rPr>
          <w:rFonts w:hint="eastAsia" w:ascii="宋体" w:hAnsi="宋体" w:eastAsia="宋体" w:cs="宋体"/>
          <w:i/>
          <w:iCs/>
          <w:color w:val="auto"/>
          <w:sz w:val="24"/>
          <w:szCs w:val="24"/>
          <w:highlight w:val="none"/>
          <w:u w:val="single"/>
        </w:rPr>
        <w:t>（姓名）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以我方的名义参加</w:t>
      </w:r>
      <w:r>
        <w:rPr>
          <w:rFonts w:hint="eastAsia" w:ascii="宋体" w:hAnsi="宋体" w:eastAsia="宋体" w:cs="宋体"/>
          <w:color w:val="auto"/>
          <w:sz w:val="24"/>
          <w:szCs w:val="24"/>
          <w:highlight w:val="none"/>
          <w:u w:val="single"/>
        </w:rPr>
        <w:t xml:space="preserve">  </w:t>
      </w:r>
      <w:r>
        <w:rPr>
          <w:rFonts w:hint="eastAsia" w:ascii="宋体" w:hAnsi="宋体" w:eastAsia="宋体" w:cs="宋体"/>
          <w:i/>
          <w:iCs/>
          <w:color w:val="auto"/>
          <w:sz w:val="24"/>
          <w:szCs w:val="24"/>
          <w:highlight w:val="none"/>
          <w:u w:val="single"/>
        </w:rPr>
        <w:t>（项目名称）</w:t>
      </w:r>
      <w:r>
        <w:rPr>
          <w:rFonts w:hint="eastAsia" w:ascii="宋体" w:hAnsi="宋体" w:eastAsia="宋体" w:cs="宋体"/>
          <w:color w:val="auto"/>
          <w:sz w:val="24"/>
          <w:szCs w:val="24"/>
          <w:highlight w:val="none"/>
        </w:rPr>
        <w:t>项目的竞标活动，并代表我方全权办理针对上述项目的所有采购程序和环节的具体事务和签署相关文件。</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我方对委托代理人的签字事项负全部责任。</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本授权书自签署之日起生效，在撤销授权的书面通知以前，本授权书一直有效。委托代理人在授权书有效期内签署的所有文件不因授权的撤销而失效。</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委托代理人无转委托权，特此委托。</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附：委托代理人有效身份证正反面复印件</w:t>
      </w:r>
    </w:p>
    <w:p>
      <w:pPr>
        <w:spacing w:line="360" w:lineRule="auto"/>
        <w:rPr>
          <w:rFonts w:hint="eastAsia" w:ascii="宋体" w:hAnsi="宋体" w:eastAsia="宋体" w:cs="宋体"/>
          <w:color w:val="auto"/>
          <w:sz w:val="24"/>
          <w:szCs w:val="24"/>
          <w:highlight w:val="none"/>
        </w:rPr>
      </w:pP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委托代理人（签字）：                 法定代表人（签字）：                    </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委托代理人身份证号码：                              </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pPr>
        <w:spacing w:line="360" w:lineRule="auto"/>
        <w:ind w:firstLine="3840" w:firstLineChars="16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kern w:val="0"/>
          <w:sz w:val="24"/>
          <w:szCs w:val="24"/>
          <w:highlight w:val="none"/>
        </w:rPr>
        <w:t>供应商名称（盖公章）：</w:t>
      </w:r>
    </w:p>
    <w:p>
      <w:pPr>
        <w:spacing w:line="360" w:lineRule="auto"/>
        <w:contextualSpacing/>
        <w:jc w:val="center"/>
        <w:rPr>
          <w:rFonts w:hint="eastAsia" w:ascii="宋体" w:hAnsi="宋体" w:eastAsia="宋体" w:cs="宋体"/>
          <w:b/>
          <w:color w:val="auto"/>
          <w:sz w:val="24"/>
          <w:szCs w:val="24"/>
          <w:highlight w:val="none"/>
        </w:rPr>
      </w:pPr>
      <w:r>
        <w:rPr>
          <w:rFonts w:hint="eastAsia" w:ascii="宋体" w:hAnsi="宋体" w:eastAsia="宋体" w:cs="宋体"/>
          <w:color w:val="auto"/>
          <w:kern w:val="0"/>
          <w:sz w:val="24"/>
          <w:szCs w:val="24"/>
          <w:highlight w:val="none"/>
          <w:lang w:val="zh-CN"/>
        </w:rPr>
        <w:t xml:space="preserve">                                                   日期：  年  月   日</w:t>
      </w:r>
    </w:p>
    <w:p>
      <w:pPr>
        <w:spacing w:line="360" w:lineRule="auto"/>
        <w:rPr>
          <w:rFonts w:hint="eastAsia" w:ascii="宋体" w:hAnsi="宋体" w:eastAsia="宋体" w:cs="宋体"/>
          <w:color w:val="auto"/>
          <w:sz w:val="24"/>
          <w:szCs w:val="24"/>
          <w:highlight w:val="none"/>
        </w:rPr>
      </w:pP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 法定代表人和委托代理人必须在授权委托书上签字，</w:t>
      </w:r>
      <w:r>
        <w:rPr>
          <w:rFonts w:hint="eastAsia" w:ascii="宋体" w:hAnsi="宋体" w:eastAsia="宋体" w:cs="宋体"/>
          <w:b/>
          <w:color w:val="auto"/>
          <w:sz w:val="24"/>
          <w:szCs w:val="24"/>
          <w:highlight w:val="none"/>
        </w:rPr>
        <w:t>否则其响应文件作无效响应处理。</w:t>
      </w:r>
    </w:p>
    <w:p>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2.供应商为其他组织或者自然人时，本谈判文件规定的法定代表人指负责人或者自然人。本谈判文件所称负责人是指参加竞标的其他组织营业执照上的负责人，本谈判文件所称自然人指参与竞标的自然人本人。</w:t>
      </w:r>
    </w:p>
    <w:p>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法人、其他组织竞标时“我方”是指“我单位”，自然人竞标时“我方”是指“本人”。</w:t>
      </w:r>
    </w:p>
    <w:p>
      <w:pPr>
        <w:spacing w:line="500" w:lineRule="exact"/>
        <w:jc w:val="center"/>
        <w:rPr>
          <w:rFonts w:hint="eastAsia" w:ascii="宋体" w:hAnsi="宋体" w:eastAsia="宋体" w:cs="宋体"/>
          <w:b/>
          <w:bCs/>
          <w:color w:val="auto"/>
          <w:sz w:val="32"/>
          <w:szCs w:val="32"/>
          <w:highlight w:val="none"/>
        </w:rPr>
      </w:pPr>
      <w:r>
        <w:rPr>
          <w:rFonts w:hint="eastAsia" w:ascii="宋体" w:hAnsi="宋体" w:eastAsia="宋体" w:cs="宋体"/>
          <w:color w:val="auto"/>
          <w:szCs w:val="21"/>
          <w:highlight w:val="none"/>
        </w:rPr>
        <w:br w:type="page"/>
      </w:r>
      <w:r>
        <w:rPr>
          <w:rFonts w:hint="eastAsia" w:ascii="宋体" w:hAnsi="宋体" w:eastAsia="宋体" w:cs="宋体"/>
          <w:b/>
          <w:bCs/>
          <w:color w:val="auto"/>
          <w:sz w:val="32"/>
          <w:szCs w:val="32"/>
          <w:highlight w:val="none"/>
        </w:rPr>
        <w:t>授权委托书（联合体竞标格式）</w:t>
      </w:r>
    </w:p>
    <w:p>
      <w:pPr>
        <w:spacing w:line="500" w:lineRule="exact"/>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（如有委托时）</w:t>
      </w:r>
    </w:p>
    <w:p>
      <w:pPr>
        <w:spacing w:line="500" w:lineRule="exact"/>
        <w:jc w:val="center"/>
        <w:rPr>
          <w:rFonts w:hint="eastAsia" w:ascii="方正小标宋简体" w:hAnsi="方正小标宋简体" w:eastAsia="方正小标宋简体" w:cs="方正小标宋简体"/>
          <w:color w:val="auto"/>
          <w:sz w:val="44"/>
          <w:szCs w:val="44"/>
          <w:highlight w:val="none"/>
        </w:rPr>
      </w:pPr>
    </w:p>
    <w:p>
      <w:pPr>
        <w:spacing w:line="500" w:lineRule="exact"/>
        <w:jc w:val="center"/>
        <w:rPr>
          <w:rFonts w:hint="eastAsia" w:ascii="仿宋_GB2312" w:hAnsi="仿宋_GB2312" w:eastAsia="仿宋_GB2312" w:cs="仿宋_GB2312"/>
          <w:color w:val="auto"/>
          <w:sz w:val="32"/>
          <w:szCs w:val="32"/>
          <w:highlight w:val="none"/>
        </w:rPr>
      </w:pPr>
    </w:p>
    <w:p>
      <w:pPr>
        <w:spacing w:line="360" w:lineRule="auto"/>
        <w:ind w:firstLine="480" w:firstLineChars="200"/>
        <w:jc w:val="left"/>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本授权委托书声明：根据</w:t>
      </w:r>
      <w:r>
        <w:rPr>
          <w:rFonts w:hint="eastAsia" w:ascii="宋体" w:hAnsi="宋体" w:eastAsia="宋体" w:cs="仿宋_GB2312"/>
          <w:color w:val="auto"/>
          <w:sz w:val="24"/>
          <w:szCs w:val="24"/>
          <w:highlight w:val="none"/>
          <w:u w:val="single"/>
        </w:rPr>
        <w:t xml:space="preserve">                </w:t>
      </w:r>
      <w:r>
        <w:rPr>
          <w:rFonts w:hint="eastAsia" w:ascii="宋体" w:hAnsi="宋体" w:eastAsia="宋体" w:cs="仿宋_GB2312"/>
          <w:color w:val="auto"/>
          <w:sz w:val="24"/>
          <w:szCs w:val="24"/>
          <w:highlight w:val="none"/>
        </w:rPr>
        <w:t>（牵头人名称）与</w:t>
      </w:r>
      <w:r>
        <w:rPr>
          <w:rFonts w:hint="eastAsia" w:ascii="宋体" w:hAnsi="宋体" w:eastAsia="宋体" w:cs="仿宋_GB2312"/>
          <w:color w:val="auto"/>
          <w:sz w:val="24"/>
          <w:szCs w:val="24"/>
          <w:highlight w:val="none"/>
          <w:u w:val="single"/>
        </w:rPr>
        <w:t xml:space="preserve">              </w:t>
      </w:r>
      <w:r>
        <w:rPr>
          <w:rFonts w:hint="eastAsia" w:ascii="宋体" w:hAnsi="宋体" w:eastAsia="宋体" w:cs="仿宋_GB2312"/>
          <w:color w:val="auto"/>
          <w:sz w:val="24"/>
          <w:szCs w:val="24"/>
          <w:highlight w:val="none"/>
        </w:rPr>
        <w:t>（联合体其他成员名称）签订的《联合体竞标协议书》的内容，</w:t>
      </w:r>
      <w:r>
        <w:rPr>
          <w:rFonts w:hint="eastAsia" w:ascii="宋体" w:hAnsi="宋体" w:eastAsia="宋体" w:cs="仿宋_GB2312"/>
          <w:color w:val="auto"/>
          <w:sz w:val="24"/>
          <w:szCs w:val="24"/>
          <w:highlight w:val="none"/>
          <w:u w:val="single"/>
        </w:rPr>
        <w:t xml:space="preserve">                       </w:t>
      </w:r>
      <w:r>
        <w:rPr>
          <w:rFonts w:hint="eastAsia" w:ascii="宋体" w:hAnsi="宋体" w:eastAsia="宋体" w:cs="仿宋_GB2312"/>
          <w:color w:val="auto"/>
          <w:sz w:val="24"/>
          <w:szCs w:val="24"/>
          <w:highlight w:val="none"/>
        </w:rPr>
        <w:t>（牵头人名称）的法定代表人</w:t>
      </w:r>
      <w:r>
        <w:rPr>
          <w:rFonts w:hint="eastAsia" w:ascii="宋体" w:hAnsi="宋体" w:eastAsia="宋体" w:cs="仿宋_GB2312"/>
          <w:color w:val="auto"/>
          <w:sz w:val="24"/>
          <w:szCs w:val="24"/>
          <w:highlight w:val="none"/>
          <w:u w:val="single"/>
        </w:rPr>
        <w:t xml:space="preserve">      </w:t>
      </w:r>
      <w:r>
        <w:rPr>
          <w:rFonts w:hint="eastAsia" w:ascii="宋体" w:hAnsi="宋体" w:eastAsia="宋体" w:cs="仿宋_GB2312"/>
          <w:i/>
          <w:iCs/>
          <w:color w:val="auto"/>
          <w:sz w:val="24"/>
          <w:szCs w:val="24"/>
          <w:highlight w:val="none"/>
          <w:u w:val="single"/>
        </w:rPr>
        <w:t>（姓名）</w:t>
      </w:r>
      <w:r>
        <w:rPr>
          <w:rFonts w:hint="eastAsia" w:ascii="宋体" w:hAnsi="宋体" w:eastAsia="宋体" w:cs="仿宋_GB2312"/>
          <w:color w:val="auto"/>
          <w:sz w:val="24"/>
          <w:szCs w:val="24"/>
          <w:highlight w:val="none"/>
        </w:rPr>
        <w:t>现授权</w:t>
      </w:r>
      <w:r>
        <w:rPr>
          <w:rFonts w:hint="eastAsia" w:ascii="宋体" w:hAnsi="宋体" w:eastAsia="宋体" w:cs="仿宋_GB2312"/>
          <w:color w:val="auto"/>
          <w:sz w:val="24"/>
          <w:szCs w:val="24"/>
          <w:highlight w:val="none"/>
          <w:u w:val="single"/>
        </w:rPr>
        <w:t xml:space="preserve">      </w:t>
      </w:r>
      <w:r>
        <w:rPr>
          <w:rFonts w:hint="eastAsia" w:ascii="宋体" w:hAnsi="宋体" w:eastAsia="宋体" w:cs="仿宋_GB2312"/>
          <w:i/>
          <w:iCs/>
          <w:color w:val="auto"/>
          <w:sz w:val="24"/>
          <w:szCs w:val="24"/>
          <w:highlight w:val="none"/>
          <w:u w:val="single"/>
        </w:rPr>
        <w:t>（姓名）</w:t>
      </w:r>
      <w:r>
        <w:rPr>
          <w:rFonts w:hint="eastAsia" w:ascii="宋体" w:hAnsi="宋体" w:eastAsia="宋体" w:cs="仿宋_GB2312"/>
          <w:color w:val="auto"/>
          <w:sz w:val="24"/>
          <w:szCs w:val="24"/>
          <w:highlight w:val="none"/>
        </w:rPr>
        <w:t>为联合委托代理人，并代表我方全权办理针对上述项目的所有采购程序和环节的具体事务和签署相关文件。</w:t>
      </w:r>
    </w:p>
    <w:p>
      <w:pPr>
        <w:spacing w:line="360" w:lineRule="auto"/>
        <w:ind w:firstLine="480" w:firstLineChars="200"/>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我方对委托代理人的签字事项负全部责任。</w:t>
      </w:r>
    </w:p>
    <w:p>
      <w:pPr>
        <w:spacing w:line="360" w:lineRule="auto"/>
        <w:ind w:firstLine="480" w:firstLineChars="200"/>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本授权书自签署之日起生效，在撤销授权的书面通知以前，本授权书一直有效。委托代理人在授权书有效期内签署的所有文件不因授权的撤销而失效。</w:t>
      </w:r>
    </w:p>
    <w:p>
      <w:pPr>
        <w:spacing w:line="360" w:lineRule="auto"/>
        <w:ind w:firstLine="480" w:firstLineChars="200"/>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委托代理人无转委托权，特此委托。</w:t>
      </w:r>
    </w:p>
    <w:p>
      <w:pPr>
        <w:spacing w:line="360" w:lineRule="auto"/>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 xml:space="preserve">    </w:t>
      </w:r>
    </w:p>
    <w:p>
      <w:pPr>
        <w:spacing w:line="360" w:lineRule="auto"/>
        <w:ind w:firstLine="1560" w:firstLineChars="650"/>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牵头人法定代表人（签字）：</w:t>
      </w:r>
    </w:p>
    <w:p>
      <w:pPr>
        <w:spacing w:line="360" w:lineRule="auto"/>
        <w:ind w:firstLine="3000" w:firstLineChars="1250"/>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牵头人名称（盖公章）：</w:t>
      </w:r>
    </w:p>
    <w:p>
      <w:pPr>
        <w:spacing w:line="360" w:lineRule="auto"/>
        <w:ind w:firstLine="3840" w:firstLineChars="1600"/>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日期：    年   月   日</w:t>
      </w:r>
    </w:p>
    <w:p>
      <w:pPr>
        <w:spacing w:line="360" w:lineRule="auto"/>
        <w:rPr>
          <w:rFonts w:hint="eastAsia" w:ascii="宋体" w:hAnsi="宋体" w:eastAsia="宋体" w:cs="仿宋_GB2312"/>
          <w:color w:val="auto"/>
          <w:sz w:val="24"/>
          <w:szCs w:val="24"/>
          <w:highlight w:val="none"/>
        </w:rPr>
      </w:pPr>
    </w:p>
    <w:p>
      <w:pPr>
        <w:spacing w:line="360" w:lineRule="auto"/>
        <w:ind w:firstLine="3120" w:firstLineChars="1300"/>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委托代理人（签字）：</w:t>
      </w:r>
    </w:p>
    <w:p>
      <w:pPr>
        <w:spacing w:line="360" w:lineRule="auto"/>
        <w:ind w:firstLine="3840" w:firstLineChars="1600"/>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日期：    年   月   日</w:t>
      </w:r>
    </w:p>
    <w:p>
      <w:pPr>
        <w:spacing w:line="360" w:lineRule="auto"/>
        <w:rPr>
          <w:rFonts w:hint="eastAsia" w:ascii="宋体" w:hAnsi="宋体" w:eastAsia="宋体" w:cs="仿宋_GB2312"/>
          <w:color w:val="auto"/>
          <w:sz w:val="24"/>
          <w:szCs w:val="24"/>
          <w:highlight w:val="none"/>
        </w:rPr>
      </w:pPr>
    </w:p>
    <w:p>
      <w:pPr>
        <w:spacing w:line="360" w:lineRule="auto"/>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注：1. 法定代表人和委托代理人必须在授权委托书上签字，</w:t>
      </w:r>
      <w:r>
        <w:rPr>
          <w:rFonts w:hint="eastAsia" w:ascii="宋体" w:hAnsi="宋体" w:eastAsia="宋体" w:cs="仿宋_GB2312"/>
          <w:b/>
          <w:color w:val="auto"/>
          <w:sz w:val="24"/>
          <w:szCs w:val="24"/>
          <w:highlight w:val="none"/>
        </w:rPr>
        <w:t>否则其响应文件作无效响应处理。</w:t>
      </w:r>
    </w:p>
    <w:p>
      <w:pPr>
        <w:spacing w:line="360" w:lineRule="auto"/>
        <w:ind w:firstLine="480" w:firstLineChars="200"/>
        <w:jc w:val="left"/>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2.本授权委托书应由联合体牵头人的法定代表人按上述规定签署。</w:t>
      </w:r>
    </w:p>
    <w:p>
      <w:pPr>
        <w:spacing w:line="360" w:lineRule="auto"/>
        <w:ind w:firstLine="480" w:firstLineChars="200"/>
        <w:jc w:val="left"/>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3</w:t>
      </w:r>
      <w:r>
        <w:rPr>
          <w:rFonts w:ascii="宋体" w:hAnsi="宋体" w:eastAsia="宋体" w:cs="仿宋_GB2312"/>
          <w:color w:val="auto"/>
          <w:sz w:val="24"/>
          <w:szCs w:val="24"/>
          <w:highlight w:val="none"/>
        </w:rPr>
        <w:t>.</w:t>
      </w:r>
      <w:r>
        <w:rPr>
          <w:rFonts w:hint="eastAsia" w:ascii="宋体" w:hAnsi="宋体" w:eastAsia="宋体" w:cs="仿宋_GB2312"/>
          <w:color w:val="auto"/>
          <w:sz w:val="24"/>
          <w:szCs w:val="24"/>
          <w:highlight w:val="none"/>
        </w:rPr>
        <w:t>供应商为其他组织或者自然人时，本谈判文件规定的法定代表人指负责人或者自然人。本谈判文件所称负责人是指参加竞标的其他组织营业执照上的负责人，本谈判文件所称自然人指参与竞标的自然人本人。</w:t>
      </w:r>
    </w:p>
    <w:p>
      <w:pPr>
        <w:spacing w:line="360" w:lineRule="auto"/>
        <w:ind w:firstLine="480" w:firstLineChars="200"/>
        <w:jc w:val="left"/>
        <w:rPr>
          <w:rFonts w:hint="eastAsia" w:ascii="仿宋_GB2312" w:hAnsi="仿宋_GB2312" w:eastAsia="仿宋_GB2312" w:cs="仿宋_GB2312"/>
          <w:color w:val="auto"/>
          <w:szCs w:val="21"/>
          <w:highlight w:val="none"/>
        </w:rPr>
      </w:pPr>
      <w:r>
        <w:rPr>
          <w:rFonts w:hint="eastAsia" w:ascii="宋体" w:hAnsi="宋体" w:eastAsia="宋体" w:cs="仿宋_GB2312"/>
          <w:color w:val="auto"/>
          <w:sz w:val="24"/>
          <w:szCs w:val="24"/>
          <w:highlight w:val="none"/>
        </w:rPr>
        <w:t>4</w:t>
      </w:r>
      <w:r>
        <w:rPr>
          <w:rFonts w:ascii="宋体" w:hAnsi="宋体" w:eastAsia="宋体" w:cs="仿宋_GB2312"/>
          <w:color w:val="auto"/>
          <w:sz w:val="24"/>
          <w:szCs w:val="24"/>
          <w:highlight w:val="none"/>
        </w:rPr>
        <w:t>.</w:t>
      </w:r>
      <w:r>
        <w:rPr>
          <w:rFonts w:hint="eastAsia" w:ascii="宋体" w:hAnsi="宋体" w:eastAsia="宋体" w:cs="仿宋_GB2312"/>
          <w:color w:val="auto"/>
          <w:sz w:val="24"/>
          <w:szCs w:val="24"/>
          <w:highlight w:val="none"/>
        </w:rPr>
        <w:t>法人、其他组织竞标时“我方”是指“我单位”，自然人竞标时“我方”是指“本人”。</w:t>
      </w:r>
    </w:p>
    <w:p>
      <w:pPr>
        <w:snapToGrid w:val="0"/>
        <w:spacing w:line="360" w:lineRule="auto"/>
        <w:rPr>
          <w:rFonts w:hint="eastAsia" w:ascii="宋体" w:hAnsi="宋体" w:eastAsia="宋体" w:cs="Times New Roman"/>
          <w:b/>
          <w:bCs/>
          <w:color w:val="auto"/>
          <w:sz w:val="32"/>
          <w:szCs w:val="32"/>
          <w:highlight w:val="none"/>
        </w:rPr>
      </w:pPr>
      <w:r>
        <w:rPr>
          <w:rFonts w:hint="eastAsia" w:ascii="仿宋_GB2312" w:hAnsi="仿宋_GB2312" w:eastAsia="仿宋_GB2312" w:cs="仿宋_GB2312"/>
          <w:color w:val="auto"/>
          <w:sz w:val="32"/>
          <w:szCs w:val="32"/>
          <w:highlight w:val="none"/>
        </w:rPr>
        <w:br w:type="page"/>
      </w:r>
      <w:r>
        <w:rPr>
          <w:rFonts w:hint="eastAsia" w:ascii="宋体" w:hAnsi="宋体" w:eastAsia="宋体" w:cs="宋体"/>
          <w:b/>
          <w:color w:val="auto"/>
          <w:sz w:val="28"/>
          <w:szCs w:val="28"/>
          <w:highlight w:val="none"/>
        </w:rPr>
        <w:t>6.商务条款偏离表的格式：</w:t>
      </w:r>
    </w:p>
    <w:p>
      <w:pPr>
        <w:spacing w:line="500" w:lineRule="exact"/>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商务条款偏离表</w:t>
      </w:r>
    </w:p>
    <w:p>
      <w:pPr>
        <w:spacing w:line="360" w:lineRule="auto"/>
        <w:contextualSpacing/>
        <w:rPr>
          <w:rFonts w:cs="仿宋_GB2312"/>
          <w:color w:val="auto"/>
          <w:sz w:val="24"/>
          <w:highlight w:val="none"/>
        </w:rPr>
      </w:pPr>
    </w:p>
    <w:p>
      <w:pPr>
        <w:spacing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项目名称：</w:t>
      </w:r>
      <w:r>
        <w:rPr>
          <w:rFonts w:hint="eastAsia" w:ascii="宋体" w:hAnsi="宋体" w:eastAsia="宋体" w:cs="宋体"/>
          <w:color w:val="auto"/>
          <w:sz w:val="24"/>
          <w:highlight w:val="none"/>
          <w:u w:val="single"/>
        </w:rPr>
        <w:t xml:space="preserve">                 </w:t>
      </w:r>
    </w:p>
    <w:p>
      <w:pPr>
        <w:spacing w:line="360" w:lineRule="auto"/>
        <w:contextualSpacing/>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项目编号：</w:t>
      </w:r>
      <w:r>
        <w:rPr>
          <w:rFonts w:hint="eastAsia" w:ascii="宋体" w:hAnsi="宋体" w:eastAsia="宋体" w:cs="宋体"/>
          <w:color w:val="auto"/>
          <w:sz w:val="24"/>
          <w:highlight w:val="none"/>
          <w:u w:val="single"/>
        </w:rPr>
        <w:t xml:space="preserve">                 </w:t>
      </w:r>
    </w:p>
    <w:p>
      <w:pPr>
        <w:spacing w:line="360" w:lineRule="auto"/>
        <w:contextualSpacing/>
        <w:rPr>
          <w:rFonts w:hint="eastAsia" w:ascii="宋体" w:hAnsi="宋体" w:eastAsia="宋体" w:cs="宋体"/>
          <w:color w:val="auto"/>
          <w:sz w:val="24"/>
          <w:szCs w:val="24"/>
          <w:highlight w:val="none"/>
          <w:u w:val="single"/>
        </w:rPr>
      </w:pPr>
      <w:r>
        <w:rPr>
          <w:rFonts w:hint="eastAsia" w:ascii="宋体" w:hAnsi="宋体" w:eastAsia="宋体" w:cs="宋体"/>
          <w:color w:val="auto"/>
          <w:sz w:val="24"/>
          <w:highlight w:val="none"/>
        </w:rPr>
        <w:t>所竞分标（如有则填写，无分标时填写“无”或者留空）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tbl>
      <w:tblPr>
        <w:tblStyle w:val="29"/>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竞争性谈判文件的商务条款</w:t>
            </w:r>
          </w:p>
        </w:tc>
        <w:tc>
          <w:tcPr>
            <w:tcW w:w="358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响应文件响应的商务条款</w:t>
            </w:r>
          </w:p>
        </w:tc>
        <w:tc>
          <w:tcPr>
            <w:tcW w:w="1274"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pPr>
              <w:spacing w:line="3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w:t>
            </w:r>
          </w:p>
        </w:tc>
        <w:tc>
          <w:tcPr>
            <w:tcW w:w="3926" w:type="dxa"/>
            <w:tcBorders>
              <w:top w:val="single" w:color="auto" w:sz="4" w:space="0"/>
              <w:left w:val="single" w:color="auto" w:sz="4" w:space="0"/>
              <w:bottom w:val="single" w:color="auto" w:sz="4" w:space="0"/>
              <w:right w:val="single" w:color="auto" w:sz="4" w:space="0"/>
            </w:tcBorders>
          </w:tcPr>
          <w:p>
            <w:pPr>
              <w:spacing w:line="340" w:lineRule="exact"/>
              <w:rPr>
                <w:rFonts w:hint="eastAsia" w:ascii="宋体" w:hAnsi="宋体" w:eastAsia="宋体" w:cs="宋体"/>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tcPr>
          <w:p>
            <w:pPr>
              <w:spacing w:line="340" w:lineRule="exact"/>
              <w:rPr>
                <w:rFonts w:hint="eastAsia" w:ascii="宋体" w:hAnsi="宋体" w:eastAsia="宋体" w:cs="宋体"/>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tcPr>
          <w:p>
            <w:pPr>
              <w:spacing w:line="30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tcPr>
          <w:p>
            <w:pPr>
              <w:spacing w:line="3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w:t>
            </w:r>
          </w:p>
        </w:tc>
        <w:tc>
          <w:tcPr>
            <w:tcW w:w="3926" w:type="dxa"/>
            <w:tcBorders>
              <w:top w:val="single" w:color="auto" w:sz="4" w:space="0"/>
              <w:left w:val="single" w:color="auto" w:sz="4" w:space="0"/>
              <w:bottom w:val="single" w:color="auto" w:sz="4" w:space="0"/>
              <w:right w:val="single" w:color="auto" w:sz="4" w:space="0"/>
            </w:tcBorders>
          </w:tcPr>
          <w:p>
            <w:pPr>
              <w:spacing w:line="340" w:lineRule="exact"/>
              <w:rPr>
                <w:rFonts w:hint="eastAsia" w:ascii="宋体" w:hAnsi="宋体" w:eastAsia="宋体" w:cs="宋体"/>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tcPr>
          <w:p>
            <w:pPr>
              <w:spacing w:line="340" w:lineRule="exact"/>
              <w:rPr>
                <w:rFonts w:hint="eastAsia" w:ascii="宋体" w:hAnsi="宋体" w:eastAsia="宋体" w:cs="宋体"/>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tcPr>
          <w:p>
            <w:pPr>
              <w:spacing w:line="300" w:lineRule="exact"/>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tcPr>
          <w:p>
            <w:pPr>
              <w:spacing w:line="34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926" w:type="dxa"/>
            <w:tcBorders>
              <w:top w:val="single" w:color="auto" w:sz="4" w:space="0"/>
              <w:left w:val="single" w:color="auto" w:sz="4" w:space="0"/>
              <w:bottom w:val="single" w:color="auto" w:sz="4" w:space="0"/>
              <w:right w:val="single" w:color="auto" w:sz="4" w:space="0"/>
            </w:tcBorders>
          </w:tcPr>
          <w:p>
            <w:pPr>
              <w:spacing w:line="340" w:lineRule="exact"/>
              <w:rPr>
                <w:rFonts w:hint="eastAsia" w:ascii="宋体" w:hAnsi="宋体" w:eastAsia="宋体" w:cs="宋体"/>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tcPr>
          <w:p>
            <w:pPr>
              <w:spacing w:line="340" w:lineRule="exact"/>
              <w:rPr>
                <w:rFonts w:hint="eastAsia" w:ascii="宋体" w:hAnsi="宋体" w:eastAsia="宋体" w:cs="宋体"/>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tcPr>
          <w:p>
            <w:pPr>
              <w:spacing w:line="300" w:lineRule="exact"/>
              <w:rPr>
                <w:rFonts w:hint="eastAsia" w:ascii="宋体" w:hAnsi="宋体" w:eastAsia="宋体" w:cs="宋体"/>
                <w:color w:val="auto"/>
                <w:szCs w:val="21"/>
                <w:highlight w:val="none"/>
              </w:rPr>
            </w:pPr>
          </w:p>
        </w:tc>
      </w:tr>
    </w:tbl>
    <w:p>
      <w:pPr>
        <w:spacing w:line="400" w:lineRule="exact"/>
        <w:ind w:left="420"/>
        <w:contextualSpacing/>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注：</w:t>
      </w:r>
    </w:p>
    <w:p>
      <w:pPr>
        <w:spacing w:line="400" w:lineRule="exact"/>
        <w:ind w:firstLine="420" w:firstLineChars="175"/>
        <w:contextualSpacing/>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1.说明：应对照谈判文件“第二章 采购需求”中的商务条款逐条作出明确响应，并作出偏离说明。</w:t>
      </w:r>
    </w:p>
    <w:p>
      <w:pPr>
        <w:spacing w:line="400" w:lineRule="exact"/>
        <w:ind w:firstLine="480" w:firstLineChars="200"/>
        <w:contextualSpacing/>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2.供应商应根据自身的承诺，对照谈判文件要求，在“偏离说明”中注明“正偏离”或者“负偏离”或者“无偏离”。既不属于“正偏离”也不属于“负偏离”即为“无偏离”。 当响应文件的商务内容低于竞争性谈判文件要求时，供应商应当如实写明“负偏离”。</w:t>
      </w:r>
    </w:p>
    <w:p>
      <w:pPr>
        <w:spacing w:line="40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3.表格内容均需按要求填写并盖公章，不得留空，</w:t>
      </w:r>
      <w:r>
        <w:rPr>
          <w:rFonts w:hint="eastAsia" w:ascii="宋体" w:hAnsi="宋体" w:eastAsia="宋体" w:cs="宋体"/>
          <w:b/>
          <w:bCs/>
          <w:color w:val="auto"/>
          <w:kern w:val="0"/>
          <w:sz w:val="24"/>
          <w:szCs w:val="24"/>
          <w:highlight w:val="none"/>
        </w:rPr>
        <w:t>否则按竞标无效处理</w:t>
      </w:r>
      <w:r>
        <w:rPr>
          <w:rFonts w:hint="eastAsia" w:ascii="宋体" w:hAnsi="宋体" w:eastAsia="宋体" w:cs="宋体"/>
          <w:color w:val="auto"/>
          <w:kern w:val="0"/>
          <w:sz w:val="24"/>
          <w:szCs w:val="24"/>
          <w:highlight w:val="none"/>
        </w:rPr>
        <w:t>。</w:t>
      </w:r>
    </w:p>
    <w:p>
      <w:pPr>
        <w:spacing w:line="400" w:lineRule="exact"/>
        <w:ind w:firstLine="480" w:firstLineChars="200"/>
        <w:contextualSpacing/>
        <w:rPr>
          <w:rFonts w:hint="eastAsia" w:ascii="宋体" w:hAnsi="宋体" w:eastAsia="宋体" w:cs="宋体"/>
          <w:color w:val="auto"/>
          <w:kern w:val="0"/>
          <w:sz w:val="24"/>
          <w:szCs w:val="24"/>
          <w:highlight w:val="none"/>
          <w:lang w:val="zh-CN"/>
        </w:rPr>
      </w:pPr>
    </w:p>
    <w:p>
      <w:pPr>
        <w:spacing w:line="400" w:lineRule="exact"/>
        <w:ind w:firstLine="480" w:firstLineChars="200"/>
        <w:contextualSpacing/>
        <w:rPr>
          <w:rFonts w:hint="eastAsia" w:ascii="宋体" w:hAnsi="宋体" w:eastAsia="宋体" w:cs="宋体"/>
          <w:color w:val="auto"/>
          <w:kern w:val="0"/>
          <w:sz w:val="24"/>
          <w:szCs w:val="24"/>
          <w:highlight w:val="none"/>
          <w:lang w:val="zh-CN"/>
        </w:rPr>
      </w:pPr>
    </w:p>
    <w:p>
      <w:pPr>
        <w:spacing w:line="360" w:lineRule="auto"/>
        <w:ind w:right="-817" w:rightChars="-389"/>
        <w:contextualSpacing/>
        <w:rPr>
          <w:rFonts w:hint="eastAsia" w:ascii="宋体" w:hAnsi="宋体" w:eastAsia="宋体" w:cs="宋体"/>
          <w:color w:val="auto"/>
          <w:sz w:val="24"/>
          <w:szCs w:val="24"/>
          <w:highlight w:val="none"/>
        </w:rPr>
      </w:pPr>
    </w:p>
    <w:p>
      <w:pPr>
        <w:spacing w:line="360" w:lineRule="auto"/>
        <w:ind w:firstLine="3840" w:firstLineChars="16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供应商名称（盖公章）：</w:t>
      </w:r>
    </w:p>
    <w:p>
      <w:pPr>
        <w:spacing w:line="360" w:lineRule="auto"/>
        <w:contextualSpacing/>
        <w:jc w:val="center"/>
        <w:rPr>
          <w:rFonts w:hint="eastAsia" w:ascii="宋体" w:hAnsi="宋体" w:eastAsia="宋体" w:cs="宋体"/>
          <w:b/>
          <w:color w:val="auto"/>
          <w:sz w:val="24"/>
          <w:szCs w:val="24"/>
          <w:highlight w:val="none"/>
        </w:rPr>
      </w:pPr>
      <w:r>
        <w:rPr>
          <w:rFonts w:hint="eastAsia" w:ascii="宋体" w:hAnsi="宋体" w:eastAsia="宋体" w:cs="宋体"/>
          <w:color w:val="auto"/>
          <w:kern w:val="0"/>
          <w:sz w:val="24"/>
          <w:szCs w:val="24"/>
          <w:highlight w:val="none"/>
          <w:lang w:val="zh-CN"/>
        </w:rPr>
        <w:t xml:space="preserve">                                                   日期：  年  月   日</w:t>
      </w:r>
    </w:p>
    <w:p>
      <w:pPr>
        <w:snapToGrid w:val="0"/>
        <w:spacing w:line="360" w:lineRule="auto"/>
        <w:ind w:firstLine="602" w:firstLineChars="200"/>
        <w:rPr>
          <w:rFonts w:hint="eastAsia" w:ascii="仿宋" w:hAnsi="仿宋" w:eastAsia="仿宋" w:cs="仿宋_GB2312"/>
          <w:b/>
          <w:color w:val="auto"/>
          <w:sz w:val="30"/>
          <w:szCs w:val="30"/>
          <w:highlight w:val="none"/>
        </w:rPr>
      </w:pPr>
    </w:p>
    <w:p>
      <w:pPr>
        <w:snapToGrid w:val="0"/>
        <w:spacing w:line="360" w:lineRule="auto"/>
        <w:ind w:firstLine="602" w:firstLineChars="200"/>
        <w:rPr>
          <w:rFonts w:hint="eastAsia" w:ascii="仿宋" w:hAnsi="仿宋" w:eastAsia="仿宋" w:cs="仿宋_GB2312"/>
          <w:b/>
          <w:color w:val="auto"/>
          <w:sz w:val="30"/>
          <w:szCs w:val="30"/>
          <w:highlight w:val="none"/>
        </w:rPr>
      </w:pPr>
    </w:p>
    <w:p>
      <w:pPr>
        <w:snapToGrid w:val="0"/>
        <w:spacing w:before="120" w:beforeLines="50" w:after="50"/>
        <w:rPr>
          <w:rFonts w:hint="eastAsia" w:ascii="宋体" w:hAnsi="宋体" w:eastAsia="宋体" w:cs="宋体"/>
          <w:b/>
          <w:color w:val="auto"/>
          <w:sz w:val="24"/>
          <w:szCs w:val="24"/>
          <w:highlight w:val="none"/>
        </w:rPr>
      </w:pPr>
      <w:r>
        <w:rPr>
          <w:rFonts w:hint="eastAsia" w:ascii="宋体" w:hAnsi="宋体" w:eastAsia="宋体" w:cs="宋体"/>
          <w:b/>
          <w:color w:val="auto"/>
          <w:sz w:val="28"/>
          <w:szCs w:val="28"/>
          <w:highlight w:val="none"/>
        </w:rPr>
        <w:t>7.供应商类似的业绩证明文件</w:t>
      </w:r>
      <w:r>
        <w:rPr>
          <w:rFonts w:hint="eastAsia" w:ascii="宋体" w:hAnsi="宋体" w:eastAsia="宋体" w:cs="宋体"/>
          <w:b/>
          <w:bCs/>
          <w:color w:val="auto"/>
          <w:sz w:val="30"/>
          <w:szCs w:val="30"/>
          <w:highlight w:val="none"/>
        </w:rPr>
        <w:t>（如有要求）：</w:t>
      </w:r>
    </w:p>
    <w:p>
      <w:pPr>
        <w:snapToGrid w:val="0"/>
        <w:ind w:left="480" w:hanging="480" w:hangingChars="200"/>
        <w:contextualSpacing/>
        <w:rPr>
          <w:rFonts w:hint="eastAsia" w:ascii="宋体" w:hAnsi="宋体" w:eastAsia="宋体" w:cs="Times New Roman"/>
          <w:color w:val="auto"/>
          <w:sz w:val="24"/>
          <w:szCs w:val="24"/>
          <w:highlight w:val="none"/>
        </w:rPr>
      </w:pPr>
    </w:p>
    <w:tbl>
      <w:tblPr>
        <w:tblStyle w:val="29"/>
        <w:tblpPr w:leftFromText="180" w:rightFromText="180" w:vertAnchor="page" w:horzAnchor="margin" w:tblpXSpec="center" w:tblpY="4783"/>
        <w:tblW w:w="950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58"/>
        <w:gridCol w:w="1915"/>
        <w:gridCol w:w="1044"/>
        <w:gridCol w:w="1045"/>
        <w:gridCol w:w="1567"/>
        <w:gridCol w:w="1058"/>
        <w:gridCol w:w="181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105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采购人名称</w:t>
            </w:r>
          </w:p>
        </w:tc>
        <w:tc>
          <w:tcPr>
            <w:tcW w:w="1915"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项目名称</w:t>
            </w:r>
          </w:p>
        </w:tc>
        <w:tc>
          <w:tcPr>
            <w:tcW w:w="1044"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合同</w:t>
            </w:r>
          </w:p>
          <w:p>
            <w:pPr>
              <w:snapToGrid w:val="0"/>
              <w:spacing w:line="240" w:lineRule="exact"/>
              <w:jc w:val="center"/>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金额</w:t>
            </w:r>
          </w:p>
          <w:p>
            <w:pPr>
              <w:snapToGrid w:val="0"/>
              <w:spacing w:line="240" w:lineRule="exact"/>
              <w:jc w:val="center"/>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（万元）</w:t>
            </w:r>
          </w:p>
        </w:tc>
        <w:tc>
          <w:tcPr>
            <w:tcW w:w="3670" w:type="dxa"/>
            <w:gridSpan w:val="3"/>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附件在响应文件中页码</w:t>
            </w:r>
          </w:p>
        </w:tc>
        <w:tc>
          <w:tcPr>
            <w:tcW w:w="181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采购人联系人及联系电话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22" w:hRule="atLeast"/>
        </w:trPr>
        <w:tc>
          <w:tcPr>
            <w:tcW w:w="1058"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Times New Roman"/>
                <w:color w:val="auto"/>
                <w:sz w:val="24"/>
                <w:szCs w:val="24"/>
                <w:highlight w:val="none"/>
              </w:rPr>
            </w:pPr>
          </w:p>
        </w:tc>
        <w:tc>
          <w:tcPr>
            <w:tcW w:w="1915"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Times New Roman"/>
                <w:color w:val="auto"/>
                <w:sz w:val="24"/>
                <w:szCs w:val="24"/>
                <w:highlight w:val="none"/>
              </w:rPr>
            </w:pPr>
          </w:p>
        </w:tc>
        <w:tc>
          <w:tcPr>
            <w:tcW w:w="1044"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Times New Roman"/>
                <w:color w:val="auto"/>
                <w:sz w:val="24"/>
                <w:szCs w:val="24"/>
                <w:highlight w:val="none"/>
              </w:rPr>
            </w:pPr>
          </w:p>
        </w:tc>
        <w:tc>
          <w:tcPr>
            <w:tcW w:w="1045"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合同</w:t>
            </w:r>
          </w:p>
        </w:tc>
        <w:tc>
          <w:tcPr>
            <w:tcW w:w="1567"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验收报告</w:t>
            </w:r>
          </w:p>
        </w:tc>
        <w:tc>
          <w:tcPr>
            <w:tcW w:w="105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用户</w:t>
            </w:r>
          </w:p>
          <w:p>
            <w:pPr>
              <w:snapToGrid w:val="0"/>
              <w:spacing w:line="240" w:lineRule="exact"/>
              <w:jc w:val="center"/>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评价</w:t>
            </w:r>
          </w:p>
        </w:tc>
        <w:tc>
          <w:tcPr>
            <w:tcW w:w="1813"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058"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hint="eastAsia" w:ascii="宋体" w:hAnsi="宋体" w:eastAsia="宋体" w:cs="Times New Roman"/>
                <w:color w:val="auto"/>
                <w:sz w:val="24"/>
                <w:szCs w:val="24"/>
                <w:highlight w:val="none"/>
              </w:rPr>
            </w:pPr>
          </w:p>
        </w:tc>
        <w:tc>
          <w:tcPr>
            <w:tcW w:w="1915"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hint="eastAsia" w:ascii="宋体" w:hAnsi="宋体" w:eastAsia="宋体" w:cs="Times New Roman"/>
                <w:color w:val="auto"/>
                <w:sz w:val="24"/>
                <w:szCs w:val="24"/>
                <w:highlight w:val="none"/>
              </w:rPr>
            </w:pPr>
          </w:p>
        </w:tc>
        <w:tc>
          <w:tcPr>
            <w:tcW w:w="1044"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hint="eastAsia" w:ascii="宋体" w:hAnsi="宋体" w:eastAsia="宋体" w:cs="Times New Roman"/>
                <w:color w:val="auto"/>
                <w:sz w:val="24"/>
                <w:szCs w:val="24"/>
                <w:highlight w:val="none"/>
              </w:rPr>
            </w:pPr>
          </w:p>
        </w:tc>
        <w:tc>
          <w:tcPr>
            <w:tcW w:w="1045"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hint="eastAsia" w:ascii="宋体" w:hAnsi="宋体" w:eastAsia="宋体" w:cs="Times New Roman"/>
                <w:color w:val="auto"/>
                <w:sz w:val="24"/>
                <w:szCs w:val="24"/>
                <w:highlight w:val="none"/>
              </w:rPr>
            </w:pPr>
          </w:p>
        </w:tc>
        <w:tc>
          <w:tcPr>
            <w:tcW w:w="1567"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hint="eastAsia" w:ascii="宋体" w:hAnsi="宋体" w:eastAsia="宋体" w:cs="Times New Roman"/>
                <w:color w:val="auto"/>
                <w:sz w:val="24"/>
                <w:szCs w:val="24"/>
                <w:highlight w:val="none"/>
              </w:rPr>
            </w:pPr>
          </w:p>
        </w:tc>
        <w:tc>
          <w:tcPr>
            <w:tcW w:w="1058"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hint="eastAsia" w:ascii="宋体" w:hAnsi="宋体" w:eastAsia="宋体" w:cs="Times New Roman"/>
                <w:color w:val="auto"/>
                <w:sz w:val="24"/>
                <w:szCs w:val="24"/>
                <w:highlight w:val="none"/>
              </w:rPr>
            </w:pPr>
          </w:p>
        </w:tc>
        <w:tc>
          <w:tcPr>
            <w:tcW w:w="1813"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hint="eastAsia" w:ascii="宋体" w:hAnsi="宋体" w:eastAsia="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05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915"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044"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045"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567"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05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813"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eastAsia="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05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915"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044"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045"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567"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05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813"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eastAsia="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05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915"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044"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045"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567"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05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813"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eastAsia="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105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915"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044"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045"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567"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05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eastAsia="宋体" w:cs="Times New Roman"/>
                <w:color w:val="auto"/>
                <w:sz w:val="24"/>
                <w:szCs w:val="24"/>
                <w:highlight w:val="none"/>
              </w:rPr>
            </w:pPr>
          </w:p>
        </w:tc>
        <w:tc>
          <w:tcPr>
            <w:tcW w:w="1813"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hint="eastAsia" w:ascii="宋体" w:hAnsi="宋体" w:eastAsia="宋体" w:cs="Times New Roman"/>
                <w:color w:val="auto"/>
                <w:sz w:val="24"/>
                <w:szCs w:val="24"/>
                <w:highlight w:val="none"/>
              </w:rPr>
            </w:pPr>
          </w:p>
        </w:tc>
      </w:tr>
    </w:tbl>
    <w:p>
      <w:pPr>
        <w:snapToGrid w:val="0"/>
        <w:ind w:left="480" w:hanging="480" w:hangingChars="200"/>
        <w:contextualSpacing/>
        <w:rPr>
          <w:rFonts w:hint="eastAsia" w:ascii="宋体" w:hAnsi="宋体" w:eastAsia="宋体" w:cs="Times New Roman"/>
          <w:color w:val="auto"/>
          <w:sz w:val="24"/>
          <w:szCs w:val="24"/>
          <w:highlight w:val="none"/>
        </w:rPr>
      </w:pPr>
    </w:p>
    <w:p>
      <w:pPr>
        <w:snapToGrid w:val="0"/>
        <w:ind w:left="480" w:hanging="480" w:hangingChars="200"/>
        <w:contextualSpacing/>
        <w:rPr>
          <w:rFonts w:hint="eastAsia" w:ascii="宋体" w:hAnsi="宋体" w:eastAsia="宋体" w:cs="Times New Roman"/>
          <w:color w:val="auto"/>
          <w:sz w:val="24"/>
          <w:szCs w:val="24"/>
          <w:highlight w:val="none"/>
        </w:rPr>
      </w:pPr>
    </w:p>
    <w:p>
      <w:pPr>
        <w:autoSpaceDE w:val="0"/>
        <w:autoSpaceDN w:val="0"/>
        <w:spacing w:line="360" w:lineRule="auto"/>
        <w:ind w:left="-420" w:leftChars="-200" w:firstLine="2416" w:firstLineChars="755"/>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类似项目的业绩一览表</w:t>
      </w:r>
    </w:p>
    <w:p>
      <w:pPr>
        <w:autoSpaceDE w:val="0"/>
        <w:autoSpaceDN w:val="0"/>
        <w:spacing w:line="360" w:lineRule="auto"/>
        <w:rPr>
          <w:rFonts w:hint="eastAsia" w:ascii="宋体" w:hAnsi="宋体" w:eastAsia="宋体" w:cs="宋体"/>
          <w:color w:val="auto"/>
          <w:sz w:val="32"/>
          <w:szCs w:val="32"/>
          <w:highlight w:val="none"/>
        </w:rPr>
      </w:pPr>
    </w:p>
    <w:p>
      <w:pPr>
        <w:spacing w:line="360" w:lineRule="auto"/>
        <w:ind w:left="-218" w:leftChars="-104" w:firstLine="480" w:firstLineChars="200"/>
        <w:rPr>
          <w:rFonts w:hint="eastAsia" w:ascii="宋体" w:hAnsi="宋体" w:eastAsia="宋体" w:cs="宋体"/>
          <w:color w:val="auto"/>
          <w:kern w:val="0"/>
          <w:sz w:val="20"/>
          <w:szCs w:val="21"/>
          <w:highlight w:val="none"/>
          <w:lang w:val="zh-CN"/>
        </w:rPr>
      </w:pPr>
      <w:r>
        <w:rPr>
          <w:rFonts w:hint="eastAsia" w:ascii="宋体" w:hAnsi="宋体" w:eastAsia="宋体" w:cs="宋体"/>
          <w:color w:val="auto"/>
          <w:sz w:val="24"/>
          <w:highlight w:val="none"/>
        </w:rPr>
        <w:t>所竞分标（如有则填写，无分标时填写“无”或者留空）：</w:t>
      </w:r>
      <w:r>
        <w:rPr>
          <w:rFonts w:hint="eastAsia" w:ascii="宋体" w:hAnsi="宋体" w:eastAsia="宋体" w:cs="宋体"/>
          <w:color w:val="auto"/>
          <w:sz w:val="24"/>
          <w:highlight w:val="none"/>
          <w:u w:val="single"/>
        </w:rPr>
        <w:t xml:space="preserve"> </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注：在填写时，如本表格不适合供应商的实际情况，可参照本表格式自行制表填写，并附上相关证明材料。 </w:t>
      </w:r>
    </w:p>
    <w:p>
      <w:pPr>
        <w:snapToGrid w:val="0"/>
        <w:spacing w:line="360" w:lineRule="auto"/>
        <w:ind w:firstLine="4935" w:firstLineChars="2350"/>
        <w:rPr>
          <w:rFonts w:hint="eastAsia" w:ascii="宋体" w:hAnsi="宋体" w:eastAsia="宋体" w:cs="宋体"/>
          <w:color w:val="auto"/>
          <w:szCs w:val="21"/>
          <w:highlight w:val="none"/>
        </w:rPr>
      </w:pPr>
    </w:p>
    <w:p>
      <w:pPr>
        <w:snapToGrid w:val="0"/>
        <w:spacing w:line="360" w:lineRule="auto"/>
        <w:ind w:left="4410" w:leftChars="2100" w:firstLine="5670" w:firstLineChars="2700"/>
        <w:rPr>
          <w:rFonts w:hint="eastAsia" w:ascii="宋体" w:hAnsi="宋体" w:eastAsia="宋体" w:cs="宋体"/>
          <w:color w:val="auto"/>
          <w:kern w:val="0"/>
          <w:sz w:val="24"/>
          <w:szCs w:val="24"/>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kern w:val="0"/>
          <w:sz w:val="24"/>
          <w:szCs w:val="24"/>
          <w:highlight w:val="none"/>
          <w:lang w:val="zh-CN"/>
        </w:rPr>
        <w:t>供应商名称(盖公章)：</w:t>
      </w:r>
    </w:p>
    <w:p>
      <w:pPr>
        <w:spacing w:line="500" w:lineRule="exact"/>
        <w:jc w:val="center"/>
        <w:rPr>
          <w:rFonts w:hint="eastAsia" w:ascii="仿宋_GB2312" w:hAnsi="仿宋_GB2312" w:eastAsia="仿宋_GB2312" w:cs="仿宋_GB2312"/>
          <w:color w:val="auto"/>
          <w:sz w:val="32"/>
          <w:szCs w:val="32"/>
          <w:highlight w:val="none"/>
        </w:rPr>
        <w:sectPr>
          <w:pgSz w:w="11910" w:h="16840"/>
          <w:pgMar w:top="1340" w:right="1500" w:bottom="280" w:left="1680" w:header="720" w:footer="720" w:gutter="0"/>
          <w:cols w:space="720" w:num="1"/>
        </w:sectPr>
      </w:pPr>
      <w:r>
        <w:rPr>
          <w:rFonts w:hint="eastAsia" w:ascii="宋体" w:hAnsi="宋体" w:eastAsia="宋体" w:cs="宋体"/>
          <w:color w:val="auto"/>
          <w:kern w:val="0"/>
          <w:sz w:val="24"/>
          <w:szCs w:val="24"/>
          <w:highlight w:val="none"/>
          <w:lang w:val="zh-CN"/>
        </w:rPr>
        <w:t xml:space="preserve">                                                     日期</w:t>
      </w:r>
      <w:r>
        <w:rPr>
          <w:rFonts w:hint="eastAsia" w:ascii="宋体" w:hAnsi="宋体" w:eastAsia="宋体" w:cs="宋体"/>
          <w:color w:val="auto"/>
          <w:kern w:val="0"/>
          <w:sz w:val="24"/>
          <w:szCs w:val="24"/>
          <w:highlight w:val="none"/>
        </w:rPr>
        <w:t xml:space="preserve">：  年  </w:t>
      </w:r>
      <w:r>
        <w:rPr>
          <w:rFonts w:hint="eastAsia" w:ascii="宋体" w:hAnsi="宋体" w:eastAsia="宋体" w:cs="宋体"/>
          <w:color w:val="auto"/>
          <w:kern w:val="0"/>
          <w:sz w:val="24"/>
          <w:szCs w:val="24"/>
          <w:highlight w:val="none"/>
          <w:lang w:val="zh-CN"/>
        </w:rPr>
        <w:t>月</w:t>
      </w:r>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kern w:val="0"/>
          <w:sz w:val="24"/>
          <w:szCs w:val="24"/>
          <w:highlight w:val="none"/>
          <w:lang w:val="zh-CN"/>
        </w:rPr>
        <w:t>日</w:t>
      </w:r>
    </w:p>
    <w:p>
      <w:pPr>
        <w:snapToGrid w:val="0"/>
        <w:spacing w:line="360" w:lineRule="auto"/>
        <w:jc w:val="left"/>
        <w:rPr>
          <w:rFonts w:hint="eastAsia" w:ascii="仿宋" w:hAnsi="仿宋" w:eastAsia="仿宋" w:cs="仿宋_GB2312"/>
          <w:b/>
          <w:color w:val="auto"/>
          <w:sz w:val="30"/>
          <w:szCs w:val="30"/>
          <w:highlight w:val="none"/>
        </w:rPr>
      </w:pPr>
      <w:r>
        <w:rPr>
          <w:rFonts w:hint="eastAsia" w:ascii="宋体" w:hAnsi="宋体" w:eastAsia="宋体" w:cs="宋体"/>
          <w:b/>
          <w:color w:val="auto"/>
          <w:sz w:val="30"/>
          <w:szCs w:val="30"/>
          <w:highlight w:val="none"/>
        </w:rPr>
        <w:t>8.技术需求偏离表的格式：</w:t>
      </w:r>
    </w:p>
    <w:p>
      <w:pPr>
        <w:spacing w:line="500" w:lineRule="exact"/>
        <w:jc w:val="center"/>
        <w:rPr>
          <w:rFonts w:hint="eastAsia" w:ascii="仿宋_GB2312" w:hAnsi="仿宋_GB2312" w:eastAsia="仿宋_GB2312" w:cs="仿宋_GB2312"/>
          <w:color w:val="auto"/>
          <w:sz w:val="32"/>
          <w:szCs w:val="32"/>
          <w:highlight w:val="none"/>
        </w:rPr>
      </w:pPr>
    </w:p>
    <w:p>
      <w:pPr>
        <w:spacing w:line="500" w:lineRule="exact"/>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技术需求偏离表</w:t>
      </w:r>
    </w:p>
    <w:p>
      <w:pPr>
        <w:spacing w:line="500" w:lineRule="exact"/>
        <w:jc w:val="center"/>
        <w:rPr>
          <w:rFonts w:hint="eastAsia" w:ascii="宋体" w:hAnsi="宋体" w:eastAsia="宋体" w:cs="宋体"/>
          <w:b/>
          <w:color w:val="auto"/>
          <w:sz w:val="32"/>
          <w:szCs w:val="32"/>
          <w:highlight w:val="none"/>
        </w:rPr>
      </w:pPr>
      <w:r>
        <w:rPr>
          <w:rFonts w:hint="eastAsia" w:ascii="宋体" w:hAnsi="宋体" w:eastAsia="宋体" w:cs="宋体"/>
          <w:bCs/>
          <w:color w:val="auto"/>
          <w:sz w:val="44"/>
          <w:szCs w:val="44"/>
          <w:highlight w:val="none"/>
        </w:rPr>
        <w:t>(注：按采购需求具体条款修改)</w:t>
      </w:r>
    </w:p>
    <w:p>
      <w:pPr>
        <w:spacing w:line="360" w:lineRule="auto"/>
        <w:contextualSpacing/>
        <w:jc w:val="left"/>
        <w:rPr>
          <w:rFonts w:hint="eastAsia" w:ascii="宋体" w:hAnsi="宋体" w:eastAsia="宋体" w:cs="宋体"/>
          <w:color w:val="auto"/>
          <w:sz w:val="24"/>
          <w:szCs w:val="24"/>
          <w:highlight w:val="none"/>
        </w:rPr>
      </w:pPr>
    </w:p>
    <w:p>
      <w:pPr>
        <w:spacing w:line="360" w:lineRule="auto"/>
        <w:ind w:firstLine="240" w:firstLineChars="100"/>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项目名称：</w:t>
      </w:r>
      <w:r>
        <w:rPr>
          <w:rFonts w:hint="eastAsia" w:ascii="宋体" w:hAnsi="宋体" w:eastAsia="宋体" w:cs="宋体"/>
          <w:color w:val="auto"/>
          <w:sz w:val="24"/>
          <w:highlight w:val="none"/>
          <w:u w:val="single"/>
        </w:rPr>
        <w:t xml:space="preserve">                 </w:t>
      </w:r>
    </w:p>
    <w:p>
      <w:pPr>
        <w:spacing w:line="360" w:lineRule="auto"/>
        <w:ind w:firstLine="240" w:firstLineChars="1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项目编号：</w:t>
      </w:r>
      <w:r>
        <w:rPr>
          <w:rFonts w:hint="eastAsia" w:ascii="宋体" w:hAnsi="宋体" w:eastAsia="宋体" w:cs="宋体"/>
          <w:color w:val="auto"/>
          <w:sz w:val="24"/>
          <w:highlight w:val="none"/>
          <w:u w:val="single"/>
        </w:rPr>
        <w:t xml:space="preserve">                 </w:t>
      </w:r>
    </w:p>
    <w:p>
      <w:pPr>
        <w:spacing w:line="360" w:lineRule="auto"/>
        <w:ind w:firstLine="240" w:firstLineChars="100"/>
        <w:contextualSpacing/>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所竞分标（如有则填写，无分标时填写“无”或者留空）：</w:t>
      </w:r>
      <w:r>
        <w:rPr>
          <w:rFonts w:hint="eastAsia" w:ascii="宋体" w:hAnsi="宋体" w:eastAsia="宋体" w:cs="宋体"/>
          <w:color w:val="auto"/>
          <w:sz w:val="24"/>
          <w:highlight w:val="none"/>
          <w:u w:val="single"/>
        </w:rPr>
        <w:t xml:space="preserve">        </w:t>
      </w:r>
    </w:p>
    <w:tbl>
      <w:tblPr>
        <w:tblStyle w:val="29"/>
        <w:tblW w:w="80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212"/>
        <w:gridCol w:w="2288"/>
        <w:gridCol w:w="2786"/>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项号</w:t>
            </w:r>
          </w:p>
        </w:tc>
        <w:tc>
          <w:tcPr>
            <w:tcW w:w="121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标的名称</w:t>
            </w:r>
          </w:p>
        </w:tc>
        <w:tc>
          <w:tcPr>
            <w:tcW w:w="228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竞争性谈判文件</w:t>
            </w:r>
            <w:r>
              <w:rPr>
                <w:rFonts w:hint="eastAsia" w:ascii="宋体" w:hAnsi="宋体" w:cs="Times New Roman"/>
                <w:color w:val="auto"/>
                <w:szCs w:val="21"/>
                <w:highlight w:val="none"/>
              </w:rPr>
              <w:t>采购需求中的</w:t>
            </w:r>
            <w:r>
              <w:rPr>
                <w:rFonts w:hint="eastAsia" w:ascii="宋体" w:hAnsi="宋体" w:cs="宋体"/>
                <w:color w:val="auto"/>
                <w:szCs w:val="21"/>
                <w:highlight w:val="none"/>
              </w:rPr>
              <w:t>技术参数及配置</w:t>
            </w:r>
          </w:p>
        </w:tc>
        <w:tc>
          <w:tcPr>
            <w:tcW w:w="278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响应文件响应的</w:t>
            </w:r>
            <w:r>
              <w:rPr>
                <w:rFonts w:hint="eastAsia" w:ascii="宋体" w:hAnsi="宋体" w:cs="宋体"/>
                <w:color w:val="auto"/>
                <w:szCs w:val="21"/>
                <w:highlight w:val="none"/>
              </w:rPr>
              <w:t>技术参数及配置</w:t>
            </w:r>
          </w:p>
        </w:tc>
        <w:tc>
          <w:tcPr>
            <w:tcW w:w="1095"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21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2288"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2786"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09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121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2288"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2786"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09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21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2288"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2786"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c>
          <w:tcPr>
            <w:tcW w:w="109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8086" w:type="dxa"/>
            <w:gridSpan w:val="5"/>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竞标货物中，属于优先采购节能产品</w:t>
            </w:r>
            <w:r>
              <w:rPr>
                <w:rFonts w:hint="eastAsia" w:ascii="宋体" w:hAnsi="宋体" w:cs="宋体"/>
                <w:color w:val="auto"/>
                <w:highlight w:val="none"/>
              </w:rPr>
              <w:t>为</w:t>
            </w:r>
            <w:r>
              <w:rPr>
                <w:rFonts w:hint="eastAsia" w:ascii="宋体" w:hAnsi="宋体" w:eastAsia="宋体" w:cs="宋体"/>
                <w:color w:val="auto"/>
                <w:szCs w:val="21"/>
                <w:highlight w:val="none"/>
              </w:rPr>
              <w:t>本项目竞争性谈判文件“第二章 采购需求”中</w:t>
            </w:r>
            <w:r>
              <w:rPr>
                <w:rFonts w:hint="eastAsia" w:ascii="宋体" w:hAnsi="宋体" w:cs="宋体"/>
                <w:color w:val="auto"/>
                <w:highlight w:val="none"/>
              </w:rPr>
              <w:t>“</w:t>
            </w:r>
            <w:r>
              <w:rPr>
                <w:rFonts w:hint="eastAsia" w:ascii="宋体" w:hAnsi="宋体" w:cs="宋体"/>
                <w:color w:val="auto"/>
                <w:szCs w:val="21"/>
                <w:highlight w:val="none"/>
              </w:rPr>
              <w:t>需求一览表</w:t>
            </w:r>
            <w:r>
              <w:rPr>
                <w:rFonts w:hint="eastAsia" w:ascii="宋体" w:hAnsi="宋体" w:cs="宋体"/>
                <w:color w:val="auto"/>
                <w:highlight w:val="none"/>
              </w:rPr>
              <w:t>”的第   项产品</w:t>
            </w:r>
            <w:r>
              <w:rPr>
                <w:rFonts w:hint="eastAsia" w:ascii="宋体" w:hAnsi="宋体" w:eastAsia="宋体" w:cs="宋体"/>
                <w:color w:val="auto"/>
                <w:szCs w:val="24"/>
                <w:highlight w:val="none"/>
              </w:rPr>
              <w:t>：</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，合计</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项</w:t>
            </w:r>
            <w:r>
              <w:rPr>
                <w:rFonts w:hint="eastAsia" w:ascii="宋体" w:hAnsi="宋体" w:eastAsia="宋体" w:cs="宋体"/>
                <w:color w:val="auto"/>
                <w:szCs w:val="21"/>
                <w:highlight w:val="none"/>
              </w:rPr>
              <w:t>；属于优先采购环境标志产品为本项目竞争性谈判文件“第二章 采购需求”中</w:t>
            </w:r>
            <w:r>
              <w:rPr>
                <w:rFonts w:hint="eastAsia" w:ascii="宋体" w:hAnsi="宋体" w:cs="宋体"/>
                <w:color w:val="auto"/>
                <w:highlight w:val="none"/>
              </w:rPr>
              <w:t>“</w:t>
            </w:r>
            <w:r>
              <w:rPr>
                <w:rFonts w:hint="eastAsia" w:ascii="宋体" w:hAnsi="宋体" w:cs="宋体"/>
                <w:color w:val="auto"/>
                <w:szCs w:val="21"/>
                <w:highlight w:val="none"/>
              </w:rPr>
              <w:t>需求一览表</w:t>
            </w:r>
            <w:r>
              <w:rPr>
                <w:rFonts w:hint="eastAsia" w:ascii="宋体" w:hAnsi="宋体" w:cs="宋体"/>
                <w:color w:val="auto"/>
                <w:highlight w:val="none"/>
              </w:rPr>
              <w:t>”的第   项产品</w:t>
            </w:r>
            <w:r>
              <w:rPr>
                <w:rFonts w:hint="eastAsia" w:ascii="宋体" w:hAnsi="宋体" w:eastAsia="宋体" w:cs="宋体"/>
                <w:color w:val="auto"/>
                <w:szCs w:val="24"/>
                <w:highlight w:val="none"/>
              </w:rPr>
              <w:t>：</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，合计</w:t>
            </w:r>
            <w:r>
              <w:rPr>
                <w:rFonts w:hint="eastAsia" w:ascii="宋体" w:hAnsi="宋体" w:eastAsia="宋体" w:cs="宋体"/>
                <w:color w:val="auto"/>
                <w:szCs w:val="24"/>
                <w:highlight w:val="none"/>
                <w:u w:val="single"/>
              </w:rPr>
              <w:t xml:space="preserve">     </w:t>
            </w:r>
            <w:r>
              <w:rPr>
                <w:rFonts w:hint="eastAsia" w:ascii="宋体" w:hAnsi="宋体" w:eastAsia="宋体" w:cs="宋体"/>
                <w:color w:val="auto"/>
                <w:szCs w:val="24"/>
                <w:highlight w:val="none"/>
              </w:rPr>
              <w:t>项</w:t>
            </w:r>
            <w:r>
              <w:rPr>
                <w:rFonts w:hint="eastAsia" w:ascii="宋体" w:hAnsi="宋体" w:eastAsia="宋体" w:cs="宋体"/>
                <w:color w:val="auto"/>
                <w:szCs w:val="21"/>
                <w:highlight w:val="none"/>
              </w:rPr>
              <w:t>。</w:t>
            </w:r>
            <w:r>
              <w:rPr>
                <w:rFonts w:hint="eastAsia" w:ascii="宋体" w:hAnsi="宋体" w:eastAsia="宋体" w:cs="宋体"/>
                <w:color w:val="auto"/>
                <w:highlight w:val="none"/>
              </w:rPr>
              <w:t xml:space="preserve"> </w:t>
            </w:r>
            <w:r>
              <w:rPr>
                <w:rFonts w:hint="eastAsia" w:ascii="宋体" w:hAnsi="宋体" w:eastAsia="宋体" w:cs="宋体"/>
                <w:b/>
                <w:bCs/>
                <w:color w:val="auto"/>
                <w:szCs w:val="21"/>
                <w:highlight w:val="none"/>
              </w:rPr>
              <w:t>（注：如有，请逐项列出，如无填写“无”或者留空。）</w:t>
            </w:r>
          </w:p>
        </w:tc>
      </w:tr>
    </w:tbl>
    <w:p>
      <w:pPr>
        <w:spacing w:line="360" w:lineRule="auto"/>
        <w:contextualSpacing/>
        <w:rPr>
          <w:rFonts w:hint="eastAsia" w:ascii="宋体" w:hAnsi="宋体" w:eastAsia="宋体" w:cs="宋体"/>
          <w:color w:val="auto"/>
          <w:kern w:val="0"/>
          <w:szCs w:val="21"/>
          <w:highlight w:val="none"/>
          <w:lang w:val="zh-CN"/>
        </w:rPr>
      </w:pPr>
    </w:p>
    <w:p>
      <w:pPr>
        <w:spacing w:line="360" w:lineRule="auto"/>
        <w:contextualSpacing/>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注：</w:t>
      </w:r>
    </w:p>
    <w:p>
      <w:pPr>
        <w:spacing w:line="360" w:lineRule="auto"/>
        <w:ind w:firstLine="420" w:firstLineChars="200"/>
        <w:contextualSpacing/>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1.说明：应对照谈判文件“第二章</w:t>
      </w:r>
      <w:r>
        <w:rPr>
          <w:rFonts w:hint="eastAsia" w:ascii="宋体" w:hAnsi="宋体" w:eastAsia="宋体" w:cs="宋体"/>
          <w:color w:val="auto"/>
          <w:kern w:val="0"/>
          <w:szCs w:val="21"/>
          <w:highlight w:val="none"/>
        </w:rPr>
        <w:t xml:space="preserve">  </w:t>
      </w:r>
      <w:r>
        <w:rPr>
          <w:rFonts w:hint="eastAsia" w:ascii="宋体" w:hAnsi="宋体" w:eastAsia="宋体" w:cs="宋体"/>
          <w:color w:val="auto"/>
          <w:kern w:val="0"/>
          <w:szCs w:val="21"/>
          <w:highlight w:val="none"/>
          <w:lang w:val="zh-CN"/>
        </w:rPr>
        <w:t>采购需求”中“需求一览表”的技术参数及配置条款逐条作出明确响应，并作出偏离说明。</w:t>
      </w:r>
    </w:p>
    <w:p>
      <w:pPr>
        <w:spacing w:line="360" w:lineRule="auto"/>
        <w:ind w:firstLine="420" w:firstLineChars="200"/>
        <w:contextualSpacing/>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2.供应商应根据自身的承诺，对照谈判文件要求，在“偏离说明”中注明“正偏离”或者“负偏离”或者“无偏离”。既不属于“正偏离”也不属于“负偏离”即为“无偏离”。 当响应文件的技术参数及配置内容低于竞争性谈判文件要求时，供应商应当如实写明“负偏离”。</w:t>
      </w:r>
    </w:p>
    <w:p>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3.表格内容均需按要求填写并盖公章，不得留空，</w:t>
      </w:r>
      <w:r>
        <w:rPr>
          <w:rFonts w:hint="eastAsia" w:ascii="宋体" w:hAnsi="宋体" w:eastAsia="宋体" w:cs="宋体"/>
          <w:b/>
          <w:bCs/>
          <w:color w:val="auto"/>
          <w:kern w:val="0"/>
          <w:szCs w:val="21"/>
          <w:highlight w:val="none"/>
        </w:rPr>
        <w:t>否则按竞标无效处理。</w:t>
      </w:r>
    </w:p>
    <w:p>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rPr>
      </w:pPr>
    </w:p>
    <w:p>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rPr>
      </w:pPr>
    </w:p>
    <w:p>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pPr>
        <w:autoSpaceDE w:val="0"/>
        <w:autoSpaceDN w:val="0"/>
        <w:spacing w:line="360" w:lineRule="auto"/>
        <w:ind w:firstLine="6480" w:firstLineChars="2700"/>
        <w:rPr>
          <w:rFonts w:hint="eastAsia" w:ascii="仿宋_GB2312" w:hAnsi="仿宋" w:eastAsia="仿宋_GB2312" w:cs="仿宋_GB2312"/>
          <w:b/>
          <w:bCs/>
          <w:color w:val="auto"/>
          <w:sz w:val="24"/>
          <w:szCs w:val="24"/>
          <w:highlight w:val="none"/>
        </w:rPr>
      </w:pPr>
      <w:r>
        <w:rPr>
          <w:rFonts w:hint="eastAsia" w:ascii="宋体" w:hAnsi="宋体" w:eastAsia="宋体" w:cs="宋体"/>
          <w:color w:val="auto"/>
          <w:kern w:val="0"/>
          <w:sz w:val="24"/>
          <w:szCs w:val="24"/>
          <w:highlight w:val="none"/>
          <w:lang w:val="zh-CN"/>
        </w:rPr>
        <w:t>日期：  年  月   日</w:t>
      </w:r>
    </w:p>
    <w:p>
      <w:pPr>
        <w:spacing w:line="500" w:lineRule="exact"/>
        <w:jc w:val="center"/>
        <w:rPr>
          <w:rFonts w:hint="eastAsia" w:ascii="仿宋_GB2312" w:hAnsi="仿宋_GB2312" w:eastAsia="仿宋_GB2312" w:cs="仿宋_GB2312"/>
          <w:color w:val="auto"/>
          <w:sz w:val="32"/>
          <w:szCs w:val="32"/>
          <w:highlight w:val="none"/>
        </w:rPr>
        <w:sectPr>
          <w:pgSz w:w="11910" w:h="16840"/>
          <w:pgMar w:top="1340" w:right="1500" w:bottom="280" w:left="1680" w:header="720" w:footer="720" w:gutter="0"/>
          <w:cols w:space="720" w:num="1"/>
        </w:sectPr>
      </w:pPr>
    </w:p>
    <w:p>
      <w:pPr>
        <w:snapToGrid w:val="0"/>
        <w:spacing w:before="165" w:beforeLines="50" w:after="5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9.售后服务方案</w:t>
      </w:r>
    </w:p>
    <w:p>
      <w:pPr>
        <w:snapToGrid w:val="0"/>
        <w:spacing w:before="165" w:beforeLines="50" w:after="50"/>
        <w:ind w:left="143" w:leftChars="68"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由供应商按本项目竞争性谈判文件“第二章  采购需求”中商务条款部分的售后服务要求自行填写，其中要包含售后服务承诺。</w:t>
      </w:r>
    </w:p>
    <w:p>
      <w:pPr>
        <w:snapToGrid w:val="0"/>
        <w:spacing w:before="165" w:beforeLines="50" w:after="50"/>
        <w:ind w:left="142"/>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lang w:eastAsia="zh-CN"/>
        </w:rPr>
        <w:t>1.</w:t>
      </w:r>
      <w:r>
        <w:rPr>
          <w:rFonts w:hint="eastAsia" w:ascii="宋体" w:hAnsi="宋体" w:eastAsia="宋体" w:cs="宋体"/>
          <w:b/>
          <w:color w:val="auto"/>
          <w:sz w:val="32"/>
          <w:szCs w:val="32"/>
          <w:highlight w:val="none"/>
        </w:rPr>
        <w:t>售后服务承诺</w:t>
      </w:r>
    </w:p>
    <w:p>
      <w:pPr>
        <w:autoSpaceDE w:val="0"/>
        <w:autoSpaceDN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附表A</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rPr>
        <w:t>售后服务机构情况表</w:t>
      </w:r>
      <w:r>
        <w:rPr>
          <w:rFonts w:hint="eastAsia" w:ascii="宋体" w:hAnsi="宋体" w:eastAsia="宋体" w:cs="宋体"/>
          <w:color w:val="auto"/>
          <w:sz w:val="24"/>
          <w:szCs w:val="24"/>
          <w:highlight w:val="none"/>
        </w:rPr>
        <w:t>（参照此格式自制）</w:t>
      </w:r>
    </w:p>
    <w:tbl>
      <w:tblPr>
        <w:tblStyle w:val="29"/>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278"/>
        <w:gridCol w:w="1523"/>
        <w:gridCol w:w="1246"/>
        <w:gridCol w:w="1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pPr>
              <w:autoSpaceDE w:val="0"/>
              <w:autoSpaceDN w:val="0"/>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2340" w:type="dxa"/>
            <w:vAlign w:val="center"/>
          </w:tcPr>
          <w:p>
            <w:pPr>
              <w:autoSpaceDE w:val="0"/>
              <w:autoSpaceDN w:val="0"/>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机构名称</w:t>
            </w:r>
          </w:p>
        </w:tc>
        <w:tc>
          <w:tcPr>
            <w:tcW w:w="1278" w:type="dxa"/>
            <w:vAlign w:val="center"/>
          </w:tcPr>
          <w:p>
            <w:pPr>
              <w:autoSpaceDE w:val="0"/>
              <w:autoSpaceDN w:val="0"/>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机构性质</w:t>
            </w:r>
          </w:p>
        </w:tc>
        <w:tc>
          <w:tcPr>
            <w:tcW w:w="1523" w:type="dxa"/>
            <w:vAlign w:val="center"/>
          </w:tcPr>
          <w:p>
            <w:pPr>
              <w:autoSpaceDE w:val="0"/>
              <w:autoSpaceDN w:val="0"/>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注册地址</w:t>
            </w:r>
          </w:p>
        </w:tc>
        <w:tc>
          <w:tcPr>
            <w:tcW w:w="1246" w:type="dxa"/>
            <w:vAlign w:val="center"/>
          </w:tcPr>
          <w:p>
            <w:pPr>
              <w:autoSpaceDE w:val="0"/>
              <w:autoSpaceDN w:val="0"/>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货物技术人员数量</w:t>
            </w:r>
          </w:p>
        </w:tc>
        <w:tc>
          <w:tcPr>
            <w:tcW w:w="1533" w:type="dxa"/>
            <w:vAlign w:val="center"/>
          </w:tcPr>
          <w:p>
            <w:pPr>
              <w:autoSpaceDE w:val="0"/>
              <w:autoSpaceDN w:val="0"/>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宋体" w:hAnsi="宋体" w:eastAsia="宋体" w:cs="宋体"/>
                <w:color w:val="auto"/>
                <w:sz w:val="24"/>
                <w:szCs w:val="24"/>
                <w:highlight w:val="none"/>
              </w:rPr>
            </w:pPr>
          </w:p>
        </w:tc>
        <w:tc>
          <w:tcPr>
            <w:tcW w:w="2340" w:type="dxa"/>
          </w:tcPr>
          <w:p>
            <w:pPr>
              <w:autoSpaceDE w:val="0"/>
              <w:autoSpaceDN w:val="0"/>
              <w:spacing w:line="360" w:lineRule="auto"/>
              <w:jc w:val="center"/>
              <w:rPr>
                <w:rFonts w:hint="eastAsia" w:ascii="宋体" w:hAnsi="宋体" w:eastAsia="宋体" w:cs="宋体"/>
                <w:color w:val="auto"/>
                <w:sz w:val="24"/>
                <w:szCs w:val="24"/>
                <w:highlight w:val="none"/>
              </w:rPr>
            </w:pPr>
          </w:p>
        </w:tc>
        <w:tc>
          <w:tcPr>
            <w:tcW w:w="1278" w:type="dxa"/>
          </w:tcPr>
          <w:p>
            <w:pPr>
              <w:autoSpaceDE w:val="0"/>
              <w:autoSpaceDN w:val="0"/>
              <w:spacing w:line="360" w:lineRule="auto"/>
              <w:jc w:val="center"/>
              <w:rPr>
                <w:rFonts w:hint="eastAsia" w:ascii="宋体" w:hAnsi="宋体" w:eastAsia="宋体" w:cs="宋体"/>
                <w:color w:val="auto"/>
                <w:sz w:val="24"/>
                <w:szCs w:val="24"/>
                <w:highlight w:val="none"/>
              </w:rPr>
            </w:pPr>
          </w:p>
        </w:tc>
        <w:tc>
          <w:tcPr>
            <w:tcW w:w="1523" w:type="dxa"/>
          </w:tcPr>
          <w:p>
            <w:pPr>
              <w:autoSpaceDE w:val="0"/>
              <w:autoSpaceDN w:val="0"/>
              <w:spacing w:line="360" w:lineRule="auto"/>
              <w:jc w:val="center"/>
              <w:rPr>
                <w:rFonts w:hint="eastAsia" w:ascii="宋体" w:hAnsi="宋体" w:eastAsia="宋体" w:cs="宋体"/>
                <w:color w:val="auto"/>
                <w:sz w:val="24"/>
                <w:szCs w:val="24"/>
                <w:highlight w:val="none"/>
              </w:rPr>
            </w:pPr>
          </w:p>
        </w:tc>
        <w:tc>
          <w:tcPr>
            <w:tcW w:w="1246" w:type="dxa"/>
          </w:tcPr>
          <w:p>
            <w:pPr>
              <w:autoSpaceDE w:val="0"/>
              <w:autoSpaceDN w:val="0"/>
              <w:spacing w:line="360" w:lineRule="auto"/>
              <w:jc w:val="center"/>
              <w:rPr>
                <w:rFonts w:hint="eastAsia" w:ascii="宋体" w:hAnsi="宋体" w:eastAsia="宋体" w:cs="宋体"/>
                <w:color w:val="auto"/>
                <w:sz w:val="24"/>
                <w:szCs w:val="24"/>
                <w:highlight w:val="none"/>
              </w:rPr>
            </w:pPr>
          </w:p>
        </w:tc>
        <w:tc>
          <w:tcPr>
            <w:tcW w:w="1533" w:type="dxa"/>
          </w:tcPr>
          <w:p>
            <w:pPr>
              <w:autoSpaceDE w:val="0"/>
              <w:autoSpaceDN w:val="0"/>
              <w:spacing w:line="360" w:lineRule="auto"/>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宋体" w:hAnsi="宋体" w:eastAsia="宋体" w:cs="宋体"/>
                <w:color w:val="auto"/>
                <w:sz w:val="24"/>
                <w:szCs w:val="24"/>
                <w:highlight w:val="none"/>
              </w:rPr>
            </w:pPr>
          </w:p>
        </w:tc>
        <w:tc>
          <w:tcPr>
            <w:tcW w:w="2340" w:type="dxa"/>
          </w:tcPr>
          <w:p>
            <w:pPr>
              <w:autoSpaceDE w:val="0"/>
              <w:autoSpaceDN w:val="0"/>
              <w:spacing w:line="360" w:lineRule="auto"/>
              <w:jc w:val="center"/>
              <w:rPr>
                <w:rFonts w:hint="eastAsia" w:ascii="宋体" w:hAnsi="宋体" w:eastAsia="宋体" w:cs="宋体"/>
                <w:color w:val="auto"/>
                <w:sz w:val="24"/>
                <w:szCs w:val="24"/>
                <w:highlight w:val="none"/>
              </w:rPr>
            </w:pPr>
          </w:p>
        </w:tc>
        <w:tc>
          <w:tcPr>
            <w:tcW w:w="1278" w:type="dxa"/>
          </w:tcPr>
          <w:p>
            <w:pPr>
              <w:autoSpaceDE w:val="0"/>
              <w:autoSpaceDN w:val="0"/>
              <w:spacing w:line="360" w:lineRule="auto"/>
              <w:jc w:val="center"/>
              <w:rPr>
                <w:rFonts w:hint="eastAsia" w:ascii="宋体" w:hAnsi="宋体" w:eastAsia="宋体" w:cs="宋体"/>
                <w:color w:val="auto"/>
                <w:sz w:val="24"/>
                <w:szCs w:val="24"/>
                <w:highlight w:val="none"/>
              </w:rPr>
            </w:pPr>
          </w:p>
        </w:tc>
        <w:tc>
          <w:tcPr>
            <w:tcW w:w="1523" w:type="dxa"/>
          </w:tcPr>
          <w:p>
            <w:pPr>
              <w:autoSpaceDE w:val="0"/>
              <w:autoSpaceDN w:val="0"/>
              <w:spacing w:line="360" w:lineRule="auto"/>
              <w:jc w:val="center"/>
              <w:rPr>
                <w:rFonts w:hint="eastAsia" w:ascii="宋体" w:hAnsi="宋体" w:eastAsia="宋体" w:cs="宋体"/>
                <w:color w:val="auto"/>
                <w:sz w:val="24"/>
                <w:szCs w:val="24"/>
                <w:highlight w:val="none"/>
              </w:rPr>
            </w:pPr>
          </w:p>
        </w:tc>
        <w:tc>
          <w:tcPr>
            <w:tcW w:w="1246" w:type="dxa"/>
          </w:tcPr>
          <w:p>
            <w:pPr>
              <w:autoSpaceDE w:val="0"/>
              <w:autoSpaceDN w:val="0"/>
              <w:spacing w:line="360" w:lineRule="auto"/>
              <w:jc w:val="center"/>
              <w:rPr>
                <w:rFonts w:hint="eastAsia" w:ascii="宋体" w:hAnsi="宋体" w:eastAsia="宋体" w:cs="宋体"/>
                <w:color w:val="auto"/>
                <w:sz w:val="24"/>
                <w:szCs w:val="24"/>
                <w:highlight w:val="none"/>
              </w:rPr>
            </w:pPr>
          </w:p>
        </w:tc>
        <w:tc>
          <w:tcPr>
            <w:tcW w:w="1533" w:type="dxa"/>
          </w:tcPr>
          <w:p>
            <w:pPr>
              <w:autoSpaceDE w:val="0"/>
              <w:autoSpaceDN w:val="0"/>
              <w:spacing w:line="360" w:lineRule="auto"/>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宋体" w:hAnsi="宋体" w:eastAsia="宋体" w:cs="宋体"/>
                <w:color w:val="auto"/>
                <w:sz w:val="24"/>
                <w:szCs w:val="24"/>
                <w:highlight w:val="none"/>
              </w:rPr>
            </w:pPr>
          </w:p>
        </w:tc>
        <w:tc>
          <w:tcPr>
            <w:tcW w:w="2340" w:type="dxa"/>
          </w:tcPr>
          <w:p>
            <w:pPr>
              <w:autoSpaceDE w:val="0"/>
              <w:autoSpaceDN w:val="0"/>
              <w:spacing w:line="360" w:lineRule="auto"/>
              <w:jc w:val="center"/>
              <w:rPr>
                <w:rFonts w:hint="eastAsia" w:ascii="宋体" w:hAnsi="宋体" w:eastAsia="宋体" w:cs="宋体"/>
                <w:color w:val="auto"/>
                <w:sz w:val="24"/>
                <w:szCs w:val="24"/>
                <w:highlight w:val="none"/>
              </w:rPr>
            </w:pPr>
          </w:p>
        </w:tc>
        <w:tc>
          <w:tcPr>
            <w:tcW w:w="1278" w:type="dxa"/>
          </w:tcPr>
          <w:p>
            <w:pPr>
              <w:autoSpaceDE w:val="0"/>
              <w:autoSpaceDN w:val="0"/>
              <w:spacing w:line="360" w:lineRule="auto"/>
              <w:jc w:val="center"/>
              <w:rPr>
                <w:rFonts w:hint="eastAsia" w:ascii="宋体" w:hAnsi="宋体" w:eastAsia="宋体" w:cs="宋体"/>
                <w:color w:val="auto"/>
                <w:sz w:val="24"/>
                <w:szCs w:val="24"/>
                <w:highlight w:val="none"/>
              </w:rPr>
            </w:pPr>
          </w:p>
        </w:tc>
        <w:tc>
          <w:tcPr>
            <w:tcW w:w="1523" w:type="dxa"/>
          </w:tcPr>
          <w:p>
            <w:pPr>
              <w:autoSpaceDE w:val="0"/>
              <w:autoSpaceDN w:val="0"/>
              <w:spacing w:line="360" w:lineRule="auto"/>
              <w:jc w:val="center"/>
              <w:rPr>
                <w:rFonts w:hint="eastAsia" w:ascii="宋体" w:hAnsi="宋体" w:eastAsia="宋体" w:cs="宋体"/>
                <w:color w:val="auto"/>
                <w:sz w:val="24"/>
                <w:szCs w:val="24"/>
                <w:highlight w:val="none"/>
              </w:rPr>
            </w:pPr>
          </w:p>
        </w:tc>
        <w:tc>
          <w:tcPr>
            <w:tcW w:w="1246" w:type="dxa"/>
          </w:tcPr>
          <w:p>
            <w:pPr>
              <w:autoSpaceDE w:val="0"/>
              <w:autoSpaceDN w:val="0"/>
              <w:spacing w:line="360" w:lineRule="auto"/>
              <w:jc w:val="center"/>
              <w:rPr>
                <w:rFonts w:hint="eastAsia" w:ascii="宋体" w:hAnsi="宋体" w:eastAsia="宋体" w:cs="宋体"/>
                <w:color w:val="auto"/>
                <w:sz w:val="24"/>
                <w:szCs w:val="24"/>
                <w:highlight w:val="none"/>
              </w:rPr>
            </w:pPr>
          </w:p>
        </w:tc>
        <w:tc>
          <w:tcPr>
            <w:tcW w:w="1533" w:type="dxa"/>
          </w:tcPr>
          <w:p>
            <w:pPr>
              <w:autoSpaceDE w:val="0"/>
              <w:autoSpaceDN w:val="0"/>
              <w:spacing w:line="360" w:lineRule="auto"/>
              <w:jc w:val="center"/>
              <w:rPr>
                <w:rFonts w:hint="eastAsia" w:ascii="宋体" w:hAnsi="宋体" w:eastAsia="宋体" w:cs="宋体"/>
                <w:color w:val="auto"/>
                <w:sz w:val="24"/>
                <w:szCs w:val="24"/>
                <w:highlight w:val="none"/>
              </w:rPr>
            </w:pPr>
          </w:p>
        </w:tc>
      </w:tr>
    </w:tbl>
    <w:p>
      <w:pPr>
        <w:autoSpaceDE w:val="0"/>
        <w:autoSpaceDN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b/>
          <w:color w:val="auto"/>
          <w:sz w:val="24"/>
          <w:szCs w:val="24"/>
          <w:highlight w:val="none"/>
        </w:rPr>
        <w:t>注：关于项目涉及的所有售后服务机构均在本表注明，包括供应商本单位和符合条件的第三方服务机构。</w:t>
      </w:r>
    </w:p>
    <w:p>
      <w:pPr>
        <w:autoSpaceDE w:val="0"/>
        <w:autoSpaceDN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b/>
          <w:color w:val="auto"/>
          <w:kern w:val="0"/>
          <w:sz w:val="24"/>
          <w:szCs w:val="24"/>
          <w:highlight w:val="none"/>
        </w:rPr>
        <w:t>附表B：售后服务人员情况表</w:t>
      </w:r>
      <w:r>
        <w:rPr>
          <w:rFonts w:hint="eastAsia" w:ascii="宋体" w:hAnsi="宋体" w:eastAsia="宋体" w:cs="宋体"/>
          <w:color w:val="auto"/>
          <w:sz w:val="24"/>
          <w:szCs w:val="24"/>
          <w:highlight w:val="none"/>
        </w:rPr>
        <w:t>（参照此格式自制）</w:t>
      </w:r>
    </w:p>
    <w:tbl>
      <w:tblPr>
        <w:tblStyle w:val="29"/>
        <w:tblW w:w="10002" w:type="dxa"/>
        <w:jc w:val="center"/>
        <w:tblLayout w:type="fixed"/>
        <w:tblCellMar>
          <w:top w:w="0" w:type="dxa"/>
          <w:left w:w="108" w:type="dxa"/>
          <w:bottom w:w="0" w:type="dxa"/>
          <w:right w:w="108" w:type="dxa"/>
        </w:tblCellMar>
      </w:tblPr>
      <w:tblGrid>
        <w:gridCol w:w="646"/>
        <w:gridCol w:w="746"/>
        <w:gridCol w:w="787"/>
        <w:gridCol w:w="412"/>
        <w:gridCol w:w="900"/>
        <w:gridCol w:w="1080"/>
        <w:gridCol w:w="1080"/>
        <w:gridCol w:w="1080"/>
        <w:gridCol w:w="1260"/>
        <w:gridCol w:w="900"/>
        <w:gridCol w:w="1111"/>
      </w:tblGrid>
      <w:tr>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响应时间</w:t>
            </w:r>
          </w:p>
        </w:tc>
        <w:tc>
          <w:tcPr>
            <w:tcW w:w="111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到达现场时间</w:t>
            </w:r>
          </w:p>
        </w:tc>
      </w:tr>
      <w:tr>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tcPr>
          <w:p>
            <w:pPr>
              <w:autoSpaceDE w:val="0"/>
              <w:autoSpaceDN w:val="0"/>
              <w:spacing w:line="360" w:lineRule="auto"/>
              <w:jc w:val="center"/>
              <w:rPr>
                <w:rFonts w:hint="eastAsia" w:ascii="宋体" w:hAnsi="宋体" w:eastAsia="宋体" w:cs="宋体"/>
                <w:color w:val="auto"/>
                <w:sz w:val="24"/>
                <w:szCs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111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r>
      <w:tr>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pPr>
              <w:autoSpaceDE w:val="0"/>
              <w:autoSpaceDN w:val="0"/>
              <w:spacing w:line="360" w:lineRule="auto"/>
              <w:jc w:val="center"/>
              <w:rPr>
                <w:rFonts w:hint="eastAsia" w:ascii="宋体" w:hAnsi="宋体" w:eastAsia="宋体" w:cs="宋体"/>
                <w:color w:val="auto"/>
                <w:sz w:val="24"/>
                <w:szCs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111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r>
      <w:tr>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pPr>
              <w:autoSpaceDE w:val="0"/>
              <w:autoSpaceDN w:val="0"/>
              <w:spacing w:line="360" w:lineRule="auto"/>
              <w:jc w:val="center"/>
              <w:rPr>
                <w:rFonts w:hint="eastAsia" w:ascii="宋体" w:hAnsi="宋体" w:eastAsia="宋体" w:cs="宋体"/>
                <w:color w:val="auto"/>
                <w:sz w:val="24"/>
                <w:szCs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360" w:lineRule="auto"/>
              <w:jc w:val="center"/>
              <w:rPr>
                <w:rFonts w:hint="eastAsia" w:ascii="宋体" w:hAnsi="宋体" w:eastAsia="宋体" w:cs="宋体"/>
                <w:color w:val="auto"/>
                <w:sz w:val="24"/>
                <w:szCs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111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r>
      <w:tr>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pPr>
              <w:autoSpaceDE w:val="0"/>
              <w:autoSpaceDN w:val="0"/>
              <w:spacing w:line="360" w:lineRule="auto"/>
              <w:jc w:val="center"/>
              <w:rPr>
                <w:rFonts w:hint="eastAsia" w:ascii="宋体" w:hAnsi="宋体" w:eastAsia="宋体" w:cs="宋体"/>
                <w:color w:val="auto"/>
                <w:sz w:val="24"/>
                <w:szCs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360" w:lineRule="auto"/>
              <w:jc w:val="center"/>
              <w:rPr>
                <w:rFonts w:hint="eastAsia" w:ascii="宋体" w:hAnsi="宋体" w:eastAsia="宋体" w:cs="宋体"/>
                <w:color w:val="auto"/>
                <w:sz w:val="24"/>
                <w:szCs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111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r>
    </w:tbl>
    <w:p>
      <w:pPr>
        <w:spacing w:line="440" w:lineRule="exact"/>
        <w:ind w:firstLine="396" w:firstLineChars="198"/>
        <w:rPr>
          <w:rFonts w:hint="eastAsia" w:ascii="宋体" w:hAnsi="宋体" w:eastAsia="宋体" w:cs="宋体"/>
          <w:color w:val="auto"/>
          <w:kern w:val="0"/>
          <w:sz w:val="20"/>
          <w:szCs w:val="21"/>
          <w:highlight w:val="none"/>
          <w:lang w:val="zh-CN"/>
        </w:rPr>
      </w:pPr>
    </w:p>
    <w:p>
      <w:pPr>
        <w:spacing w:line="500" w:lineRule="exact"/>
        <w:rPr>
          <w:rFonts w:hint="eastAsia" w:ascii="宋体" w:hAnsi="宋体" w:eastAsia="宋体" w:cs="宋体"/>
          <w:color w:val="auto"/>
          <w:sz w:val="32"/>
          <w:szCs w:val="32"/>
          <w:highlight w:val="none"/>
        </w:rPr>
      </w:pPr>
    </w:p>
    <w:p>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pPr>
        <w:autoSpaceDE w:val="0"/>
        <w:autoSpaceDN w:val="0"/>
        <w:spacing w:line="360" w:lineRule="auto"/>
        <w:ind w:firstLine="6480" w:firstLineChars="270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日期：  年  月   日</w:t>
      </w:r>
    </w:p>
    <w:p>
      <w:pPr>
        <w:snapToGrid w:val="0"/>
        <w:spacing w:line="360" w:lineRule="auto"/>
        <w:rPr>
          <w:rFonts w:hint="eastAsia" w:ascii="宋体" w:hAnsi="宋体" w:eastAsia="宋体" w:cs="宋体"/>
          <w:b/>
          <w:color w:val="auto"/>
          <w:sz w:val="28"/>
          <w:szCs w:val="28"/>
          <w:highlight w:val="none"/>
        </w:rPr>
      </w:pPr>
    </w:p>
    <w:p>
      <w:pPr>
        <w:snapToGrid w:val="0"/>
        <w:spacing w:line="360" w:lineRule="auto"/>
        <w:rPr>
          <w:rFonts w:hint="eastAsia" w:ascii="宋体" w:hAnsi="宋体" w:eastAsia="宋体" w:cs="宋体"/>
          <w:b/>
          <w:color w:val="auto"/>
          <w:sz w:val="28"/>
          <w:szCs w:val="28"/>
          <w:highlight w:val="none"/>
        </w:rPr>
      </w:pPr>
    </w:p>
    <w:p>
      <w:pPr>
        <w:snapToGrid w:val="0"/>
        <w:spacing w:line="360" w:lineRule="auto"/>
        <w:rPr>
          <w:rFonts w:hint="eastAsia" w:ascii="宋体" w:hAnsi="宋体" w:eastAsia="宋体" w:cs="宋体"/>
          <w:b/>
          <w:color w:val="auto"/>
          <w:sz w:val="28"/>
          <w:szCs w:val="28"/>
          <w:highlight w:val="none"/>
        </w:rPr>
      </w:pPr>
    </w:p>
    <w:p>
      <w:pPr>
        <w:snapToGrid w:val="0"/>
        <w:spacing w:line="360" w:lineRule="auto"/>
        <w:rPr>
          <w:rFonts w:hint="eastAsia" w:ascii="宋体" w:hAnsi="宋体" w:eastAsia="宋体" w:cs="宋体"/>
          <w:b/>
          <w:i/>
          <w:iCs/>
          <w:color w:val="auto"/>
          <w:sz w:val="28"/>
          <w:szCs w:val="28"/>
          <w:highlight w:val="none"/>
        </w:rPr>
      </w:pPr>
      <w:r>
        <w:rPr>
          <w:rFonts w:hint="eastAsia" w:ascii="宋体" w:hAnsi="宋体" w:eastAsia="宋体" w:cs="宋体"/>
          <w:b/>
          <w:color w:val="auto"/>
          <w:sz w:val="28"/>
          <w:szCs w:val="28"/>
          <w:highlight w:val="none"/>
        </w:rPr>
        <w:t>10.项目实施人员一览表（如有要求）</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（由供应商根据采购需求及采购文件要求编制）</w:t>
      </w:r>
    </w:p>
    <w:p>
      <w:pPr>
        <w:pStyle w:val="21"/>
        <w:rPr>
          <w:rFonts w:hint="eastAsia" w:ascii="宋体" w:hAnsi="宋体" w:cs="宋体"/>
          <w:color w:val="auto"/>
          <w:highlight w:val="none"/>
        </w:rPr>
      </w:pPr>
    </w:p>
    <w:p>
      <w:pPr>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所竞分标（此处有分标时填写具体分标号，无分标时填写“无”）：</w:t>
      </w:r>
      <w:r>
        <w:rPr>
          <w:rFonts w:hint="eastAsia" w:ascii="宋体" w:hAnsi="宋体" w:eastAsia="宋体" w:cs="宋体"/>
          <w:color w:val="auto"/>
          <w:kern w:val="0"/>
          <w:sz w:val="24"/>
          <w:szCs w:val="24"/>
          <w:highlight w:val="none"/>
          <w:u w:val="single"/>
          <w:lang w:val="zh-CN"/>
        </w:rPr>
        <w:t xml:space="preserve">     </w:t>
      </w:r>
      <w:r>
        <w:rPr>
          <w:rFonts w:hint="eastAsia" w:ascii="宋体" w:hAnsi="宋体" w:eastAsia="宋体" w:cs="宋体"/>
          <w:color w:val="auto"/>
          <w:kern w:val="0"/>
          <w:sz w:val="24"/>
          <w:szCs w:val="24"/>
          <w:highlight w:val="none"/>
          <w:u w:val="single"/>
        </w:rPr>
        <w:t xml:space="preserve"> </w:t>
      </w:r>
    </w:p>
    <w:p>
      <w:pPr>
        <w:keepNext/>
        <w:autoSpaceDE w:val="0"/>
        <w:autoSpaceDN w:val="0"/>
        <w:spacing w:line="360" w:lineRule="auto"/>
        <w:ind w:firstLine="47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附表A</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rPr>
        <w:t>本项目的项目经理情况表</w:t>
      </w:r>
    </w:p>
    <w:tbl>
      <w:tblPr>
        <w:tblStyle w:val="29"/>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宋体" w:hAnsi="宋体" w:eastAsia="宋体" w:cs="宋体"/>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响应截止时间前三年业绩及承担的主要工作情况，曾担任项目经理的项目应列明细。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宋体" w:hAnsi="宋体" w:eastAsia="宋体" w:cs="宋体"/>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宋体" w:hAnsi="宋体" w:eastAsia="宋体" w:cs="宋体"/>
                <w:color w:val="auto"/>
                <w:sz w:val="24"/>
                <w:szCs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宋体" w:hAnsi="宋体" w:eastAsia="宋体" w:cs="宋体"/>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宋体" w:hAnsi="宋体" w:eastAsia="宋体" w:cs="宋体"/>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宋体" w:hAnsi="宋体" w:eastAsia="宋体" w:cs="宋体"/>
                <w:color w:val="auto"/>
                <w:sz w:val="24"/>
                <w:szCs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宋体" w:hAnsi="宋体" w:eastAsia="宋体" w:cs="宋体"/>
                <w:color w:val="auto"/>
                <w:sz w:val="24"/>
                <w:szCs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p>
        </w:tc>
      </w:tr>
    </w:tbl>
    <w:p>
      <w:pPr>
        <w:autoSpaceDE w:val="0"/>
        <w:autoSpaceDN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注：</w:t>
      </w:r>
      <w:r>
        <w:rPr>
          <w:rFonts w:hint="eastAsia" w:ascii="宋体" w:hAnsi="宋体" w:eastAsia="宋体" w:cs="宋体"/>
          <w:b/>
          <w:color w:val="auto"/>
          <w:sz w:val="24"/>
          <w:highlight w:val="none"/>
        </w:rPr>
        <w:t>供应商可参照上述的格式自行编制，</w:t>
      </w:r>
      <w:r>
        <w:rPr>
          <w:rFonts w:hint="eastAsia" w:ascii="宋体" w:hAnsi="宋体" w:eastAsia="宋体" w:cs="宋体"/>
          <w:b/>
          <w:color w:val="auto"/>
          <w:sz w:val="24"/>
          <w:szCs w:val="24"/>
          <w:highlight w:val="none"/>
        </w:rPr>
        <w:t>并注明所在响应技术文件页码。</w:t>
      </w:r>
    </w:p>
    <w:p>
      <w:pPr>
        <w:autoSpaceDE w:val="0"/>
        <w:autoSpaceDN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附表B</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rPr>
        <w:t>本项目的项目小组人员情况表</w:t>
      </w:r>
      <w:r>
        <w:rPr>
          <w:rFonts w:hint="eastAsia" w:ascii="宋体" w:hAnsi="宋体" w:eastAsia="宋体" w:cs="宋体"/>
          <w:color w:val="auto"/>
          <w:sz w:val="24"/>
          <w:szCs w:val="24"/>
          <w:highlight w:val="none"/>
        </w:rPr>
        <w:t>（参照此格式自制）</w:t>
      </w:r>
    </w:p>
    <w:tbl>
      <w:tblPr>
        <w:tblStyle w:val="29"/>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学历</w:t>
            </w:r>
          </w:p>
          <w:p>
            <w:pPr>
              <w:autoSpaceDE w:val="0"/>
              <w:autoSpaceDN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p>
            <w:pPr>
              <w:autoSpaceDE w:val="0"/>
              <w:autoSpaceDN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p>
            <w:pPr>
              <w:autoSpaceDE w:val="0"/>
              <w:autoSpaceDN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宋体" w:hAnsi="宋体" w:eastAsia="宋体" w:cs="宋体"/>
                <w:color w:val="auto"/>
                <w:sz w:val="24"/>
                <w:szCs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宋体" w:hAnsi="宋体" w:eastAsia="宋体" w:cs="宋体"/>
                <w:color w:val="auto"/>
                <w:sz w:val="24"/>
                <w:szCs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宋体" w:hAnsi="宋体" w:eastAsia="宋体" w:cs="宋体"/>
                <w:color w:val="auto"/>
                <w:sz w:val="24"/>
                <w:szCs w:val="24"/>
                <w:highlight w:val="none"/>
              </w:rPr>
            </w:pPr>
          </w:p>
        </w:tc>
      </w:tr>
    </w:tbl>
    <w:p>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注：供应商可参照上述的格式自行编制，并注明所在响应技术文件页码。</w:t>
      </w:r>
    </w:p>
    <w:p>
      <w:pPr>
        <w:snapToGrid w:val="0"/>
        <w:spacing w:line="360" w:lineRule="auto"/>
        <w:ind w:firstLine="602" w:firstLineChars="200"/>
        <w:rPr>
          <w:rFonts w:hint="eastAsia" w:ascii="宋体" w:hAnsi="宋体" w:eastAsia="宋体" w:cs="宋体"/>
          <w:b/>
          <w:color w:val="auto"/>
          <w:sz w:val="30"/>
          <w:szCs w:val="30"/>
          <w:highlight w:val="none"/>
        </w:rPr>
      </w:pPr>
    </w:p>
    <w:p>
      <w:pPr>
        <w:autoSpaceDE w:val="0"/>
        <w:autoSpaceDN w:val="0"/>
        <w:spacing w:line="360" w:lineRule="auto"/>
        <w:ind w:firstLine="6505" w:firstLineChars="2700"/>
        <w:rPr>
          <w:rFonts w:hint="eastAsia" w:ascii="宋体" w:hAnsi="宋体" w:eastAsia="宋体" w:cs="宋体"/>
          <w:b/>
          <w:bCs/>
          <w:color w:val="auto"/>
          <w:sz w:val="24"/>
          <w:szCs w:val="24"/>
          <w:highlight w:val="none"/>
        </w:rPr>
      </w:pPr>
    </w:p>
    <w:p>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pPr>
        <w:autoSpaceDE w:val="0"/>
        <w:autoSpaceDN w:val="0"/>
        <w:spacing w:line="360" w:lineRule="auto"/>
        <w:ind w:firstLine="6480" w:firstLineChars="270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日期：  年  月   日</w:t>
      </w:r>
    </w:p>
    <w:p>
      <w:pPr>
        <w:spacing w:line="500" w:lineRule="exact"/>
        <w:rPr>
          <w:rFonts w:hint="eastAsia" w:ascii="仿宋_GB2312" w:hAnsi="仿宋_GB2312" w:eastAsia="仿宋_GB2312" w:cs="仿宋_GB2312"/>
          <w:color w:val="auto"/>
          <w:sz w:val="32"/>
          <w:szCs w:val="32"/>
          <w:highlight w:val="none"/>
        </w:rPr>
      </w:pPr>
    </w:p>
    <w:p>
      <w:pPr>
        <w:autoSpaceDE w:val="0"/>
        <w:autoSpaceDN w:val="0"/>
        <w:spacing w:line="360" w:lineRule="auto"/>
        <w:ind w:firstLine="6480" w:firstLineChars="2700"/>
        <w:rPr>
          <w:rFonts w:hint="eastAsia" w:ascii="仿宋_GB2312" w:hAnsi="仿宋" w:eastAsia="仿宋_GB2312" w:cs="仿宋_GB2312"/>
          <w:color w:val="auto"/>
          <w:kern w:val="0"/>
          <w:sz w:val="24"/>
          <w:szCs w:val="24"/>
          <w:highlight w:val="none"/>
          <w:lang w:val="zh-CN"/>
        </w:rPr>
      </w:pPr>
    </w:p>
    <w:p>
      <w:pPr>
        <w:adjustRightInd w:val="0"/>
        <w:snapToGrid w:val="0"/>
        <w:spacing w:line="300" w:lineRule="auto"/>
        <w:rPr>
          <w:rFonts w:hint="eastAsia" w:ascii="宋体" w:hAnsi="宋体" w:eastAsia="宋体" w:cs="Times New Roman"/>
          <w:color w:val="auto"/>
          <w:szCs w:val="21"/>
          <w:highlight w:val="none"/>
          <w:u w:val="single"/>
        </w:rPr>
      </w:pPr>
    </w:p>
    <w:p>
      <w:pPr>
        <w:keepNext/>
        <w:keepLines/>
        <w:spacing w:before="260" w:after="260" w:line="416" w:lineRule="auto"/>
        <w:jc w:val="center"/>
        <w:outlineLvl w:val="1"/>
        <w:rPr>
          <w:rFonts w:hint="eastAsia" w:ascii="宋体" w:hAnsi="宋体" w:eastAsia="宋体" w:cs="Times New Roman"/>
          <w:b/>
          <w:bCs/>
          <w:color w:val="auto"/>
          <w:sz w:val="32"/>
          <w:szCs w:val="32"/>
          <w:highlight w:val="none"/>
          <w:lang w:val="zh-CN"/>
        </w:rPr>
      </w:pPr>
      <w:bookmarkStart w:id="181" w:name="_Toc80205941"/>
      <w:bookmarkStart w:id="182" w:name="_Toc13020"/>
      <w:bookmarkStart w:id="183" w:name="_Toc17296"/>
      <w:r>
        <w:rPr>
          <w:rFonts w:hint="eastAsia" w:ascii="宋体" w:hAnsi="宋体" w:eastAsia="宋体" w:cs="Times New Roman"/>
          <w:b/>
          <w:bCs/>
          <w:color w:val="auto"/>
          <w:sz w:val="32"/>
          <w:szCs w:val="32"/>
          <w:highlight w:val="none"/>
          <w:lang w:val="zh-CN"/>
        </w:rPr>
        <w:t>第三节 报价文件格式</w:t>
      </w:r>
      <w:bookmarkEnd w:id="181"/>
      <w:bookmarkEnd w:id="182"/>
      <w:bookmarkEnd w:id="183"/>
    </w:p>
    <w:p>
      <w:pPr>
        <w:pStyle w:val="21"/>
        <w:rPr>
          <w:color w:val="auto"/>
          <w:highlight w:val="none"/>
        </w:rPr>
      </w:pPr>
    </w:p>
    <w:p>
      <w:pPr>
        <w:pStyle w:val="21"/>
        <w:rPr>
          <w:color w:val="auto"/>
          <w:highlight w:val="none"/>
        </w:rPr>
      </w:pPr>
      <w:r>
        <w:rPr>
          <w:rFonts w:hint="eastAsia" w:ascii="宋体" w:hAnsi="宋体" w:cs="宋体"/>
          <w:b/>
          <w:bCs/>
          <w:color w:val="auto"/>
          <w:sz w:val="28"/>
          <w:szCs w:val="28"/>
          <w:highlight w:val="none"/>
          <w:lang w:val="en-US"/>
        </w:rPr>
        <w:t>1.</w:t>
      </w:r>
      <w:r>
        <w:rPr>
          <w:rFonts w:hint="eastAsia" w:ascii="宋体" w:hAnsi="宋体" w:cs="宋体"/>
          <w:b/>
          <w:bCs/>
          <w:color w:val="auto"/>
          <w:sz w:val="28"/>
          <w:szCs w:val="28"/>
          <w:highlight w:val="none"/>
        </w:rPr>
        <w:t>报价文件封面的格式</w:t>
      </w:r>
      <w:r>
        <w:rPr>
          <w:rFonts w:hint="eastAsia" w:ascii="宋体" w:hAnsi="宋体" w:cs="宋体"/>
          <w:b/>
          <w:color w:val="auto"/>
          <w:sz w:val="28"/>
          <w:szCs w:val="28"/>
          <w:highlight w:val="none"/>
        </w:rPr>
        <w:t>（参照此格式自拟）</w:t>
      </w:r>
      <w:r>
        <w:rPr>
          <w:rFonts w:hint="eastAsia" w:ascii="宋体" w:hAnsi="宋体" w:cs="宋体"/>
          <w:b/>
          <w:bCs/>
          <w:color w:val="auto"/>
          <w:sz w:val="28"/>
          <w:szCs w:val="28"/>
          <w:highlight w:val="none"/>
        </w:rPr>
        <w:t>：</w:t>
      </w:r>
    </w:p>
    <w:p>
      <w:pPr>
        <w:snapToGrid w:val="0"/>
        <w:spacing w:before="165" w:beforeLines="50" w:after="50"/>
        <w:rPr>
          <w:rFonts w:hint="eastAsia" w:ascii="宋体" w:hAnsi="宋体" w:eastAsia="宋体" w:cs="Times New Roman"/>
          <w:bCs/>
          <w:color w:val="auto"/>
          <w:sz w:val="32"/>
          <w:szCs w:val="20"/>
          <w:highlight w:val="none"/>
        </w:rPr>
      </w:pPr>
      <w:r>
        <w:rPr>
          <w:rFonts w:hint="eastAsia" w:ascii="宋体" w:hAnsi="宋体" w:eastAsia="宋体" w:cs="Times New Roman"/>
          <w:color w:val="auto"/>
          <w:sz w:val="24"/>
          <w:szCs w:val="24"/>
          <w:highlight w:val="none"/>
        </w:rPr>
        <w:t xml:space="preserve">                                                    </w:t>
      </w:r>
      <w:r>
        <w:rPr>
          <w:rFonts w:hint="eastAsia" w:ascii="宋体" w:hAnsi="宋体" w:eastAsia="宋体" w:cs="Times New Roman"/>
          <w:bCs/>
          <w:color w:val="auto"/>
          <w:szCs w:val="24"/>
          <w:highlight w:val="none"/>
        </w:rPr>
        <w:t>全流程电子文件</w:t>
      </w:r>
    </w:p>
    <w:p>
      <w:pPr>
        <w:snapToGrid w:val="0"/>
        <w:spacing w:before="165" w:beforeLines="50" w:after="50"/>
        <w:rPr>
          <w:rFonts w:hint="eastAsia" w:ascii="宋体" w:hAnsi="宋体" w:eastAsia="宋体" w:cs="Times New Roman"/>
          <w:color w:val="auto"/>
          <w:sz w:val="24"/>
          <w:szCs w:val="20"/>
          <w:highlight w:val="none"/>
        </w:rPr>
      </w:pPr>
    </w:p>
    <w:p>
      <w:pPr>
        <w:snapToGrid w:val="0"/>
        <w:spacing w:before="165" w:beforeLines="50" w:after="50"/>
        <w:rPr>
          <w:rFonts w:hint="eastAsia" w:ascii="宋体" w:hAnsi="宋体" w:eastAsia="宋体" w:cs="Times New Roman"/>
          <w:color w:val="auto"/>
          <w:sz w:val="24"/>
          <w:szCs w:val="20"/>
          <w:highlight w:val="none"/>
        </w:rPr>
      </w:pPr>
    </w:p>
    <w:p>
      <w:pPr>
        <w:snapToGrid w:val="0"/>
        <w:spacing w:before="165" w:beforeLines="50" w:after="50"/>
        <w:rPr>
          <w:rFonts w:hint="eastAsia" w:ascii="宋体" w:hAnsi="宋体" w:eastAsia="宋体" w:cs="Times New Roman"/>
          <w:color w:val="auto"/>
          <w:sz w:val="24"/>
          <w:szCs w:val="20"/>
          <w:highlight w:val="none"/>
        </w:rPr>
      </w:pPr>
    </w:p>
    <w:p>
      <w:pPr>
        <w:snapToGrid w:val="0"/>
        <w:spacing w:before="165"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 xml:space="preserve">报 </w:t>
      </w:r>
      <w:r>
        <w:rPr>
          <w:rFonts w:ascii="方正小标宋简体" w:hAnsi="方正小标宋简体" w:eastAsia="方正小标宋简体" w:cs="方正小标宋简体"/>
          <w:bCs/>
          <w:color w:val="auto"/>
          <w:sz w:val="44"/>
          <w:szCs w:val="44"/>
          <w:highlight w:val="none"/>
        </w:rPr>
        <w:t xml:space="preserve"> </w:t>
      </w:r>
      <w:r>
        <w:rPr>
          <w:rFonts w:hint="eastAsia" w:ascii="方正小标宋简体" w:hAnsi="方正小标宋简体" w:eastAsia="方正小标宋简体" w:cs="方正小标宋简体"/>
          <w:bCs/>
          <w:color w:val="auto"/>
          <w:sz w:val="44"/>
          <w:szCs w:val="44"/>
          <w:highlight w:val="none"/>
        </w:rPr>
        <w:t>价  文  件</w:t>
      </w:r>
    </w:p>
    <w:p>
      <w:pPr>
        <w:snapToGrid w:val="0"/>
        <w:spacing w:before="165" w:beforeLines="50" w:after="50"/>
        <w:rPr>
          <w:rFonts w:hint="eastAsia" w:ascii="宋体" w:hAnsi="宋体" w:eastAsia="宋体" w:cs="Times New Roman"/>
          <w:bCs/>
          <w:color w:val="auto"/>
          <w:sz w:val="24"/>
          <w:szCs w:val="20"/>
          <w:highlight w:val="none"/>
        </w:rPr>
      </w:pPr>
    </w:p>
    <w:p>
      <w:pPr>
        <w:snapToGrid w:val="0"/>
        <w:spacing w:before="165" w:beforeLines="50" w:after="50"/>
        <w:rPr>
          <w:rFonts w:hint="eastAsia" w:ascii="宋体" w:hAnsi="宋体" w:eastAsia="宋体" w:cs="Times New Roman"/>
          <w:bCs/>
          <w:color w:val="auto"/>
          <w:sz w:val="24"/>
          <w:szCs w:val="20"/>
          <w:highlight w:val="none"/>
        </w:rPr>
      </w:pPr>
    </w:p>
    <w:p>
      <w:pPr>
        <w:snapToGrid w:val="0"/>
        <w:spacing w:before="165" w:beforeLines="50" w:after="50"/>
        <w:rPr>
          <w:rFonts w:hint="eastAsia" w:ascii="宋体" w:hAnsi="宋体" w:eastAsia="宋体" w:cs="Times New Roman"/>
          <w:bCs/>
          <w:color w:val="auto"/>
          <w:sz w:val="24"/>
          <w:szCs w:val="20"/>
          <w:highlight w:val="none"/>
        </w:rPr>
      </w:pPr>
    </w:p>
    <w:p>
      <w:pPr>
        <w:snapToGrid w:val="0"/>
        <w:spacing w:before="165" w:beforeLines="50" w:after="50"/>
        <w:rPr>
          <w:rFonts w:hint="eastAsia" w:ascii="宋体" w:hAnsi="宋体" w:eastAsia="宋体" w:cs="Times New Roman"/>
          <w:bCs/>
          <w:color w:val="auto"/>
          <w:sz w:val="24"/>
          <w:szCs w:val="20"/>
          <w:highlight w:val="none"/>
        </w:rPr>
      </w:pPr>
    </w:p>
    <w:p>
      <w:pPr>
        <w:snapToGrid w:val="0"/>
        <w:spacing w:before="165" w:beforeLines="50" w:after="50"/>
        <w:rPr>
          <w:rFonts w:hint="eastAsia" w:ascii="宋体" w:hAnsi="宋体" w:eastAsia="宋体" w:cs="Times New Roman"/>
          <w:bCs/>
          <w:color w:val="auto"/>
          <w:sz w:val="24"/>
          <w:szCs w:val="20"/>
          <w:highlight w:val="none"/>
        </w:rPr>
      </w:pPr>
    </w:p>
    <w:p>
      <w:pPr>
        <w:snapToGrid w:val="0"/>
        <w:spacing w:before="165" w:beforeLines="50" w:after="50"/>
        <w:ind w:firstLine="640" w:firstLineChars="200"/>
        <w:rPr>
          <w:rFonts w:hint="eastAsia"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项目名称：</w:t>
      </w:r>
    </w:p>
    <w:p>
      <w:pPr>
        <w:snapToGrid w:val="0"/>
        <w:spacing w:before="165" w:beforeLines="50" w:after="50"/>
        <w:ind w:firstLine="720" w:firstLineChars="225"/>
        <w:rPr>
          <w:rFonts w:hint="eastAsia" w:ascii="宋体" w:hAnsi="宋体" w:eastAsia="宋体" w:cs="仿宋_GB2312"/>
          <w:bCs/>
          <w:color w:val="auto"/>
          <w:sz w:val="32"/>
          <w:szCs w:val="32"/>
          <w:highlight w:val="none"/>
        </w:rPr>
      </w:pPr>
    </w:p>
    <w:p>
      <w:pPr>
        <w:snapToGrid w:val="0"/>
        <w:spacing w:before="165" w:beforeLines="50" w:after="50"/>
        <w:ind w:firstLine="640" w:firstLineChars="200"/>
        <w:rPr>
          <w:rFonts w:hint="eastAsia"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项目编号：</w:t>
      </w:r>
    </w:p>
    <w:p>
      <w:pPr>
        <w:snapToGrid w:val="0"/>
        <w:spacing w:before="165" w:beforeLines="50" w:after="50"/>
        <w:ind w:firstLine="720" w:firstLineChars="225"/>
        <w:rPr>
          <w:rFonts w:hint="eastAsia"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 xml:space="preserve"> </w:t>
      </w:r>
    </w:p>
    <w:p>
      <w:pPr>
        <w:snapToGrid w:val="0"/>
        <w:spacing w:before="165" w:beforeLines="50" w:after="50"/>
        <w:ind w:firstLine="640" w:firstLineChars="200"/>
        <w:rPr>
          <w:rFonts w:hint="eastAsia"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所竞分标（如有则填写，无分标时填写“无”或者留空）：</w:t>
      </w:r>
    </w:p>
    <w:p>
      <w:pPr>
        <w:snapToGrid w:val="0"/>
        <w:spacing w:before="165" w:beforeLines="50" w:after="50"/>
        <w:ind w:firstLine="720" w:firstLineChars="225"/>
        <w:rPr>
          <w:rFonts w:hint="eastAsia" w:ascii="宋体" w:hAnsi="宋体" w:eastAsia="宋体" w:cs="仿宋_GB2312"/>
          <w:bCs/>
          <w:color w:val="auto"/>
          <w:sz w:val="32"/>
          <w:szCs w:val="32"/>
          <w:highlight w:val="none"/>
        </w:rPr>
      </w:pPr>
    </w:p>
    <w:p>
      <w:pPr>
        <w:snapToGrid w:val="0"/>
        <w:spacing w:before="50" w:after="50"/>
        <w:ind w:firstLine="640" w:firstLineChars="200"/>
        <w:rPr>
          <w:rFonts w:hint="eastAsia" w:ascii="宋体" w:hAnsi="宋体" w:eastAsia="宋体" w:cs="仿宋_GB2312"/>
          <w:bCs/>
          <w:color w:val="auto"/>
          <w:sz w:val="32"/>
          <w:szCs w:val="32"/>
          <w:highlight w:val="none"/>
        </w:rPr>
      </w:pPr>
      <w:r>
        <w:rPr>
          <w:rFonts w:hint="eastAsia" w:ascii="宋体" w:hAnsi="宋体" w:eastAsia="宋体" w:cs="仿宋_GB2312"/>
          <w:bCs/>
          <w:color w:val="auto"/>
          <w:sz w:val="32"/>
          <w:szCs w:val="32"/>
          <w:highlight w:val="none"/>
        </w:rPr>
        <w:t>供应商名称：</w:t>
      </w:r>
    </w:p>
    <w:p>
      <w:pPr>
        <w:snapToGrid w:val="0"/>
        <w:spacing w:before="50" w:after="50"/>
        <w:ind w:firstLine="720" w:firstLineChars="225"/>
        <w:rPr>
          <w:rFonts w:hint="eastAsia" w:ascii="宋体" w:hAnsi="宋体" w:eastAsia="宋体" w:cs="仿宋_GB2312"/>
          <w:bCs/>
          <w:color w:val="auto"/>
          <w:sz w:val="32"/>
          <w:szCs w:val="32"/>
          <w:highlight w:val="none"/>
        </w:rPr>
      </w:pPr>
    </w:p>
    <w:p>
      <w:pPr>
        <w:snapToGrid w:val="0"/>
        <w:spacing w:before="50" w:after="50"/>
        <w:ind w:firstLine="720" w:firstLineChars="225"/>
        <w:rPr>
          <w:rFonts w:hint="eastAsia" w:ascii="宋体" w:hAnsi="宋体" w:eastAsia="宋体" w:cs="仿宋_GB2312"/>
          <w:bCs/>
          <w:color w:val="auto"/>
          <w:sz w:val="32"/>
          <w:szCs w:val="32"/>
          <w:highlight w:val="none"/>
        </w:rPr>
      </w:pPr>
    </w:p>
    <w:p>
      <w:pPr>
        <w:snapToGrid w:val="0"/>
        <w:spacing w:before="50" w:after="50"/>
        <w:ind w:firstLine="1280" w:firstLineChars="400"/>
        <w:rPr>
          <w:rFonts w:hint="eastAsia" w:ascii="宋体" w:hAnsi="宋体" w:eastAsia="宋体" w:cs="仿宋_GB2312"/>
          <w:bCs/>
          <w:color w:val="auto"/>
          <w:sz w:val="32"/>
          <w:szCs w:val="32"/>
          <w:highlight w:val="none"/>
        </w:rPr>
      </w:pPr>
    </w:p>
    <w:p>
      <w:pPr>
        <w:snapToGrid w:val="0"/>
        <w:spacing w:before="165" w:beforeLines="50" w:after="50"/>
        <w:jc w:val="center"/>
        <w:rPr>
          <w:rFonts w:hint="eastAsia" w:ascii="宋体" w:hAnsi="宋体" w:eastAsia="宋体" w:cs="仿宋_GB2312"/>
          <w:color w:val="auto"/>
          <w:sz w:val="32"/>
          <w:szCs w:val="32"/>
          <w:highlight w:val="none"/>
        </w:rPr>
      </w:pPr>
      <w:r>
        <w:rPr>
          <w:rFonts w:hint="eastAsia" w:ascii="宋体" w:hAnsi="宋体" w:eastAsia="宋体" w:cs="仿宋_GB2312"/>
          <w:color w:val="auto"/>
          <w:sz w:val="32"/>
          <w:szCs w:val="32"/>
          <w:highlight w:val="none"/>
        </w:rPr>
        <w:t>年    月    日</w:t>
      </w:r>
    </w:p>
    <w:p>
      <w:pPr>
        <w:snapToGrid w:val="0"/>
        <w:spacing w:before="165" w:beforeLines="50" w:after="50" w:line="360" w:lineRule="auto"/>
        <w:jc w:val="left"/>
        <w:rPr>
          <w:rFonts w:hint="eastAsia" w:ascii="宋体" w:hAnsi="宋体" w:eastAsia="宋体" w:cs="宋体"/>
          <w:color w:val="auto"/>
          <w:sz w:val="28"/>
          <w:szCs w:val="28"/>
          <w:highlight w:val="none"/>
        </w:rPr>
      </w:pPr>
      <w:r>
        <w:rPr>
          <w:rFonts w:ascii="宋体" w:hAnsi="宋体" w:eastAsia="宋体" w:cs="Times New Roman"/>
          <w:color w:val="auto"/>
          <w:sz w:val="24"/>
          <w:szCs w:val="24"/>
          <w:highlight w:val="none"/>
        </w:rPr>
        <w:br w:type="page"/>
      </w:r>
      <w:r>
        <w:rPr>
          <w:rFonts w:hint="eastAsia" w:ascii="宋体" w:hAnsi="宋体" w:eastAsia="宋体" w:cs="宋体"/>
          <w:b/>
          <w:color w:val="auto"/>
          <w:sz w:val="28"/>
          <w:szCs w:val="28"/>
          <w:highlight w:val="none"/>
        </w:rPr>
        <w:t>2.</w:t>
      </w:r>
      <w:r>
        <w:rPr>
          <w:rFonts w:hint="eastAsia" w:ascii="宋体" w:hAnsi="宋体" w:eastAsia="宋体" w:cs="宋体"/>
          <w:b/>
          <w:bCs/>
          <w:color w:val="auto"/>
          <w:sz w:val="28"/>
          <w:szCs w:val="28"/>
          <w:highlight w:val="none"/>
        </w:rPr>
        <w:t>报价文件目录</w:t>
      </w:r>
    </w:p>
    <w:p>
      <w:pPr>
        <w:snapToGrid w:val="0"/>
        <w:spacing w:before="50" w:after="165" w:afterLines="50" w:line="360" w:lineRule="auto"/>
        <w:jc w:val="left"/>
        <w:rPr>
          <w:rFonts w:hint="eastAsia" w:ascii="宋体" w:hAnsi="宋体" w:eastAsia="宋体" w:cs="宋体"/>
          <w:b/>
          <w:color w:val="auto"/>
          <w:sz w:val="28"/>
          <w:szCs w:val="28"/>
          <w:highlight w:val="none"/>
        </w:rPr>
      </w:pPr>
      <w:r>
        <w:rPr>
          <w:rFonts w:hint="eastAsia" w:ascii="宋体" w:hAnsi="宋体" w:eastAsia="宋体" w:cs="宋体"/>
          <w:color w:val="auto"/>
          <w:sz w:val="28"/>
          <w:szCs w:val="28"/>
          <w:highlight w:val="none"/>
        </w:rPr>
        <w:t>根据竞争性谈判文件规定及供应商提供的材料自行编写目录</w:t>
      </w:r>
      <w:r>
        <w:rPr>
          <w:rFonts w:hint="eastAsia" w:ascii="宋体" w:hAnsi="宋体" w:eastAsia="宋体" w:cs="宋体"/>
          <w:color w:val="auto"/>
          <w:kern w:val="0"/>
          <w:sz w:val="28"/>
          <w:szCs w:val="28"/>
          <w:highlight w:val="none"/>
        </w:rPr>
        <w:t>（部分格式后附）</w:t>
      </w:r>
      <w:r>
        <w:rPr>
          <w:rFonts w:hint="eastAsia" w:ascii="宋体" w:hAnsi="宋体" w:eastAsia="宋体" w:cs="宋体"/>
          <w:color w:val="auto"/>
          <w:sz w:val="28"/>
          <w:szCs w:val="28"/>
          <w:highlight w:val="none"/>
        </w:rPr>
        <w:t>。</w:t>
      </w:r>
    </w:p>
    <w:p>
      <w:pPr>
        <w:spacing w:line="360" w:lineRule="auto"/>
        <w:rPr>
          <w:rFonts w:hint="eastAsia" w:ascii="仿宋_GB2312" w:hAnsi="仿宋" w:eastAsia="仿宋_GB2312" w:cs="仿宋_GB2312"/>
          <w:b/>
          <w:bCs/>
          <w:i/>
          <w:iCs/>
          <w:color w:val="auto"/>
          <w:sz w:val="24"/>
          <w:szCs w:val="24"/>
          <w:highlight w:val="none"/>
        </w:rPr>
      </w:pPr>
    </w:p>
    <w:p>
      <w:pPr>
        <w:snapToGrid w:val="0"/>
        <w:spacing w:before="165" w:beforeLines="50" w:after="50" w:line="360" w:lineRule="auto"/>
        <w:ind w:left="142" w:firstLine="640" w:firstLineChars="200"/>
        <w:jc w:val="left"/>
        <w:rPr>
          <w:rFonts w:hint="eastAsia" w:ascii="仿宋_GB2312" w:hAnsi="仿宋_GB2312" w:eastAsia="仿宋_GB2312" w:cs="仿宋_GB2312"/>
          <w:color w:val="auto"/>
          <w:sz w:val="32"/>
          <w:szCs w:val="32"/>
          <w:highlight w:val="none"/>
        </w:rPr>
      </w:pPr>
    </w:p>
    <w:p>
      <w:pPr>
        <w:spacing w:line="500" w:lineRule="exact"/>
        <w:rPr>
          <w:rFonts w:hint="eastAsia" w:ascii="宋体" w:hAnsi="宋体" w:eastAsia="宋体" w:cs="仿宋_GB2312"/>
          <w:color w:val="auto"/>
          <w:kern w:val="0"/>
          <w:sz w:val="24"/>
          <w:szCs w:val="21"/>
          <w:highlight w:val="none"/>
          <w:lang w:val="zh-CN"/>
        </w:rPr>
      </w:pPr>
      <w:r>
        <w:rPr>
          <w:rFonts w:ascii="宋体" w:hAnsi="宋体" w:eastAsia="宋体" w:cs="仿宋_GB2312"/>
          <w:color w:val="auto"/>
          <w:kern w:val="0"/>
          <w:sz w:val="24"/>
          <w:szCs w:val="21"/>
          <w:highlight w:val="none"/>
          <w:lang w:val="zh-CN"/>
        </w:rPr>
        <w:br w:type="page"/>
      </w:r>
      <w:r>
        <w:rPr>
          <w:rFonts w:hint="eastAsia" w:ascii="宋体" w:hAnsi="宋体" w:eastAsia="宋体" w:cs="宋体"/>
          <w:b/>
          <w:color w:val="auto"/>
          <w:sz w:val="28"/>
          <w:szCs w:val="28"/>
          <w:highlight w:val="none"/>
        </w:rPr>
        <w:t>3.</w:t>
      </w:r>
      <w:r>
        <w:rPr>
          <w:rFonts w:hint="eastAsia" w:ascii="宋体" w:hAnsi="宋体" w:eastAsia="宋体" w:cs="宋体"/>
          <w:b/>
          <w:color w:val="auto"/>
          <w:sz w:val="28"/>
          <w:szCs w:val="28"/>
          <w:highlight w:val="none"/>
          <w:lang w:val="zh-CN"/>
        </w:rPr>
        <w:t>响应函的格式：</w:t>
      </w:r>
    </w:p>
    <w:p>
      <w:pPr>
        <w:spacing w:line="500" w:lineRule="exact"/>
        <w:jc w:val="center"/>
        <w:rPr>
          <w:rFonts w:ascii="Times New Roman" w:hAnsi="Times New Roman" w:eastAsia="宋体" w:cs="Times New Roman"/>
          <w:b/>
          <w:bCs/>
          <w:color w:val="auto"/>
          <w:kern w:val="0"/>
          <w:sz w:val="30"/>
          <w:szCs w:val="30"/>
          <w:highlight w:val="none"/>
          <w:lang w:val="zh-CN"/>
        </w:rPr>
      </w:pPr>
      <w:r>
        <w:rPr>
          <w:rFonts w:hint="eastAsia" w:ascii="Times New Roman" w:hAnsi="Times New Roman" w:eastAsia="宋体" w:cs="Times New Roman"/>
          <w:b/>
          <w:bCs/>
          <w:color w:val="auto"/>
          <w:kern w:val="0"/>
          <w:sz w:val="30"/>
          <w:szCs w:val="30"/>
          <w:highlight w:val="none"/>
          <w:lang w:val="zh-CN"/>
        </w:rPr>
        <w:t>响应函</w:t>
      </w:r>
    </w:p>
    <w:p>
      <w:pPr>
        <w:spacing w:line="360" w:lineRule="auto"/>
        <w:rPr>
          <w:rFonts w:ascii="Times New Roman" w:hAnsi="Times New Roman" w:eastAsia="宋体" w:cs="Times New Roman"/>
          <w:color w:val="auto"/>
          <w:kern w:val="0"/>
          <w:sz w:val="20"/>
          <w:szCs w:val="21"/>
          <w:highlight w:val="none"/>
          <w:lang w:val="zh-CN"/>
        </w:rPr>
      </w:pPr>
    </w:p>
    <w:p>
      <w:pPr>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zh-CN"/>
        </w:rPr>
        <w:t>致：</w:t>
      </w:r>
      <w:r>
        <w:rPr>
          <w:rFonts w:hint="eastAsia" w:ascii="宋体" w:hAnsi="宋体" w:eastAsia="宋体" w:cs="宋体"/>
          <w:color w:val="auto"/>
          <w:kern w:val="0"/>
          <w:szCs w:val="21"/>
          <w:highlight w:val="none"/>
          <w:u w:val="single"/>
          <w:lang w:val="zh-CN"/>
        </w:rPr>
        <w:t xml:space="preserve"> </w:t>
      </w:r>
      <w:bookmarkStart w:id="184" w:name="PO_3000001871_PM031_6"/>
      <w:r>
        <w:rPr>
          <w:rFonts w:hint="eastAsia" w:ascii="宋体" w:hAnsi="宋体" w:eastAsia="宋体" w:cs="宋体"/>
          <w:color w:val="auto"/>
          <w:kern w:val="0"/>
          <w:szCs w:val="21"/>
          <w:highlight w:val="none"/>
          <w:u w:val="single"/>
        </w:rPr>
        <w:t>广西科联招标中心有限公司</w:t>
      </w:r>
      <w:bookmarkEnd w:id="184"/>
      <w:r>
        <w:rPr>
          <w:rFonts w:hint="eastAsia" w:ascii="宋体" w:hAnsi="宋体" w:eastAsia="宋体" w:cs="宋体"/>
          <w:color w:val="auto"/>
          <w:kern w:val="0"/>
          <w:szCs w:val="21"/>
          <w:highlight w:val="none"/>
          <w:u w:val="single"/>
        </w:rPr>
        <w:t xml:space="preserve">         </w:t>
      </w:r>
    </w:p>
    <w:p>
      <w:pPr>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我方已仔细阅读了贵方组织的</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u w:val="single"/>
          <w:lang w:val="zh-CN"/>
        </w:rPr>
        <w:t xml:space="preserve"> </w:t>
      </w:r>
      <w:r>
        <w:rPr>
          <w:rFonts w:hint="eastAsia" w:ascii="宋体" w:hAnsi="宋体" w:eastAsia="宋体" w:cs="宋体"/>
          <w:color w:val="auto"/>
          <w:kern w:val="0"/>
          <w:szCs w:val="21"/>
          <w:highlight w:val="none"/>
          <w:lang w:val="zh-CN"/>
        </w:rPr>
        <w:t>项目（项目编号：</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lang w:val="zh-CN"/>
        </w:rPr>
        <w:t xml:space="preserve">）的竞争性谈判文件的全部内容，现正式递交下述文件参加贵方组织的本次政府采购活动： </w:t>
      </w:r>
    </w:p>
    <w:p>
      <w:pPr>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一、首次报价文件电子版（包含按“第三章 供应商须知”提交的全部文件）；</w:t>
      </w:r>
    </w:p>
    <w:p>
      <w:pPr>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二、技术文件电子版（包含按“第三章 供应商须知”提交的全部文件）；商务文件电子版（包含按“第三章 供应商须知”提交的全部文件）；</w:t>
      </w:r>
    </w:p>
    <w:p>
      <w:pPr>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三、资格证明文件电子版（包含按“第三章供应商须知”提交的全部文件）。</w:t>
      </w:r>
    </w:p>
    <w:p>
      <w:pPr>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据此函，</w:t>
      </w:r>
      <w:r>
        <w:rPr>
          <w:rFonts w:hint="eastAsia" w:ascii="宋体" w:hAnsi="宋体" w:eastAsia="宋体" w:cs="宋体"/>
          <w:color w:val="auto"/>
          <w:kern w:val="0"/>
          <w:szCs w:val="21"/>
          <w:highlight w:val="none"/>
        </w:rPr>
        <w:t>我方</w:t>
      </w:r>
      <w:r>
        <w:rPr>
          <w:rFonts w:hint="eastAsia" w:ascii="宋体" w:hAnsi="宋体" w:eastAsia="宋体" w:cs="宋体"/>
          <w:color w:val="auto"/>
          <w:kern w:val="0"/>
          <w:szCs w:val="21"/>
          <w:highlight w:val="none"/>
          <w:lang w:val="zh-CN"/>
        </w:rPr>
        <w:t>兹宣布：</w:t>
      </w:r>
    </w:p>
    <w:p>
      <w:pPr>
        <w:spacing w:line="360" w:lineRule="auto"/>
        <w:ind w:firstLine="482"/>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1.我方愿意以</w:t>
      </w:r>
      <w:r>
        <w:rPr>
          <w:rFonts w:hint="eastAsia" w:ascii="宋体" w:hAnsi="宋体" w:eastAsia="宋体" w:cs="宋体"/>
          <w:color w:val="auto"/>
          <w:kern w:val="0"/>
          <w:szCs w:val="21"/>
          <w:highlight w:val="none"/>
        </w:rPr>
        <w:t>谈判时</w:t>
      </w:r>
      <w:r>
        <w:rPr>
          <w:rFonts w:hint="eastAsia" w:ascii="宋体" w:hAnsi="宋体" w:eastAsia="宋体" w:cs="宋体"/>
          <w:color w:val="auto"/>
          <w:szCs w:val="21"/>
          <w:highlight w:val="none"/>
        </w:rPr>
        <w:t>提交的最后报价表中的竞标总报价</w:t>
      </w:r>
      <w:r>
        <w:rPr>
          <w:rFonts w:hint="eastAsia" w:ascii="宋体" w:hAnsi="宋体" w:eastAsia="宋体" w:cs="宋体"/>
          <w:color w:val="auto"/>
          <w:kern w:val="0"/>
          <w:szCs w:val="21"/>
          <w:highlight w:val="none"/>
          <w:lang w:val="zh-CN"/>
        </w:rPr>
        <w:t>，在承诺的交付时间内提供本项目竞争性谈判文件“第二章</w:t>
      </w:r>
      <w:r>
        <w:rPr>
          <w:rFonts w:hint="eastAsia" w:ascii="宋体" w:hAnsi="宋体" w:eastAsia="宋体" w:cs="宋体"/>
          <w:color w:val="auto"/>
          <w:kern w:val="0"/>
          <w:szCs w:val="21"/>
          <w:highlight w:val="none"/>
        </w:rPr>
        <w:t xml:space="preserve">  采购需求</w:t>
      </w:r>
      <w:r>
        <w:rPr>
          <w:rFonts w:hint="eastAsia" w:ascii="宋体" w:hAnsi="宋体" w:eastAsia="宋体" w:cs="宋体"/>
          <w:color w:val="auto"/>
          <w:kern w:val="0"/>
          <w:szCs w:val="21"/>
          <w:highlight w:val="none"/>
          <w:lang w:val="zh-CN"/>
        </w:rPr>
        <w:t>”的“需求一览表”中相应的采购内容</w:t>
      </w:r>
      <w:r>
        <w:rPr>
          <w:rFonts w:hint="eastAsia" w:ascii="宋体" w:hAnsi="宋体" w:eastAsia="宋体" w:cs="宋体"/>
          <w:color w:val="auto"/>
          <w:szCs w:val="21"/>
          <w:highlight w:val="none"/>
        </w:rPr>
        <w:t>，具体详见最后报价表</w:t>
      </w:r>
      <w:r>
        <w:rPr>
          <w:rFonts w:hint="eastAsia" w:ascii="宋体" w:hAnsi="宋体" w:eastAsia="宋体" w:cs="宋体"/>
          <w:color w:val="auto"/>
          <w:kern w:val="0"/>
          <w:szCs w:val="21"/>
          <w:highlight w:val="none"/>
          <w:lang w:val="zh-CN"/>
        </w:rPr>
        <w:t>。</w:t>
      </w:r>
    </w:p>
    <w:p>
      <w:pPr>
        <w:spacing w:line="360" w:lineRule="auto"/>
        <w:ind w:firstLine="482"/>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2.我方同意自本项目竞争性谈判文件采购公告规定的提交响应文件截止时间起遵循本响应函，并承诺在“第三章 供应商须知”规定的</w:t>
      </w:r>
      <w:r>
        <w:rPr>
          <w:rFonts w:hint="eastAsia" w:ascii="宋体" w:hAnsi="宋体" w:eastAsia="宋体" w:cs="宋体"/>
          <w:color w:val="auto"/>
          <w:kern w:val="0"/>
          <w:szCs w:val="21"/>
          <w:highlight w:val="none"/>
        </w:rPr>
        <w:t>竞标</w:t>
      </w:r>
      <w:r>
        <w:rPr>
          <w:rFonts w:hint="eastAsia" w:ascii="宋体" w:hAnsi="宋体" w:eastAsia="宋体" w:cs="宋体"/>
          <w:color w:val="auto"/>
          <w:kern w:val="0"/>
          <w:szCs w:val="21"/>
          <w:highlight w:val="none"/>
          <w:lang w:val="zh-CN"/>
        </w:rPr>
        <w:t>有效期内不修改、撤销响应文件。</w:t>
      </w:r>
    </w:p>
    <w:p>
      <w:pPr>
        <w:spacing w:line="360" w:lineRule="auto"/>
        <w:ind w:firstLine="482"/>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3.我方在此声明，所递交的响应文件及有关资料内容完整、真实和准确。</w:t>
      </w:r>
    </w:p>
    <w:p>
      <w:pPr>
        <w:spacing w:line="360" w:lineRule="auto"/>
        <w:ind w:firstLine="482"/>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4.如本项目采购内容涉及须符合国家强制规定的，我方承诺我方本次竞标均符合国家有关强制规定。</w:t>
      </w:r>
    </w:p>
    <w:p>
      <w:pPr>
        <w:spacing w:line="360" w:lineRule="auto"/>
        <w:ind w:firstLine="482"/>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5.如我方成交，我方承诺在收到成交通知书后，在成交通知书规定的期限内，根据竞争性谈判文件、我方的响应文件及有关澄清承诺书的要求按第六章“合同文本”与采购人订立书面合同，并按照合同约定承担完成合同的责任和义务。</w:t>
      </w:r>
    </w:p>
    <w:p>
      <w:pPr>
        <w:spacing w:line="360" w:lineRule="auto"/>
        <w:ind w:firstLine="482"/>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6.我方已详细审核竞争性谈判文件，我方知道必须放弃提出含糊不清或误解问题的权利。</w:t>
      </w:r>
    </w:p>
    <w:p>
      <w:pPr>
        <w:spacing w:line="360" w:lineRule="auto"/>
        <w:ind w:firstLine="482"/>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7.我方承诺满足竞争性谈判文件第六章“合同文本”的条款，承担完成合同的责任和义务。</w:t>
      </w:r>
    </w:p>
    <w:p>
      <w:pPr>
        <w:spacing w:line="360" w:lineRule="auto"/>
        <w:ind w:firstLine="482"/>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8.我方同意应贵方要求提供与本竞标有关的任何数据或资料。若贵方需要，我方愿意提供我方作出的一切承诺的证明材料。</w:t>
      </w:r>
    </w:p>
    <w:p>
      <w:pPr>
        <w:spacing w:line="360" w:lineRule="auto"/>
        <w:ind w:firstLine="482"/>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9.我方完全理解贵方不一定接受响应报价最低的供应商为成交供应商的行为。</w:t>
      </w:r>
    </w:p>
    <w:p>
      <w:pPr>
        <w:spacing w:line="360" w:lineRule="auto"/>
        <w:ind w:firstLine="482"/>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10.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numPr>
          <w:ilvl w:val="0"/>
          <w:numId w:val="2"/>
        </w:numPr>
        <w:tabs>
          <w:tab w:val="left" w:pos="945"/>
        </w:tabs>
        <w:spacing w:line="360" w:lineRule="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提供虚假材料谋取中标、成交的；</w:t>
      </w:r>
    </w:p>
    <w:p>
      <w:pPr>
        <w:numPr>
          <w:ilvl w:val="0"/>
          <w:numId w:val="2"/>
        </w:numPr>
        <w:tabs>
          <w:tab w:val="left" w:pos="945"/>
        </w:tabs>
        <w:spacing w:line="360" w:lineRule="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采取不正当手段诋毁、排挤其他供应商的；</w:t>
      </w:r>
    </w:p>
    <w:p>
      <w:pPr>
        <w:numPr>
          <w:ilvl w:val="0"/>
          <w:numId w:val="2"/>
        </w:numPr>
        <w:tabs>
          <w:tab w:val="left" w:pos="945"/>
        </w:tabs>
        <w:spacing w:line="360" w:lineRule="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与采购人、其他供应商或者采购代理机构恶意串通的；</w:t>
      </w:r>
    </w:p>
    <w:p>
      <w:pPr>
        <w:numPr>
          <w:ilvl w:val="0"/>
          <w:numId w:val="2"/>
        </w:numPr>
        <w:tabs>
          <w:tab w:val="left" w:pos="945"/>
        </w:tabs>
        <w:spacing w:line="360" w:lineRule="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向采购人、采购代理机构行贿或者提供其他不正当利益的；</w:t>
      </w:r>
    </w:p>
    <w:p>
      <w:pPr>
        <w:numPr>
          <w:ilvl w:val="0"/>
          <w:numId w:val="2"/>
        </w:numPr>
        <w:tabs>
          <w:tab w:val="left" w:pos="945"/>
        </w:tabs>
        <w:spacing w:line="360" w:lineRule="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在采购过程中与采购人进行协商谈判的；</w:t>
      </w:r>
    </w:p>
    <w:p>
      <w:pPr>
        <w:numPr>
          <w:ilvl w:val="0"/>
          <w:numId w:val="2"/>
        </w:numPr>
        <w:tabs>
          <w:tab w:val="left" w:pos="945"/>
        </w:tabs>
        <w:spacing w:line="360" w:lineRule="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拒绝有关部门监督检查或提供虚假情况的。</w:t>
      </w:r>
    </w:p>
    <w:p>
      <w:pPr>
        <w:spacing w:line="360" w:lineRule="auto"/>
        <w:ind w:firstLine="42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11.</w:t>
      </w:r>
      <w:r>
        <w:rPr>
          <w:rFonts w:hint="eastAsia" w:eastAsia="宋体" w:cs="Times New Roman"/>
          <w:color w:val="auto"/>
          <w:szCs w:val="21"/>
          <w:highlight w:val="none"/>
        </w:rPr>
        <w:t>以上事项如有虚假或</w:t>
      </w:r>
      <w:r>
        <w:rPr>
          <w:rFonts w:hint="eastAsia" w:cs="Times New Roman"/>
          <w:color w:val="auto"/>
          <w:szCs w:val="21"/>
          <w:highlight w:val="none"/>
        </w:rPr>
        <w:t>者</w:t>
      </w:r>
      <w:r>
        <w:rPr>
          <w:rFonts w:hint="eastAsia" w:eastAsia="宋体" w:cs="Times New Roman"/>
          <w:color w:val="auto"/>
          <w:szCs w:val="21"/>
          <w:highlight w:val="none"/>
        </w:rPr>
        <w:t>隐瞒，我方愿意承担一切后果，并不再寻求任何旨在减轻或</w:t>
      </w:r>
      <w:r>
        <w:rPr>
          <w:rFonts w:hint="eastAsia" w:cs="Times New Roman"/>
          <w:color w:val="auto"/>
          <w:szCs w:val="21"/>
          <w:highlight w:val="none"/>
        </w:rPr>
        <w:t>者</w:t>
      </w:r>
      <w:r>
        <w:rPr>
          <w:rFonts w:hint="eastAsia" w:eastAsia="宋体" w:cs="Times New Roman"/>
          <w:color w:val="auto"/>
          <w:szCs w:val="21"/>
          <w:highlight w:val="none"/>
        </w:rPr>
        <w:t>免除法律责任的辩解。</w:t>
      </w:r>
    </w:p>
    <w:p>
      <w:pPr>
        <w:spacing w:line="360" w:lineRule="auto"/>
        <w:ind w:firstLine="42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12.与本谈判有关的一切正式往来信函请寄：</w:t>
      </w:r>
    </w:p>
    <w:p>
      <w:pPr>
        <w:spacing w:line="360" w:lineRule="auto"/>
        <w:ind w:firstLine="42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地址：</w:t>
      </w:r>
      <w:r>
        <w:rPr>
          <w:rFonts w:hint="eastAsia" w:ascii="宋体" w:hAnsi="宋体" w:eastAsia="宋体" w:cs="宋体"/>
          <w:color w:val="auto"/>
          <w:kern w:val="0"/>
          <w:szCs w:val="21"/>
          <w:highlight w:val="none"/>
          <w:u w:val="single"/>
          <w:lang w:val="zh-CN"/>
        </w:rPr>
        <w:t xml:space="preserve">                                                        </w:t>
      </w:r>
      <w:r>
        <w:rPr>
          <w:rFonts w:hint="eastAsia" w:ascii="宋体" w:hAnsi="宋体" w:eastAsia="宋体" w:cs="宋体"/>
          <w:color w:val="auto"/>
          <w:kern w:val="0"/>
          <w:szCs w:val="21"/>
          <w:highlight w:val="none"/>
          <w:lang w:val="zh-CN"/>
        </w:rPr>
        <w:t xml:space="preserve"> </w:t>
      </w:r>
    </w:p>
    <w:p>
      <w:pPr>
        <w:spacing w:line="360" w:lineRule="auto"/>
        <w:ind w:firstLine="420"/>
        <w:rPr>
          <w:rFonts w:hint="eastAsia" w:ascii="宋体" w:hAnsi="宋体" w:eastAsia="宋体" w:cs="宋体"/>
          <w:color w:val="auto"/>
          <w:kern w:val="0"/>
          <w:szCs w:val="21"/>
          <w:highlight w:val="none"/>
          <w:u w:val="single"/>
          <w:lang w:val="zh-CN"/>
        </w:rPr>
      </w:pPr>
      <w:r>
        <w:rPr>
          <w:rFonts w:hint="eastAsia" w:ascii="宋体" w:hAnsi="宋体" w:eastAsia="宋体" w:cs="宋体"/>
          <w:color w:val="auto"/>
          <w:kern w:val="0"/>
          <w:szCs w:val="21"/>
          <w:highlight w:val="none"/>
          <w:lang w:val="zh-CN"/>
        </w:rPr>
        <w:t>电话：</w:t>
      </w:r>
      <w:r>
        <w:rPr>
          <w:rFonts w:hint="eastAsia" w:ascii="宋体" w:hAnsi="宋体" w:eastAsia="宋体" w:cs="宋体"/>
          <w:color w:val="auto"/>
          <w:kern w:val="0"/>
          <w:szCs w:val="21"/>
          <w:highlight w:val="none"/>
          <w:u w:val="single"/>
          <w:lang w:val="zh-CN"/>
        </w:rPr>
        <w:t xml:space="preserve">                                      　　　　　　　　　</w:t>
      </w:r>
    </w:p>
    <w:p>
      <w:pPr>
        <w:spacing w:line="360" w:lineRule="auto"/>
        <w:ind w:firstLine="420"/>
        <w:rPr>
          <w:rFonts w:hint="eastAsia" w:ascii="宋体" w:hAnsi="宋体" w:eastAsia="宋体" w:cs="宋体"/>
          <w:color w:val="auto"/>
          <w:kern w:val="0"/>
          <w:szCs w:val="21"/>
          <w:highlight w:val="none"/>
          <w:u w:val="single"/>
          <w:lang w:val="zh-CN"/>
        </w:rPr>
      </w:pPr>
      <w:r>
        <w:rPr>
          <w:rFonts w:hint="eastAsia" w:ascii="宋体" w:hAnsi="宋体" w:eastAsia="宋体" w:cs="宋体"/>
          <w:color w:val="auto"/>
          <w:kern w:val="0"/>
          <w:szCs w:val="21"/>
          <w:highlight w:val="none"/>
          <w:lang w:val="zh-CN"/>
        </w:rPr>
        <w:t>传真：</w:t>
      </w:r>
      <w:r>
        <w:rPr>
          <w:rFonts w:hint="eastAsia" w:ascii="宋体" w:hAnsi="宋体" w:eastAsia="宋体" w:cs="宋体"/>
          <w:color w:val="auto"/>
          <w:kern w:val="0"/>
          <w:szCs w:val="21"/>
          <w:highlight w:val="none"/>
          <w:u w:val="single"/>
          <w:lang w:val="zh-CN"/>
        </w:rPr>
        <w:t>　　　　　　　　　　　　　　　　　　　　　　　　　　　　</w:t>
      </w:r>
    </w:p>
    <w:p>
      <w:pPr>
        <w:spacing w:line="360" w:lineRule="auto"/>
        <w:ind w:firstLine="42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电子邮箱：</w:t>
      </w:r>
      <w:r>
        <w:rPr>
          <w:rFonts w:hint="eastAsia" w:ascii="宋体" w:hAnsi="宋体" w:eastAsia="宋体" w:cs="宋体"/>
          <w:color w:val="auto"/>
          <w:kern w:val="0"/>
          <w:szCs w:val="21"/>
          <w:highlight w:val="none"/>
          <w:u w:val="single"/>
          <w:lang w:val="zh-CN"/>
        </w:rPr>
        <w:t>　　　　　　　　　　　　　　　　　　　　　　　　　　</w:t>
      </w:r>
    </w:p>
    <w:p>
      <w:pPr>
        <w:spacing w:line="360" w:lineRule="auto"/>
        <w:ind w:firstLine="420"/>
        <w:rPr>
          <w:rFonts w:hint="eastAsia" w:ascii="宋体" w:hAnsi="宋体" w:eastAsia="宋体" w:cs="宋体"/>
          <w:color w:val="auto"/>
          <w:kern w:val="0"/>
          <w:szCs w:val="21"/>
          <w:highlight w:val="none"/>
          <w:u w:val="single"/>
          <w:lang w:val="zh-CN"/>
        </w:rPr>
      </w:pPr>
      <w:r>
        <w:rPr>
          <w:rFonts w:hint="eastAsia" w:ascii="宋体" w:hAnsi="宋体" w:eastAsia="宋体" w:cs="宋体"/>
          <w:color w:val="auto"/>
          <w:kern w:val="0"/>
          <w:szCs w:val="21"/>
          <w:highlight w:val="none"/>
          <w:lang w:val="zh-CN"/>
        </w:rPr>
        <w:t>邮政编码：</w:t>
      </w:r>
      <w:r>
        <w:rPr>
          <w:rFonts w:hint="eastAsia" w:ascii="宋体" w:hAnsi="宋体" w:eastAsia="宋体" w:cs="宋体"/>
          <w:color w:val="auto"/>
          <w:kern w:val="0"/>
          <w:szCs w:val="21"/>
          <w:highlight w:val="none"/>
          <w:u w:val="single"/>
          <w:lang w:val="zh-CN"/>
        </w:rPr>
        <w:t xml:space="preserve">                                                    </w:t>
      </w:r>
    </w:p>
    <w:p>
      <w:pPr>
        <w:spacing w:line="360" w:lineRule="auto"/>
        <w:ind w:firstLine="420"/>
        <w:rPr>
          <w:rFonts w:hint="eastAsia" w:ascii="宋体" w:hAnsi="宋体" w:eastAsia="宋体" w:cs="宋体"/>
          <w:color w:val="auto"/>
          <w:kern w:val="0"/>
          <w:szCs w:val="21"/>
          <w:highlight w:val="none"/>
          <w:u w:val="single"/>
          <w:lang w:val="zh-CN"/>
        </w:rPr>
      </w:pPr>
      <w:r>
        <w:rPr>
          <w:rFonts w:hint="eastAsia" w:ascii="宋体" w:hAnsi="宋体" w:eastAsia="宋体" w:cs="宋体"/>
          <w:color w:val="auto"/>
          <w:kern w:val="0"/>
          <w:szCs w:val="21"/>
          <w:highlight w:val="none"/>
          <w:lang w:val="zh-CN"/>
        </w:rPr>
        <w:t>开户名称：</w:t>
      </w:r>
      <w:r>
        <w:rPr>
          <w:rFonts w:hint="eastAsia" w:ascii="宋体" w:hAnsi="宋体" w:eastAsia="宋体" w:cs="宋体"/>
          <w:color w:val="auto"/>
          <w:kern w:val="0"/>
          <w:szCs w:val="21"/>
          <w:highlight w:val="none"/>
          <w:u w:val="single"/>
          <w:lang w:val="zh-CN"/>
        </w:rPr>
        <w:t xml:space="preserve">                                                    </w:t>
      </w:r>
    </w:p>
    <w:p>
      <w:pPr>
        <w:spacing w:line="360" w:lineRule="auto"/>
        <w:ind w:firstLine="420"/>
        <w:rPr>
          <w:rFonts w:hint="eastAsia" w:ascii="宋体" w:hAnsi="宋体" w:eastAsia="宋体" w:cs="宋体"/>
          <w:color w:val="auto"/>
          <w:kern w:val="0"/>
          <w:szCs w:val="21"/>
          <w:highlight w:val="none"/>
          <w:u w:val="single"/>
          <w:lang w:val="zh-CN"/>
        </w:rPr>
      </w:pPr>
      <w:r>
        <w:rPr>
          <w:rFonts w:hint="eastAsia" w:ascii="宋体" w:hAnsi="宋体" w:eastAsia="宋体" w:cs="宋体"/>
          <w:color w:val="auto"/>
          <w:kern w:val="0"/>
          <w:szCs w:val="21"/>
          <w:highlight w:val="none"/>
          <w:lang w:val="zh-CN"/>
        </w:rPr>
        <w:t>开户银行：</w:t>
      </w:r>
      <w:r>
        <w:rPr>
          <w:rFonts w:hint="eastAsia" w:ascii="宋体" w:hAnsi="宋体" w:eastAsia="宋体" w:cs="宋体"/>
          <w:color w:val="auto"/>
          <w:kern w:val="0"/>
          <w:szCs w:val="21"/>
          <w:highlight w:val="none"/>
          <w:u w:val="single"/>
          <w:lang w:val="zh-CN"/>
        </w:rPr>
        <w:t xml:space="preserve">                                                    </w:t>
      </w:r>
    </w:p>
    <w:p>
      <w:pPr>
        <w:spacing w:line="360" w:lineRule="auto"/>
        <w:ind w:firstLine="420"/>
        <w:rPr>
          <w:rFonts w:hint="eastAsia" w:ascii="宋体" w:hAnsi="宋体" w:eastAsia="宋体" w:cs="宋体"/>
          <w:color w:val="auto"/>
          <w:kern w:val="0"/>
          <w:szCs w:val="21"/>
          <w:highlight w:val="none"/>
          <w:u w:val="single"/>
          <w:lang w:val="zh-CN"/>
        </w:rPr>
      </w:pPr>
      <w:r>
        <w:rPr>
          <w:rFonts w:hint="eastAsia" w:ascii="宋体" w:hAnsi="宋体" w:eastAsia="宋体" w:cs="宋体"/>
          <w:color w:val="auto"/>
          <w:kern w:val="0"/>
          <w:szCs w:val="21"/>
          <w:highlight w:val="none"/>
          <w:lang w:val="zh-CN"/>
        </w:rPr>
        <w:t>银行账号：</w:t>
      </w:r>
      <w:r>
        <w:rPr>
          <w:rFonts w:hint="eastAsia" w:ascii="宋体" w:hAnsi="宋体" w:eastAsia="宋体" w:cs="宋体"/>
          <w:color w:val="auto"/>
          <w:kern w:val="0"/>
          <w:szCs w:val="21"/>
          <w:highlight w:val="none"/>
          <w:u w:val="single"/>
          <w:lang w:val="zh-CN"/>
        </w:rPr>
        <w:t xml:space="preserve">                                                    </w:t>
      </w:r>
    </w:p>
    <w:p>
      <w:pPr>
        <w:tabs>
          <w:tab w:val="left" w:pos="939"/>
        </w:tabs>
        <w:spacing w:line="360" w:lineRule="auto"/>
        <w:ind w:left="141" w:leftChars="67" w:firstLine="315" w:firstLineChars="15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特此承诺。</w:t>
      </w:r>
    </w:p>
    <w:p>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pPr>
        <w:ind w:firstLine="6000" w:firstLineChars="2500"/>
        <w:rPr>
          <w:rFonts w:hint="eastAsia" w:ascii="宋体" w:hAnsi="宋体" w:eastAsia="宋体" w:cs="宋体"/>
          <w:color w:val="auto"/>
          <w:kern w:val="0"/>
          <w:sz w:val="24"/>
          <w:szCs w:val="24"/>
          <w:highlight w:val="none"/>
          <w:lang w:val="zh-CN"/>
        </w:rPr>
        <w:sectPr>
          <w:pgSz w:w="11906" w:h="16838"/>
          <w:pgMar w:top="1134" w:right="1134" w:bottom="1134" w:left="1134" w:header="720" w:footer="720" w:gutter="0"/>
          <w:cols w:space="720" w:num="1"/>
          <w:docGrid w:type="lines" w:linePitch="331" w:charSpace="0"/>
        </w:sectPr>
      </w:pPr>
      <w:r>
        <w:rPr>
          <w:rFonts w:hint="eastAsia" w:ascii="宋体" w:hAnsi="宋体" w:eastAsia="宋体" w:cs="宋体"/>
          <w:color w:val="auto"/>
          <w:kern w:val="0"/>
          <w:sz w:val="24"/>
          <w:szCs w:val="24"/>
          <w:highlight w:val="none"/>
          <w:lang w:val="zh-CN"/>
        </w:rPr>
        <w:t>日期：  年  月   日</w:t>
      </w:r>
    </w:p>
    <w:p>
      <w:pPr>
        <w:ind w:firstLine="5250" w:firstLineChars="2500"/>
        <w:rPr>
          <w:rFonts w:ascii="Times New Roman" w:hAnsi="Times New Roman" w:eastAsia="宋体" w:cs="Times New Roman"/>
          <w:color w:val="auto"/>
          <w:szCs w:val="24"/>
          <w:highlight w:val="none"/>
        </w:rPr>
      </w:pPr>
    </w:p>
    <w:p>
      <w:pPr>
        <w:spacing w:line="500" w:lineRule="exact"/>
        <w:rPr>
          <w:rFonts w:hint="eastAsia" w:ascii="仿宋" w:hAnsi="仿宋" w:eastAsia="仿宋" w:cs="仿宋_GB2312"/>
          <w:b/>
          <w:color w:val="auto"/>
          <w:sz w:val="30"/>
          <w:szCs w:val="30"/>
          <w:highlight w:val="none"/>
          <w:lang w:val="zh-CN"/>
        </w:rPr>
      </w:pPr>
      <w:r>
        <w:rPr>
          <w:rFonts w:hint="eastAsia" w:ascii="宋体" w:hAnsi="宋体" w:eastAsia="宋体" w:cs="宋体"/>
          <w:b/>
          <w:color w:val="auto"/>
          <w:sz w:val="28"/>
          <w:szCs w:val="28"/>
          <w:highlight w:val="none"/>
        </w:rPr>
        <w:t>4.</w:t>
      </w:r>
      <w:r>
        <w:rPr>
          <w:rFonts w:hint="eastAsia" w:ascii="宋体" w:hAnsi="宋体" w:eastAsia="宋体" w:cs="宋体"/>
          <w:b/>
          <w:color w:val="auto"/>
          <w:sz w:val="28"/>
          <w:szCs w:val="28"/>
          <w:highlight w:val="none"/>
          <w:lang w:val="zh-CN"/>
        </w:rPr>
        <w:t>响应报价表的格式：</w:t>
      </w:r>
      <w:r>
        <w:rPr>
          <w:rFonts w:hint="eastAsia" w:ascii="仿宋" w:hAnsi="仿宋" w:eastAsia="仿宋" w:cs="仿宋_GB2312"/>
          <w:b/>
          <w:color w:val="auto"/>
          <w:sz w:val="30"/>
          <w:szCs w:val="30"/>
          <w:highlight w:val="none"/>
          <w:lang w:val="zh-CN"/>
        </w:rPr>
        <w:t xml:space="preserve"> </w:t>
      </w:r>
    </w:p>
    <w:p>
      <w:pPr>
        <w:snapToGrid w:val="0"/>
        <w:spacing w:before="50" w:after="50" w:line="360" w:lineRule="auto"/>
        <w:ind w:firstLine="4518" w:firstLineChars="1500"/>
        <w:rPr>
          <w:rFonts w:hint="eastAsia" w:ascii="宋体" w:hAnsi="宋体" w:eastAsia="宋体" w:cs="宋体"/>
          <w:color w:val="auto"/>
          <w:sz w:val="24"/>
          <w:szCs w:val="24"/>
          <w:highlight w:val="none"/>
        </w:rPr>
      </w:pPr>
      <w:r>
        <w:rPr>
          <w:rFonts w:hint="eastAsia" w:ascii="宋体" w:hAnsi="宋体" w:eastAsia="宋体" w:cs="宋体"/>
          <w:b/>
          <w:color w:val="auto"/>
          <w:sz w:val="30"/>
          <w:szCs w:val="30"/>
          <w:highlight w:val="none"/>
          <w:lang w:val="zh-CN"/>
        </w:rPr>
        <w:t>响应报价表</w:t>
      </w:r>
    </w:p>
    <w:p>
      <w:pPr>
        <w:snapToGrid w:val="0"/>
        <w:spacing w:before="50" w:after="50"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u w:val="single"/>
        </w:rPr>
        <w:t xml:space="preserve">                    </w:t>
      </w:r>
    </w:p>
    <w:p>
      <w:pPr>
        <w:snapToGrid w:val="0"/>
        <w:spacing w:before="50" w:after="50"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p>
    <w:p>
      <w:pPr>
        <w:snapToGrid w:val="0"/>
        <w:spacing w:before="50" w:after="50"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highlight w:val="none"/>
        </w:rPr>
        <w:t>所竞分标（如有则填写，无分标时填写“无”或者留空）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tbl>
      <w:tblPr>
        <w:tblStyle w:val="29"/>
        <w:tblW w:w="98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260"/>
        <w:gridCol w:w="1251"/>
        <w:gridCol w:w="975"/>
        <w:gridCol w:w="918"/>
        <w:gridCol w:w="1332"/>
        <w:gridCol w:w="1707"/>
        <w:gridCol w:w="1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1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序号</w:t>
            </w:r>
          </w:p>
        </w:tc>
        <w:tc>
          <w:tcPr>
            <w:tcW w:w="126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标的名称</w:t>
            </w:r>
          </w:p>
        </w:tc>
        <w:tc>
          <w:tcPr>
            <w:tcW w:w="125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highlight w:val="none"/>
              </w:rPr>
            </w:pPr>
            <w:bookmarkStart w:id="185" w:name="OLE_LINK19"/>
            <w:r>
              <w:rPr>
                <w:rFonts w:hint="eastAsia" w:ascii="宋体" w:hAnsi="宋体" w:eastAsia="宋体" w:cs="宋体"/>
                <w:color w:val="auto"/>
                <w:highlight w:val="none"/>
              </w:rPr>
              <w:t>规格型号</w:t>
            </w:r>
            <w:bookmarkEnd w:id="185"/>
          </w:p>
        </w:tc>
        <w:tc>
          <w:tcPr>
            <w:tcW w:w="97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highlight w:val="none"/>
              </w:rPr>
            </w:pPr>
            <w:bookmarkStart w:id="186" w:name="OLE_LINK20"/>
            <w:r>
              <w:rPr>
                <w:rFonts w:hint="eastAsia" w:ascii="宋体" w:hAnsi="宋体" w:eastAsia="宋体" w:cs="宋体"/>
                <w:color w:val="auto"/>
                <w:highlight w:val="none"/>
              </w:rPr>
              <w:t>品牌</w:t>
            </w:r>
          </w:p>
          <w:p>
            <w:pPr>
              <w:jc w:val="center"/>
              <w:rPr>
                <w:rFonts w:hint="eastAsia" w:ascii="宋体" w:hAnsi="宋体" w:eastAsia="宋体" w:cs="宋体"/>
                <w:color w:val="auto"/>
                <w:highlight w:val="none"/>
              </w:rPr>
            </w:pPr>
            <w:r>
              <w:rPr>
                <w:rFonts w:hint="eastAsia" w:ascii="宋体" w:hAnsi="宋体" w:eastAsia="宋体" w:cs="宋体"/>
                <w:color w:val="auto"/>
                <w:highlight w:val="none"/>
              </w:rPr>
              <w:t>及制造商</w:t>
            </w:r>
            <w:bookmarkEnd w:id="186"/>
          </w:p>
        </w:tc>
        <w:tc>
          <w:tcPr>
            <w:tcW w:w="9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数量及单位①</w:t>
            </w:r>
          </w:p>
        </w:tc>
        <w:tc>
          <w:tcPr>
            <w:tcW w:w="133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bookmarkStart w:id="187" w:name="OLE_LINK31"/>
            <w:r>
              <w:rPr>
                <w:rFonts w:hint="eastAsia" w:ascii="宋体" w:hAnsi="宋体" w:eastAsia="宋体" w:cs="宋体"/>
                <w:color w:val="auto"/>
                <w:highlight w:val="none"/>
              </w:rPr>
              <w:t>单价</w:t>
            </w:r>
            <w:bookmarkEnd w:id="187"/>
            <w:r>
              <w:rPr>
                <w:rFonts w:hint="eastAsia" w:ascii="宋体" w:hAnsi="宋体" w:eastAsia="宋体" w:cs="宋体"/>
                <w:color w:val="auto"/>
                <w:highlight w:val="none"/>
              </w:rPr>
              <w:t>(元)②</w:t>
            </w:r>
          </w:p>
        </w:tc>
        <w:tc>
          <w:tcPr>
            <w:tcW w:w="170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单项合价（元）</w:t>
            </w:r>
          </w:p>
          <w:p>
            <w:pPr>
              <w:rPr>
                <w:rFonts w:hint="eastAsia" w:ascii="宋体" w:hAnsi="宋体" w:eastAsia="宋体" w:cs="宋体"/>
                <w:color w:val="auto"/>
                <w:highlight w:val="none"/>
              </w:rPr>
            </w:pPr>
            <w:r>
              <w:rPr>
                <w:rFonts w:hint="eastAsia" w:ascii="宋体" w:hAnsi="宋体" w:eastAsia="宋体" w:cs="宋体"/>
                <w:color w:val="auto"/>
                <w:highlight w:val="none"/>
              </w:rPr>
              <w:t>③</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①×②</w:t>
            </w:r>
          </w:p>
        </w:tc>
        <w:tc>
          <w:tcPr>
            <w:tcW w:w="165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1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126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p>
        </w:tc>
        <w:tc>
          <w:tcPr>
            <w:tcW w:w="97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p>
        </w:tc>
        <w:tc>
          <w:tcPr>
            <w:tcW w:w="918"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p>
        </w:tc>
        <w:tc>
          <w:tcPr>
            <w:tcW w:w="170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p>
        </w:tc>
        <w:tc>
          <w:tcPr>
            <w:tcW w:w="1651"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126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p>
        </w:tc>
        <w:tc>
          <w:tcPr>
            <w:tcW w:w="97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p>
        </w:tc>
        <w:tc>
          <w:tcPr>
            <w:tcW w:w="918"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p>
        </w:tc>
        <w:tc>
          <w:tcPr>
            <w:tcW w:w="170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p>
        </w:tc>
        <w:tc>
          <w:tcPr>
            <w:tcW w:w="1651"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trPr>
        <w:tc>
          <w:tcPr>
            <w:tcW w:w="71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126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p>
        </w:tc>
        <w:tc>
          <w:tcPr>
            <w:tcW w:w="97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p>
        </w:tc>
        <w:tc>
          <w:tcPr>
            <w:tcW w:w="918"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p>
        </w:tc>
        <w:tc>
          <w:tcPr>
            <w:tcW w:w="170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p>
        </w:tc>
        <w:tc>
          <w:tcPr>
            <w:tcW w:w="1651"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竞标总报价（包含税费等所有费用）：</w:t>
            </w:r>
            <w:r>
              <w:rPr>
                <w:rFonts w:hint="eastAsia" w:ascii="宋体" w:hAnsi="宋体" w:eastAsia="宋体" w:cs="宋体"/>
                <w:color w:val="auto"/>
                <w:highlight w:val="none"/>
                <w:u w:val="single"/>
              </w:rPr>
              <w:t xml:space="preserve">（大写）人民币                      （小写）¥           </w:t>
            </w:r>
            <w:r>
              <w:rPr>
                <w:rFonts w:hint="eastAsia" w:ascii="宋体" w:hAnsi="宋体" w:eastAsia="宋体" w:cs="宋体"/>
                <w:color w:val="auto"/>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交货时间：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优惠及其它：</w:t>
            </w:r>
            <w:r>
              <w:rPr>
                <w:rFonts w:hint="eastAsia" w:ascii="宋体" w:hAnsi="宋体" w:eastAsia="宋体" w:cs="宋体"/>
                <w:i/>
                <w:iCs/>
                <w:color w:val="auto"/>
                <w:highlight w:val="none"/>
              </w:rPr>
              <w:t>（如没有填写无）</w:t>
            </w:r>
          </w:p>
        </w:tc>
      </w:tr>
    </w:tbl>
    <w:p>
      <w:pPr>
        <w:snapToGrid w:val="0"/>
        <w:spacing w:line="360" w:lineRule="auto"/>
        <w:ind w:firstLine="420" w:firstLineChars="200"/>
        <w:jc w:val="left"/>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 xml:space="preserve">注： </w:t>
      </w:r>
    </w:p>
    <w:p>
      <w:pPr>
        <w:pStyle w:val="21"/>
        <w:numPr>
          <w:ilvl w:val="255"/>
          <w:numId w:val="0"/>
        </w:num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供应商需按本表格式填写，不得自行更改，也不得留空（备注除外）, 如有多分标，按分标分别提供响应报价表，</w:t>
      </w:r>
      <w:r>
        <w:rPr>
          <w:rFonts w:hint="eastAsia" w:ascii="宋体" w:hAnsi="宋体" w:cs="宋体"/>
          <w:b/>
          <w:color w:val="auto"/>
          <w:sz w:val="21"/>
          <w:szCs w:val="21"/>
          <w:highlight w:val="none"/>
        </w:rPr>
        <w:t>否则其响应按无效响应处理</w:t>
      </w:r>
      <w:r>
        <w:rPr>
          <w:rFonts w:hint="eastAsia" w:ascii="宋体" w:hAnsi="宋体" w:cs="宋体"/>
          <w:bCs/>
          <w:color w:val="auto"/>
          <w:sz w:val="21"/>
          <w:szCs w:val="21"/>
          <w:highlight w:val="none"/>
        </w:rPr>
        <w:t>。</w:t>
      </w:r>
    </w:p>
    <w:p>
      <w:pPr>
        <w:snapToGrid w:val="0"/>
        <w:spacing w:line="360" w:lineRule="auto"/>
        <w:ind w:firstLine="420" w:firstLineChars="200"/>
        <w:jc w:val="left"/>
        <w:rPr>
          <w:rFonts w:hint="eastAsia" w:ascii="宋体" w:hAnsi="宋体" w:eastAsia="宋体" w:cs="宋体"/>
          <w:b/>
          <w:color w:val="auto"/>
          <w:kern w:val="0"/>
          <w:szCs w:val="21"/>
          <w:highlight w:val="none"/>
          <w:lang w:val="zh-CN"/>
        </w:rPr>
      </w:pPr>
      <w:r>
        <w:rPr>
          <w:rFonts w:hint="eastAsia" w:ascii="宋体" w:hAnsi="宋体" w:eastAsia="宋体" w:cs="宋体"/>
          <w:color w:val="auto"/>
          <w:kern w:val="0"/>
          <w:szCs w:val="21"/>
          <w:highlight w:val="none"/>
          <w:lang w:eastAsia="zh-CN"/>
        </w:rPr>
        <w:t>2.</w:t>
      </w:r>
      <w:r>
        <w:rPr>
          <w:rFonts w:hint="eastAsia" w:ascii="宋体" w:hAnsi="宋体" w:eastAsia="宋体" w:cs="宋体"/>
          <w:color w:val="auto"/>
          <w:kern w:val="0"/>
          <w:szCs w:val="21"/>
          <w:highlight w:val="none"/>
          <w:lang w:val="zh-CN"/>
        </w:rPr>
        <w:t>如为联合体响应的，“供应商名称”处必须列明联合体各方名称，并标注联合体牵头人名称，且盖章处须加盖联合体各方公章，</w:t>
      </w:r>
      <w:r>
        <w:rPr>
          <w:rFonts w:hint="eastAsia" w:ascii="宋体" w:hAnsi="宋体" w:eastAsia="宋体" w:cs="宋体"/>
          <w:b/>
          <w:color w:val="auto"/>
          <w:kern w:val="0"/>
          <w:szCs w:val="21"/>
          <w:highlight w:val="none"/>
          <w:lang w:val="zh-CN"/>
        </w:rPr>
        <w:t>否则其响应作无效响应处理。</w:t>
      </w:r>
    </w:p>
    <w:p>
      <w:pPr>
        <w:snapToGrid w:val="0"/>
        <w:spacing w:line="360" w:lineRule="auto"/>
        <w:ind w:firstLine="420" w:firstLineChars="200"/>
        <w:jc w:val="left"/>
        <w:rPr>
          <w:rFonts w:hint="eastAsia" w:ascii="宋体" w:hAnsi="宋体" w:eastAsia="宋体" w:cs="宋体"/>
          <w:b/>
          <w:color w:val="auto"/>
          <w:kern w:val="0"/>
          <w:szCs w:val="21"/>
          <w:highlight w:val="none"/>
          <w:lang w:val="zh-CN"/>
        </w:rPr>
      </w:pPr>
      <w:r>
        <w:rPr>
          <w:rFonts w:hint="eastAsia" w:ascii="宋体" w:hAnsi="宋体" w:eastAsia="宋体" w:cs="宋体"/>
          <w:color w:val="auto"/>
          <w:kern w:val="0"/>
          <w:szCs w:val="21"/>
          <w:highlight w:val="none"/>
          <w:lang w:val="zh-CN"/>
        </w:rPr>
        <w:t>3.以上表格要求细分项目及报价，在“标的名称”一栏中，填写具体货物，在“规格型号”一栏中，填写具体货物规格和型号，</w:t>
      </w:r>
      <w:r>
        <w:rPr>
          <w:rFonts w:hint="eastAsia" w:ascii="宋体" w:hAnsi="宋体" w:eastAsia="宋体" w:cs="宋体"/>
          <w:b/>
          <w:color w:val="auto"/>
          <w:kern w:val="0"/>
          <w:szCs w:val="21"/>
          <w:highlight w:val="none"/>
          <w:lang w:val="zh-CN"/>
        </w:rPr>
        <w:t>否则其响应作无效响应处理。</w:t>
      </w:r>
    </w:p>
    <w:p>
      <w:pPr>
        <w:snapToGrid w:val="0"/>
        <w:spacing w:line="360" w:lineRule="auto"/>
        <w:ind w:firstLine="420" w:firstLineChars="200"/>
        <w:jc w:val="left"/>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4.特别提示：采购代理机构将对项目名称和项目编号，成交供应商名称、地址和成交金额，主要成交标的的名称、规格型号、数量、单价等予以公示。</w:t>
      </w:r>
    </w:p>
    <w:p>
      <w:pPr>
        <w:snapToGrid w:val="0"/>
        <w:spacing w:line="360" w:lineRule="auto"/>
        <w:jc w:val="left"/>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5.符合采购文件中列明的可享受中小企业扶持政策的供应商，请填写中小企业声明函。</w:t>
      </w:r>
    </w:p>
    <w:p>
      <w:pPr>
        <w:snapToGrid w:val="0"/>
        <w:spacing w:line="360" w:lineRule="auto"/>
        <w:ind w:firstLine="420" w:firstLineChars="200"/>
        <w:jc w:val="left"/>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eastAsia="zh-CN"/>
        </w:rPr>
        <w:t>6.</w:t>
      </w:r>
      <w:r>
        <w:rPr>
          <w:rFonts w:hint="eastAsia" w:ascii="宋体" w:hAnsi="宋体" w:eastAsia="宋体" w:cs="宋体"/>
          <w:color w:val="auto"/>
          <w:kern w:val="0"/>
          <w:szCs w:val="21"/>
          <w:highlight w:val="none"/>
          <w:lang w:val="zh-CN"/>
        </w:rPr>
        <w:t>供应商提供的中小企业声明函内容不实的，属于提供虚假材料谋取中标、成交，依照《中华人民共和国政府采购法》等国家有关规定追究相应责任。</w:t>
      </w:r>
    </w:p>
    <w:p>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rPr>
      </w:pPr>
    </w:p>
    <w:p>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pPr>
        <w:autoSpaceDE w:val="0"/>
        <w:autoSpaceDN w:val="0"/>
        <w:spacing w:line="360" w:lineRule="auto"/>
        <w:ind w:firstLine="6480" w:firstLineChars="270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日期：  年  月   日</w:t>
      </w:r>
    </w:p>
    <w:p>
      <w:pPr>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br w:type="page"/>
      </w:r>
    </w:p>
    <w:p>
      <w:pPr>
        <w:spacing w:line="500" w:lineRule="exact"/>
        <w:rPr>
          <w:rFonts w:hint="eastAsia" w:ascii="仿宋" w:hAnsi="仿宋" w:eastAsia="仿宋" w:cs="仿宋_GB2312"/>
          <w:b/>
          <w:color w:val="auto"/>
          <w:sz w:val="30"/>
          <w:szCs w:val="30"/>
          <w:highlight w:val="none"/>
          <w:lang w:val="zh-CN"/>
        </w:rPr>
      </w:pPr>
      <w:r>
        <w:rPr>
          <w:rFonts w:hint="eastAsia" w:ascii="宋体" w:hAnsi="宋体" w:eastAsia="宋体" w:cs="宋体"/>
          <w:b/>
          <w:color w:val="auto"/>
          <w:sz w:val="28"/>
          <w:szCs w:val="28"/>
          <w:highlight w:val="none"/>
        </w:rPr>
        <w:t>5.</w:t>
      </w:r>
      <w:r>
        <w:rPr>
          <w:rFonts w:hint="eastAsia" w:ascii="宋体" w:hAnsi="宋体" w:eastAsia="宋体" w:cs="宋体"/>
          <w:b/>
          <w:color w:val="auto"/>
          <w:sz w:val="28"/>
          <w:szCs w:val="28"/>
          <w:highlight w:val="none"/>
          <w:lang w:val="zh-CN"/>
        </w:rPr>
        <w:t>最后报价表的格式：</w:t>
      </w:r>
      <w:r>
        <w:rPr>
          <w:rFonts w:hint="eastAsia" w:ascii="仿宋" w:hAnsi="仿宋" w:eastAsia="仿宋" w:cs="仿宋_GB2312"/>
          <w:b/>
          <w:color w:val="auto"/>
          <w:sz w:val="30"/>
          <w:szCs w:val="30"/>
          <w:highlight w:val="none"/>
          <w:lang w:val="zh-CN"/>
        </w:rPr>
        <w:t xml:space="preserve"> </w:t>
      </w:r>
    </w:p>
    <w:p>
      <w:pPr>
        <w:snapToGrid w:val="0"/>
        <w:spacing w:before="50" w:after="50" w:line="360" w:lineRule="auto"/>
        <w:ind w:firstLine="4518" w:firstLineChars="1500"/>
        <w:rPr>
          <w:rFonts w:hint="eastAsia" w:ascii="宋体" w:hAnsi="宋体" w:eastAsia="宋体" w:cs="宋体"/>
          <w:color w:val="auto"/>
          <w:sz w:val="24"/>
          <w:szCs w:val="24"/>
          <w:highlight w:val="none"/>
        </w:rPr>
      </w:pPr>
      <w:r>
        <w:rPr>
          <w:rFonts w:hint="eastAsia" w:ascii="宋体" w:hAnsi="宋体" w:eastAsia="宋体" w:cs="宋体"/>
          <w:b/>
          <w:color w:val="auto"/>
          <w:sz w:val="30"/>
          <w:szCs w:val="30"/>
          <w:highlight w:val="none"/>
          <w:lang w:val="zh-CN"/>
        </w:rPr>
        <w:t>最后报价表</w:t>
      </w:r>
    </w:p>
    <w:p>
      <w:pPr>
        <w:snapToGrid w:val="0"/>
        <w:spacing w:before="50" w:after="50"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u w:val="single"/>
        </w:rPr>
        <w:t xml:space="preserve">                    </w:t>
      </w:r>
    </w:p>
    <w:p>
      <w:pPr>
        <w:snapToGrid w:val="0"/>
        <w:spacing w:before="50" w:after="50"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p>
    <w:p>
      <w:pPr>
        <w:snapToGrid w:val="0"/>
        <w:spacing w:before="50" w:after="50"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highlight w:val="none"/>
        </w:rPr>
        <w:t>所竞分标（如有则填写，无分标时填写“无”或者留空）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tbl>
      <w:tblPr>
        <w:tblStyle w:val="29"/>
        <w:tblW w:w="98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260"/>
        <w:gridCol w:w="1251"/>
        <w:gridCol w:w="975"/>
        <w:gridCol w:w="918"/>
        <w:gridCol w:w="1332"/>
        <w:gridCol w:w="1707"/>
        <w:gridCol w:w="1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719"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序号</w:t>
            </w:r>
          </w:p>
        </w:tc>
        <w:tc>
          <w:tcPr>
            <w:tcW w:w="126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标的名称</w:t>
            </w:r>
          </w:p>
        </w:tc>
        <w:tc>
          <w:tcPr>
            <w:tcW w:w="125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规格型号</w:t>
            </w:r>
          </w:p>
        </w:tc>
        <w:tc>
          <w:tcPr>
            <w:tcW w:w="97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品牌</w:t>
            </w:r>
          </w:p>
          <w:p>
            <w:pPr>
              <w:jc w:val="center"/>
              <w:rPr>
                <w:rFonts w:hint="eastAsia" w:ascii="宋体" w:hAnsi="宋体" w:eastAsia="宋体" w:cs="宋体"/>
                <w:color w:val="auto"/>
                <w:highlight w:val="none"/>
              </w:rPr>
            </w:pPr>
            <w:r>
              <w:rPr>
                <w:rFonts w:hint="eastAsia" w:ascii="宋体" w:hAnsi="宋体" w:eastAsia="宋体" w:cs="宋体"/>
                <w:color w:val="auto"/>
                <w:highlight w:val="none"/>
              </w:rPr>
              <w:t>及制造商</w:t>
            </w:r>
          </w:p>
        </w:tc>
        <w:tc>
          <w:tcPr>
            <w:tcW w:w="91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数量及单位①</w:t>
            </w:r>
          </w:p>
        </w:tc>
        <w:tc>
          <w:tcPr>
            <w:tcW w:w="133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单价(元)②</w:t>
            </w:r>
          </w:p>
        </w:tc>
        <w:tc>
          <w:tcPr>
            <w:tcW w:w="170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单项合价（元）</w:t>
            </w:r>
          </w:p>
          <w:p>
            <w:pPr>
              <w:rPr>
                <w:rFonts w:hint="eastAsia" w:ascii="宋体" w:hAnsi="宋体" w:eastAsia="宋体" w:cs="宋体"/>
                <w:color w:val="auto"/>
                <w:highlight w:val="none"/>
              </w:rPr>
            </w:pPr>
            <w:r>
              <w:rPr>
                <w:rFonts w:hint="eastAsia" w:ascii="宋体" w:hAnsi="宋体" w:eastAsia="宋体" w:cs="宋体"/>
                <w:color w:val="auto"/>
                <w:highlight w:val="none"/>
              </w:rPr>
              <w:t>③</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①×②</w:t>
            </w:r>
          </w:p>
        </w:tc>
        <w:tc>
          <w:tcPr>
            <w:tcW w:w="165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1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126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p>
        </w:tc>
        <w:tc>
          <w:tcPr>
            <w:tcW w:w="97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p>
        </w:tc>
        <w:tc>
          <w:tcPr>
            <w:tcW w:w="918"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p>
        </w:tc>
        <w:tc>
          <w:tcPr>
            <w:tcW w:w="170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p>
        </w:tc>
        <w:tc>
          <w:tcPr>
            <w:tcW w:w="1651"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71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126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p>
        </w:tc>
        <w:tc>
          <w:tcPr>
            <w:tcW w:w="97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p>
        </w:tc>
        <w:tc>
          <w:tcPr>
            <w:tcW w:w="918"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p>
        </w:tc>
        <w:tc>
          <w:tcPr>
            <w:tcW w:w="170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p>
        </w:tc>
        <w:tc>
          <w:tcPr>
            <w:tcW w:w="1651"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trPr>
        <w:tc>
          <w:tcPr>
            <w:tcW w:w="71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1260"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p>
        </w:tc>
        <w:tc>
          <w:tcPr>
            <w:tcW w:w="1251"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p>
        </w:tc>
        <w:tc>
          <w:tcPr>
            <w:tcW w:w="975"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p>
        </w:tc>
        <w:tc>
          <w:tcPr>
            <w:tcW w:w="918"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p>
        </w:tc>
        <w:tc>
          <w:tcPr>
            <w:tcW w:w="1332"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p>
        </w:tc>
        <w:tc>
          <w:tcPr>
            <w:tcW w:w="1707" w:type="dxa"/>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p>
        </w:tc>
        <w:tc>
          <w:tcPr>
            <w:tcW w:w="1651" w:type="dxa"/>
            <w:tcBorders>
              <w:top w:val="single" w:color="auto" w:sz="4" w:space="0"/>
              <w:left w:val="single" w:color="auto" w:sz="4" w:space="0"/>
              <w:bottom w:val="single" w:color="auto" w:sz="4" w:space="0"/>
              <w:right w:val="single" w:color="auto" w:sz="4" w:space="0"/>
            </w:tcBorders>
          </w:tcPr>
          <w:p>
            <w:pP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vAlign w:val="bottom"/>
          </w:tcPr>
          <w:p>
            <w:pPr>
              <w:rPr>
                <w:color w:val="auto"/>
                <w:highlight w:val="none"/>
              </w:rPr>
            </w:pPr>
            <w:r>
              <w:rPr>
                <w:rFonts w:hint="eastAsia"/>
                <w:color w:val="auto"/>
                <w:highlight w:val="none"/>
              </w:rPr>
              <w:t>竞标总报价（包含税费等所有费用）：</w:t>
            </w:r>
            <w:r>
              <w:rPr>
                <w:rFonts w:hint="eastAsia"/>
                <w:color w:val="auto"/>
                <w:highlight w:val="none"/>
                <w:u w:val="single"/>
              </w:rPr>
              <w:t>（大写）人民币                      （小写）</w:t>
            </w:r>
            <w:r>
              <w:rPr>
                <w:rFonts w:hint="eastAsia" w:ascii="宋体" w:hAnsi="宋体" w:eastAsia="宋体" w:cs="宋体"/>
                <w:color w:val="auto"/>
                <w:highlight w:val="none"/>
                <w:u w:val="single"/>
              </w:rPr>
              <w:t xml:space="preserve">¥     </w:t>
            </w:r>
            <w:r>
              <w:rPr>
                <w:rFonts w:hint="eastAsia"/>
                <w:color w:val="auto"/>
                <w:highlight w:val="none"/>
                <w:u w:val="single"/>
              </w:rPr>
              <w:t xml:space="preserve">      </w:t>
            </w:r>
            <w:r>
              <w:rPr>
                <w:rFonts w:hint="eastAsia"/>
                <w:color w:val="auto"/>
                <w:highlight w:val="none"/>
              </w:rPr>
              <w:t xml:space="preserve"> </w:t>
            </w:r>
          </w:p>
          <w:p>
            <w:pPr>
              <w:pStyle w:val="21"/>
              <w:jc w:val="both"/>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交货时间：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13" w:type="dxa"/>
            <w:gridSpan w:val="8"/>
            <w:tcBorders>
              <w:top w:val="single" w:color="auto" w:sz="4" w:space="0"/>
              <w:left w:val="single" w:color="auto" w:sz="4" w:space="0"/>
              <w:bottom w:val="single" w:color="auto" w:sz="4" w:space="0"/>
              <w:right w:val="single" w:color="auto" w:sz="4" w:space="0"/>
            </w:tcBorders>
            <w:vAlign w:val="center"/>
          </w:tcPr>
          <w:p>
            <w:pPr>
              <w:rPr>
                <w:rFonts w:hint="eastAsia" w:ascii="宋体" w:hAnsi="宋体" w:eastAsia="宋体" w:cs="宋体"/>
                <w:color w:val="auto"/>
                <w:highlight w:val="none"/>
              </w:rPr>
            </w:pPr>
            <w:r>
              <w:rPr>
                <w:rFonts w:hint="eastAsia" w:ascii="宋体" w:hAnsi="宋体" w:eastAsia="宋体" w:cs="宋体"/>
                <w:color w:val="auto"/>
                <w:highlight w:val="none"/>
              </w:rPr>
              <w:t>优惠及其它：</w:t>
            </w:r>
            <w:r>
              <w:rPr>
                <w:rFonts w:hint="eastAsia" w:ascii="宋体" w:hAnsi="宋体" w:eastAsia="宋体" w:cs="宋体"/>
                <w:i/>
                <w:iCs/>
                <w:color w:val="auto"/>
                <w:highlight w:val="none"/>
              </w:rPr>
              <w:t>（如没有填写无）</w:t>
            </w:r>
          </w:p>
        </w:tc>
      </w:tr>
    </w:tbl>
    <w:p>
      <w:pPr>
        <w:snapToGrid w:val="0"/>
        <w:spacing w:before="50" w:after="50" w:line="360" w:lineRule="auto"/>
        <w:ind w:firstLine="640" w:firstLineChars="200"/>
        <w:jc w:val="left"/>
        <w:rPr>
          <w:rFonts w:hint="eastAsia" w:ascii="宋体" w:hAnsi="宋体" w:eastAsia="宋体" w:cs="宋体"/>
          <w:i/>
          <w:iCs/>
          <w:color w:val="auto"/>
          <w:kern w:val="0"/>
          <w:sz w:val="32"/>
          <w:szCs w:val="32"/>
          <w:highlight w:val="none"/>
          <w:lang w:val="zh-CN"/>
        </w:rPr>
      </w:pPr>
    </w:p>
    <w:p>
      <w:pPr>
        <w:autoSpaceDE w:val="0"/>
        <w:autoSpaceDN w:val="0"/>
        <w:spacing w:line="360" w:lineRule="auto"/>
        <w:rPr>
          <w:rFonts w:hint="eastAsia" w:ascii="宋体" w:hAnsi="宋体" w:eastAsia="宋体" w:cs="宋体"/>
          <w:i/>
          <w:iCs/>
          <w:color w:val="auto"/>
          <w:kern w:val="0"/>
          <w:sz w:val="32"/>
          <w:szCs w:val="32"/>
          <w:highlight w:val="none"/>
          <w:lang w:val="zh-CN"/>
        </w:rPr>
      </w:pPr>
    </w:p>
    <w:p>
      <w:pPr>
        <w:autoSpaceDE w:val="0"/>
        <w:autoSpaceDN w:val="0"/>
        <w:spacing w:line="360" w:lineRule="auto"/>
        <w:rPr>
          <w:rFonts w:hint="eastAsia" w:ascii="宋体" w:hAnsi="宋体" w:eastAsia="宋体" w:cs="宋体"/>
          <w:i/>
          <w:iCs/>
          <w:color w:val="auto"/>
          <w:kern w:val="0"/>
          <w:sz w:val="32"/>
          <w:szCs w:val="32"/>
          <w:highlight w:val="none"/>
          <w:lang w:val="zh-CN"/>
        </w:rPr>
      </w:pPr>
    </w:p>
    <w:p>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pPr>
        <w:autoSpaceDE w:val="0"/>
        <w:autoSpaceDN w:val="0"/>
        <w:spacing w:line="360" w:lineRule="auto"/>
        <w:ind w:firstLine="6480" w:firstLineChars="270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日期：  年  月   日</w:t>
      </w:r>
    </w:p>
    <w:p>
      <w:pPr>
        <w:pStyle w:val="21"/>
        <w:rPr>
          <w:color w:val="auto"/>
          <w:highlight w:val="none"/>
        </w:rPr>
      </w:pPr>
    </w:p>
    <w:p>
      <w:pPr>
        <w:keepNext/>
        <w:keepLines/>
        <w:spacing w:before="260" w:after="260" w:line="416" w:lineRule="auto"/>
        <w:jc w:val="center"/>
        <w:outlineLvl w:val="1"/>
        <w:rPr>
          <w:rFonts w:hint="eastAsia" w:ascii="宋体" w:hAnsi="宋体" w:eastAsia="宋体" w:cs="Times New Roman"/>
          <w:bCs/>
          <w:color w:val="auto"/>
          <w:sz w:val="32"/>
          <w:szCs w:val="32"/>
          <w:highlight w:val="none"/>
          <w:lang w:val="zh-CN"/>
        </w:rPr>
      </w:pPr>
      <w:r>
        <w:rPr>
          <w:rFonts w:ascii="宋体" w:hAnsi="宋体" w:eastAsia="宋体" w:cs="Times New Roman"/>
          <w:color w:val="auto"/>
          <w:sz w:val="24"/>
          <w:szCs w:val="32"/>
          <w:highlight w:val="none"/>
          <w:lang w:val="zh-CN"/>
        </w:rPr>
        <w:br w:type="page"/>
      </w:r>
      <w:bookmarkStart w:id="188" w:name="_Toc13939"/>
      <w:bookmarkStart w:id="189" w:name="_Toc23320"/>
      <w:bookmarkStart w:id="190" w:name="_Toc80205942"/>
      <w:r>
        <w:rPr>
          <w:rFonts w:hint="eastAsia" w:ascii="宋体" w:hAnsi="宋体" w:eastAsia="宋体" w:cs="Times New Roman"/>
          <w:b/>
          <w:bCs/>
          <w:color w:val="auto"/>
          <w:sz w:val="32"/>
          <w:szCs w:val="32"/>
          <w:highlight w:val="none"/>
          <w:lang w:val="zh-CN"/>
        </w:rPr>
        <w:t>第四节 其他文书、文件格式</w:t>
      </w:r>
      <w:bookmarkEnd w:id="188"/>
      <w:bookmarkEnd w:id="189"/>
      <w:bookmarkEnd w:id="190"/>
    </w:p>
    <w:p>
      <w:pPr>
        <w:spacing w:line="500" w:lineRule="exact"/>
        <w:rPr>
          <w:rFonts w:hint="eastAsia" w:ascii="宋体" w:hAnsi="宋体" w:eastAsia="宋体" w:cs="宋体"/>
          <w:b/>
          <w:color w:val="auto"/>
          <w:sz w:val="30"/>
          <w:szCs w:val="30"/>
          <w:highlight w:val="none"/>
          <w:lang w:val="zh-CN"/>
        </w:rPr>
      </w:pPr>
      <w:r>
        <w:rPr>
          <w:rFonts w:hint="eastAsia" w:ascii="宋体" w:hAnsi="宋体" w:eastAsia="宋体" w:cs="宋体"/>
          <w:b/>
          <w:color w:val="auto"/>
          <w:sz w:val="30"/>
          <w:szCs w:val="30"/>
          <w:highlight w:val="none"/>
        </w:rPr>
        <w:t>1.</w:t>
      </w:r>
      <w:r>
        <w:rPr>
          <w:rFonts w:hint="eastAsia" w:ascii="宋体" w:hAnsi="宋体" w:eastAsia="宋体" w:cs="宋体"/>
          <w:b/>
          <w:color w:val="auto"/>
          <w:sz w:val="30"/>
          <w:szCs w:val="30"/>
          <w:highlight w:val="none"/>
          <w:lang w:val="zh-CN"/>
        </w:rPr>
        <w:t>中小企业声明函的格式：</w:t>
      </w:r>
    </w:p>
    <w:p>
      <w:pPr>
        <w:pStyle w:val="13"/>
        <w:rPr>
          <w:rFonts w:hint="eastAsia" w:ascii="宋体" w:hAnsi="宋体" w:cs="宋体"/>
          <w:color w:val="auto"/>
          <w:highlight w:val="none"/>
        </w:rPr>
      </w:pPr>
    </w:p>
    <w:p>
      <w:pPr>
        <w:spacing w:line="300" w:lineRule="auto"/>
        <w:ind w:firstLine="3534" w:firstLineChars="1100"/>
        <w:rPr>
          <w:rFonts w:hint="eastAsia" w:ascii="宋体" w:hAnsi="宋体" w:eastAsia="宋体" w:cs="宋体"/>
          <w:color w:val="auto"/>
          <w:sz w:val="44"/>
          <w:szCs w:val="44"/>
          <w:highlight w:val="none"/>
        </w:rPr>
      </w:pPr>
      <w:r>
        <w:rPr>
          <w:rFonts w:hint="eastAsia" w:ascii="宋体" w:hAnsi="宋体" w:eastAsia="宋体" w:cs="宋体"/>
          <w:b/>
          <w:bCs/>
          <w:color w:val="auto"/>
          <w:sz w:val="32"/>
          <w:szCs w:val="32"/>
          <w:highlight w:val="none"/>
        </w:rPr>
        <w:t>中小企业声明函</w:t>
      </w:r>
    </w:p>
    <w:p>
      <w:pPr>
        <w:spacing w:line="360" w:lineRule="auto"/>
        <w:ind w:left="-426" w:right="142" w:firstLine="640"/>
        <w:contextualSpacing/>
        <w:rPr>
          <w:rFonts w:hint="eastAsia" w:ascii="宋体" w:hAnsi="宋体" w:eastAsia="宋体" w:cs="宋体"/>
          <w:color w:val="auto"/>
          <w:sz w:val="24"/>
          <w:szCs w:val="24"/>
          <w:highlight w:val="none"/>
          <w:lang w:val="zh-CN"/>
        </w:rPr>
      </w:pPr>
    </w:p>
    <w:p>
      <w:pPr>
        <w:spacing w:line="360" w:lineRule="auto"/>
        <w:ind w:left="-426" w:right="142" w:firstLine="640"/>
        <w:contextualSpacing/>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本公司（联合体）郑重声明，根据《政府采购促进中小企业发展管理办法》（财库﹝2020﹞46号）的规定，本公司（联合体）参加</w:t>
      </w:r>
      <w:r>
        <w:rPr>
          <w:rFonts w:hint="eastAsia" w:ascii="宋体" w:hAnsi="宋体" w:eastAsia="宋体" w:cs="宋体"/>
          <w:color w:val="auto"/>
          <w:szCs w:val="21"/>
          <w:highlight w:val="none"/>
          <w:u w:val="single"/>
        </w:rPr>
        <w:t xml:space="preserve"> </w:t>
      </w:r>
      <w:r>
        <w:rPr>
          <w:rFonts w:hint="eastAsia" w:ascii="宋体" w:hAnsi="宋体" w:eastAsia="宋体" w:cs="宋体"/>
          <w:i/>
          <w:iCs/>
          <w:color w:val="auto"/>
          <w:szCs w:val="21"/>
          <w:highlight w:val="none"/>
          <w:u w:val="single"/>
        </w:rPr>
        <w:t>（单位名称）</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lang w:val="zh-CN"/>
        </w:rPr>
        <w:t>的</w:t>
      </w:r>
      <w:r>
        <w:rPr>
          <w:rFonts w:hint="eastAsia" w:ascii="宋体" w:hAnsi="宋体" w:eastAsia="宋体" w:cs="宋体"/>
          <w:i/>
          <w:iCs/>
          <w:color w:val="auto"/>
          <w:szCs w:val="21"/>
          <w:highlight w:val="none"/>
          <w:u w:val="single"/>
        </w:rPr>
        <w:t>（项目名称）</w:t>
      </w:r>
      <w:r>
        <w:rPr>
          <w:rFonts w:hint="eastAsia" w:ascii="宋体" w:hAnsi="宋体" w:eastAsia="宋体" w:cs="宋体"/>
          <w:color w:val="auto"/>
          <w:szCs w:val="21"/>
          <w:highlight w:val="none"/>
          <w:lang w:val="zh-CN"/>
        </w:rPr>
        <w:t>采购活动，提供的货物全部由符合政策要求的中小企业制造。相关企业（含联合体中的中小企业、签订分包意向协议的中小企业）的具体情况如下：</w:t>
      </w:r>
    </w:p>
    <w:p>
      <w:pPr>
        <w:tabs>
          <w:tab w:val="left" w:pos="1384"/>
          <w:tab w:val="left" w:pos="4562"/>
          <w:tab w:val="left" w:pos="6803"/>
        </w:tabs>
        <w:spacing w:line="360" w:lineRule="auto"/>
        <w:ind w:left="-426" w:right="-58" w:firstLine="655"/>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i/>
          <w:iCs/>
          <w:color w:val="auto"/>
          <w:szCs w:val="21"/>
          <w:highlight w:val="none"/>
          <w:u w:val="single"/>
        </w:rPr>
        <w:t>（标的名称）</w:t>
      </w:r>
      <w:r>
        <w:rPr>
          <w:rFonts w:hint="eastAsia" w:ascii="宋体" w:hAnsi="宋体" w:eastAsia="宋体" w:cs="宋体"/>
          <w:color w:val="auto"/>
          <w:szCs w:val="21"/>
          <w:highlight w:val="none"/>
        </w:rPr>
        <w:t>，属于</w:t>
      </w:r>
      <w:r>
        <w:rPr>
          <w:rFonts w:hint="eastAsia" w:ascii="宋体" w:hAnsi="宋体" w:eastAsia="宋体" w:cs="宋体"/>
          <w:i/>
          <w:iCs/>
          <w:color w:val="auto"/>
          <w:szCs w:val="21"/>
          <w:highlight w:val="none"/>
          <w:u w:val="single"/>
        </w:rPr>
        <w:t>（采购文件中明确的所属行业）行业</w:t>
      </w:r>
      <w:r>
        <w:rPr>
          <w:rFonts w:hint="eastAsia" w:ascii="宋体" w:hAnsi="宋体" w:eastAsia="宋体" w:cs="宋体"/>
          <w:color w:val="auto"/>
          <w:szCs w:val="21"/>
          <w:highlight w:val="none"/>
        </w:rPr>
        <w:t>；制造商为</w:t>
      </w:r>
      <w:r>
        <w:rPr>
          <w:rFonts w:hint="eastAsia" w:ascii="宋体" w:hAnsi="宋体" w:eastAsia="宋体" w:cs="宋体"/>
          <w:i/>
          <w:iCs/>
          <w:color w:val="auto"/>
          <w:szCs w:val="21"/>
          <w:highlight w:val="none"/>
          <w:u w:val="single"/>
        </w:rPr>
        <w:t>（企业名称）</w:t>
      </w:r>
      <w:r>
        <w:rPr>
          <w:rFonts w:hint="eastAsia" w:ascii="宋体" w:hAnsi="宋体" w:eastAsia="宋体" w:cs="宋体"/>
          <w:color w:val="auto"/>
          <w:szCs w:val="21"/>
          <w:highlight w:val="none"/>
        </w:rPr>
        <w:t>，从业人员</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人，营业收入为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万元，资产总额为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万元，属于</w:t>
      </w:r>
      <w:r>
        <w:rPr>
          <w:rFonts w:hint="eastAsia" w:ascii="宋体" w:hAnsi="宋体" w:eastAsia="宋体" w:cs="宋体"/>
          <w:i/>
          <w:iCs/>
          <w:color w:val="auto"/>
          <w:szCs w:val="21"/>
          <w:highlight w:val="none"/>
          <w:u w:val="single"/>
        </w:rPr>
        <w:t>（中型企业、小型企业、微型企业</w:t>
      </w:r>
      <w:r>
        <w:rPr>
          <w:rFonts w:hint="eastAsia" w:ascii="宋体" w:hAnsi="宋体" w:eastAsia="宋体" w:cs="宋体"/>
          <w:color w:val="auto"/>
          <w:szCs w:val="21"/>
          <w:highlight w:val="none"/>
          <w:u w:val="single"/>
        </w:rPr>
        <w:t>）</w:t>
      </w:r>
      <w:r>
        <w:rPr>
          <w:rFonts w:hint="eastAsia" w:ascii="宋体" w:hAnsi="宋体" w:eastAsia="宋体" w:cs="宋体"/>
          <w:color w:val="auto"/>
          <w:szCs w:val="21"/>
          <w:highlight w:val="none"/>
        </w:rPr>
        <w:t>；</w:t>
      </w:r>
    </w:p>
    <w:p>
      <w:pPr>
        <w:tabs>
          <w:tab w:val="left" w:pos="1065"/>
          <w:tab w:val="left" w:pos="6477"/>
        </w:tabs>
        <w:spacing w:line="360" w:lineRule="auto"/>
        <w:ind w:left="-426" w:right="-58" w:firstLine="655"/>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i/>
          <w:iCs/>
          <w:color w:val="auto"/>
          <w:szCs w:val="21"/>
          <w:highlight w:val="none"/>
          <w:u w:val="single"/>
        </w:rPr>
        <w:t>（标的名称）</w:t>
      </w:r>
      <w:r>
        <w:rPr>
          <w:rFonts w:hint="eastAsia" w:ascii="宋体" w:hAnsi="宋体" w:eastAsia="宋体" w:cs="宋体"/>
          <w:color w:val="auto"/>
          <w:szCs w:val="21"/>
          <w:highlight w:val="none"/>
        </w:rPr>
        <w:t>，属于</w:t>
      </w:r>
      <w:r>
        <w:rPr>
          <w:rFonts w:hint="eastAsia" w:ascii="宋体" w:hAnsi="宋体" w:eastAsia="宋体" w:cs="宋体"/>
          <w:i/>
          <w:iCs/>
          <w:color w:val="auto"/>
          <w:szCs w:val="21"/>
          <w:highlight w:val="none"/>
          <w:u w:val="single"/>
        </w:rPr>
        <w:t>（采购文件中明确的所属行业）行业</w:t>
      </w:r>
      <w:r>
        <w:rPr>
          <w:rFonts w:hint="eastAsia" w:ascii="宋体" w:hAnsi="宋体" w:eastAsia="宋体" w:cs="宋体"/>
          <w:color w:val="auto"/>
          <w:szCs w:val="21"/>
          <w:highlight w:val="none"/>
        </w:rPr>
        <w:t>；制造商为</w:t>
      </w:r>
      <w:r>
        <w:rPr>
          <w:rFonts w:hint="eastAsia" w:ascii="宋体" w:hAnsi="宋体" w:eastAsia="宋体" w:cs="宋体"/>
          <w:i/>
          <w:iCs/>
          <w:color w:val="auto"/>
          <w:szCs w:val="21"/>
          <w:highlight w:val="none"/>
          <w:u w:val="single"/>
        </w:rPr>
        <w:t>（企业名称）</w:t>
      </w:r>
      <w:r>
        <w:rPr>
          <w:rFonts w:hint="eastAsia" w:ascii="宋体" w:hAnsi="宋体" w:eastAsia="宋体" w:cs="宋体"/>
          <w:color w:val="auto"/>
          <w:szCs w:val="21"/>
          <w:highlight w:val="none"/>
        </w:rPr>
        <w:t>，从业人员</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人，营业收入为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万元，资产总额为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万元，属于</w:t>
      </w:r>
      <w:r>
        <w:rPr>
          <w:rFonts w:hint="eastAsia" w:ascii="宋体" w:hAnsi="宋体" w:eastAsia="宋体" w:cs="宋体"/>
          <w:i/>
          <w:iCs/>
          <w:color w:val="auto"/>
          <w:szCs w:val="21"/>
          <w:highlight w:val="none"/>
          <w:u w:val="single"/>
        </w:rPr>
        <w:t>（中型企业、小型企业、微型企业）</w:t>
      </w:r>
      <w:r>
        <w:rPr>
          <w:rFonts w:hint="eastAsia" w:ascii="宋体" w:hAnsi="宋体" w:eastAsia="宋体" w:cs="宋体"/>
          <w:color w:val="auto"/>
          <w:szCs w:val="21"/>
          <w:highlight w:val="none"/>
        </w:rPr>
        <w:t>；</w:t>
      </w:r>
    </w:p>
    <w:p>
      <w:pPr>
        <w:spacing w:line="360" w:lineRule="auto"/>
        <w:ind w:left="142" w:right="142"/>
        <w:contextualSpacing/>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 xml:space="preserve">…… </w:t>
      </w:r>
    </w:p>
    <w:p>
      <w:pPr>
        <w:spacing w:line="360" w:lineRule="auto"/>
        <w:ind w:left="-405" w:leftChars="-193" w:right="142" w:firstLine="396" w:firstLineChars="189"/>
        <w:contextualSpacing/>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以上企业，不属于大企业的分支机构，不存在控股股东为大企业的情形，也不存在与大企业的负责人为同一人的情形。</w:t>
      </w:r>
    </w:p>
    <w:p>
      <w:pPr>
        <w:spacing w:line="360" w:lineRule="auto"/>
        <w:ind w:left="-426" w:right="142" w:firstLine="567"/>
        <w:contextualSpacing/>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本企业对上述声明内容的真实性负责。如有虚假，将依法承担相应责任。</w:t>
      </w:r>
    </w:p>
    <w:p>
      <w:pPr>
        <w:spacing w:line="360" w:lineRule="auto"/>
        <w:ind w:left="3960" w:right="1808"/>
        <w:contextualSpacing/>
        <w:rPr>
          <w:rFonts w:hint="eastAsia" w:ascii="宋体" w:hAnsi="宋体" w:eastAsia="宋体" w:cs="宋体"/>
          <w:color w:val="auto"/>
          <w:sz w:val="24"/>
          <w:szCs w:val="24"/>
          <w:highlight w:val="none"/>
          <w:lang w:val="zh-CN"/>
        </w:rPr>
      </w:pPr>
    </w:p>
    <w:p>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供应商名称（盖公章）：</w:t>
      </w:r>
    </w:p>
    <w:p>
      <w:pPr>
        <w:autoSpaceDE w:val="0"/>
        <w:autoSpaceDN w:val="0"/>
        <w:spacing w:line="360" w:lineRule="auto"/>
        <w:ind w:firstLine="6480" w:firstLineChars="270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日期：  年  月   日</w:t>
      </w:r>
    </w:p>
    <w:p>
      <w:pPr>
        <w:spacing w:line="360" w:lineRule="auto"/>
        <w:ind w:left="3960" w:right="1808"/>
        <w:contextualSpacing/>
        <w:rPr>
          <w:rFonts w:hint="eastAsia" w:ascii="宋体" w:hAnsi="宋体" w:eastAsia="宋体" w:cs="宋体"/>
          <w:color w:val="auto"/>
          <w:szCs w:val="24"/>
          <w:highlight w:val="none"/>
          <w:lang w:val="zh-CN"/>
        </w:rPr>
      </w:pPr>
    </w:p>
    <w:p>
      <w:pPr>
        <w:spacing w:line="360" w:lineRule="auto"/>
        <w:contextualSpacing/>
        <w:jc w:val="left"/>
        <w:rPr>
          <w:rFonts w:hint="eastAsia" w:ascii="宋体" w:hAnsi="宋体" w:eastAsia="宋体" w:cs="宋体"/>
          <w:color w:val="auto"/>
          <w:szCs w:val="21"/>
          <w:highlight w:val="none"/>
        </w:rPr>
      </w:pPr>
    </w:p>
    <w:p>
      <w:pPr>
        <w:spacing w:line="360" w:lineRule="auto"/>
        <w:ind w:firstLine="420" w:firstLineChars="200"/>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享受《政府采购促进中小企业发展管理办法》（财库〔2020〕46号）规定的中小企业扶持政策的，采购人或者采购代理机构应当随成交结果公开成交供应商的《中小企业声明函》，接受社会监督。从业人员、营业收入、资产总额填报上一年度数据，无上一年度数据的新成立企业可不填报。</w:t>
      </w:r>
    </w:p>
    <w:p>
      <w:pPr>
        <w:pStyle w:val="21"/>
        <w:rPr>
          <w:rFonts w:hint="eastAsia" w:ascii="宋体" w:hAnsi="宋体" w:cs="仿宋_GB2312"/>
          <w:color w:val="auto"/>
          <w:sz w:val="24"/>
          <w:szCs w:val="24"/>
          <w:highlight w:val="none"/>
        </w:rPr>
      </w:pPr>
    </w:p>
    <w:p>
      <w:pPr>
        <w:spacing w:line="520" w:lineRule="exact"/>
        <w:rPr>
          <w:rFonts w:hint="eastAsia" w:ascii="宋体" w:hAnsi="宋体" w:eastAsia="宋体" w:cs="仿宋_GB2312"/>
          <w:color w:val="auto"/>
          <w:sz w:val="24"/>
          <w:szCs w:val="24"/>
          <w:highlight w:val="none"/>
        </w:rPr>
      </w:pPr>
    </w:p>
    <w:p>
      <w:pPr>
        <w:numPr>
          <w:ilvl w:val="255"/>
          <w:numId w:val="0"/>
        </w:numPr>
        <w:spacing w:line="520" w:lineRule="exact"/>
        <w:rPr>
          <w:rFonts w:hint="eastAsia" w:ascii="宋体" w:hAnsi="宋体" w:eastAsia="宋体" w:cs="宋体"/>
          <w:b/>
          <w:color w:val="auto"/>
          <w:sz w:val="28"/>
          <w:szCs w:val="28"/>
          <w:highlight w:val="none"/>
        </w:rPr>
      </w:pPr>
    </w:p>
    <w:p>
      <w:pPr>
        <w:numPr>
          <w:ilvl w:val="255"/>
          <w:numId w:val="0"/>
        </w:numPr>
        <w:spacing w:line="520" w:lineRule="exact"/>
        <w:rPr>
          <w:rFonts w:hint="eastAsia" w:ascii="宋体" w:hAnsi="宋体" w:eastAsia="宋体" w:cs="宋体"/>
          <w:b/>
          <w:color w:val="auto"/>
          <w:sz w:val="28"/>
          <w:szCs w:val="28"/>
          <w:highlight w:val="none"/>
        </w:rPr>
      </w:pPr>
    </w:p>
    <w:p>
      <w:pPr>
        <w:numPr>
          <w:ilvl w:val="255"/>
          <w:numId w:val="0"/>
        </w:numPr>
        <w:spacing w:line="520" w:lineRule="exact"/>
        <w:rPr>
          <w:rFonts w:hint="eastAsia" w:ascii="宋体" w:hAnsi="宋体" w:eastAsia="宋体" w:cs="宋体"/>
          <w:b/>
          <w:color w:val="auto"/>
          <w:sz w:val="28"/>
          <w:szCs w:val="28"/>
          <w:highlight w:val="none"/>
        </w:rPr>
      </w:pPr>
    </w:p>
    <w:p>
      <w:pPr>
        <w:numPr>
          <w:ilvl w:val="255"/>
          <w:numId w:val="0"/>
        </w:numPr>
        <w:spacing w:line="520" w:lineRule="exact"/>
        <w:rPr>
          <w:rFonts w:hint="eastAsia" w:ascii="宋体" w:hAnsi="宋体" w:eastAsia="宋体" w:cs="宋体"/>
          <w:b/>
          <w:color w:val="auto"/>
          <w:sz w:val="28"/>
          <w:szCs w:val="28"/>
          <w:highlight w:val="none"/>
        </w:rPr>
      </w:pPr>
    </w:p>
    <w:p>
      <w:pPr>
        <w:numPr>
          <w:ilvl w:val="255"/>
          <w:numId w:val="0"/>
        </w:numPr>
        <w:spacing w:line="520" w:lineRule="exact"/>
        <w:rPr>
          <w:rFonts w:hint="eastAsia" w:ascii="宋体" w:hAnsi="宋体" w:eastAsia="宋体" w:cs="宋体"/>
          <w:b/>
          <w:color w:val="auto"/>
          <w:sz w:val="28"/>
          <w:szCs w:val="28"/>
          <w:highlight w:val="none"/>
        </w:rPr>
      </w:pPr>
    </w:p>
    <w:p>
      <w:pPr>
        <w:numPr>
          <w:ilvl w:val="255"/>
          <w:numId w:val="0"/>
        </w:numPr>
        <w:spacing w:line="520" w:lineRule="exact"/>
        <w:rPr>
          <w:rFonts w:hint="eastAsia" w:hAnsi="宋体" w:cs="宋体"/>
          <w:b/>
          <w:color w:val="auto"/>
          <w:sz w:val="28"/>
          <w:szCs w:val="28"/>
          <w:highlight w:val="none"/>
        </w:rPr>
      </w:pPr>
      <w:r>
        <w:rPr>
          <w:rFonts w:hint="eastAsia" w:ascii="宋体" w:hAnsi="宋体" w:eastAsia="宋体" w:cs="宋体"/>
          <w:b/>
          <w:color w:val="auto"/>
          <w:sz w:val="28"/>
          <w:szCs w:val="28"/>
          <w:highlight w:val="none"/>
        </w:rPr>
        <w:t>2.</w:t>
      </w:r>
      <w:r>
        <w:rPr>
          <w:rFonts w:hint="eastAsia" w:hAnsi="宋体" w:cs="宋体"/>
          <w:b/>
          <w:color w:val="auto"/>
          <w:sz w:val="28"/>
          <w:szCs w:val="28"/>
          <w:highlight w:val="none"/>
        </w:rPr>
        <w:t>残疾人福利性单位声明函的格式：</w:t>
      </w:r>
    </w:p>
    <w:p>
      <w:pPr>
        <w:numPr>
          <w:ilvl w:val="255"/>
          <w:numId w:val="0"/>
        </w:numPr>
        <w:spacing w:line="520" w:lineRule="exact"/>
        <w:rPr>
          <w:rFonts w:hint="eastAsia" w:hAnsi="宋体" w:cs="宋体"/>
          <w:b/>
          <w:color w:val="auto"/>
          <w:sz w:val="28"/>
          <w:szCs w:val="28"/>
          <w:highlight w:val="none"/>
        </w:rPr>
      </w:pPr>
    </w:p>
    <w:p>
      <w:pPr>
        <w:spacing w:line="520" w:lineRule="exact"/>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残疾人福利性单位声明函</w:t>
      </w:r>
    </w:p>
    <w:p>
      <w:pPr>
        <w:spacing w:line="520" w:lineRule="exact"/>
        <w:rPr>
          <w:rFonts w:hint="eastAsia" w:ascii="仿宋_GB2312" w:hAnsi="仿宋_GB2312" w:eastAsia="仿宋_GB2312" w:cs="仿宋_GB2312"/>
          <w:color w:val="auto"/>
          <w:sz w:val="32"/>
          <w:szCs w:val="32"/>
          <w:highlight w:val="none"/>
        </w:rPr>
      </w:pPr>
    </w:p>
    <w:p>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单位的</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项目采购活动提供本单位制造的货物（由本单位承担工程/提供服务），或者提供其他残疾人福利性单位制造的货物（不包括使用非残疾人福利性单位注册商标的货物）。</w:t>
      </w:r>
    </w:p>
    <w:p>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本单位对上述声明的真实性负责。如有虚假，将依法承担相应责任。</w:t>
      </w:r>
    </w:p>
    <w:p>
      <w:pPr>
        <w:spacing w:line="360" w:lineRule="auto"/>
        <w:contextualSpacing/>
        <w:rPr>
          <w:rFonts w:hint="eastAsia" w:ascii="宋体" w:hAnsi="宋体" w:eastAsia="宋体" w:cs="宋体"/>
          <w:color w:val="auto"/>
          <w:szCs w:val="21"/>
          <w:highlight w:val="none"/>
        </w:rPr>
      </w:pPr>
    </w:p>
    <w:p>
      <w:pPr>
        <w:spacing w:line="360" w:lineRule="auto"/>
        <w:contextualSpacing/>
        <w:rPr>
          <w:rFonts w:hint="eastAsia" w:ascii="宋体" w:hAnsi="宋体" w:eastAsia="宋体" w:cs="宋体"/>
          <w:color w:val="auto"/>
          <w:sz w:val="24"/>
          <w:szCs w:val="24"/>
          <w:highlight w:val="none"/>
        </w:rPr>
      </w:pPr>
    </w:p>
    <w:p>
      <w:pPr>
        <w:spacing w:line="360" w:lineRule="auto"/>
        <w:contextualSpacing/>
        <w:rPr>
          <w:rFonts w:hint="eastAsia" w:ascii="宋体" w:hAnsi="宋体" w:eastAsia="宋体" w:cs="宋体"/>
          <w:color w:val="auto"/>
          <w:sz w:val="24"/>
          <w:szCs w:val="24"/>
          <w:highlight w:val="none"/>
        </w:rPr>
      </w:pPr>
    </w:p>
    <w:p>
      <w:pPr>
        <w:spacing w:line="360" w:lineRule="auto"/>
        <w:ind w:firstLine="2400" w:firstLineChars="10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供应商名称（盖公章）：</w:t>
      </w:r>
    </w:p>
    <w:p>
      <w:pPr>
        <w:spacing w:line="360" w:lineRule="auto"/>
        <w:ind w:firstLine="4320" w:firstLineChars="18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     年   月   日</w:t>
      </w:r>
    </w:p>
    <w:p>
      <w:pPr>
        <w:spacing w:line="360" w:lineRule="auto"/>
        <w:contextualSpacing/>
        <w:rPr>
          <w:rFonts w:hint="eastAsia" w:ascii="宋体" w:hAnsi="宋体" w:eastAsia="宋体" w:cs="宋体"/>
          <w:color w:val="auto"/>
          <w:sz w:val="24"/>
          <w:szCs w:val="24"/>
          <w:highlight w:val="none"/>
        </w:rPr>
      </w:pPr>
    </w:p>
    <w:p>
      <w:pPr>
        <w:spacing w:line="360" w:lineRule="auto"/>
        <w:contextualSpacing/>
        <w:rPr>
          <w:rFonts w:hint="eastAsia" w:ascii="宋体" w:hAnsi="宋体" w:eastAsia="宋体" w:cs="宋体"/>
          <w:color w:val="auto"/>
          <w:sz w:val="24"/>
          <w:szCs w:val="24"/>
          <w:highlight w:val="none"/>
        </w:rPr>
      </w:pPr>
    </w:p>
    <w:p>
      <w:pPr>
        <w:spacing w:line="360" w:lineRule="auto"/>
        <w:contextualSpacing/>
        <w:rPr>
          <w:rFonts w:hint="eastAsia" w:ascii="宋体" w:hAnsi="宋体" w:eastAsia="宋体" w:cs="宋体"/>
          <w:color w:val="auto"/>
          <w:szCs w:val="21"/>
          <w:highlight w:val="none"/>
        </w:rPr>
      </w:pPr>
    </w:p>
    <w:p>
      <w:pPr>
        <w:spacing w:line="360" w:lineRule="auto"/>
        <w:ind w:firstLine="420" w:firstLineChars="20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注：请根据自己的真实情况出具《残疾人福利性单位声明函》。依法享受中小企业扶持政策的，采购人或者采购代理机构在公告成交结果时，同时公告其《残疾人福利性单位声明函》，接受社会监督。</w:t>
      </w:r>
    </w:p>
    <w:p>
      <w:pPr>
        <w:pStyle w:val="21"/>
        <w:rPr>
          <w:rFonts w:hint="eastAsia" w:ascii="宋体" w:hAnsi="宋体" w:cs="仿宋_GB2312"/>
          <w:color w:val="auto"/>
          <w:sz w:val="24"/>
          <w:szCs w:val="24"/>
          <w:highlight w:val="none"/>
        </w:rPr>
      </w:pPr>
    </w:p>
    <w:p>
      <w:pPr>
        <w:pStyle w:val="21"/>
        <w:rPr>
          <w:rFonts w:hint="eastAsia" w:ascii="宋体" w:hAnsi="宋体" w:cs="仿宋_GB2312"/>
          <w:color w:val="auto"/>
          <w:sz w:val="24"/>
          <w:szCs w:val="24"/>
          <w:highlight w:val="none"/>
        </w:rPr>
      </w:pPr>
    </w:p>
    <w:p>
      <w:pPr>
        <w:pStyle w:val="21"/>
        <w:rPr>
          <w:rFonts w:hint="eastAsia" w:ascii="宋体" w:hAnsi="宋体" w:cs="仿宋_GB2312"/>
          <w:color w:val="auto"/>
          <w:sz w:val="24"/>
          <w:szCs w:val="24"/>
          <w:highlight w:val="none"/>
        </w:rPr>
      </w:pPr>
    </w:p>
    <w:p>
      <w:pPr>
        <w:pStyle w:val="21"/>
        <w:rPr>
          <w:rFonts w:hint="eastAsia" w:ascii="宋体" w:hAnsi="宋体" w:cs="仿宋_GB2312"/>
          <w:color w:val="auto"/>
          <w:sz w:val="24"/>
          <w:szCs w:val="24"/>
          <w:highlight w:val="none"/>
        </w:rPr>
      </w:pPr>
    </w:p>
    <w:p>
      <w:pPr>
        <w:pStyle w:val="21"/>
        <w:rPr>
          <w:rFonts w:hint="eastAsia" w:ascii="宋体" w:hAnsi="宋体" w:cs="仿宋_GB2312"/>
          <w:color w:val="auto"/>
          <w:sz w:val="24"/>
          <w:szCs w:val="24"/>
          <w:highlight w:val="none"/>
        </w:rPr>
      </w:pPr>
    </w:p>
    <w:p>
      <w:pPr>
        <w:pStyle w:val="21"/>
        <w:rPr>
          <w:rFonts w:hint="eastAsia" w:ascii="宋体" w:hAnsi="宋体" w:cs="仿宋_GB2312"/>
          <w:color w:val="auto"/>
          <w:sz w:val="24"/>
          <w:szCs w:val="24"/>
          <w:highlight w:val="none"/>
        </w:rPr>
      </w:pPr>
    </w:p>
    <w:p>
      <w:pPr>
        <w:pStyle w:val="21"/>
        <w:rPr>
          <w:rFonts w:hint="eastAsia" w:ascii="宋体" w:hAnsi="宋体" w:cs="仿宋_GB2312"/>
          <w:color w:val="auto"/>
          <w:sz w:val="24"/>
          <w:szCs w:val="24"/>
          <w:highlight w:val="none"/>
        </w:rPr>
      </w:pPr>
    </w:p>
    <w:p>
      <w:pPr>
        <w:pStyle w:val="21"/>
        <w:rPr>
          <w:rFonts w:hint="eastAsia" w:ascii="宋体" w:hAnsi="宋体" w:cs="仿宋_GB2312"/>
          <w:color w:val="auto"/>
          <w:sz w:val="24"/>
          <w:szCs w:val="24"/>
          <w:highlight w:val="none"/>
        </w:rPr>
      </w:pPr>
    </w:p>
    <w:p>
      <w:pPr>
        <w:pStyle w:val="21"/>
        <w:rPr>
          <w:rFonts w:hint="eastAsia" w:ascii="宋体" w:hAnsi="宋体" w:cs="仿宋_GB2312"/>
          <w:color w:val="auto"/>
          <w:sz w:val="24"/>
          <w:szCs w:val="24"/>
          <w:highlight w:val="none"/>
        </w:rPr>
      </w:pPr>
    </w:p>
    <w:p>
      <w:pPr>
        <w:pStyle w:val="21"/>
        <w:rPr>
          <w:rFonts w:hint="eastAsia" w:ascii="宋体" w:hAnsi="宋体" w:cs="仿宋_GB2312"/>
          <w:color w:val="auto"/>
          <w:sz w:val="24"/>
          <w:szCs w:val="24"/>
          <w:highlight w:val="none"/>
        </w:rPr>
      </w:pPr>
    </w:p>
    <w:p>
      <w:pPr>
        <w:pStyle w:val="21"/>
        <w:rPr>
          <w:rFonts w:hint="eastAsia" w:ascii="宋体" w:hAnsi="宋体" w:cs="仿宋_GB2312"/>
          <w:color w:val="auto"/>
          <w:sz w:val="24"/>
          <w:szCs w:val="24"/>
          <w:highlight w:val="none"/>
        </w:rPr>
      </w:pPr>
    </w:p>
    <w:p>
      <w:pPr>
        <w:rPr>
          <w:rFonts w:hint="eastAsia" w:ascii="宋体" w:hAnsi="宋体" w:eastAsia="宋体" w:cs="仿宋_GB2312"/>
          <w:color w:val="auto"/>
          <w:sz w:val="24"/>
          <w:szCs w:val="24"/>
          <w:highlight w:val="none"/>
        </w:rPr>
      </w:pPr>
    </w:p>
    <w:p>
      <w:pPr>
        <w:pStyle w:val="21"/>
        <w:rPr>
          <w:rFonts w:hint="eastAsia" w:ascii="宋体" w:hAnsi="宋体" w:cs="仿宋_GB2312"/>
          <w:color w:val="auto"/>
          <w:sz w:val="24"/>
          <w:szCs w:val="24"/>
          <w:highlight w:val="none"/>
        </w:rPr>
      </w:pPr>
    </w:p>
    <w:p>
      <w:pPr>
        <w:rPr>
          <w:rFonts w:hint="eastAsia" w:ascii="宋体" w:hAnsi="宋体" w:eastAsia="宋体" w:cs="仿宋_GB2312"/>
          <w:color w:val="auto"/>
          <w:sz w:val="24"/>
          <w:szCs w:val="24"/>
          <w:highlight w:val="none"/>
        </w:rPr>
      </w:pPr>
    </w:p>
    <w:p>
      <w:pPr>
        <w:pStyle w:val="21"/>
        <w:rPr>
          <w:rFonts w:hint="eastAsia" w:ascii="宋体" w:hAnsi="宋体" w:cs="仿宋_GB2312"/>
          <w:color w:val="auto"/>
          <w:sz w:val="24"/>
          <w:szCs w:val="24"/>
          <w:highlight w:val="none"/>
        </w:rPr>
      </w:pPr>
    </w:p>
    <w:p>
      <w:pPr>
        <w:rPr>
          <w:color w:val="auto"/>
          <w:highlight w:val="none"/>
        </w:rPr>
      </w:pPr>
    </w:p>
    <w:p>
      <w:pPr>
        <w:pStyle w:val="21"/>
        <w:rPr>
          <w:rFonts w:hint="eastAsia" w:ascii="宋体" w:hAnsi="宋体" w:cs="仿宋_GB2312"/>
          <w:color w:val="auto"/>
          <w:sz w:val="24"/>
          <w:szCs w:val="24"/>
          <w:highlight w:val="none"/>
        </w:rPr>
      </w:pPr>
    </w:p>
    <w:p>
      <w:pPr>
        <w:pStyle w:val="21"/>
        <w:rPr>
          <w:rFonts w:hint="eastAsia" w:ascii="宋体" w:hAnsi="宋体" w:cs="仿宋_GB2312"/>
          <w:color w:val="auto"/>
          <w:sz w:val="24"/>
          <w:szCs w:val="24"/>
          <w:highlight w:val="none"/>
        </w:rPr>
      </w:pPr>
    </w:p>
    <w:p>
      <w:pPr>
        <w:pStyle w:val="21"/>
        <w:rPr>
          <w:rFonts w:hint="eastAsia" w:ascii="宋体" w:hAnsi="宋体" w:cs="仿宋_GB2312"/>
          <w:color w:val="auto"/>
          <w:sz w:val="24"/>
          <w:szCs w:val="24"/>
          <w:highlight w:val="none"/>
        </w:rPr>
      </w:pPr>
    </w:p>
    <w:p>
      <w:pPr>
        <w:widowControl/>
        <w:shd w:val="clear" w:color="auto" w:fill="FFFFFF"/>
        <w:spacing w:line="480" w:lineRule="atLeast"/>
        <w:rPr>
          <w:rFonts w:hint="eastAsia" w:ascii="宋体" w:hAnsi="宋体" w:eastAsia="宋体" w:cs="宋体"/>
          <w:color w:val="auto"/>
          <w:kern w:val="0"/>
          <w:sz w:val="28"/>
          <w:szCs w:val="28"/>
          <w:highlight w:val="none"/>
        </w:rPr>
      </w:pPr>
      <w:r>
        <w:rPr>
          <w:rFonts w:hint="eastAsia" w:ascii="宋体" w:hAnsi="宋体" w:cs="宋体"/>
          <w:color w:val="auto"/>
          <w:sz w:val="28"/>
          <w:szCs w:val="28"/>
          <w:highlight w:val="none"/>
        </w:rPr>
        <w:t>3.</w:t>
      </w:r>
      <w:r>
        <w:rPr>
          <w:rFonts w:hint="eastAsia" w:ascii="宋体" w:hAnsi="宋体" w:eastAsia="宋体" w:cs="宋体"/>
          <w:color w:val="auto"/>
          <w:kern w:val="0"/>
          <w:sz w:val="28"/>
          <w:szCs w:val="28"/>
          <w:highlight w:val="none"/>
        </w:rPr>
        <w:t>广西壮族自治区政府采购项目合同验收书的格式：</w:t>
      </w:r>
    </w:p>
    <w:p>
      <w:pPr>
        <w:widowControl/>
        <w:jc w:val="left"/>
        <w:rPr>
          <w:rFonts w:hint="eastAsia" w:ascii="宋体" w:hAnsi="宋体" w:eastAsia="宋体" w:cs="宋体"/>
          <w:color w:val="auto"/>
          <w:kern w:val="0"/>
          <w:sz w:val="28"/>
          <w:szCs w:val="28"/>
          <w:highlight w:val="none"/>
        </w:rPr>
      </w:pPr>
    </w:p>
    <w:p>
      <w:pPr>
        <w:widowControl/>
        <w:shd w:val="clear" w:color="auto" w:fill="FFFFFF"/>
        <w:spacing w:line="480" w:lineRule="atLeast"/>
        <w:jc w:val="center"/>
        <w:rPr>
          <w:rFonts w:hint="eastAsia" w:ascii="仿宋" w:hAnsi="仿宋" w:eastAsia="仿宋" w:cs="宋体"/>
          <w:color w:val="auto"/>
          <w:kern w:val="0"/>
          <w:sz w:val="32"/>
          <w:szCs w:val="32"/>
          <w:highlight w:val="none"/>
        </w:rPr>
      </w:pPr>
      <w:r>
        <w:rPr>
          <w:rFonts w:hint="eastAsia" w:ascii="宋体" w:hAnsi="宋体" w:cs="宋体"/>
          <w:b/>
          <w:bCs/>
          <w:color w:val="auto"/>
          <w:kern w:val="0"/>
          <w:sz w:val="32"/>
          <w:szCs w:val="32"/>
          <w:highlight w:val="none"/>
        </w:rPr>
        <w:t>广西壮族自治区政府采购项目合同验收书</w:t>
      </w:r>
    </w:p>
    <w:p>
      <w:pPr>
        <w:widowControl/>
        <w:shd w:val="clear" w:color="auto" w:fill="FFFFFF"/>
        <w:spacing w:line="480" w:lineRule="atLeast"/>
        <w:jc w:val="center"/>
        <w:rPr>
          <w:rFonts w:hint="eastAsia" w:ascii="仿宋" w:hAnsi="仿宋" w:eastAsia="仿宋" w:cs="宋体"/>
          <w:color w:val="auto"/>
          <w:kern w:val="0"/>
          <w:sz w:val="32"/>
          <w:szCs w:val="32"/>
          <w:highlight w:val="none"/>
        </w:rPr>
      </w:pPr>
    </w:p>
    <w:p>
      <w:pPr>
        <w:widowControl/>
        <w:shd w:val="clear" w:color="auto" w:fill="FFFFFF"/>
        <w:snapToGrid w:val="0"/>
        <w:spacing w:line="320" w:lineRule="atLeast"/>
        <w:ind w:firstLine="480"/>
        <w:jc w:val="left"/>
        <w:rPr>
          <w:rFonts w:hint="eastAsia" w:ascii="仿宋" w:hAnsi="仿宋" w:eastAsia="仿宋" w:cs="宋体"/>
          <w:color w:val="auto"/>
          <w:kern w:val="0"/>
          <w:szCs w:val="21"/>
          <w:highlight w:val="none"/>
        </w:rPr>
      </w:pPr>
      <w:r>
        <w:rPr>
          <w:rFonts w:hint="eastAsia" w:ascii="仿宋" w:hAnsi="仿宋" w:eastAsia="仿宋" w:cs="宋体"/>
          <w:color w:val="auto"/>
          <w:kern w:val="0"/>
          <w:szCs w:val="21"/>
          <w:highlight w:val="none"/>
        </w:rPr>
        <w:t>根据政府采购项目（</w:t>
      </w:r>
      <w:r>
        <w:rPr>
          <w:rFonts w:hint="eastAsia" w:ascii="仿宋" w:hAnsi="仿宋" w:eastAsia="仿宋" w:cs="宋体"/>
          <w:color w:val="auto"/>
          <w:kern w:val="0"/>
          <w:szCs w:val="21"/>
          <w:highlight w:val="none"/>
          <w:u w:val="single"/>
        </w:rPr>
        <w:t>采购合同编号：</w:t>
      </w:r>
      <w:r>
        <w:rPr>
          <w:rFonts w:hint="eastAsia" w:ascii="仿宋" w:hAnsi="仿宋" w:eastAsia="仿宋" w:cs="宋体"/>
          <w:color w:val="auto"/>
          <w:kern w:val="0"/>
          <w:szCs w:val="21"/>
          <w:highlight w:val="none"/>
          <w:u w:val="single"/>
        </w:rPr>
        <w:softHyphen/>
      </w:r>
      <w:r>
        <w:rPr>
          <w:rFonts w:hint="eastAsia" w:ascii="仿宋" w:hAnsi="仿宋" w:eastAsia="仿宋" w:cs="宋体"/>
          <w:color w:val="auto"/>
          <w:kern w:val="0"/>
          <w:szCs w:val="21"/>
          <w:highlight w:val="none"/>
          <w:u w:val="single"/>
        </w:rPr>
        <w:t xml:space="preserve"> </w:t>
      </w:r>
      <w:r>
        <w:rPr>
          <w:rFonts w:hint="eastAsia" w:ascii="仿宋" w:hAnsi="仿宋" w:eastAsia="仿宋" w:cs="宋体"/>
          <w:color w:val="auto"/>
          <w:kern w:val="0"/>
          <w:szCs w:val="21"/>
          <w:highlight w:val="none"/>
        </w:rPr>
        <w:t>）的约定，我单位对（</w:t>
      </w:r>
      <w:r>
        <w:rPr>
          <w:rFonts w:hint="eastAsia" w:ascii="仿宋" w:hAnsi="仿宋" w:eastAsia="仿宋" w:cs="宋体"/>
          <w:color w:val="auto"/>
          <w:kern w:val="0"/>
          <w:szCs w:val="21"/>
          <w:highlight w:val="none"/>
          <w:u w:val="single"/>
        </w:rPr>
        <w:t xml:space="preserve"> 项目名称 </w:t>
      </w:r>
      <w:r>
        <w:rPr>
          <w:rFonts w:hint="eastAsia" w:ascii="仿宋" w:hAnsi="仿宋" w:eastAsia="仿宋" w:cs="宋体"/>
          <w:color w:val="auto"/>
          <w:kern w:val="0"/>
          <w:szCs w:val="21"/>
          <w:highlight w:val="none"/>
        </w:rPr>
        <w:t>） 政府采购项目成交供应商（</w:t>
      </w:r>
      <w:r>
        <w:rPr>
          <w:rFonts w:hint="eastAsia" w:ascii="仿宋" w:hAnsi="仿宋" w:eastAsia="仿宋" w:cs="宋体"/>
          <w:color w:val="auto"/>
          <w:kern w:val="0"/>
          <w:szCs w:val="21"/>
          <w:highlight w:val="none"/>
          <w:u w:val="single"/>
        </w:rPr>
        <w:t xml:space="preserve"> 公司名称 </w:t>
      </w:r>
      <w:r>
        <w:rPr>
          <w:rFonts w:hint="eastAsia" w:ascii="仿宋" w:hAnsi="仿宋" w:eastAsia="仿宋" w:cs="宋体"/>
          <w:color w:val="auto"/>
          <w:kern w:val="0"/>
          <w:szCs w:val="21"/>
          <w:highlight w:val="none"/>
        </w:rPr>
        <w:t>） 提供的货物（或者工程、服务）进行了验收，验收情况如下：</w:t>
      </w:r>
    </w:p>
    <w:tbl>
      <w:tblPr>
        <w:tblStyle w:val="29"/>
        <w:tblW w:w="8445" w:type="dxa"/>
        <w:jc w:val="center"/>
        <w:tblLayout w:type="fixed"/>
        <w:tblCellMar>
          <w:top w:w="0" w:type="dxa"/>
          <w:left w:w="0" w:type="dxa"/>
          <w:bottom w:w="0" w:type="dxa"/>
          <w:right w:w="0" w:type="dxa"/>
        </w:tblCellMar>
      </w:tblPr>
      <w:tblGrid>
        <w:gridCol w:w="804"/>
        <w:gridCol w:w="825"/>
        <w:gridCol w:w="1623"/>
        <w:gridCol w:w="798"/>
        <w:gridCol w:w="102"/>
        <w:gridCol w:w="2002"/>
        <w:gridCol w:w="178"/>
        <w:gridCol w:w="685"/>
        <w:gridCol w:w="1428"/>
      </w:tblGrid>
      <w:tr>
        <w:tblPrEx>
          <w:tblCellMar>
            <w:top w:w="0" w:type="dxa"/>
            <w:left w:w="0" w:type="dxa"/>
            <w:bottom w:w="0" w:type="dxa"/>
            <w:right w:w="0" w:type="dxa"/>
          </w:tblCellMar>
        </w:tblPrEx>
        <w:trPr>
          <w:trHeight w:val="497" w:hRule="atLeast"/>
          <w:jc w:val="center"/>
        </w:trPr>
        <w:tc>
          <w:tcPr>
            <w:tcW w:w="3252" w:type="dxa"/>
            <w:gridSpan w:val="3"/>
            <w:tcBorders>
              <w:top w:val="single" w:color="auto" w:sz="8" w:space="0"/>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验收方式：</w:t>
            </w:r>
          </w:p>
        </w:tc>
        <w:tc>
          <w:tcPr>
            <w:tcW w:w="5193" w:type="dxa"/>
            <w:gridSpan w:val="6"/>
            <w:tcBorders>
              <w:top w:val="single" w:color="auto" w:sz="8" w:space="0"/>
              <w:left w:val="nil"/>
              <w:bottom w:val="single" w:color="auto" w:sz="8" w:space="0"/>
              <w:right w:val="single" w:color="auto" w:sz="8" w:space="0"/>
            </w:tcBorders>
            <w:vAlign w:val="center"/>
          </w:tcPr>
          <w:p>
            <w:pPr>
              <w:widowControl/>
              <w:snapToGrid w:val="0"/>
              <w:spacing w:before="100" w:beforeAutospacing="1" w:after="100" w:afterAutospacing="1" w:line="320" w:lineRule="atLeast"/>
              <w:jc w:val="center"/>
              <w:rPr>
                <w:rFonts w:ascii="Verdana" w:hAnsi="Verdana" w:cs="宋体"/>
                <w:color w:val="auto"/>
                <w:kern w:val="0"/>
                <w:szCs w:val="21"/>
                <w:highlight w:val="none"/>
              </w:rPr>
            </w:pPr>
            <w:r>
              <w:rPr>
                <w:rFonts w:ascii="Verdana" w:hAnsi="Verdana" w:cs="宋体"/>
                <w:color w:val="auto"/>
                <w:kern w:val="0"/>
                <w:szCs w:val="21"/>
                <w:highlight w:val="none"/>
              </w:rPr>
              <w:t>□自行验收 □委托验收</w:t>
            </w:r>
          </w:p>
        </w:tc>
      </w:tr>
      <w:tr>
        <w:tblPrEx>
          <w:tblCellMar>
            <w:top w:w="0" w:type="dxa"/>
            <w:left w:w="0" w:type="dxa"/>
            <w:bottom w:w="0" w:type="dxa"/>
            <w:right w:w="0" w:type="dxa"/>
          </w:tblCellMar>
        </w:tblPrEx>
        <w:trPr>
          <w:trHeight w:val="622" w:hRule="atLeast"/>
          <w:jc w:val="center"/>
        </w:trPr>
        <w:tc>
          <w:tcPr>
            <w:tcW w:w="804" w:type="dxa"/>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序号</w:t>
            </w:r>
          </w:p>
        </w:tc>
        <w:tc>
          <w:tcPr>
            <w:tcW w:w="2448" w:type="dxa"/>
            <w:gridSpan w:val="2"/>
            <w:tcBorders>
              <w:top w:val="nil"/>
              <w:left w:val="nil"/>
              <w:bottom w:val="single" w:color="auto" w:sz="8" w:space="0"/>
              <w:right w:val="single" w:color="auto" w:sz="8" w:space="0"/>
            </w:tcBorders>
            <w:vAlign w:val="center"/>
          </w:tcPr>
          <w:p>
            <w:pPr>
              <w:widowControl/>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名称</w:t>
            </w:r>
          </w:p>
        </w:tc>
        <w:tc>
          <w:tcPr>
            <w:tcW w:w="2902" w:type="dxa"/>
            <w:gridSpan w:val="3"/>
            <w:tcBorders>
              <w:top w:val="nil"/>
              <w:left w:val="nil"/>
              <w:bottom w:val="single" w:color="auto" w:sz="8" w:space="0"/>
              <w:right w:val="single" w:color="auto" w:sz="8" w:space="0"/>
            </w:tcBorders>
            <w:vAlign w:val="center"/>
          </w:tcPr>
          <w:p>
            <w:pPr>
              <w:widowControl/>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货物型号规格、标准及配置等（或者服务内容、标准）</w:t>
            </w:r>
          </w:p>
        </w:tc>
        <w:tc>
          <w:tcPr>
            <w:tcW w:w="863" w:type="dxa"/>
            <w:gridSpan w:val="2"/>
            <w:tcBorders>
              <w:top w:val="nil"/>
              <w:left w:val="nil"/>
              <w:bottom w:val="single" w:color="auto" w:sz="8" w:space="0"/>
              <w:right w:val="single" w:color="auto" w:sz="8" w:space="0"/>
            </w:tcBorders>
            <w:vAlign w:val="center"/>
          </w:tcPr>
          <w:p>
            <w:pPr>
              <w:widowControl/>
              <w:snapToGrid w:val="0"/>
              <w:spacing w:before="100" w:beforeAutospacing="1" w:after="100" w:afterAutospacing="1" w:line="320" w:lineRule="atLeast"/>
              <w:jc w:val="center"/>
              <w:rPr>
                <w:rFonts w:ascii="Verdana" w:hAnsi="Verdana" w:cs="宋体"/>
                <w:color w:val="auto"/>
                <w:kern w:val="0"/>
                <w:szCs w:val="21"/>
                <w:highlight w:val="none"/>
              </w:rPr>
            </w:pPr>
            <w:r>
              <w:rPr>
                <w:rFonts w:ascii="Verdana" w:hAnsi="Verdana" w:cs="宋体"/>
                <w:color w:val="auto"/>
                <w:kern w:val="0"/>
                <w:szCs w:val="21"/>
                <w:highlight w:val="none"/>
              </w:rPr>
              <w:t>数量</w:t>
            </w:r>
          </w:p>
        </w:tc>
        <w:tc>
          <w:tcPr>
            <w:tcW w:w="1428" w:type="dxa"/>
            <w:tcBorders>
              <w:top w:val="nil"/>
              <w:left w:val="nil"/>
              <w:bottom w:val="single" w:color="auto" w:sz="8" w:space="0"/>
              <w:right w:val="single" w:color="auto" w:sz="8" w:space="0"/>
            </w:tcBorders>
            <w:vAlign w:val="center"/>
          </w:tcPr>
          <w:p>
            <w:pPr>
              <w:widowControl/>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金额</w:t>
            </w:r>
          </w:p>
        </w:tc>
      </w:tr>
      <w:tr>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2448"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r>
      <w:tr>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2448"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r>
      <w:tr>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2448"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r>
      <w:tr>
        <w:tblPrEx>
          <w:tblCellMar>
            <w:top w:w="0" w:type="dxa"/>
            <w:left w:w="0" w:type="dxa"/>
            <w:bottom w:w="0" w:type="dxa"/>
            <w:right w:w="0" w:type="dxa"/>
          </w:tblCellMar>
        </w:tblPrEx>
        <w:trPr>
          <w:trHeight w:val="487" w:hRule="atLeast"/>
          <w:jc w:val="center"/>
        </w:trPr>
        <w:tc>
          <w:tcPr>
            <w:tcW w:w="6154" w:type="dxa"/>
            <w:gridSpan w:val="6"/>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合 计</w:t>
            </w:r>
          </w:p>
        </w:tc>
        <w:tc>
          <w:tcPr>
            <w:tcW w:w="863"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r>
      <w:tr>
        <w:tblPrEx>
          <w:tblCellMar>
            <w:top w:w="0" w:type="dxa"/>
            <w:left w:w="0" w:type="dxa"/>
            <w:bottom w:w="0" w:type="dxa"/>
            <w:right w:w="0" w:type="dxa"/>
          </w:tblCellMar>
        </w:tblPrEx>
        <w:trPr>
          <w:trHeight w:val="641" w:hRule="atLeast"/>
          <w:jc w:val="center"/>
        </w:trPr>
        <w:tc>
          <w:tcPr>
            <w:tcW w:w="8445" w:type="dxa"/>
            <w:gridSpan w:val="9"/>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 xml:space="preserve">合计大写金额：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仟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佰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拾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万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仟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佰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拾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元</w:t>
            </w:r>
          </w:p>
        </w:tc>
      </w:tr>
      <w:tr>
        <w:tblPrEx>
          <w:tblCellMar>
            <w:top w:w="0" w:type="dxa"/>
            <w:left w:w="0" w:type="dxa"/>
            <w:bottom w:w="0" w:type="dxa"/>
            <w:right w:w="0" w:type="dxa"/>
          </w:tblCellMar>
        </w:tblPrEx>
        <w:trPr>
          <w:trHeight w:val="641" w:hRule="atLeast"/>
          <w:jc w:val="center"/>
        </w:trPr>
        <w:tc>
          <w:tcPr>
            <w:tcW w:w="1629" w:type="dxa"/>
            <w:gridSpan w:val="2"/>
            <w:tcBorders>
              <w:top w:val="nil"/>
              <w:left w:val="single" w:color="auto" w:sz="8" w:space="0"/>
              <w:bottom w:val="single" w:color="auto" w:sz="8" w:space="0"/>
              <w:right w:val="single" w:color="auto" w:sz="8" w:space="0"/>
            </w:tcBorders>
            <w:vAlign w:val="center"/>
          </w:tcPr>
          <w:p>
            <w:pPr>
              <w:widowControl/>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实际供货日期</w:t>
            </w:r>
          </w:p>
        </w:tc>
        <w:tc>
          <w:tcPr>
            <w:tcW w:w="2421"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vAlign w:val="center"/>
          </w:tcPr>
          <w:p>
            <w:pPr>
              <w:widowControl/>
              <w:snapToGrid w:val="0"/>
              <w:spacing w:before="100" w:beforeAutospacing="1" w:after="100" w:afterAutospacing="1" w:line="320" w:lineRule="atLeast"/>
              <w:ind w:firstLine="46"/>
              <w:jc w:val="center"/>
              <w:rPr>
                <w:rFonts w:ascii="Verdana" w:hAnsi="Verdana" w:cs="宋体"/>
                <w:color w:val="auto"/>
                <w:kern w:val="0"/>
                <w:szCs w:val="21"/>
                <w:highlight w:val="none"/>
              </w:rPr>
            </w:pPr>
            <w:r>
              <w:rPr>
                <w:rFonts w:ascii="Verdana" w:hAnsi="Verdana" w:cs="宋体"/>
                <w:color w:val="auto"/>
                <w:kern w:val="0"/>
                <w:szCs w:val="21"/>
                <w:highlight w:val="none"/>
              </w:rPr>
              <w:t>合同交货验收日期</w:t>
            </w:r>
          </w:p>
        </w:tc>
        <w:tc>
          <w:tcPr>
            <w:tcW w:w="2113"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r>
      <w:tr>
        <w:tblPrEx>
          <w:tblCellMar>
            <w:top w:w="0" w:type="dxa"/>
            <w:left w:w="0" w:type="dxa"/>
            <w:bottom w:w="0" w:type="dxa"/>
            <w:right w:w="0" w:type="dxa"/>
          </w:tblCellMar>
        </w:tblPrEx>
        <w:trPr>
          <w:trHeight w:val="394" w:hRule="atLeast"/>
          <w:jc w:val="center"/>
        </w:trPr>
        <w:tc>
          <w:tcPr>
            <w:tcW w:w="1629" w:type="dxa"/>
            <w:gridSpan w:val="2"/>
            <w:tcBorders>
              <w:top w:val="nil"/>
              <w:left w:val="single" w:color="auto" w:sz="8" w:space="0"/>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2421"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c>
          <w:tcPr>
            <w:tcW w:w="2113" w:type="dxa"/>
            <w:gridSpan w:val="2"/>
            <w:tcBorders>
              <w:top w:val="nil"/>
              <w:left w:val="nil"/>
              <w:bottom w:val="single" w:color="auto" w:sz="8" w:space="0"/>
              <w:right w:val="single" w:color="auto" w:sz="8" w:space="0"/>
            </w:tcBorders>
            <w:vAlign w:val="center"/>
          </w:tcPr>
          <w:p>
            <w:pPr>
              <w:widowControl/>
              <w:spacing w:before="100" w:beforeAutospacing="1" w:after="100" w:afterAutospacing="1" w:line="240" w:lineRule="atLeast"/>
              <w:jc w:val="center"/>
              <w:rPr>
                <w:rFonts w:ascii="Verdana" w:hAnsi="Verdana" w:cs="宋体"/>
                <w:color w:val="auto"/>
                <w:kern w:val="0"/>
                <w:szCs w:val="21"/>
                <w:highlight w:val="none"/>
              </w:rPr>
            </w:pPr>
          </w:p>
        </w:tc>
      </w:tr>
      <w:tr>
        <w:tblPrEx>
          <w:tblCellMar>
            <w:top w:w="0" w:type="dxa"/>
            <w:left w:w="0" w:type="dxa"/>
            <w:bottom w:w="0" w:type="dxa"/>
            <w:right w:w="0" w:type="dxa"/>
          </w:tblCellMar>
        </w:tblPrEx>
        <w:trPr>
          <w:trHeight w:val="693" w:hRule="atLeast"/>
          <w:jc w:val="center"/>
        </w:trPr>
        <w:tc>
          <w:tcPr>
            <w:tcW w:w="1629"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验收具体内容</w:t>
            </w:r>
          </w:p>
        </w:tc>
        <w:tc>
          <w:tcPr>
            <w:tcW w:w="6816" w:type="dxa"/>
            <w:gridSpan w:val="7"/>
            <w:tcBorders>
              <w:top w:val="nil"/>
              <w:left w:val="nil"/>
              <w:bottom w:val="single" w:color="auto" w:sz="8" w:space="0"/>
              <w:right w:val="single" w:color="auto" w:sz="8" w:space="0"/>
            </w:tcBorders>
            <w:tcMar>
              <w:top w:w="0" w:type="dxa"/>
              <w:left w:w="108" w:type="dxa"/>
              <w:bottom w:w="0" w:type="dxa"/>
              <w:right w:w="108" w:type="dxa"/>
            </w:tcMar>
            <w:vAlign w:val="center"/>
          </w:tcPr>
          <w:p>
            <w:pPr>
              <w:widowControl/>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应按采购合同、竞争性谈判文件、竞标响应文件及验收方案等进行验收；并核对成交供应商在安装调试等方面是否违反合同约定或者服务规范要求、提供的质量保证证明材料是否齐全、应有的配件及附件是否达到合同约定等。可附件)</w:t>
            </w:r>
          </w:p>
        </w:tc>
      </w:tr>
      <w:tr>
        <w:tblPrEx>
          <w:tblCellMar>
            <w:top w:w="0" w:type="dxa"/>
            <w:left w:w="0" w:type="dxa"/>
            <w:bottom w:w="0" w:type="dxa"/>
            <w:right w:w="0" w:type="dxa"/>
          </w:tblCellMar>
        </w:tblPrEx>
        <w:trPr>
          <w:trHeight w:val="1281" w:hRule="atLeast"/>
          <w:jc w:val="center"/>
        </w:trPr>
        <w:tc>
          <w:tcPr>
            <w:tcW w:w="1629" w:type="dxa"/>
            <w:gridSpan w:val="2"/>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验收小组意见</w:t>
            </w:r>
          </w:p>
        </w:tc>
        <w:tc>
          <w:tcPr>
            <w:tcW w:w="6816" w:type="dxa"/>
            <w:gridSpan w:val="7"/>
            <w:tcBorders>
              <w:top w:val="nil"/>
              <w:left w:val="nil"/>
              <w:bottom w:val="single" w:color="auto" w:sz="8" w:space="0"/>
              <w:right w:val="single" w:color="auto" w:sz="8" w:space="0"/>
            </w:tcBorders>
            <w:vAlign w:val="center"/>
          </w:tcPr>
          <w:p>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验收结论性意见：</w:t>
            </w:r>
          </w:p>
        </w:tc>
      </w:tr>
      <w:tr>
        <w:tblPrEx>
          <w:tblCellMar>
            <w:top w:w="0" w:type="dxa"/>
            <w:left w:w="0" w:type="dxa"/>
            <w:bottom w:w="0" w:type="dxa"/>
            <w:right w:w="0" w:type="dxa"/>
          </w:tblCellMar>
        </w:tblPrEx>
        <w:trPr>
          <w:trHeight w:val="607" w:hRule="atLeast"/>
          <w:jc w:val="center"/>
        </w:trPr>
        <w:tc>
          <w:tcPr>
            <w:tcW w:w="1629" w:type="dxa"/>
            <w:gridSpan w:val="2"/>
            <w:vMerge w:val="continue"/>
            <w:tcBorders>
              <w:top w:val="nil"/>
              <w:left w:val="single" w:color="auto" w:sz="8" w:space="0"/>
              <w:bottom w:val="single" w:color="auto" w:sz="8" w:space="0"/>
              <w:right w:val="single" w:color="auto" w:sz="8" w:space="0"/>
            </w:tcBorders>
            <w:vAlign w:val="center"/>
          </w:tcPr>
          <w:p>
            <w:pPr>
              <w:widowControl/>
              <w:jc w:val="left"/>
              <w:rPr>
                <w:rFonts w:ascii="Verdana" w:hAnsi="Verdana" w:cs="宋体"/>
                <w:color w:val="auto"/>
                <w:kern w:val="0"/>
                <w:szCs w:val="21"/>
                <w:highlight w:val="none"/>
              </w:rPr>
            </w:pPr>
          </w:p>
        </w:tc>
        <w:tc>
          <w:tcPr>
            <w:tcW w:w="6816" w:type="dxa"/>
            <w:gridSpan w:val="7"/>
            <w:tcBorders>
              <w:top w:val="nil"/>
              <w:left w:val="nil"/>
              <w:bottom w:val="single" w:color="auto" w:sz="8" w:space="0"/>
              <w:right w:val="single" w:color="auto" w:sz="8" w:space="0"/>
            </w:tcBorders>
            <w:vAlign w:val="center"/>
          </w:tcPr>
          <w:p>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有异议的意见和说明理由：</w:t>
            </w:r>
          </w:p>
          <w:p>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签字：</w:t>
            </w:r>
          </w:p>
        </w:tc>
      </w:tr>
      <w:tr>
        <w:tblPrEx>
          <w:tblCellMar>
            <w:top w:w="0" w:type="dxa"/>
            <w:left w:w="0" w:type="dxa"/>
            <w:bottom w:w="0" w:type="dxa"/>
            <w:right w:w="0" w:type="dxa"/>
          </w:tblCellMar>
        </w:tblPrEx>
        <w:trPr>
          <w:trHeight w:val="507"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验收小组成员签字：</w:t>
            </w:r>
          </w:p>
        </w:tc>
      </w:tr>
      <w:tr>
        <w:tblPrEx>
          <w:tblCellMar>
            <w:top w:w="0" w:type="dxa"/>
            <w:left w:w="0" w:type="dxa"/>
            <w:bottom w:w="0" w:type="dxa"/>
            <w:right w:w="0" w:type="dxa"/>
          </w:tblCellMar>
        </w:tblPrEx>
        <w:trPr>
          <w:trHeight w:val="736"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监督人员或者</w:t>
            </w:r>
            <w:r>
              <w:rPr>
                <w:rFonts w:hint="eastAsia" w:ascii="Verdana" w:hAnsi="Verdana" w:cs="宋体"/>
                <w:color w:val="auto"/>
                <w:kern w:val="0"/>
                <w:szCs w:val="21"/>
                <w:highlight w:val="none"/>
              </w:rPr>
              <w:t>其他</w:t>
            </w:r>
            <w:r>
              <w:rPr>
                <w:rFonts w:ascii="Verdana" w:hAnsi="Verdana" w:cs="宋体"/>
                <w:color w:val="auto"/>
                <w:kern w:val="0"/>
                <w:szCs w:val="21"/>
                <w:highlight w:val="none"/>
              </w:rPr>
              <w:t>相关人员签字：</w:t>
            </w:r>
          </w:p>
          <w:p>
            <w:pPr>
              <w:widowControl/>
              <w:spacing w:before="100" w:beforeAutospacing="1" w:after="100" w:afterAutospacing="1" w:line="320" w:lineRule="atLeast"/>
              <w:ind w:firstLine="74"/>
              <w:jc w:val="left"/>
              <w:rPr>
                <w:rFonts w:ascii="Verdana" w:hAnsi="Verdana" w:cs="宋体"/>
                <w:color w:val="auto"/>
                <w:kern w:val="0"/>
                <w:szCs w:val="21"/>
                <w:highlight w:val="none"/>
              </w:rPr>
            </w:pPr>
            <w:r>
              <w:rPr>
                <w:rFonts w:ascii="Verdana" w:hAnsi="Verdana" w:cs="宋体"/>
                <w:color w:val="auto"/>
                <w:kern w:val="0"/>
                <w:szCs w:val="21"/>
                <w:highlight w:val="none"/>
              </w:rPr>
              <w:t>或者受邀机构的意见（盖章）：</w:t>
            </w:r>
          </w:p>
        </w:tc>
      </w:tr>
      <w:tr>
        <w:tblPrEx>
          <w:tblCellMar>
            <w:top w:w="0" w:type="dxa"/>
            <w:left w:w="0" w:type="dxa"/>
            <w:bottom w:w="0" w:type="dxa"/>
            <w:right w:w="0" w:type="dxa"/>
          </w:tblCellMar>
        </w:tblPrEx>
        <w:trPr>
          <w:trHeight w:val="758" w:hRule="atLeast"/>
          <w:jc w:val="center"/>
        </w:trPr>
        <w:tc>
          <w:tcPr>
            <w:tcW w:w="4152" w:type="dxa"/>
            <w:gridSpan w:val="5"/>
            <w:tcBorders>
              <w:top w:val="nil"/>
              <w:left w:val="single" w:color="auto" w:sz="8" w:space="0"/>
              <w:bottom w:val="single" w:color="auto" w:sz="8" w:space="0"/>
              <w:right w:val="single" w:color="auto" w:sz="4" w:space="0"/>
            </w:tcBorders>
            <w:tcMar>
              <w:top w:w="0" w:type="dxa"/>
              <w:left w:w="108" w:type="dxa"/>
              <w:bottom w:w="0" w:type="dxa"/>
              <w:right w:w="108" w:type="dxa"/>
            </w:tcMar>
            <w:vAlign w:val="center"/>
          </w:tcPr>
          <w:p>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成交供应商负责人签字或者盖章：</w:t>
            </w:r>
          </w:p>
          <w:p>
            <w:pPr>
              <w:widowControl/>
              <w:spacing w:before="100" w:beforeAutospacing="1" w:after="100" w:afterAutospacing="1" w:line="320" w:lineRule="atLeast"/>
              <w:jc w:val="left"/>
              <w:rPr>
                <w:rFonts w:ascii="Verdana" w:hAnsi="Verdana" w:cs="宋体"/>
                <w:color w:val="auto"/>
                <w:kern w:val="0"/>
                <w:szCs w:val="21"/>
                <w:highlight w:val="none"/>
              </w:rPr>
            </w:pPr>
          </w:p>
          <w:p>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联系电话：</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 </w:t>
            </w:r>
          </w:p>
          <w:p>
            <w:pPr>
              <w:widowControl/>
              <w:spacing w:before="100" w:beforeAutospacing="1" w:after="100" w:afterAutospacing="1" w:line="320" w:lineRule="atLeast"/>
              <w:ind w:firstLine="2730" w:firstLineChars="1300"/>
              <w:jc w:val="left"/>
              <w:rPr>
                <w:rFonts w:ascii="Verdana" w:hAnsi="Verdana" w:cs="宋体"/>
                <w:color w:val="auto"/>
                <w:kern w:val="0"/>
                <w:szCs w:val="21"/>
                <w:highlight w:val="none"/>
              </w:rPr>
            </w:pPr>
            <w:r>
              <w:rPr>
                <w:rFonts w:ascii="Verdana" w:hAnsi="Verdana" w:cs="宋体"/>
                <w:color w:val="auto"/>
                <w:kern w:val="0"/>
                <w:szCs w:val="21"/>
                <w:highlight w:val="none"/>
              </w:rPr>
              <w:t>年</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 月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日</w:t>
            </w:r>
          </w:p>
        </w:tc>
        <w:tc>
          <w:tcPr>
            <w:tcW w:w="4293" w:type="dxa"/>
            <w:gridSpan w:val="4"/>
            <w:tcBorders>
              <w:top w:val="nil"/>
              <w:left w:val="single" w:color="auto" w:sz="4" w:space="0"/>
              <w:bottom w:val="single" w:color="auto" w:sz="8" w:space="0"/>
              <w:right w:val="single" w:color="auto" w:sz="8" w:space="0"/>
            </w:tcBorders>
            <w:vAlign w:val="center"/>
          </w:tcPr>
          <w:p>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采购人或者受托机构的意见（盖章）：</w:t>
            </w:r>
          </w:p>
          <w:p>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p>
          <w:p>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联系电话：</w:t>
            </w:r>
            <w:r>
              <w:rPr>
                <w:rFonts w:hint="eastAsia" w:ascii="Verdana" w:hAnsi="Verdana" w:cs="宋体"/>
                <w:color w:val="auto"/>
                <w:kern w:val="0"/>
                <w:szCs w:val="21"/>
                <w:highlight w:val="none"/>
              </w:rPr>
              <w:t xml:space="preserve">          </w:t>
            </w:r>
          </w:p>
          <w:p>
            <w:pPr>
              <w:widowControl/>
              <w:spacing w:before="100" w:beforeAutospacing="1" w:after="100" w:afterAutospacing="1" w:line="320" w:lineRule="atLeast"/>
              <w:ind w:firstLine="2100" w:firstLineChars="1000"/>
              <w:jc w:val="left"/>
              <w:rPr>
                <w:rFonts w:ascii="Verdana" w:hAnsi="Verdana" w:cs="宋体"/>
                <w:color w:val="auto"/>
                <w:kern w:val="0"/>
                <w:szCs w:val="21"/>
                <w:highlight w:val="none"/>
              </w:rPr>
            </w:pP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年</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 月</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 日</w:t>
            </w:r>
          </w:p>
        </w:tc>
      </w:tr>
    </w:tbl>
    <w:p>
      <w:pPr>
        <w:pStyle w:val="18"/>
        <w:snapToGrid w:val="0"/>
        <w:rPr>
          <w:rFonts w:hint="eastAsia" w:hAnsi="宋体"/>
          <w:color w:val="auto"/>
          <w:highlight w:val="none"/>
        </w:rPr>
      </w:pPr>
      <w:r>
        <w:rPr>
          <w:rFonts w:hAnsi="宋体"/>
          <w:color w:val="auto"/>
          <w:highlight w:val="none"/>
        </w:rPr>
        <w:br w:type="page"/>
      </w:r>
    </w:p>
    <w:p>
      <w:pPr>
        <w:rPr>
          <w:rFonts w:hint="eastAsia" w:ascii="宋体" w:hAnsi="宋体" w:cs="宋体"/>
          <w:color w:val="auto"/>
          <w:sz w:val="28"/>
          <w:szCs w:val="28"/>
          <w:highlight w:val="none"/>
        </w:rPr>
      </w:pPr>
      <w:r>
        <w:rPr>
          <w:rFonts w:hint="eastAsia" w:ascii="宋体" w:hAnsi="宋体" w:cs="宋体"/>
          <w:color w:val="auto"/>
          <w:sz w:val="28"/>
          <w:szCs w:val="28"/>
          <w:highlight w:val="none"/>
        </w:rPr>
        <w:t>4.政府采购项目履约保证金退付意见书的格式：</w:t>
      </w:r>
    </w:p>
    <w:p>
      <w:pPr>
        <w:rPr>
          <w:rFonts w:hint="eastAsia" w:ascii="宋体" w:hAnsi="宋体" w:cs="宋体"/>
          <w:color w:val="auto"/>
          <w:sz w:val="28"/>
          <w:szCs w:val="28"/>
          <w:highlight w:val="none"/>
        </w:rPr>
      </w:pPr>
    </w:p>
    <w:p>
      <w:pPr>
        <w:jc w:val="cente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政府采购项目履约保证金退付意见书（参考）</w:t>
      </w:r>
    </w:p>
    <w:p>
      <w:pPr>
        <w:jc w:val="center"/>
        <w:rPr>
          <w:rFonts w:hint="eastAsia" w:ascii="黑体" w:hAnsi="黑体" w:eastAsia="黑体"/>
          <w:color w:val="auto"/>
          <w:sz w:val="36"/>
          <w:szCs w:val="36"/>
          <w:highlight w:val="none"/>
        </w:rPr>
      </w:pPr>
    </w:p>
    <w:tbl>
      <w:tblPr>
        <w:tblStyle w:val="29"/>
        <w:tblW w:w="88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817" w:type="dxa"/>
            <w:vMerge w:val="restart"/>
            <w:vAlign w:val="center"/>
          </w:tcPr>
          <w:p>
            <w:pPr>
              <w:jc w:val="center"/>
              <w:rPr>
                <w:color w:val="auto"/>
                <w:sz w:val="24"/>
                <w:highlight w:val="none"/>
              </w:rPr>
            </w:pPr>
            <w:r>
              <w:rPr>
                <w:rFonts w:hint="eastAsia"/>
                <w:color w:val="auto"/>
                <w:sz w:val="24"/>
                <w:highlight w:val="none"/>
              </w:rPr>
              <w:t>供</w:t>
            </w:r>
          </w:p>
          <w:p>
            <w:pPr>
              <w:jc w:val="center"/>
              <w:rPr>
                <w:color w:val="auto"/>
                <w:sz w:val="24"/>
                <w:highlight w:val="none"/>
              </w:rPr>
            </w:pPr>
            <w:r>
              <w:rPr>
                <w:rFonts w:hint="eastAsia"/>
                <w:color w:val="auto"/>
                <w:sz w:val="24"/>
                <w:highlight w:val="none"/>
              </w:rPr>
              <w:t>应</w:t>
            </w:r>
          </w:p>
          <w:p>
            <w:pPr>
              <w:jc w:val="center"/>
              <w:rPr>
                <w:color w:val="auto"/>
                <w:sz w:val="24"/>
                <w:highlight w:val="none"/>
              </w:rPr>
            </w:pPr>
            <w:r>
              <w:rPr>
                <w:rFonts w:hint="eastAsia"/>
                <w:color w:val="auto"/>
                <w:sz w:val="24"/>
                <w:highlight w:val="none"/>
              </w:rPr>
              <w:t>商</w:t>
            </w:r>
          </w:p>
          <w:p>
            <w:pPr>
              <w:jc w:val="center"/>
              <w:rPr>
                <w:color w:val="auto"/>
                <w:sz w:val="24"/>
                <w:highlight w:val="none"/>
              </w:rPr>
            </w:pPr>
            <w:r>
              <w:rPr>
                <w:rFonts w:hint="eastAsia"/>
                <w:color w:val="auto"/>
                <w:sz w:val="24"/>
                <w:highlight w:val="none"/>
              </w:rPr>
              <w:t>申</w:t>
            </w:r>
          </w:p>
          <w:p>
            <w:pPr>
              <w:jc w:val="center"/>
              <w:rPr>
                <w:color w:val="auto"/>
                <w:sz w:val="24"/>
                <w:highlight w:val="none"/>
              </w:rPr>
            </w:pPr>
            <w:r>
              <w:rPr>
                <w:rFonts w:hint="eastAsia"/>
                <w:color w:val="auto"/>
                <w:sz w:val="24"/>
                <w:highlight w:val="none"/>
              </w:rPr>
              <w:t>请</w:t>
            </w:r>
          </w:p>
        </w:tc>
        <w:tc>
          <w:tcPr>
            <w:tcW w:w="8009" w:type="dxa"/>
            <w:vAlign w:val="center"/>
          </w:tcPr>
          <w:p>
            <w:pPr>
              <w:rPr>
                <w:color w:val="auto"/>
                <w:sz w:val="24"/>
                <w:highlight w:val="none"/>
              </w:rPr>
            </w:pPr>
            <w:r>
              <w:rPr>
                <w:rFonts w:hint="eastAsia"/>
                <w:color w:val="auto"/>
                <w:sz w:val="24"/>
                <w:highlight w:val="none"/>
              </w:rPr>
              <w:t>项目编号：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817" w:type="dxa"/>
            <w:vMerge w:val="continue"/>
            <w:vAlign w:val="center"/>
          </w:tcPr>
          <w:p>
            <w:pPr>
              <w:rPr>
                <w:color w:val="auto"/>
                <w:sz w:val="24"/>
                <w:highlight w:val="none"/>
              </w:rPr>
            </w:pPr>
          </w:p>
        </w:tc>
        <w:tc>
          <w:tcPr>
            <w:tcW w:w="8009" w:type="dxa"/>
            <w:vAlign w:val="center"/>
          </w:tcPr>
          <w:p>
            <w:pPr>
              <w:rPr>
                <w:color w:val="auto"/>
                <w:sz w:val="24"/>
                <w:highlight w:val="none"/>
              </w:rPr>
            </w:pPr>
            <w:r>
              <w:rPr>
                <w:rFonts w:hint="eastAsia"/>
                <w:color w:val="auto"/>
                <w:sz w:val="24"/>
                <w:highlight w:val="none"/>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17" w:type="dxa"/>
            <w:vMerge w:val="continue"/>
          </w:tcPr>
          <w:p>
            <w:pPr>
              <w:rPr>
                <w:color w:val="auto"/>
                <w:sz w:val="24"/>
                <w:highlight w:val="none"/>
              </w:rPr>
            </w:pPr>
          </w:p>
        </w:tc>
        <w:tc>
          <w:tcPr>
            <w:tcW w:w="8009" w:type="dxa"/>
          </w:tcPr>
          <w:p>
            <w:pPr>
              <w:rPr>
                <w:color w:val="auto"/>
                <w:sz w:val="24"/>
                <w:highlight w:val="none"/>
              </w:rPr>
            </w:pPr>
            <w:r>
              <w:rPr>
                <w:rFonts w:hint="eastAsia"/>
                <w:color w:val="auto"/>
                <w:sz w:val="24"/>
                <w:highlight w:val="none"/>
              </w:rPr>
              <w:t xml:space="preserve">  </w:t>
            </w:r>
          </w:p>
          <w:p>
            <w:pPr>
              <w:ind w:firstLine="480" w:firstLineChars="200"/>
              <w:rPr>
                <w:color w:val="auto"/>
                <w:sz w:val="24"/>
                <w:highlight w:val="none"/>
              </w:rPr>
            </w:pPr>
            <w:r>
              <w:rPr>
                <w:rFonts w:hint="eastAsia"/>
                <w:color w:val="auto"/>
                <w:sz w:val="24"/>
                <w:highlight w:val="none"/>
              </w:rPr>
              <w:t>该项目已于</w:t>
            </w:r>
            <w:r>
              <w:rPr>
                <w:rFonts w:hint="eastAsia"/>
                <w:color w:val="auto"/>
                <w:sz w:val="24"/>
                <w:highlight w:val="none"/>
                <w:u w:val="single"/>
              </w:rPr>
              <w:t xml:space="preserve">       </w:t>
            </w:r>
            <w:r>
              <w:rPr>
                <w:rFonts w:hint="eastAsia"/>
                <w:color w:val="auto"/>
                <w:sz w:val="24"/>
                <w:highlight w:val="none"/>
              </w:rPr>
              <w:t>年</w:t>
            </w:r>
            <w:r>
              <w:rPr>
                <w:rFonts w:hint="eastAsia"/>
                <w:color w:val="auto"/>
                <w:sz w:val="24"/>
                <w:highlight w:val="none"/>
                <w:u w:val="single"/>
              </w:rPr>
              <w:t xml:space="preserve">     </w:t>
            </w:r>
            <w:r>
              <w:rPr>
                <w:rFonts w:hint="eastAsia"/>
                <w:color w:val="auto"/>
                <w:sz w:val="24"/>
                <w:highlight w:val="none"/>
              </w:rPr>
              <w:t>月</w:t>
            </w:r>
            <w:r>
              <w:rPr>
                <w:rFonts w:hint="eastAsia"/>
                <w:color w:val="auto"/>
                <w:sz w:val="24"/>
                <w:highlight w:val="none"/>
                <w:u w:val="single"/>
              </w:rPr>
              <w:t xml:space="preserve">     </w:t>
            </w:r>
            <w:r>
              <w:rPr>
                <w:rFonts w:hint="eastAsia"/>
                <w:color w:val="auto"/>
                <w:sz w:val="24"/>
                <w:highlight w:val="none"/>
              </w:rPr>
              <w:t>日验收并交付使用。根据合同规定，该项目的履约保证金期限于</w:t>
            </w:r>
            <w:r>
              <w:rPr>
                <w:rFonts w:hint="eastAsia"/>
                <w:color w:val="auto"/>
                <w:sz w:val="24"/>
                <w:highlight w:val="none"/>
                <w:u w:val="single"/>
              </w:rPr>
              <w:t xml:space="preserve">         </w:t>
            </w:r>
            <w:r>
              <w:rPr>
                <w:rFonts w:hint="eastAsia"/>
                <w:color w:val="auto"/>
                <w:sz w:val="24"/>
                <w:highlight w:val="none"/>
              </w:rPr>
              <w:t>年</w:t>
            </w:r>
            <w:r>
              <w:rPr>
                <w:rFonts w:hint="eastAsia"/>
                <w:color w:val="auto"/>
                <w:sz w:val="24"/>
                <w:highlight w:val="none"/>
                <w:u w:val="single"/>
              </w:rPr>
              <w:t xml:space="preserve">        </w:t>
            </w:r>
            <w:r>
              <w:rPr>
                <w:rFonts w:hint="eastAsia"/>
                <w:color w:val="auto"/>
                <w:sz w:val="24"/>
                <w:highlight w:val="none"/>
              </w:rPr>
              <w:t>月</w:t>
            </w:r>
            <w:r>
              <w:rPr>
                <w:rFonts w:hint="eastAsia"/>
                <w:color w:val="auto"/>
                <w:sz w:val="24"/>
                <w:highlight w:val="none"/>
                <w:u w:val="single"/>
              </w:rPr>
              <w:t xml:space="preserve">        </w:t>
            </w:r>
            <w:r>
              <w:rPr>
                <w:rFonts w:hint="eastAsia"/>
                <w:color w:val="auto"/>
                <w:sz w:val="24"/>
                <w:highlight w:val="none"/>
              </w:rPr>
              <w:t>日已满，请将履约保证金</w:t>
            </w:r>
          </w:p>
          <w:p>
            <w:pPr>
              <w:rPr>
                <w:color w:val="auto"/>
                <w:sz w:val="24"/>
                <w:highlight w:val="none"/>
              </w:rPr>
            </w:pPr>
            <w:r>
              <w:rPr>
                <w:rFonts w:hint="eastAsia"/>
                <w:color w:val="auto"/>
                <w:sz w:val="24"/>
                <w:highlight w:val="none"/>
              </w:rPr>
              <w:t>（大写）人民币</w:t>
            </w:r>
            <w:r>
              <w:rPr>
                <w:rFonts w:hint="eastAsia"/>
                <w:color w:val="auto"/>
                <w:sz w:val="24"/>
                <w:highlight w:val="none"/>
                <w:u w:val="single"/>
              </w:rPr>
              <w:t xml:space="preserve">                              </w:t>
            </w:r>
            <w:r>
              <w:rPr>
                <w:rFonts w:hint="eastAsia"/>
                <w:color w:val="auto"/>
                <w:sz w:val="24"/>
                <w:highlight w:val="none"/>
              </w:rPr>
              <w:t>（小写）¥</w:t>
            </w:r>
            <w:r>
              <w:rPr>
                <w:rFonts w:hint="eastAsia"/>
                <w:color w:val="auto"/>
                <w:sz w:val="24"/>
                <w:highlight w:val="none"/>
                <w:u w:val="single"/>
              </w:rPr>
              <w:t xml:space="preserve">          </w:t>
            </w:r>
            <w:r>
              <w:rPr>
                <w:rFonts w:hint="eastAsia"/>
                <w:color w:val="auto"/>
                <w:sz w:val="24"/>
                <w:highlight w:val="none"/>
              </w:rPr>
              <w:t>退付到达以下账户。</w:t>
            </w:r>
          </w:p>
          <w:p>
            <w:pPr>
              <w:rPr>
                <w:color w:val="auto"/>
                <w:sz w:val="24"/>
                <w:highlight w:val="none"/>
              </w:rPr>
            </w:pPr>
            <w:r>
              <w:rPr>
                <w:rFonts w:hint="eastAsia"/>
                <w:color w:val="auto"/>
                <w:sz w:val="24"/>
                <w:highlight w:val="none"/>
              </w:rPr>
              <w:t>单位名称：</w:t>
            </w:r>
          </w:p>
          <w:p>
            <w:pPr>
              <w:rPr>
                <w:color w:val="auto"/>
                <w:sz w:val="24"/>
                <w:highlight w:val="none"/>
              </w:rPr>
            </w:pPr>
            <w:r>
              <w:rPr>
                <w:rFonts w:hint="eastAsia"/>
                <w:color w:val="auto"/>
                <w:sz w:val="24"/>
                <w:highlight w:val="none"/>
              </w:rPr>
              <w:t>开户银行：</w:t>
            </w:r>
          </w:p>
          <w:p>
            <w:pPr>
              <w:rPr>
                <w:color w:val="auto"/>
                <w:sz w:val="24"/>
                <w:highlight w:val="none"/>
              </w:rPr>
            </w:pPr>
            <w:r>
              <w:rPr>
                <w:rFonts w:hint="eastAsia"/>
                <w:color w:val="auto"/>
                <w:sz w:val="24"/>
                <w:highlight w:val="none"/>
              </w:rPr>
              <w:t>账    号：</w:t>
            </w:r>
          </w:p>
          <w:p>
            <w:pPr>
              <w:rPr>
                <w:color w:val="auto"/>
                <w:sz w:val="24"/>
                <w:highlight w:val="none"/>
              </w:rPr>
            </w:pPr>
            <w:r>
              <w:rPr>
                <w:rFonts w:hint="eastAsia"/>
                <w:color w:val="auto"/>
                <w:sz w:val="24"/>
                <w:highlight w:val="none"/>
              </w:rPr>
              <w:t>联系人及电话：</w:t>
            </w:r>
          </w:p>
          <w:p>
            <w:pPr>
              <w:rPr>
                <w:color w:val="auto"/>
                <w:sz w:val="24"/>
                <w:highlight w:val="none"/>
              </w:rPr>
            </w:pPr>
          </w:p>
          <w:p>
            <w:pPr>
              <w:jc w:val="center"/>
              <w:rPr>
                <w:color w:val="auto"/>
                <w:sz w:val="24"/>
                <w:highlight w:val="none"/>
              </w:rPr>
            </w:pPr>
            <w:r>
              <w:rPr>
                <w:rFonts w:hint="eastAsia"/>
                <w:color w:val="auto"/>
                <w:sz w:val="24"/>
                <w:highlight w:val="none"/>
              </w:rPr>
              <w:t xml:space="preserve">                           供应商签章：</w:t>
            </w:r>
          </w:p>
          <w:p>
            <w:pPr>
              <w:jc w:val="center"/>
              <w:rPr>
                <w:color w:val="auto"/>
                <w:sz w:val="24"/>
                <w:highlight w:val="none"/>
              </w:rPr>
            </w:pPr>
            <w:r>
              <w:rPr>
                <w:rFonts w:hint="eastAsia"/>
                <w:color w:val="auto"/>
                <w:sz w:val="24"/>
                <w:highlight w:val="none"/>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jc w:val="center"/>
        </w:trPr>
        <w:tc>
          <w:tcPr>
            <w:tcW w:w="817" w:type="dxa"/>
            <w:vAlign w:val="center"/>
          </w:tcPr>
          <w:p>
            <w:pPr>
              <w:jc w:val="center"/>
              <w:rPr>
                <w:color w:val="auto"/>
                <w:sz w:val="24"/>
                <w:highlight w:val="none"/>
              </w:rPr>
            </w:pPr>
            <w:r>
              <w:rPr>
                <w:rFonts w:hint="eastAsia"/>
                <w:color w:val="auto"/>
                <w:sz w:val="24"/>
                <w:highlight w:val="none"/>
              </w:rPr>
              <w:t>采</w:t>
            </w:r>
          </w:p>
          <w:p>
            <w:pPr>
              <w:jc w:val="center"/>
              <w:rPr>
                <w:color w:val="auto"/>
                <w:sz w:val="24"/>
                <w:highlight w:val="none"/>
              </w:rPr>
            </w:pPr>
            <w:r>
              <w:rPr>
                <w:rFonts w:hint="eastAsia"/>
                <w:color w:val="auto"/>
                <w:sz w:val="24"/>
                <w:highlight w:val="none"/>
              </w:rPr>
              <w:t>购</w:t>
            </w:r>
          </w:p>
          <w:p>
            <w:pPr>
              <w:jc w:val="center"/>
              <w:rPr>
                <w:color w:val="auto"/>
                <w:sz w:val="24"/>
                <w:highlight w:val="none"/>
              </w:rPr>
            </w:pPr>
            <w:r>
              <w:rPr>
                <w:rFonts w:hint="eastAsia"/>
                <w:color w:val="auto"/>
                <w:sz w:val="24"/>
                <w:highlight w:val="none"/>
              </w:rPr>
              <w:t>单</w:t>
            </w:r>
          </w:p>
          <w:p>
            <w:pPr>
              <w:jc w:val="center"/>
              <w:rPr>
                <w:color w:val="auto"/>
                <w:sz w:val="24"/>
                <w:highlight w:val="none"/>
              </w:rPr>
            </w:pPr>
            <w:r>
              <w:rPr>
                <w:rFonts w:hint="eastAsia"/>
                <w:color w:val="auto"/>
                <w:sz w:val="24"/>
                <w:highlight w:val="none"/>
              </w:rPr>
              <w:t>位</w:t>
            </w:r>
          </w:p>
          <w:p>
            <w:pPr>
              <w:jc w:val="center"/>
              <w:rPr>
                <w:color w:val="auto"/>
                <w:sz w:val="24"/>
                <w:highlight w:val="none"/>
              </w:rPr>
            </w:pPr>
            <w:r>
              <w:rPr>
                <w:rFonts w:hint="eastAsia"/>
                <w:color w:val="auto"/>
                <w:sz w:val="24"/>
                <w:highlight w:val="none"/>
              </w:rPr>
              <w:t>意</w:t>
            </w:r>
          </w:p>
          <w:p>
            <w:pPr>
              <w:jc w:val="center"/>
              <w:rPr>
                <w:color w:val="auto"/>
                <w:sz w:val="24"/>
                <w:highlight w:val="none"/>
              </w:rPr>
            </w:pPr>
            <w:r>
              <w:rPr>
                <w:rFonts w:hint="eastAsia"/>
                <w:color w:val="auto"/>
                <w:sz w:val="24"/>
                <w:highlight w:val="none"/>
              </w:rPr>
              <w:t>见</w:t>
            </w:r>
          </w:p>
        </w:tc>
        <w:tc>
          <w:tcPr>
            <w:tcW w:w="8009" w:type="dxa"/>
          </w:tcPr>
          <w:p>
            <w:pPr>
              <w:rPr>
                <w:color w:val="auto"/>
                <w:sz w:val="24"/>
                <w:highlight w:val="none"/>
              </w:rPr>
            </w:pPr>
          </w:p>
          <w:p>
            <w:pPr>
              <w:rPr>
                <w:color w:val="auto"/>
                <w:sz w:val="24"/>
                <w:highlight w:val="none"/>
              </w:rPr>
            </w:pPr>
            <w:r>
              <w:rPr>
                <w:rFonts w:hint="eastAsia"/>
                <w:color w:val="auto"/>
                <w:sz w:val="24"/>
                <w:highlight w:val="none"/>
              </w:rPr>
              <w:t>退付意见：是否同意退付履约保证金及退付金额：</w:t>
            </w:r>
          </w:p>
          <w:p>
            <w:pPr>
              <w:rPr>
                <w:color w:val="auto"/>
                <w:sz w:val="24"/>
                <w:highlight w:val="none"/>
              </w:rPr>
            </w:pPr>
          </w:p>
          <w:p>
            <w:pPr>
              <w:rPr>
                <w:color w:val="auto"/>
                <w:sz w:val="24"/>
                <w:highlight w:val="none"/>
              </w:rPr>
            </w:pPr>
          </w:p>
          <w:p>
            <w:pPr>
              <w:rPr>
                <w:color w:val="auto"/>
                <w:sz w:val="24"/>
                <w:highlight w:val="none"/>
              </w:rPr>
            </w:pPr>
            <w:r>
              <w:rPr>
                <w:rFonts w:hint="eastAsia"/>
                <w:color w:val="auto"/>
                <w:sz w:val="24"/>
                <w:highlight w:val="none"/>
              </w:rPr>
              <w:t xml:space="preserve">联系人及电话：                                </w:t>
            </w:r>
          </w:p>
          <w:p>
            <w:pPr>
              <w:rPr>
                <w:color w:val="auto"/>
                <w:sz w:val="24"/>
                <w:highlight w:val="none"/>
              </w:rPr>
            </w:pPr>
          </w:p>
          <w:p>
            <w:pPr>
              <w:ind w:firstLine="4560" w:firstLineChars="1900"/>
              <w:rPr>
                <w:color w:val="auto"/>
                <w:sz w:val="24"/>
                <w:highlight w:val="none"/>
              </w:rPr>
            </w:pPr>
            <w:r>
              <w:rPr>
                <w:rFonts w:hint="eastAsia"/>
                <w:color w:val="auto"/>
                <w:sz w:val="24"/>
                <w:highlight w:val="none"/>
              </w:rPr>
              <w:t xml:space="preserve"> 采购单位签章：</w:t>
            </w:r>
          </w:p>
          <w:p>
            <w:pPr>
              <w:jc w:val="center"/>
              <w:rPr>
                <w:color w:val="auto"/>
                <w:sz w:val="24"/>
                <w:highlight w:val="none"/>
              </w:rPr>
            </w:pPr>
            <w:r>
              <w:rPr>
                <w:rFonts w:hint="eastAsia"/>
                <w:color w:val="auto"/>
                <w:sz w:val="24"/>
                <w:highlight w:val="none"/>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817" w:type="dxa"/>
            <w:vAlign w:val="center"/>
          </w:tcPr>
          <w:p>
            <w:pPr>
              <w:jc w:val="center"/>
              <w:rPr>
                <w:color w:val="auto"/>
                <w:sz w:val="24"/>
                <w:highlight w:val="none"/>
              </w:rPr>
            </w:pPr>
            <w:r>
              <w:rPr>
                <w:rFonts w:hint="eastAsia"/>
                <w:color w:val="auto"/>
                <w:sz w:val="24"/>
                <w:highlight w:val="none"/>
              </w:rPr>
              <w:t>财</w:t>
            </w:r>
          </w:p>
          <w:p>
            <w:pPr>
              <w:jc w:val="center"/>
              <w:rPr>
                <w:color w:val="auto"/>
                <w:sz w:val="24"/>
                <w:highlight w:val="none"/>
              </w:rPr>
            </w:pPr>
            <w:r>
              <w:rPr>
                <w:rFonts w:hint="eastAsia"/>
                <w:color w:val="auto"/>
                <w:sz w:val="24"/>
                <w:highlight w:val="none"/>
              </w:rPr>
              <w:t>务</w:t>
            </w:r>
          </w:p>
          <w:p>
            <w:pPr>
              <w:jc w:val="center"/>
              <w:rPr>
                <w:color w:val="auto"/>
                <w:sz w:val="24"/>
                <w:highlight w:val="none"/>
              </w:rPr>
            </w:pPr>
            <w:r>
              <w:rPr>
                <w:rFonts w:hint="eastAsia"/>
                <w:color w:val="auto"/>
                <w:sz w:val="24"/>
                <w:highlight w:val="none"/>
              </w:rPr>
              <w:t>部</w:t>
            </w:r>
          </w:p>
          <w:p>
            <w:pPr>
              <w:jc w:val="center"/>
              <w:rPr>
                <w:color w:val="auto"/>
                <w:sz w:val="24"/>
                <w:highlight w:val="none"/>
              </w:rPr>
            </w:pPr>
            <w:r>
              <w:rPr>
                <w:rFonts w:hint="eastAsia"/>
                <w:color w:val="auto"/>
                <w:sz w:val="24"/>
                <w:highlight w:val="none"/>
              </w:rPr>
              <w:t>门</w:t>
            </w:r>
          </w:p>
          <w:p>
            <w:pPr>
              <w:jc w:val="center"/>
              <w:rPr>
                <w:color w:val="auto"/>
                <w:sz w:val="24"/>
                <w:highlight w:val="none"/>
              </w:rPr>
            </w:pPr>
            <w:r>
              <w:rPr>
                <w:rFonts w:hint="eastAsia"/>
                <w:color w:val="auto"/>
                <w:sz w:val="24"/>
                <w:highlight w:val="none"/>
              </w:rPr>
              <w:t>意</w:t>
            </w:r>
          </w:p>
          <w:p>
            <w:pPr>
              <w:jc w:val="center"/>
              <w:rPr>
                <w:color w:val="auto"/>
                <w:sz w:val="24"/>
                <w:highlight w:val="none"/>
              </w:rPr>
            </w:pPr>
            <w:r>
              <w:rPr>
                <w:rFonts w:hint="eastAsia"/>
                <w:color w:val="auto"/>
                <w:sz w:val="24"/>
                <w:highlight w:val="none"/>
              </w:rPr>
              <w:t>见</w:t>
            </w:r>
          </w:p>
        </w:tc>
        <w:tc>
          <w:tcPr>
            <w:tcW w:w="8009" w:type="dxa"/>
          </w:tcPr>
          <w:p>
            <w:pPr>
              <w:rPr>
                <w:color w:val="auto"/>
                <w:sz w:val="24"/>
                <w:highlight w:val="none"/>
              </w:rPr>
            </w:pPr>
            <w:r>
              <w:rPr>
                <w:rFonts w:hint="eastAsia"/>
                <w:color w:val="auto"/>
                <w:sz w:val="24"/>
                <w:highlight w:val="none"/>
              </w:rPr>
              <w:t>此表于</w:t>
            </w:r>
            <w:r>
              <w:rPr>
                <w:rFonts w:hint="eastAsia"/>
                <w:color w:val="auto"/>
                <w:sz w:val="24"/>
                <w:highlight w:val="none"/>
                <w:u w:val="single"/>
              </w:rPr>
              <w:t xml:space="preserve">     </w:t>
            </w:r>
            <w:r>
              <w:rPr>
                <w:rFonts w:hint="eastAsia"/>
                <w:color w:val="auto"/>
                <w:sz w:val="24"/>
                <w:highlight w:val="none"/>
              </w:rPr>
              <w:t>年</w:t>
            </w:r>
            <w:r>
              <w:rPr>
                <w:rFonts w:hint="eastAsia"/>
                <w:color w:val="auto"/>
                <w:sz w:val="24"/>
                <w:highlight w:val="none"/>
                <w:u w:val="single"/>
              </w:rPr>
              <w:t xml:space="preserve">     </w:t>
            </w:r>
            <w:r>
              <w:rPr>
                <w:rFonts w:hint="eastAsia"/>
                <w:color w:val="auto"/>
                <w:sz w:val="24"/>
                <w:highlight w:val="none"/>
              </w:rPr>
              <w:t>月</w:t>
            </w:r>
            <w:r>
              <w:rPr>
                <w:rFonts w:hint="eastAsia"/>
                <w:color w:val="auto"/>
                <w:sz w:val="24"/>
                <w:highlight w:val="none"/>
                <w:u w:val="single"/>
              </w:rPr>
              <w:t xml:space="preserve">      </w:t>
            </w:r>
            <w:r>
              <w:rPr>
                <w:rFonts w:hint="eastAsia"/>
                <w:color w:val="auto"/>
                <w:sz w:val="24"/>
                <w:highlight w:val="none"/>
              </w:rPr>
              <w:t>日收到。</w:t>
            </w:r>
          </w:p>
          <w:p>
            <w:pPr>
              <w:rPr>
                <w:color w:val="auto"/>
                <w:sz w:val="24"/>
                <w:highlight w:val="none"/>
              </w:rPr>
            </w:pPr>
          </w:p>
          <w:p>
            <w:pPr>
              <w:rPr>
                <w:color w:val="auto"/>
                <w:sz w:val="24"/>
                <w:highlight w:val="none"/>
              </w:rPr>
            </w:pPr>
            <w:r>
              <w:rPr>
                <w:rFonts w:hint="eastAsia"/>
                <w:color w:val="auto"/>
                <w:sz w:val="24"/>
                <w:highlight w:val="none"/>
              </w:rPr>
              <w:t>会计审核：</w:t>
            </w:r>
          </w:p>
          <w:p>
            <w:pPr>
              <w:rPr>
                <w:color w:val="auto"/>
                <w:sz w:val="24"/>
                <w:highlight w:val="none"/>
              </w:rPr>
            </w:pPr>
          </w:p>
          <w:p>
            <w:pPr>
              <w:rPr>
                <w:color w:val="auto"/>
                <w:sz w:val="24"/>
                <w:highlight w:val="none"/>
              </w:rPr>
            </w:pPr>
            <w:r>
              <w:rPr>
                <w:rFonts w:hint="eastAsia"/>
                <w:color w:val="auto"/>
                <w:sz w:val="24"/>
                <w:highlight w:val="none"/>
              </w:rPr>
              <w:t>财务负责人审核：</w:t>
            </w:r>
          </w:p>
          <w:p>
            <w:pPr>
              <w:rPr>
                <w:color w:val="auto"/>
                <w:sz w:val="24"/>
                <w:highlight w:val="none"/>
              </w:rPr>
            </w:pPr>
          </w:p>
          <w:p>
            <w:pPr>
              <w:rPr>
                <w:color w:val="auto"/>
                <w:sz w:val="24"/>
                <w:highlight w:val="none"/>
              </w:rPr>
            </w:pPr>
            <w:r>
              <w:rPr>
                <w:rFonts w:hint="eastAsia"/>
                <w:color w:val="auto"/>
                <w:sz w:val="24"/>
                <w:highlight w:val="none"/>
              </w:rPr>
              <w:t>单位负责人签字：</w:t>
            </w:r>
          </w:p>
          <w:p>
            <w:pPr>
              <w:rPr>
                <w:color w:val="auto"/>
                <w:sz w:val="24"/>
                <w:highlight w:val="none"/>
              </w:rPr>
            </w:pPr>
          </w:p>
          <w:p>
            <w:pPr>
              <w:rPr>
                <w:color w:val="auto"/>
                <w:sz w:val="24"/>
                <w:highlight w:val="none"/>
              </w:rPr>
            </w:pPr>
            <w:r>
              <w:rPr>
                <w:rFonts w:hint="eastAsia"/>
                <w:color w:val="auto"/>
                <w:sz w:val="24"/>
                <w:highlight w:val="none"/>
              </w:rPr>
              <w:t>出纳办理转账日期：</w:t>
            </w:r>
          </w:p>
        </w:tc>
      </w:tr>
    </w:tbl>
    <w:p>
      <w:pPr>
        <w:pStyle w:val="13"/>
        <w:ind w:left="1" w:firstLine="2" w:firstLineChars="1"/>
        <w:rPr>
          <w:rFonts w:ascii="宋体"/>
          <w:b/>
          <w:bCs/>
          <w:color w:val="auto"/>
          <w:sz w:val="18"/>
          <w:szCs w:val="18"/>
          <w:highlight w:val="none"/>
        </w:rPr>
      </w:pPr>
    </w:p>
    <w:p>
      <w:pPr>
        <w:pStyle w:val="13"/>
        <w:ind w:left="1" w:firstLine="2" w:firstLineChars="1"/>
        <w:rPr>
          <w:rFonts w:ascii="宋体"/>
          <w:b/>
          <w:bCs/>
          <w:color w:val="auto"/>
          <w:sz w:val="18"/>
          <w:szCs w:val="18"/>
          <w:highlight w:val="none"/>
        </w:rPr>
      </w:pPr>
      <w:r>
        <w:rPr>
          <w:rFonts w:hint="eastAsia" w:ascii="宋体"/>
          <w:b/>
          <w:bCs/>
          <w:color w:val="auto"/>
          <w:sz w:val="18"/>
          <w:szCs w:val="18"/>
          <w:highlight w:val="none"/>
        </w:rPr>
        <w:t>注：供应商凭经采购人审批的退付意见书到履约保证金收取单位财务部门办理履约保证金退付事宜。</w:t>
      </w:r>
    </w:p>
    <w:p>
      <w:pPr>
        <w:pStyle w:val="21"/>
        <w:rPr>
          <w:rFonts w:hint="eastAsia" w:ascii="宋体" w:hAnsi="宋体" w:cs="仿宋_GB2312"/>
          <w:color w:val="auto"/>
          <w:sz w:val="24"/>
          <w:szCs w:val="24"/>
          <w:highlight w:val="none"/>
        </w:rPr>
      </w:pPr>
    </w:p>
    <w:p>
      <w:pPr>
        <w:spacing w:line="520" w:lineRule="exact"/>
        <w:jc w:val="center"/>
        <w:rPr>
          <w:rFonts w:hint="eastAsia" w:ascii="宋体" w:hAnsi="宋体" w:eastAsia="宋体" w:cs="Times New Roman"/>
          <w:color w:val="auto"/>
          <w:sz w:val="24"/>
          <w:szCs w:val="24"/>
          <w:highlight w:val="none"/>
        </w:rPr>
      </w:pPr>
    </w:p>
    <w:p>
      <w:pPr>
        <w:spacing w:line="520" w:lineRule="exact"/>
        <w:jc w:val="center"/>
        <w:rPr>
          <w:rFonts w:hint="eastAsia" w:ascii="宋体" w:hAnsi="宋体" w:eastAsia="宋体" w:cs="Times New Roman"/>
          <w:color w:val="auto"/>
          <w:sz w:val="24"/>
          <w:szCs w:val="24"/>
          <w:highlight w:val="none"/>
        </w:rPr>
      </w:pPr>
    </w:p>
    <w:p>
      <w:pPr>
        <w:spacing w:line="360" w:lineRule="auto"/>
        <w:jc w:val="center"/>
        <w:rPr>
          <w:rFonts w:hint="eastAsia" w:ascii="宋体" w:hAnsi="宋体" w:eastAsia="宋体" w:cs="Times New Roman"/>
          <w:b/>
          <w:bCs/>
          <w:color w:val="auto"/>
          <w:sz w:val="44"/>
          <w:szCs w:val="44"/>
          <w:highlight w:val="none"/>
        </w:rPr>
      </w:pPr>
    </w:p>
    <w:p>
      <w:pPr>
        <w:spacing w:line="360" w:lineRule="auto"/>
        <w:jc w:val="center"/>
        <w:rPr>
          <w:rFonts w:hint="eastAsia" w:ascii="宋体" w:hAnsi="宋体" w:eastAsia="宋体" w:cs="Times New Roman"/>
          <w:b/>
          <w:bCs/>
          <w:color w:val="auto"/>
          <w:sz w:val="44"/>
          <w:szCs w:val="44"/>
          <w:highlight w:val="none"/>
        </w:rPr>
      </w:pPr>
    </w:p>
    <w:p>
      <w:pPr>
        <w:keepNext/>
        <w:keepLines/>
        <w:spacing w:before="340" w:after="330" w:line="578" w:lineRule="auto"/>
        <w:jc w:val="center"/>
        <w:outlineLvl w:val="0"/>
        <w:rPr>
          <w:rFonts w:hint="eastAsia" w:ascii="宋体" w:hAnsi="宋体" w:eastAsia="宋体" w:cs="Times New Roman"/>
          <w:color w:val="auto"/>
          <w:kern w:val="44"/>
          <w:sz w:val="44"/>
          <w:szCs w:val="44"/>
          <w:highlight w:val="none"/>
          <w:lang w:val="zh-CN"/>
        </w:rPr>
      </w:pPr>
      <w:bookmarkStart w:id="191" w:name="_Toc10008"/>
      <w:bookmarkStart w:id="192" w:name="_Toc15382"/>
      <w:bookmarkStart w:id="193" w:name="_Toc80205943"/>
      <w:bookmarkStart w:id="194" w:name="_Toc21248"/>
      <w:bookmarkStart w:id="195" w:name="_Toc23849"/>
      <w:bookmarkStart w:id="196" w:name="_Toc20554"/>
      <w:bookmarkStart w:id="197" w:name="_Toc22077"/>
      <w:bookmarkStart w:id="198" w:name="_Toc4631"/>
      <w:bookmarkStart w:id="199" w:name="_Toc19175"/>
      <w:r>
        <w:rPr>
          <w:rFonts w:hint="eastAsia" w:ascii="宋体" w:hAnsi="宋体" w:eastAsia="宋体" w:cs="Times New Roman"/>
          <w:color w:val="auto"/>
          <w:kern w:val="44"/>
          <w:sz w:val="44"/>
          <w:szCs w:val="44"/>
          <w:highlight w:val="none"/>
          <w:lang w:val="zh-CN"/>
        </w:rPr>
        <w:t>第六章 合同文本</w:t>
      </w:r>
      <w:bookmarkEnd w:id="191"/>
      <w:bookmarkEnd w:id="192"/>
      <w:bookmarkEnd w:id="193"/>
      <w:bookmarkEnd w:id="194"/>
      <w:bookmarkEnd w:id="195"/>
      <w:bookmarkEnd w:id="196"/>
      <w:bookmarkEnd w:id="197"/>
      <w:bookmarkEnd w:id="198"/>
    </w:p>
    <w:bookmarkEnd w:id="199"/>
    <w:p>
      <w:pPr>
        <w:keepNext/>
        <w:keepLines/>
        <w:spacing w:before="340" w:after="330" w:line="578" w:lineRule="auto"/>
        <w:jc w:val="center"/>
        <w:outlineLvl w:val="0"/>
        <w:rPr>
          <w:rFonts w:hint="eastAsia" w:ascii="仿宋_GB2312" w:hAnsi="楷体" w:eastAsia="仿宋_GB2312" w:cs="Times New Roman"/>
          <w:b/>
          <w:bCs/>
          <w:color w:val="auto"/>
          <w:kern w:val="44"/>
          <w:sz w:val="24"/>
          <w:szCs w:val="44"/>
          <w:highlight w:val="none"/>
          <w:u w:val="single"/>
          <w:lang w:val="zh-CN"/>
        </w:rPr>
      </w:pPr>
    </w:p>
    <w:p>
      <w:pPr>
        <w:jc w:val="left"/>
        <w:rPr>
          <w:rFonts w:hint="eastAsia" w:ascii="宋体" w:hAnsi="宋体"/>
          <w:b/>
          <w:color w:val="auto"/>
          <w:sz w:val="24"/>
          <w:szCs w:val="24"/>
          <w:highlight w:val="none"/>
        </w:rPr>
      </w:pPr>
      <w:r>
        <w:rPr>
          <w:rFonts w:hint="eastAsia" w:ascii="宋体" w:hAnsi="宋体"/>
          <w:b/>
          <w:color w:val="auto"/>
          <w:sz w:val="24"/>
          <w:szCs w:val="24"/>
          <w:highlight w:val="none"/>
        </w:rPr>
        <w:br w:type="page"/>
      </w:r>
    </w:p>
    <w:p>
      <w:pPr>
        <w:snapToGrid w:val="0"/>
        <w:spacing w:line="400" w:lineRule="exact"/>
        <w:jc w:val="center"/>
        <w:rPr>
          <w:rFonts w:hint="eastAsia" w:ascii="宋体" w:hAnsi="宋体"/>
          <w:b/>
          <w:bCs/>
          <w:color w:val="auto"/>
          <w:sz w:val="32"/>
          <w:szCs w:val="32"/>
          <w:highlight w:val="none"/>
        </w:rPr>
      </w:pPr>
    </w:p>
    <w:p>
      <w:pPr>
        <w:snapToGrid w:val="0"/>
        <w:spacing w:line="400" w:lineRule="exact"/>
        <w:jc w:val="center"/>
        <w:rPr>
          <w:rFonts w:hint="eastAsia" w:ascii="宋体" w:hAnsi="宋体"/>
          <w:b/>
          <w:bCs/>
          <w:color w:val="auto"/>
          <w:sz w:val="32"/>
          <w:szCs w:val="32"/>
          <w:highlight w:val="none"/>
        </w:rPr>
      </w:pPr>
      <w:r>
        <w:rPr>
          <w:rFonts w:hint="eastAsia" w:ascii="宋体" w:hAnsi="宋体"/>
          <w:b/>
          <w:bCs/>
          <w:color w:val="auto"/>
          <w:sz w:val="32"/>
          <w:szCs w:val="32"/>
          <w:highlight w:val="none"/>
        </w:rPr>
        <w:t>《广西壮族自治区政府采购合同》文本</w:t>
      </w:r>
    </w:p>
    <w:p>
      <w:pPr>
        <w:snapToGrid w:val="0"/>
        <w:spacing w:line="400" w:lineRule="exact"/>
        <w:ind w:right="480" w:firstLine="5250" w:firstLineChars="2500"/>
        <w:rPr>
          <w:rFonts w:hint="eastAsia" w:ascii="宋体" w:hAnsi="宋体"/>
          <w:bCs/>
          <w:color w:val="auto"/>
          <w:szCs w:val="21"/>
          <w:highlight w:val="none"/>
        </w:rPr>
      </w:pPr>
    </w:p>
    <w:p>
      <w:pPr>
        <w:snapToGrid w:val="0"/>
        <w:spacing w:line="360" w:lineRule="auto"/>
        <w:ind w:firstLine="5670" w:firstLineChars="2700"/>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合同编号：</w:t>
      </w:r>
      <w:r>
        <w:rPr>
          <w:rFonts w:hint="eastAsia" w:ascii="宋体" w:hAnsi="宋体" w:eastAsia="宋体" w:cs="宋体"/>
          <w:color w:val="auto"/>
          <w:szCs w:val="21"/>
          <w:highlight w:val="none"/>
          <w:u w:val="single"/>
        </w:rPr>
        <w:t xml:space="preserve">              </w:t>
      </w:r>
    </w:p>
    <w:p>
      <w:pPr>
        <w:snapToGrid w:val="0"/>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采购人（甲方）：</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r>
        <w:rPr>
          <w:rFonts w:hint="eastAsia" w:ascii="宋体" w:hAnsi="宋体" w:eastAsia="宋体" w:cs="宋体"/>
          <w:color w:val="auto"/>
          <w:spacing w:val="-20"/>
          <w:szCs w:val="21"/>
          <w:highlight w:val="none"/>
        </w:rPr>
        <w:t>采 购 计 划 号：</w:t>
      </w:r>
      <w:r>
        <w:rPr>
          <w:rFonts w:hint="eastAsia" w:ascii="宋体" w:hAnsi="宋体" w:eastAsia="宋体" w:cs="宋体"/>
          <w:color w:val="auto"/>
          <w:szCs w:val="21"/>
          <w:highlight w:val="none"/>
          <w:u w:val="single"/>
        </w:rPr>
        <w:t xml:space="preserve">             </w:t>
      </w:r>
    </w:p>
    <w:p>
      <w:pPr>
        <w:snapToGrid w:val="0"/>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成交供应商（乙方）：</w:t>
      </w:r>
      <w:r>
        <w:rPr>
          <w:rFonts w:hint="eastAsia" w:ascii="宋体" w:hAnsi="宋体" w:eastAsia="宋体" w:cs="宋体"/>
          <w:color w:val="auto"/>
          <w:szCs w:val="21"/>
          <w:highlight w:val="none"/>
          <w:u w:val="single"/>
        </w:rPr>
        <w:t xml:space="preserve">                       </w:t>
      </w:r>
    </w:p>
    <w:p>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项目名称：</w:t>
      </w:r>
      <w:r>
        <w:rPr>
          <w:rFonts w:hint="eastAsia" w:ascii="宋体" w:hAnsi="宋体" w:eastAsia="宋体" w:cs="宋体"/>
          <w:color w:val="auto"/>
          <w:sz w:val="18"/>
          <w:szCs w:val="21"/>
          <w:highlight w:val="none"/>
          <w:u w:val="single"/>
        </w:rPr>
        <w:t xml:space="preserve">                                       </w:t>
      </w:r>
      <w:r>
        <w:rPr>
          <w:rFonts w:hint="eastAsia" w:ascii="宋体" w:hAnsi="宋体" w:eastAsia="宋体" w:cs="宋体"/>
          <w:color w:val="auto"/>
          <w:szCs w:val="21"/>
          <w:highlight w:val="none"/>
        </w:rPr>
        <w:t xml:space="preserve">                               </w:t>
      </w:r>
    </w:p>
    <w:p>
      <w:pPr>
        <w:snapToGrid w:val="0"/>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项目</w:t>
      </w:r>
      <w:r>
        <w:rPr>
          <w:rFonts w:hint="eastAsia" w:ascii="宋体" w:hAnsi="宋体" w:eastAsia="宋体" w:cs="宋体"/>
          <w:color w:val="auto"/>
          <w:spacing w:val="-20"/>
          <w:szCs w:val="21"/>
          <w:highlight w:val="none"/>
        </w:rPr>
        <w:t>编 号：</w:t>
      </w:r>
      <w:r>
        <w:rPr>
          <w:rFonts w:hint="eastAsia" w:ascii="宋体" w:hAnsi="宋体" w:eastAsia="宋体" w:cs="宋体"/>
          <w:color w:val="auto"/>
          <w:szCs w:val="21"/>
          <w:highlight w:val="none"/>
          <w:u w:val="single"/>
        </w:rPr>
        <w:t xml:space="preserve">                                  </w:t>
      </w:r>
    </w:p>
    <w:p>
      <w:pPr>
        <w:snapToGrid w:val="0"/>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签订地点：</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签订时间：</w:t>
      </w:r>
      <w:r>
        <w:rPr>
          <w:rFonts w:hint="eastAsia" w:ascii="宋体" w:hAnsi="宋体" w:eastAsia="宋体" w:cs="宋体"/>
          <w:color w:val="auto"/>
          <w:szCs w:val="21"/>
          <w:highlight w:val="none"/>
          <w:u w:val="single"/>
        </w:rPr>
        <w:t xml:space="preserve">                   </w:t>
      </w:r>
    </w:p>
    <w:p>
      <w:pPr>
        <w:snapToGrid w:val="0"/>
        <w:spacing w:line="360" w:lineRule="auto"/>
        <w:ind w:firstLine="420" w:firstLineChars="200"/>
        <w:rPr>
          <w:rFonts w:hint="eastAsia" w:ascii="宋体" w:hAnsi="宋体" w:eastAsia="宋体" w:cs="宋体"/>
          <w:color w:val="auto"/>
          <w:szCs w:val="21"/>
          <w:highlight w:val="none"/>
        </w:rPr>
      </w:pP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根据《中华人民共和国政府采购法》、《中华人民共和国民法典》等法律、法规规定，按照竞争性谈判文件（采购文件）规定条款和成交供应商承诺，甲乙双方签订本合同。</w:t>
      </w:r>
    </w:p>
    <w:p>
      <w:pPr>
        <w:snapToGrid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第一条　合同标的</w:t>
      </w:r>
    </w:p>
    <w:p>
      <w:pPr>
        <w:snapToGrid w:val="0"/>
        <w:spacing w:line="360"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1.合同总金额：（大写）</w:t>
      </w:r>
      <w:r>
        <w:rPr>
          <w:rFonts w:hint="eastAsia" w:ascii="宋体" w:hAnsi="宋体" w:eastAsia="宋体" w:cs="宋体"/>
          <w:color w:val="auto"/>
          <w:szCs w:val="21"/>
          <w:highlight w:val="none"/>
          <w:u w:val="single"/>
        </w:rPr>
        <w:t xml:space="preserve">人民币                      </w:t>
      </w:r>
      <w:r>
        <w:rPr>
          <w:rFonts w:hint="eastAsia" w:ascii="宋体" w:hAnsi="宋体" w:eastAsia="宋体" w:cs="宋体"/>
          <w:color w:val="auto"/>
          <w:szCs w:val="21"/>
          <w:highlight w:val="none"/>
        </w:rPr>
        <w:t>（小写）¥</w:t>
      </w:r>
      <w:r>
        <w:rPr>
          <w:rFonts w:hint="eastAsia" w:ascii="宋体" w:hAnsi="宋体" w:eastAsia="宋体" w:cs="宋体"/>
          <w:color w:val="auto"/>
          <w:szCs w:val="21"/>
          <w:highlight w:val="none"/>
          <w:u w:val="single"/>
        </w:rPr>
        <w:t xml:space="preserve">               </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2.供货一览表</w:t>
      </w:r>
    </w:p>
    <w:tbl>
      <w:tblPr>
        <w:tblStyle w:val="29"/>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33"/>
        <w:gridCol w:w="1059"/>
        <w:gridCol w:w="1233"/>
        <w:gridCol w:w="1210"/>
        <w:gridCol w:w="908"/>
        <w:gridCol w:w="668"/>
        <w:gridCol w:w="1149"/>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709" w:type="dxa"/>
            <w:vAlign w:val="center"/>
          </w:tcPr>
          <w:p>
            <w:pP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233" w:type="dxa"/>
            <w:vAlign w:val="center"/>
          </w:tcPr>
          <w:p>
            <w:pP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标的名称</w:t>
            </w:r>
          </w:p>
        </w:tc>
        <w:tc>
          <w:tcPr>
            <w:tcW w:w="1059" w:type="dxa"/>
            <w:vAlign w:val="center"/>
          </w:tcPr>
          <w:p>
            <w:pP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品牌</w:t>
            </w:r>
          </w:p>
          <w:p>
            <w:pP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（如有）</w:t>
            </w:r>
          </w:p>
        </w:tc>
        <w:tc>
          <w:tcPr>
            <w:tcW w:w="1233" w:type="dxa"/>
            <w:vAlign w:val="center"/>
          </w:tcPr>
          <w:p>
            <w:pP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规格型号</w:t>
            </w:r>
          </w:p>
        </w:tc>
        <w:tc>
          <w:tcPr>
            <w:tcW w:w="1210" w:type="dxa"/>
            <w:vAlign w:val="center"/>
          </w:tcPr>
          <w:p>
            <w:pP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生产厂家</w:t>
            </w:r>
          </w:p>
        </w:tc>
        <w:tc>
          <w:tcPr>
            <w:tcW w:w="908" w:type="dxa"/>
            <w:vAlign w:val="center"/>
          </w:tcPr>
          <w:p>
            <w:pP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单位</w:t>
            </w:r>
          </w:p>
        </w:tc>
        <w:tc>
          <w:tcPr>
            <w:tcW w:w="668" w:type="dxa"/>
            <w:vAlign w:val="center"/>
          </w:tcPr>
          <w:p>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数量</w:t>
            </w:r>
          </w:p>
          <w:p>
            <w:pP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①</w:t>
            </w:r>
          </w:p>
        </w:tc>
        <w:tc>
          <w:tcPr>
            <w:tcW w:w="1149" w:type="dxa"/>
            <w:vAlign w:val="center"/>
          </w:tcPr>
          <w:p>
            <w:pP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单价（元）②</w:t>
            </w:r>
          </w:p>
        </w:tc>
        <w:tc>
          <w:tcPr>
            <w:tcW w:w="1593" w:type="dxa"/>
            <w:vAlign w:val="center"/>
          </w:tcPr>
          <w:p>
            <w:pP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单项合计（元）</w:t>
            </w:r>
          </w:p>
          <w:p>
            <w:pP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＝①X②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09" w:type="dxa"/>
            <w:vAlign w:val="center"/>
          </w:tcPr>
          <w:p>
            <w:pP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233" w:type="dxa"/>
            <w:vAlign w:val="center"/>
          </w:tcPr>
          <w:p>
            <w:pPr>
              <w:snapToGrid w:val="0"/>
              <w:spacing w:line="360" w:lineRule="auto"/>
              <w:jc w:val="center"/>
              <w:rPr>
                <w:rFonts w:hint="eastAsia" w:ascii="宋体" w:hAnsi="宋体" w:eastAsia="宋体" w:cs="宋体"/>
                <w:color w:val="auto"/>
                <w:szCs w:val="21"/>
                <w:highlight w:val="none"/>
              </w:rPr>
            </w:pPr>
          </w:p>
        </w:tc>
        <w:tc>
          <w:tcPr>
            <w:tcW w:w="1059" w:type="dxa"/>
            <w:vAlign w:val="center"/>
          </w:tcPr>
          <w:p>
            <w:pPr>
              <w:snapToGrid w:val="0"/>
              <w:spacing w:line="360" w:lineRule="auto"/>
              <w:jc w:val="center"/>
              <w:rPr>
                <w:rFonts w:hint="eastAsia" w:ascii="宋体" w:hAnsi="宋体" w:eastAsia="宋体" w:cs="宋体"/>
                <w:color w:val="auto"/>
                <w:szCs w:val="21"/>
                <w:highlight w:val="none"/>
              </w:rPr>
            </w:pPr>
          </w:p>
        </w:tc>
        <w:tc>
          <w:tcPr>
            <w:tcW w:w="1233" w:type="dxa"/>
            <w:vAlign w:val="center"/>
          </w:tcPr>
          <w:p>
            <w:pPr>
              <w:snapToGrid w:val="0"/>
              <w:spacing w:line="360" w:lineRule="auto"/>
              <w:jc w:val="center"/>
              <w:rPr>
                <w:rFonts w:hint="eastAsia" w:ascii="宋体" w:hAnsi="宋体" w:eastAsia="宋体" w:cs="宋体"/>
                <w:color w:val="auto"/>
                <w:szCs w:val="21"/>
                <w:highlight w:val="none"/>
              </w:rPr>
            </w:pPr>
          </w:p>
        </w:tc>
        <w:tc>
          <w:tcPr>
            <w:tcW w:w="1210" w:type="dxa"/>
          </w:tcPr>
          <w:p>
            <w:pPr>
              <w:snapToGrid w:val="0"/>
              <w:spacing w:line="360" w:lineRule="auto"/>
              <w:jc w:val="center"/>
              <w:rPr>
                <w:rFonts w:hint="eastAsia" w:ascii="宋体" w:hAnsi="宋体" w:eastAsia="宋体" w:cs="宋体"/>
                <w:color w:val="auto"/>
                <w:szCs w:val="21"/>
                <w:highlight w:val="none"/>
              </w:rPr>
            </w:pPr>
          </w:p>
        </w:tc>
        <w:tc>
          <w:tcPr>
            <w:tcW w:w="908" w:type="dxa"/>
          </w:tcPr>
          <w:p>
            <w:pPr>
              <w:snapToGrid w:val="0"/>
              <w:spacing w:line="360" w:lineRule="auto"/>
              <w:jc w:val="center"/>
              <w:rPr>
                <w:rFonts w:hint="eastAsia" w:ascii="宋体" w:hAnsi="宋体" w:eastAsia="宋体" w:cs="宋体"/>
                <w:color w:val="auto"/>
                <w:szCs w:val="21"/>
                <w:highlight w:val="none"/>
              </w:rPr>
            </w:pPr>
          </w:p>
        </w:tc>
        <w:tc>
          <w:tcPr>
            <w:tcW w:w="668" w:type="dxa"/>
          </w:tcPr>
          <w:p>
            <w:pPr>
              <w:snapToGrid w:val="0"/>
              <w:spacing w:line="360" w:lineRule="auto"/>
              <w:jc w:val="center"/>
              <w:rPr>
                <w:rFonts w:hint="eastAsia" w:ascii="宋体" w:hAnsi="宋体" w:eastAsia="宋体" w:cs="宋体"/>
                <w:color w:val="auto"/>
                <w:szCs w:val="21"/>
                <w:highlight w:val="none"/>
              </w:rPr>
            </w:pPr>
          </w:p>
        </w:tc>
        <w:tc>
          <w:tcPr>
            <w:tcW w:w="1149" w:type="dxa"/>
            <w:vAlign w:val="center"/>
          </w:tcPr>
          <w:p>
            <w:pPr>
              <w:snapToGrid w:val="0"/>
              <w:spacing w:line="360" w:lineRule="auto"/>
              <w:jc w:val="center"/>
              <w:rPr>
                <w:rFonts w:hint="eastAsia" w:ascii="宋体" w:hAnsi="宋体" w:eastAsia="宋体" w:cs="宋体"/>
                <w:color w:val="auto"/>
                <w:szCs w:val="21"/>
                <w:highlight w:val="none"/>
              </w:rPr>
            </w:pPr>
          </w:p>
        </w:tc>
        <w:tc>
          <w:tcPr>
            <w:tcW w:w="1593" w:type="dxa"/>
            <w:vAlign w:val="center"/>
          </w:tcPr>
          <w:p>
            <w:pPr>
              <w:snapToGrid w:val="0"/>
              <w:spacing w:line="360" w:lineRule="auto"/>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09" w:type="dxa"/>
            <w:vAlign w:val="center"/>
          </w:tcPr>
          <w:p>
            <w:pP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1233" w:type="dxa"/>
            <w:vAlign w:val="center"/>
          </w:tcPr>
          <w:p>
            <w:pPr>
              <w:snapToGrid w:val="0"/>
              <w:spacing w:line="360" w:lineRule="auto"/>
              <w:jc w:val="center"/>
              <w:rPr>
                <w:rFonts w:hint="eastAsia" w:ascii="宋体" w:hAnsi="宋体" w:eastAsia="宋体" w:cs="宋体"/>
                <w:color w:val="auto"/>
                <w:szCs w:val="21"/>
                <w:highlight w:val="none"/>
              </w:rPr>
            </w:pPr>
          </w:p>
        </w:tc>
        <w:tc>
          <w:tcPr>
            <w:tcW w:w="1059" w:type="dxa"/>
            <w:vAlign w:val="center"/>
          </w:tcPr>
          <w:p>
            <w:pPr>
              <w:snapToGrid w:val="0"/>
              <w:spacing w:line="360" w:lineRule="auto"/>
              <w:jc w:val="center"/>
              <w:rPr>
                <w:rFonts w:hint="eastAsia" w:ascii="宋体" w:hAnsi="宋体" w:eastAsia="宋体" w:cs="宋体"/>
                <w:color w:val="auto"/>
                <w:szCs w:val="21"/>
                <w:highlight w:val="none"/>
              </w:rPr>
            </w:pPr>
          </w:p>
        </w:tc>
        <w:tc>
          <w:tcPr>
            <w:tcW w:w="1233" w:type="dxa"/>
            <w:vAlign w:val="center"/>
          </w:tcPr>
          <w:p>
            <w:pPr>
              <w:snapToGrid w:val="0"/>
              <w:spacing w:line="360" w:lineRule="auto"/>
              <w:jc w:val="center"/>
              <w:rPr>
                <w:rFonts w:hint="eastAsia" w:ascii="宋体" w:hAnsi="宋体" w:eastAsia="宋体" w:cs="宋体"/>
                <w:color w:val="auto"/>
                <w:szCs w:val="21"/>
                <w:highlight w:val="none"/>
              </w:rPr>
            </w:pPr>
          </w:p>
        </w:tc>
        <w:tc>
          <w:tcPr>
            <w:tcW w:w="1210" w:type="dxa"/>
          </w:tcPr>
          <w:p>
            <w:pPr>
              <w:snapToGrid w:val="0"/>
              <w:spacing w:line="360" w:lineRule="auto"/>
              <w:jc w:val="center"/>
              <w:rPr>
                <w:rFonts w:hint="eastAsia" w:ascii="宋体" w:hAnsi="宋体" w:eastAsia="宋体" w:cs="宋体"/>
                <w:color w:val="auto"/>
                <w:szCs w:val="21"/>
                <w:highlight w:val="none"/>
              </w:rPr>
            </w:pPr>
          </w:p>
        </w:tc>
        <w:tc>
          <w:tcPr>
            <w:tcW w:w="908" w:type="dxa"/>
          </w:tcPr>
          <w:p>
            <w:pPr>
              <w:snapToGrid w:val="0"/>
              <w:spacing w:line="360" w:lineRule="auto"/>
              <w:jc w:val="center"/>
              <w:rPr>
                <w:rFonts w:hint="eastAsia" w:ascii="宋体" w:hAnsi="宋体" w:eastAsia="宋体" w:cs="宋体"/>
                <w:color w:val="auto"/>
                <w:szCs w:val="21"/>
                <w:highlight w:val="none"/>
              </w:rPr>
            </w:pPr>
          </w:p>
        </w:tc>
        <w:tc>
          <w:tcPr>
            <w:tcW w:w="668" w:type="dxa"/>
          </w:tcPr>
          <w:p>
            <w:pPr>
              <w:snapToGrid w:val="0"/>
              <w:spacing w:line="360" w:lineRule="auto"/>
              <w:jc w:val="center"/>
              <w:rPr>
                <w:rFonts w:hint="eastAsia" w:ascii="宋体" w:hAnsi="宋体" w:eastAsia="宋体" w:cs="宋体"/>
                <w:color w:val="auto"/>
                <w:szCs w:val="21"/>
                <w:highlight w:val="none"/>
              </w:rPr>
            </w:pPr>
          </w:p>
        </w:tc>
        <w:tc>
          <w:tcPr>
            <w:tcW w:w="1149" w:type="dxa"/>
            <w:vAlign w:val="center"/>
          </w:tcPr>
          <w:p>
            <w:pPr>
              <w:snapToGrid w:val="0"/>
              <w:spacing w:line="360" w:lineRule="auto"/>
              <w:jc w:val="center"/>
              <w:rPr>
                <w:rFonts w:hint="eastAsia" w:ascii="宋体" w:hAnsi="宋体" w:eastAsia="宋体" w:cs="宋体"/>
                <w:color w:val="auto"/>
                <w:szCs w:val="21"/>
                <w:highlight w:val="none"/>
              </w:rPr>
            </w:pPr>
          </w:p>
        </w:tc>
        <w:tc>
          <w:tcPr>
            <w:tcW w:w="1593" w:type="dxa"/>
            <w:vAlign w:val="center"/>
          </w:tcPr>
          <w:p>
            <w:pPr>
              <w:snapToGrid w:val="0"/>
              <w:spacing w:line="360" w:lineRule="auto"/>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709" w:type="dxa"/>
            <w:vAlign w:val="center"/>
          </w:tcPr>
          <w:p>
            <w:pP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233" w:type="dxa"/>
            <w:vAlign w:val="center"/>
          </w:tcPr>
          <w:p>
            <w:pPr>
              <w:snapToGrid w:val="0"/>
              <w:spacing w:line="360" w:lineRule="auto"/>
              <w:jc w:val="center"/>
              <w:rPr>
                <w:rFonts w:hint="eastAsia" w:ascii="宋体" w:hAnsi="宋体" w:eastAsia="宋体" w:cs="宋体"/>
                <w:color w:val="auto"/>
                <w:szCs w:val="21"/>
                <w:highlight w:val="none"/>
              </w:rPr>
            </w:pPr>
          </w:p>
        </w:tc>
        <w:tc>
          <w:tcPr>
            <w:tcW w:w="1059" w:type="dxa"/>
            <w:vAlign w:val="center"/>
          </w:tcPr>
          <w:p>
            <w:pPr>
              <w:snapToGrid w:val="0"/>
              <w:spacing w:line="360" w:lineRule="auto"/>
              <w:jc w:val="center"/>
              <w:rPr>
                <w:rFonts w:hint="eastAsia" w:ascii="宋体" w:hAnsi="宋体" w:eastAsia="宋体" w:cs="宋体"/>
                <w:color w:val="auto"/>
                <w:szCs w:val="21"/>
                <w:highlight w:val="none"/>
              </w:rPr>
            </w:pPr>
          </w:p>
        </w:tc>
        <w:tc>
          <w:tcPr>
            <w:tcW w:w="1233" w:type="dxa"/>
            <w:vAlign w:val="center"/>
          </w:tcPr>
          <w:p>
            <w:pPr>
              <w:snapToGrid w:val="0"/>
              <w:spacing w:line="360" w:lineRule="auto"/>
              <w:jc w:val="center"/>
              <w:rPr>
                <w:rFonts w:hint="eastAsia" w:ascii="宋体" w:hAnsi="宋体" w:eastAsia="宋体" w:cs="宋体"/>
                <w:color w:val="auto"/>
                <w:szCs w:val="21"/>
                <w:highlight w:val="none"/>
              </w:rPr>
            </w:pPr>
          </w:p>
        </w:tc>
        <w:tc>
          <w:tcPr>
            <w:tcW w:w="1210" w:type="dxa"/>
          </w:tcPr>
          <w:p>
            <w:pPr>
              <w:snapToGrid w:val="0"/>
              <w:spacing w:line="360" w:lineRule="auto"/>
              <w:jc w:val="center"/>
              <w:rPr>
                <w:rFonts w:hint="eastAsia" w:ascii="宋体" w:hAnsi="宋体" w:eastAsia="宋体" w:cs="宋体"/>
                <w:color w:val="auto"/>
                <w:szCs w:val="21"/>
                <w:highlight w:val="none"/>
              </w:rPr>
            </w:pPr>
          </w:p>
        </w:tc>
        <w:tc>
          <w:tcPr>
            <w:tcW w:w="908" w:type="dxa"/>
          </w:tcPr>
          <w:p>
            <w:pPr>
              <w:snapToGrid w:val="0"/>
              <w:spacing w:line="360" w:lineRule="auto"/>
              <w:jc w:val="center"/>
              <w:rPr>
                <w:rFonts w:hint="eastAsia" w:ascii="宋体" w:hAnsi="宋体" w:eastAsia="宋体" w:cs="宋体"/>
                <w:color w:val="auto"/>
                <w:szCs w:val="21"/>
                <w:highlight w:val="none"/>
              </w:rPr>
            </w:pPr>
          </w:p>
        </w:tc>
        <w:tc>
          <w:tcPr>
            <w:tcW w:w="668" w:type="dxa"/>
          </w:tcPr>
          <w:p>
            <w:pPr>
              <w:snapToGrid w:val="0"/>
              <w:spacing w:line="360" w:lineRule="auto"/>
              <w:jc w:val="center"/>
              <w:rPr>
                <w:rFonts w:hint="eastAsia" w:ascii="宋体" w:hAnsi="宋体" w:eastAsia="宋体" w:cs="宋体"/>
                <w:color w:val="auto"/>
                <w:szCs w:val="21"/>
                <w:highlight w:val="none"/>
              </w:rPr>
            </w:pPr>
          </w:p>
        </w:tc>
        <w:tc>
          <w:tcPr>
            <w:tcW w:w="1149" w:type="dxa"/>
            <w:vAlign w:val="center"/>
          </w:tcPr>
          <w:p>
            <w:pPr>
              <w:snapToGrid w:val="0"/>
              <w:spacing w:line="360" w:lineRule="auto"/>
              <w:jc w:val="center"/>
              <w:rPr>
                <w:rFonts w:hint="eastAsia" w:ascii="宋体" w:hAnsi="宋体" w:eastAsia="宋体" w:cs="宋体"/>
                <w:color w:val="auto"/>
                <w:szCs w:val="21"/>
                <w:highlight w:val="none"/>
              </w:rPr>
            </w:pPr>
          </w:p>
        </w:tc>
        <w:tc>
          <w:tcPr>
            <w:tcW w:w="1593" w:type="dxa"/>
            <w:vAlign w:val="center"/>
          </w:tcPr>
          <w:p>
            <w:pPr>
              <w:snapToGrid w:val="0"/>
              <w:spacing w:line="360" w:lineRule="auto"/>
              <w:jc w:val="center"/>
              <w:rPr>
                <w:rFonts w:hint="eastAsia"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762" w:type="dxa"/>
            <w:gridSpan w:val="9"/>
            <w:vAlign w:val="center"/>
          </w:tcPr>
          <w:p>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合计金额：（大写）</w:t>
            </w:r>
            <w:r>
              <w:rPr>
                <w:rFonts w:hint="eastAsia" w:ascii="宋体" w:hAnsi="宋体" w:eastAsia="宋体" w:cs="宋体"/>
                <w:color w:val="auto"/>
                <w:szCs w:val="21"/>
                <w:highlight w:val="none"/>
                <w:u w:val="single"/>
              </w:rPr>
              <w:t xml:space="preserve">人民币                      </w:t>
            </w:r>
            <w:r>
              <w:rPr>
                <w:rFonts w:hint="eastAsia" w:ascii="宋体" w:hAnsi="宋体" w:eastAsia="宋体" w:cs="宋体"/>
                <w:color w:val="auto"/>
                <w:szCs w:val="21"/>
                <w:highlight w:val="none"/>
              </w:rPr>
              <w:t>（小写）¥</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tc>
      </w:tr>
    </w:tbl>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合同总金额是履行合同的最终价格，必须包含竞标货物（包括备品备件、专用工具等）的价格（包括已在中国境内的进口货物完税后的仓库交货价、展室交货价或者货架交货价）及其运输（含保险）、安装（如有）、调试、检验、技术服务、培训和谈判文件要求提供的所有伴随服务、工程等费用和税费。如谈判文件对其另有规定的，从其规定。</w:t>
      </w:r>
    </w:p>
    <w:p>
      <w:pPr>
        <w:snapToGrid w:val="0"/>
        <w:spacing w:line="360" w:lineRule="auto"/>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第二条　质量要求</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1.乙方所提供的产品名称、商标品牌、生产厂家、规格型号、技术参数等质量必须与谈判文件规定及响应文件承诺相一致。乙方提供的节能和环保产品必须是列入政府采购品目清单的产品。</w:t>
      </w:r>
    </w:p>
    <w:p>
      <w:pPr>
        <w:snapToGrid w:val="0"/>
        <w:spacing w:line="360"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2.乙方所提供的货物必须是全新、未使用的原装产品，且在正常安装、使用和保养条件下，其使用寿命期内各项指标均达到谈判文件规定或者响应文件承诺的质量要求。</w:t>
      </w:r>
    </w:p>
    <w:p>
      <w:pPr>
        <w:snapToGrid w:val="0"/>
        <w:spacing w:line="360" w:lineRule="auto"/>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第三条　权利保证</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1.乙方应保证所提供货物在使用时不会侵犯任何第三方的专利权、商标权、工业设计权或者其他权利。</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2.乙方应按谈判文件规定或者响应文件承诺的时间向甲方提供使用货物的有关技术资料。</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没有甲方事先书面同意，乙方不得将由甲方提供的有关合同或者任何合同条文、规格、计划、图纸、样品或者资料提供给予履行本合同无关的任何其他人。即使向履行本合同有关的人员提供，也应注意保密并限于履行合同的必需范围。</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4.乙方保证将要交付的货物的所有权完全属于乙方且无任何抵押、质押、查封等产权瑕疵。</w:t>
      </w:r>
    </w:p>
    <w:p>
      <w:pPr>
        <w:snapToGrid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第四条　包装和运输</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1.乙方提供的货物均应按谈判文件规定或者响应文件承诺的要求的包装材料、包装标准、包装方式进行包装，每一包装单元内应附详细的装箱单和质量合格证。</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2.货物的运输方式：</w:t>
      </w:r>
      <w:r>
        <w:rPr>
          <w:rFonts w:hint="eastAsia" w:ascii="宋体" w:hAnsi="宋体" w:eastAsia="宋体" w:cs="宋体"/>
          <w:color w:val="auto"/>
          <w:szCs w:val="21"/>
          <w:highlight w:val="none"/>
          <w:u w:val="single"/>
        </w:rPr>
        <w:t xml:space="preserve"> 乙方自定 </w:t>
      </w:r>
      <w:r>
        <w:rPr>
          <w:rFonts w:hint="eastAsia" w:ascii="宋体" w:hAnsi="宋体" w:eastAsia="宋体" w:cs="宋体"/>
          <w:color w:val="auto"/>
          <w:szCs w:val="21"/>
          <w:highlight w:val="none"/>
        </w:rPr>
        <w:t>。</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3.乙方负责货物运输，货物运输合理损耗及计算方法：</w:t>
      </w:r>
      <w:r>
        <w:rPr>
          <w:rFonts w:hint="eastAsia" w:ascii="宋体" w:hAnsi="宋体" w:eastAsia="宋体" w:cs="宋体"/>
          <w:color w:val="auto"/>
          <w:szCs w:val="21"/>
          <w:highlight w:val="none"/>
          <w:u w:val="single"/>
        </w:rPr>
        <w:t xml:space="preserve">   乙方负责   </w:t>
      </w:r>
      <w:r>
        <w:rPr>
          <w:rFonts w:hint="eastAsia" w:ascii="宋体" w:hAnsi="宋体" w:eastAsia="宋体" w:cs="宋体"/>
          <w:color w:val="auto"/>
          <w:szCs w:val="21"/>
          <w:highlight w:val="none"/>
        </w:rPr>
        <w:t xml:space="preserve"> 。</w:t>
      </w:r>
    </w:p>
    <w:p>
      <w:pPr>
        <w:snapToGrid w:val="0"/>
        <w:spacing w:line="360" w:lineRule="auto"/>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第五条　交付</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1.交货时间：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；交货地点：</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2.乙方提供不符合谈判文件规定或者响应文件承诺的和本合同规定的货物，甲方有权拒绝接受。</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乙方应将所提供货物的装箱清单、用户手册、原厂保修卡、随机资料、工具和备品、备件等交付给甲方，货物属于进口产品的，供货时应同时附上中文使用说明书，如有缺失应在合理的规定时间内补齐，否则视为逾期交货。</w:t>
      </w:r>
    </w:p>
    <w:p>
      <w:pPr>
        <w:snapToGrid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第六条　安装和培训</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1.甲方应提供必要安装条件（如场地、电源、水源等）。</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2.乙方响应文件承诺负责甲方有关人员的培训。培训时间、地点：</w:t>
      </w:r>
      <w:r>
        <w:rPr>
          <w:rFonts w:hint="eastAsia" w:ascii="宋体" w:hAnsi="宋体" w:eastAsia="宋体" w:cs="宋体"/>
          <w:color w:val="auto"/>
          <w:szCs w:val="21"/>
          <w:highlight w:val="none"/>
          <w:u w:val="single"/>
        </w:rPr>
        <w:t xml:space="preserve">  由甲方指定   </w:t>
      </w:r>
      <w:r>
        <w:rPr>
          <w:rFonts w:hint="eastAsia" w:ascii="宋体" w:hAnsi="宋体" w:eastAsia="宋体" w:cs="宋体"/>
          <w:color w:val="auto"/>
          <w:szCs w:val="21"/>
          <w:highlight w:val="none"/>
        </w:rPr>
        <w:t xml:space="preserve"> 。</w:t>
      </w:r>
    </w:p>
    <w:p>
      <w:pPr>
        <w:snapToGrid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第七条  售后服务、质保期</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1.乙方应按照国家有关法律法规和“三包”规定以及本合同所附的《服务承诺》，为甲方提供售后服务。</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2.货物质保期：</w:t>
      </w:r>
      <w:r>
        <w:rPr>
          <w:rFonts w:hint="eastAsia" w:ascii="宋体" w:hAnsi="宋体" w:eastAsia="宋体" w:cs="宋体"/>
          <w:bCs/>
          <w:color w:val="auto"/>
          <w:szCs w:val="21"/>
          <w:highlight w:val="none"/>
          <w:u w:val="single"/>
        </w:rPr>
        <w:t>按乙方</w:t>
      </w:r>
      <w:r>
        <w:rPr>
          <w:rFonts w:hint="eastAsia" w:ascii="宋体" w:hAnsi="宋体" w:eastAsia="宋体" w:cs="宋体"/>
          <w:color w:val="auto"/>
          <w:szCs w:val="21"/>
          <w:highlight w:val="none"/>
        </w:rPr>
        <w:t>响应</w:t>
      </w:r>
      <w:r>
        <w:rPr>
          <w:rFonts w:hint="eastAsia" w:ascii="宋体" w:hAnsi="宋体" w:eastAsia="宋体" w:cs="宋体"/>
          <w:bCs/>
          <w:color w:val="auto"/>
          <w:szCs w:val="21"/>
          <w:highlight w:val="none"/>
          <w:u w:val="single"/>
        </w:rPr>
        <w:t>文件中所承诺的期限</w:t>
      </w:r>
      <w:r>
        <w:rPr>
          <w:rFonts w:hint="eastAsia" w:ascii="宋体" w:hAnsi="宋体" w:eastAsia="宋体" w:cs="宋体"/>
          <w:color w:val="auto"/>
          <w:szCs w:val="21"/>
          <w:highlight w:val="none"/>
        </w:rPr>
        <w:t>。</w:t>
      </w:r>
    </w:p>
    <w:p>
      <w:pPr>
        <w:snapToGrid w:val="0"/>
        <w:spacing w:line="360"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3.乙方提供的服务承诺和售后服务及保修期责任等其他具体约定事项。（见合同附件）</w:t>
      </w:r>
    </w:p>
    <w:p>
      <w:pPr>
        <w:snapToGrid w:val="0"/>
        <w:spacing w:line="360" w:lineRule="auto"/>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第八条　付款方式</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1</w:t>
      </w:r>
      <w:r>
        <w:rPr>
          <w:rFonts w:hint="eastAsia" w:ascii="宋体" w:hAnsi="宋体" w:eastAsia="宋体" w:cs="宋体"/>
          <w:color w:val="auto"/>
          <w:szCs w:val="21"/>
          <w:highlight w:val="none"/>
        </w:rPr>
        <w:t>.当采购数量与实际使用数量不一致时，乙方应根据实际使用量供货，合同的最终结算金额按实际使用量乘以成交单价进行计算，但不得超出合同价的10%。</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2.</w:t>
      </w:r>
      <w:r>
        <w:rPr>
          <w:rFonts w:hint="eastAsia" w:ascii="宋体" w:hAnsi="宋体" w:eastAsia="宋体" w:cs="宋体"/>
          <w:color w:val="auto"/>
          <w:szCs w:val="21"/>
          <w:highlight w:val="none"/>
        </w:rPr>
        <w:t>付款方式：</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w:t>
      </w:r>
    </w:p>
    <w:p>
      <w:pPr>
        <w:snapToGrid w:val="0"/>
        <w:spacing w:line="360" w:lineRule="auto"/>
        <w:ind w:firstLine="517" w:firstLineChars="245"/>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第九条　履约保证金</w:t>
      </w:r>
    </w:p>
    <w:p>
      <w:pPr>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本项目需要缴</w:t>
      </w:r>
      <w:r>
        <w:rPr>
          <w:rFonts w:hint="eastAsia" w:ascii="宋体" w:hAnsi="宋体" w:eastAsia="宋体" w:cs="宋体"/>
          <w:b/>
          <w:bCs/>
          <w:color w:val="auto"/>
          <w:kern w:val="0"/>
          <w:szCs w:val="21"/>
          <w:highlight w:val="none"/>
        </w:rPr>
        <w:t>纳</w:t>
      </w:r>
      <w:r>
        <w:rPr>
          <w:rFonts w:hint="eastAsia" w:ascii="宋体" w:hAnsi="宋体" w:eastAsia="宋体" w:cs="宋体"/>
          <w:b/>
          <w:bCs/>
          <w:color w:val="auto"/>
          <w:szCs w:val="21"/>
          <w:highlight w:val="none"/>
        </w:rPr>
        <w:t>履约保证金，相关要求如下：</w:t>
      </w:r>
    </w:p>
    <w:p>
      <w:pPr>
        <w:autoSpaceDE w:val="0"/>
        <w:autoSpaceDN w:val="0"/>
        <w:snapToGrid w:val="0"/>
        <w:spacing w:line="360" w:lineRule="auto"/>
        <w:ind w:firstLine="420" w:firstLineChars="200"/>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1.履约保证金金额：按本项目成交总金额的</w:t>
      </w:r>
      <w:r>
        <w:rPr>
          <w:rFonts w:hint="eastAsia" w:ascii="宋体" w:hAnsi="宋体" w:eastAsia="宋体" w:cs="宋体"/>
          <w:color w:val="auto"/>
          <w:szCs w:val="21"/>
          <w:highlight w:val="none"/>
          <w:u w:val="single"/>
        </w:rPr>
        <w:t xml:space="preserve"> 2  </w:t>
      </w:r>
      <w:r>
        <w:rPr>
          <w:rFonts w:hint="eastAsia" w:ascii="宋体" w:hAnsi="宋体" w:eastAsia="宋体" w:cs="宋体"/>
          <w:color w:val="auto"/>
          <w:szCs w:val="21"/>
          <w:highlight w:val="none"/>
        </w:rPr>
        <w:t>%</w:t>
      </w:r>
    </w:p>
    <w:p>
      <w:pPr>
        <w:autoSpaceDE w:val="0"/>
        <w:autoSpaceDN w:val="0"/>
        <w:snapToGrid w:val="0"/>
        <w:spacing w:line="360" w:lineRule="auto"/>
        <w:ind w:firstLine="420" w:firstLineChars="200"/>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2.履约保证金递交方式：乙方在</w:t>
      </w:r>
      <w:r>
        <w:rPr>
          <w:rFonts w:hint="eastAsia" w:ascii="宋体" w:hAnsi="宋体" w:eastAsia="宋体" w:cs="宋体"/>
          <w:color w:val="auto"/>
          <w:szCs w:val="21"/>
          <w:highlight w:val="none"/>
          <w:u w:val="single"/>
        </w:rPr>
        <w:t>签订合同前</w:t>
      </w:r>
      <w:r>
        <w:rPr>
          <w:rFonts w:hint="eastAsia" w:ascii="宋体" w:hAnsi="宋体" w:eastAsia="宋体" w:cs="宋体"/>
          <w:color w:val="auto"/>
          <w:szCs w:val="21"/>
          <w:highlight w:val="none"/>
        </w:rPr>
        <w:t>以银行转账、支票、汇票、本票或者金融机构、担保机构出具的保函等非现金方式向</w:t>
      </w:r>
      <w:r>
        <w:rPr>
          <w:rFonts w:hint="eastAsia" w:ascii="宋体" w:hAnsi="宋体" w:eastAsia="宋体" w:cs="宋体"/>
          <w:color w:val="auto"/>
          <w:szCs w:val="21"/>
          <w:highlight w:val="none"/>
          <w:u w:val="single"/>
        </w:rPr>
        <w:t>甲方</w:t>
      </w:r>
      <w:r>
        <w:rPr>
          <w:rFonts w:hint="eastAsia" w:ascii="宋体" w:hAnsi="宋体" w:eastAsia="宋体" w:cs="宋体"/>
          <w:color w:val="auto"/>
          <w:szCs w:val="21"/>
          <w:highlight w:val="none"/>
        </w:rPr>
        <w:t>提交。</w:t>
      </w:r>
    </w:p>
    <w:p>
      <w:pPr>
        <w:autoSpaceDE w:val="0"/>
        <w:autoSpaceDN w:val="0"/>
        <w:snapToGrid w:val="0"/>
        <w:spacing w:line="360" w:lineRule="auto"/>
        <w:ind w:firstLine="420" w:firstLineChars="200"/>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3.履约保证金退付方式、时间及条件：项目完成并通过甲方</w:t>
      </w:r>
      <w:bookmarkStart w:id="210" w:name="_GoBack"/>
      <w:bookmarkEnd w:id="210"/>
      <w:r>
        <w:rPr>
          <w:rFonts w:hint="eastAsia" w:ascii="宋体" w:hAnsi="宋体" w:eastAsia="宋体" w:cs="宋体"/>
          <w:color w:val="auto"/>
          <w:szCs w:val="21"/>
          <w:highlight w:val="none"/>
        </w:rPr>
        <w:t>验收合格，在乙方履行完合同约定权利义务事项后且乙方履行完合同约定权利义务事项后无违约情形的，由乙方向甲方财务部门提供审签完成的《采购项目合同验收书》(格式见详见第六章，规定详见桂财采(2015)22号)及《采购项目履约保证金退付意见书》(格式后附)，甲方财务部门在收到合格材料后5个工作日内办理退还手续(不计利息)。如最终验收与合同不符，全部履约保证金不予退还，而且由乙方履行完合同约定权利义务事项后按合同标的额的30%承担违约责任，并承担甲方为此而支付的一切损失(包括但不限于律师费、公证费、鉴定费、诉讼费、保全费、公告费、诉讼财产保全责任险保费等一切费用)。</w:t>
      </w:r>
    </w:p>
    <w:p>
      <w:pPr>
        <w:autoSpaceDE w:val="0"/>
        <w:autoSpaceDN w:val="0"/>
        <w:snapToGrid w:val="0"/>
        <w:spacing w:line="360" w:lineRule="auto"/>
        <w:ind w:firstLine="420" w:firstLineChars="200"/>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4.缴纳履约保证金的指定账户：</w:t>
      </w:r>
    </w:p>
    <w:p>
      <w:pPr>
        <w:snapToGrid w:val="0"/>
        <w:spacing w:line="360" w:lineRule="auto"/>
        <w:ind w:firstLine="514"/>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开户名称：广西壮族自治区计量检测研究院</w:t>
      </w:r>
    </w:p>
    <w:p>
      <w:pPr>
        <w:snapToGrid w:val="0"/>
        <w:spacing w:line="360" w:lineRule="auto"/>
        <w:ind w:firstLine="514"/>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开户银行：中国工商银行股份有限公司南宁市星湖支行</w:t>
      </w:r>
    </w:p>
    <w:p>
      <w:pPr>
        <w:snapToGrid w:val="0"/>
        <w:spacing w:line="360" w:lineRule="auto"/>
        <w:ind w:firstLine="514"/>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银行账号：2102103109300035296</w:t>
      </w:r>
    </w:p>
    <w:p>
      <w:pPr>
        <w:snapToGrid w:val="0"/>
        <w:spacing w:line="360" w:lineRule="auto"/>
        <w:ind w:firstLine="514"/>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第十条  税费</w:t>
      </w:r>
    </w:p>
    <w:p>
      <w:pPr>
        <w:snapToGrid w:val="0"/>
        <w:spacing w:line="360" w:lineRule="auto"/>
        <w:ind w:firstLine="514"/>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本合同执行中相关的一切税费均由乙方负担，合同另有约定的除外。</w:t>
      </w:r>
    </w:p>
    <w:p>
      <w:pPr>
        <w:snapToGrid w:val="0"/>
        <w:spacing w:line="360" w:lineRule="auto"/>
        <w:ind w:firstLine="514"/>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第十一条  质量保证及售后服务</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1.</w:t>
      </w:r>
      <w:r>
        <w:rPr>
          <w:rFonts w:hint="eastAsia" w:ascii="宋体" w:hAnsi="宋体" w:eastAsia="宋体" w:cs="宋体"/>
          <w:color w:val="auto"/>
          <w:szCs w:val="21"/>
          <w:highlight w:val="none"/>
        </w:rPr>
        <w:t>乙方应按响应文件承诺的产品名称、商标品牌、生产厂家、规格型号、技术参数、质量标准向甲方提供未经使用的全新产品。不符合要求的，根据实际情况，经双方协商，可按以下办法处理：</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⑴更换：由乙方承担所发生的全部费用。</w:t>
      </w:r>
    </w:p>
    <w:p>
      <w:pPr>
        <w:snapToGrid w:val="0"/>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⑵贬值处理：由甲乙双方合议定价。</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⑶退货处理：乙方应退还甲方支付的合同款，同时应承担该货物的直接费用（运输、保险、检验、</w:t>
      </w:r>
    </w:p>
    <w:p>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货款利息及银行手续费等）。</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2.如在使用过程中发生质量问题，乙方在接到甲方通知后到达甲方现场处理的时间按响应文件承诺。</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3.在质保期内，乙方应对货物出现的质量及安全问题负责处理解决并承担一切费用。</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4.上述的货物质保期按</w:t>
      </w:r>
      <w:r>
        <w:rPr>
          <w:rFonts w:hint="eastAsia" w:ascii="宋体" w:hAnsi="宋体" w:eastAsia="宋体" w:cs="宋体"/>
          <w:color w:val="auto"/>
          <w:szCs w:val="21"/>
          <w:highlight w:val="none"/>
          <w:u w:val="single"/>
        </w:rPr>
        <w:t>乙方响应文件中所承诺的期限</w:t>
      </w:r>
      <w:r>
        <w:rPr>
          <w:rFonts w:hint="eastAsia" w:ascii="宋体" w:hAnsi="宋体" w:eastAsia="宋体" w:cs="宋体"/>
          <w:color w:val="auto"/>
          <w:szCs w:val="21"/>
          <w:highlight w:val="none"/>
        </w:rPr>
        <w:t>，因人为因素出现的故障不在免费保修范围内。超过保修期的机器设备，终</w:t>
      </w:r>
      <w:r>
        <w:rPr>
          <w:rFonts w:ascii="宋体" w:hAnsi="宋体" w:eastAsia="宋体" w:cs="宋体"/>
          <w:color w:val="auto"/>
          <w:szCs w:val="21"/>
          <w:highlight w:val="none"/>
        </w:rPr>
        <w:t>生</w:t>
      </w:r>
      <w:r>
        <w:rPr>
          <w:rFonts w:hint="eastAsia" w:ascii="宋体" w:hAnsi="宋体" w:eastAsia="宋体" w:cs="宋体"/>
          <w:color w:val="auto"/>
          <w:szCs w:val="21"/>
          <w:highlight w:val="none"/>
        </w:rPr>
        <w:t>维修，维修时只收部件成本费。</w:t>
      </w:r>
    </w:p>
    <w:p>
      <w:pPr>
        <w:snapToGrid w:val="0"/>
        <w:spacing w:line="360" w:lineRule="auto"/>
        <w:ind w:firstLine="514"/>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第十二条  调试和验收</w:t>
      </w:r>
    </w:p>
    <w:p>
      <w:pPr>
        <w:snapToGrid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甲方对乙方提交的货物依据谈判文件上的技术规格要求和国家有关质量标准进行现场初步验收，外观、说明书符合谈判文件技术要求的，给予签收，初步验收不合格的不予签收。货到后，甲方应当在到货(安装、调试完)后五个工作日内按照谈判文件上的验收标准、验收方法及方案进行测试验收。测试验收合格后由甲乙双方签署货物验收单并加盖甲方公章，甲乙双方各执一份。</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2.乙方交货前应对产品作出全面检查和对验收文件进行整理，并列出清单，作为甲方收货验收和使用的技术条件依据，检验的结果应随货物交甲方。</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3.对技术复杂的货物，甲方应请国家认可的专业检测机构参与初步验收及最终验收，并由其出具质量检测报告。</w:t>
      </w:r>
    </w:p>
    <w:p>
      <w:pPr>
        <w:snapToGrid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 验收时乙方必须在现场，验收完毕后作出验收结果报告；验收费用按谈判文件约定承担方负责。</w:t>
      </w:r>
    </w:p>
    <w:p>
      <w:pPr>
        <w:snapToGrid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甲方委托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pPr>
        <w:snapToGrid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6.甲方对验收有异议的，在验收后五个工作日内以书面形式向乙方提出，乙方应自收到甲方书面异议后3日内及时予以解决。</w:t>
      </w:r>
    </w:p>
    <w:p>
      <w:pPr>
        <w:snapToGrid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7.具体验收条款详见采购需求的商务条款。</w:t>
      </w:r>
    </w:p>
    <w:p>
      <w:pPr>
        <w:snapToGrid w:val="0"/>
        <w:spacing w:line="360" w:lineRule="auto"/>
        <w:ind w:firstLine="413" w:firstLineChars="196"/>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第十三条  货物包装、发运及运输</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1.乙方提供的货物均应按谈判文件要求的包装材料、包装标准、包装方式进行包装，每一包装单元内应附详细的装箱单和质量合格证。货物的运输方式：不计。</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2.乙方负责货物运输，货物运输合理损耗及计算方法：损耗由乙方承担。</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3.乙方应在货物发运前对其进行满足运输距离、防潮、防震、防锈和防破损装卸等要求包装，以保证货物安全运达甲方指定地点。</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 使用说明书（货物属于进口产品的，供货时应同时附上中文使用说明书）、质量检验证明书、随配附件和工具以及清单一并附于货物内。</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5.乙方在货物发运手续办理完毕后二十四小时内或者货到甲方四十八小时前通知甲方，以准备接货。</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6.货物在交付甲方前发生的风险均由乙方负责。</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7.货物在规定的交付期限内由乙方送达甲方指定的地点视为交付，乙方同时需通知甲方货物已送达。</w:t>
      </w:r>
    </w:p>
    <w:p>
      <w:pPr>
        <w:snapToGrid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第十四条  保密义务</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乙方应对因签署本合同或在本合同履行期间获得的或收到甲方的商务、财务、技术、产品的信息、用户资料或其他标明保密的文件或信息的内容保守秘密，未经甲方书面同意，不得向本合同以外的任何第三方披露。保密资料接受方可仅为本合同目的向其确有知悉必要的工作人员披露甲方提供的保密资料，但同时须告知其工作人员遵守本条规定的保密及非经对方书面同意不得擅自披露的义务。乙方应仅为本合同目的而复制和使用保密资料。</w:t>
      </w:r>
    </w:p>
    <w:p>
      <w:pPr>
        <w:snapToGrid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第十五条　违约责任</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乙方所提供的货物规格、技术标准、材料等质量验收不合格的，应及时更换其他厂家产品，更换不及时的按逾期交货处罚；因质量问题甲方不同意接收的或特殊情况甲方同意接收的，乙方应向甲方支付合同总金额20%违约金并赔偿甲方经济损失。</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2.乙方提供的货物如侵犯了第三方合法权益而引发的任何纠纷或诉讼，均由乙方负责交涉并承担全部责任。同时，乙方还应按合同总金额的20%赔偿甲方因此受到的损失，且不能免除乙方履行本合同的义务。</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3.因包装、运输引起的货物损坏，按质量不合格处理。</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4.甲方无故延期接收货物，每天向对方偿付应付未付合同金额0.4%违约金。</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5.甲方延期付货款的，每天向乙方偿付延期货款额0.4%违约金，但违约金累计不得超过延期货款额5%。</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6.乙方逾期交货的，每迟延一日，应按合同合计金额的0.4%支付违约金。</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7.乙方提供的货物在服务期内，因设计、工艺或材料的缺陷和其它质量原因造成的任何人身及财产损害，均由乙方承担，若有履约保证金，费用从中扣除，不足部分，乙方应在收到甲方通知之日起3日补足。</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8.乙方泄露保密资料的，应当按合同标的20%向乙方支付违约金，如造成甲方损失的，还应赔偿甲方。</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9.乙方未按约提供真实、有效、合法的正式增值税专用发票的，除须向甲方补开合法发票外，须赔偿甲方发票票面金额一倍的违约金，且甲方有权解除合同，要求乙方退还已付款项。</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10.其它违约行为按合同总金额5%收取违约金并赔偿经济损失。</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11.如乙方需要支付违约金的，甲方有权直接从履约保证金扣除，不足部分，乙方应在收到甲方通知之日起3 日</w:t>
      </w:r>
      <w:r>
        <w:rPr>
          <w:rFonts w:hint="eastAsia"/>
          <w:color w:val="auto"/>
          <w:highlight w:val="none"/>
        </w:rPr>
        <w:t>内</w:t>
      </w:r>
      <w:r>
        <w:rPr>
          <w:rFonts w:hint="eastAsia" w:ascii="宋体" w:hAnsi="宋体" w:eastAsia="宋体" w:cs="宋体"/>
          <w:color w:val="auto"/>
          <w:szCs w:val="21"/>
          <w:highlight w:val="none"/>
        </w:rPr>
        <w:t>补足。</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乙方存在任何违约行为的，除按合同约定承担责任外，还应赔偿甲方的一切损失(包括但不限于赔偿金、补偿金、违约金、为实现债权而支付的律师费、公证费、鉴定费、诉讼费、保全费、公证费、公告费、诉讼财产保全责任险保费等一切费用)。</w:t>
      </w:r>
    </w:p>
    <w:p>
      <w:pPr>
        <w:snapToGrid w:val="0"/>
        <w:spacing w:line="360" w:lineRule="auto"/>
        <w:ind w:firstLine="413" w:firstLineChars="196"/>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第十六条  不可抗力事件处理</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1.在合同有效期内，任何一方因不可抗力事件导致不能履行合同，则合同履行期可延长，其延长期与不可抗力影响期相同。</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2.不可抗力事件发生后，应立即通知对方，并寄送有关权威机构出具的证明。</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3.不可抗力事件延续一百二十天以上，双方应通过友好协商，确定是否继续履行合同。</w:t>
      </w:r>
    </w:p>
    <w:p>
      <w:pPr>
        <w:snapToGrid w:val="0"/>
        <w:spacing w:line="360" w:lineRule="auto"/>
        <w:ind w:firstLine="422" w:firstLineChars="200"/>
        <w:rPr>
          <w:rFonts w:hint="eastAsia" w:ascii="宋体" w:hAnsi="宋体" w:eastAsia="宋体" w:cs="宋体"/>
          <w:b/>
          <w:color w:val="auto"/>
          <w:szCs w:val="21"/>
          <w:highlight w:val="none"/>
        </w:rPr>
      </w:pPr>
      <w:bookmarkStart w:id="200" w:name="OLE_LINK6"/>
      <w:r>
        <w:rPr>
          <w:rFonts w:hint="eastAsia" w:ascii="宋体" w:hAnsi="宋体" w:eastAsia="宋体" w:cs="宋体"/>
          <w:b/>
          <w:color w:val="auto"/>
          <w:szCs w:val="21"/>
          <w:highlight w:val="none"/>
        </w:rPr>
        <w:t>第十七条</w:t>
      </w:r>
      <w:bookmarkEnd w:id="200"/>
      <w:r>
        <w:rPr>
          <w:rFonts w:hint="eastAsia" w:ascii="宋体" w:hAnsi="宋体" w:eastAsia="宋体" w:cs="宋体"/>
          <w:b/>
          <w:color w:val="auto"/>
          <w:szCs w:val="21"/>
          <w:highlight w:val="none"/>
        </w:rPr>
        <w:t xml:space="preserve">  通知</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双方确认本合同落款通讯地址作为文书送达地址，该通讯地址适用于包括双方合同履行过程中的各类通知、协议等文件以及就合同发生争议进入诉讼、仲裁程序阶段法律文书的送达。通讯地址需要变更时应当提前15个工作日书面通知对方。因提供或者确认的通讯地址不准确、通讯地址变更后未及时依程序告知对方或受送达方拒绝签收等原因，导致文书未能被实际接收的，邮寄送达的，以文书退回之日视为送达之日。</w:t>
      </w:r>
    </w:p>
    <w:p>
      <w:pPr>
        <w:snapToGrid w:val="0"/>
        <w:spacing w:line="360" w:lineRule="auto"/>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第十八条  合同争议解决</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 因货物质量问题发生争议的，应邀请国家认可的质量检测机构对货物质量进行鉴定。货物符合标准的，鉴定费由甲方承担；货物不符合标准的，鉴定费由乙方承担。</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 因履行本合同引起的或者与本合同有关的争议，甲乙双方应首先通过友好协商解决，如果协商不能解决，可向甲方所在地有管辖权的人民法院提起诉讼。</w:t>
      </w:r>
    </w:p>
    <w:p>
      <w:pPr>
        <w:snapToGrid w:val="0"/>
        <w:spacing w:line="360" w:lineRule="auto"/>
        <w:ind w:firstLine="514"/>
        <w:rPr>
          <w:rFonts w:hint="eastAsia" w:ascii="宋体" w:hAnsi="宋体" w:eastAsia="宋体" w:cs="宋体"/>
          <w:color w:val="auto"/>
          <w:szCs w:val="21"/>
          <w:highlight w:val="none"/>
        </w:rPr>
      </w:pPr>
      <w:r>
        <w:rPr>
          <w:rFonts w:hint="eastAsia" w:ascii="宋体" w:hAnsi="宋体" w:eastAsia="宋体" w:cs="宋体"/>
          <w:color w:val="auto"/>
          <w:szCs w:val="21"/>
          <w:highlight w:val="none"/>
        </w:rPr>
        <w:t>3.诉讼期间，本合同继续履行。</w:t>
      </w:r>
    </w:p>
    <w:p>
      <w:pPr>
        <w:snapToGrid w:val="0"/>
        <w:spacing w:line="360" w:lineRule="auto"/>
        <w:ind w:firstLine="413" w:firstLineChars="196"/>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第十九条  合同生效及其他</w:t>
      </w:r>
    </w:p>
    <w:p>
      <w:pPr>
        <w:snapToGrid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 合同经双方法定代表人或者其委托代理人签字并加盖单位公章后生效（委托代理人签字的需后附法定代表人授权委托书，格式自拟）。</w:t>
      </w:r>
    </w:p>
    <w:p>
      <w:pPr>
        <w:snapToGrid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2.合同执行中涉及采购资金和采购内容修改或者补充的，须经财政部门审批，并</w:t>
      </w:r>
      <w:r>
        <w:rPr>
          <w:rFonts w:hint="eastAsia" w:ascii="宋体" w:hAnsi="宋体" w:eastAsia="宋体" w:cs="宋体"/>
          <w:bCs/>
          <w:color w:val="auto"/>
          <w:szCs w:val="21"/>
          <w:highlight w:val="none"/>
          <w:lang w:eastAsia="zh-CN"/>
        </w:rPr>
        <w:t>签订</w:t>
      </w:r>
      <w:r>
        <w:rPr>
          <w:rFonts w:hint="eastAsia" w:ascii="宋体" w:hAnsi="宋体" w:eastAsia="宋体" w:cs="宋体"/>
          <w:bCs/>
          <w:color w:val="auto"/>
          <w:szCs w:val="21"/>
          <w:highlight w:val="none"/>
        </w:rPr>
        <w:t>书面补充协议报财政部门备案，方可作为主合同不可分割的一部分。</w:t>
      </w:r>
    </w:p>
    <w:p>
      <w:pPr>
        <w:snapToGrid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3.本合同未尽事宜，遵照《中华人民共和国民法典》有关条文执行。</w:t>
      </w:r>
    </w:p>
    <w:p>
      <w:pPr>
        <w:snapToGrid w:val="0"/>
        <w:spacing w:line="360" w:lineRule="auto"/>
        <w:ind w:firstLine="422" w:firstLineChars="200"/>
        <w:rPr>
          <w:rFonts w:hint="eastAsia" w:ascii="宋体" w:hAnsi="宋体" w:eastAsia="宋体" w:cs="宋体"/>
          <w:bCs/>
          <w:color w:val="auto"/>
          <w:szCs w:val="21"/>
          <w:highlight w:val="none"/>
        </w:rPr>
      </w:pPr>
      <w:r>
        <w:rPr>
          <w:rFonts w:hint="eastAsia" w:ascii="宋体" w:hAnsi="宋体" w:eastAsia="宋体" w:cs="宋体"/>
          <w:b/>
          <w:color w:val="auto"/>
          <w:szCs w:val="21"/>
          <w:highlight w:val="none"/>
        </w:rPr>
        <w:t>第二十条　合同的变更、终止与转让</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 除《中华人民共和国政府采购法》第五十条规定的情形外，本合同一经签订，甲乙双方不得擅自变更、中止或者终止。</w:t>
      </w:r>
    </w:p>
    <w:p>
      <w:pPr>
        <w:snapToGrid w:val="0"/>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2. 乙方不得擅自转让（无进口资格的供应商委托进口货物除外）其应履行的合同义务。</w:t>
      </w:r>
    </w:p>
    <w:p>
      <w:pPr>
        <w:snapToGrid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第二十一条　</w:t>
      </w:r>
      <w:r>
        <w:rPr>
          <w:rFonts w:hint="eastAsia" w:ascii="宋体" w:hAnsi="宋体" w:eastAsia="宋体" w:cs="宋体"/>
          <w:b/>
          <w:bCs/>
          <w:color w:val="auto"/>
          <w:spacing w:val="-2"/>
          <w:kern w:val="0"/>
          <w:szCs w:val="21"/>
          <w:highlight w:val="none"/>
        </w:rPr>
        <w:t>本</w:t>
      </w:r>
      <w:r>
        <w:rPr>
          <w:rFonts w:hint="eastAsia" w:ascii="宋体" w:hAnsi="宋体" w:eastAsia="宋体" w:cs="宋体"/>
          <w:b/>
          <w:bCs/>
          <w:color w:val="auto"/>
          <w:kern w:val="0"/>
          <w:szCs w:val="21"/>
          <w:highlight w:val="none"/>
        </w:rPr>
        <w:t>合同书</w:t>
      </w:r>
      <w:r>
        <w:rPr>
          <w:rFonts w:hint="eastAsia" w:ascii="宋体" w:hAnsi="宋体" w:eastAsia="宋体" w:cs="宋体"/>
          <w:b/>
          <w:bCs/>
          <w:color w:val="auto"/>
          <w:spacing w:val="-2"/>
          <w:kern w:val="0"/>
          <w:szCs w:val="21"/>
          <w:highlight w:val="none"/>
        </w:rPr>
        <w:t>与</w:t>
      </w:r>
      <w:r>
        <w:rPr>
          <w:rFonts w:hint="eastAsia" w:ascii="宋体" w:hAnsi="宋体" w:eastAsia="宋体" w:cs="宋体"/>
          <w:b/>
          <w:bCs/>
          <w:color w:val="auto"/>
          <w:kern w:val="0"/>
          <w:szCs w:val="21"/>
          <w:highlight w:val="none"/>
        </w:rPr>
        <w:t>下</w:t>
      </w:r>
      <w:r>
        <w:rPr>
          <w:rFonts w:hint="eastAsia" w:ascii="宋体" w:hAnsi="宋体" w:eastAsia="宋体" w:cs="宋体"/>
          <w:b/>
          <w:bCs/>
          <w:color w:val="auto"/>
          <w:spacing w:val="-2"/>
          <w:kern w:val="0"/>
          <w:szCs w:val="21"/>
          <w:highlight w:val="none"/>
        </w:rPr>
        <w:t>列</w:t>
      </w:r>
      <w:r>
        <w:rPr>
          <w:rFonts w:hint="eastAsia" w:ascii="宋体" w:hAnsi="宋体" w:eastAsia="宋体" w:cs="宋体"/>
          <w:b/>
          <w:bCs/>
          <w:color w:val="auto"/>
          <w:kern w:val="0"/>
          <w:szCs w:val="21"/>
          <w:highlight w:val="none"/>
        </w:rPr>
        <w:t>文</w:t>
      </w:r>
      <w:r>
        <w:rPr>
          <w:rFonts w:hint="eastAsia" w:ascii="宋体" w:hAnsi="宋体" w:eastAsia="宋体" w:cs="宋体"/>
          <w:b/>
          <w:bCs/>
          <w:color w:val="auto"/>
          <w:spacing w:val="-2"/>
          <w:kern w:val="0"/>
          <w:szCs w:val="21"/>
          <w:highlight w:val="none"/>
        </w:rPr>
        <w:t>件一</w:t>
      </w:r>
      <w:r>
        <w:rPr>
          <w:rFonts w:hint="eastAsia" w:ascii="宋体" w:hAnsi="宋体" w:eastAsia="宋体" w:cs="宋体"/>
          <w:b/>
          <w:bCs/>
          <w:color w:val="auto"/>
          <w:kern w:val="0"/>
          <w:szCs w:val="21"/>
          <w:highlight w:val="none"/>
        </w:rPr>
        <w:t>起构</w:t>
      </w:r>
      <w:r>
        <w:rPr>
          <w:rFonts w:hint="eastAsia" w:ascii="宋体" w:hAnsi="宋体" w:eastAsia="宋体" w:cs="宋体"/>
          <w:b/>
          <w:bCs/>
          <w:color w:val="auto"/>
          <w:spacing w:val="-2"/>
          <w:kern w:val="0"/>
          <w:szCs w:val="21"/>
          <w:highlight w:val="none"/>
        </w:rPr>
        <w:t>成</w:t>
      </w:r>
      <w:r>
        <w:rPr>
          <w:rFonts w:hint="eastAsia" w:ascii="宋体" w:hAnsi="宋体" w:eastAsia="宋体" w:cs="宋体"/>
          <w:b/>
          <w:bCs/>
          <w:color w:val="auto"/>
          <w:kern w:val="0"/>
          <w:szCs w:val="21"/>
          <w:highlight w:val="none"/>
        </w:rPr>
        <w:t>合</w:t>
      </w:r>
      <w:r>
        <w:rPr>
          <w:rFonts w:hint="eastAsia" w:ascii="宋体" w:hAnsi="宋体" w:eastAsia="宋体" w:cs="宋体"/>
          <w:b/>
          <w:bCs/>
          <w:color w:val="auto"/>
          <w:spacing w:val="-2"/>
          <w:kern w:val="0"/>
          <w:szCs w:val="21"/>
          <w:highlight w:val="none"/>
        </w:rPr>
        <w:t>同</w:t>
      </w:r>
      <w:r>
        <w:rPr>
          <w:rFonts w:hint="eastAsia" w:ascii="宋体" w:hAnsi="宋体" w:eastAsia="宋体" w:cs="宋体"/>
          <w:b/>
          <w:bCs/>
          <w:color w:val="auto"/>
          <w:kern w:val="0"/>
          <w:szCs w:val="21"/>
          <w:highlight w:val="none"/>
        </w:rPr>
        <w:t>文</w:t>
      </w:r>
      <w:r>
        <w:rPr>
          <w:rFonts w:hint="eastAsia" w:ascii="宋体" w:hAnsi="宋体" w:eastAsia="宋体" w:cs="宋体"/>
          <w:b/>
          <w:bCs/>
          <w:color w:val="auto"/>
          <w:spacing w:val="-2"/>
          <w:kern w:val="0"/>
          <w:szCs w:val="21"/>
          <w:highlight w:val="none"/>
        </w:rPr>
        <w:t>件</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1.成交通知书；</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2.响应函；</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3.商务条款偏离表和技术需求偏离表；</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4.采购需求；</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hint="eastAsia"/>
          <w:color w:val="auto"/>
          <w:highlight w:val="none"/>
        </w:rPr>
        <w:t>响应</w:t>
      </w:r>
      <w:r>
        <w:rPr>
          <w:rFonts w:hint="eastAsia" w:ascii="宋体" w:hAnsi="宋体" w:eastAsia="宋体" w:cs="宋体"/>
          <w:color w:val="auto"/>
          <w:szCs w:val="21"/>
          <w:highlight w:val="none"/>
        </w:rPr>
        <w:t>报价表；</w:t>
      </w:r>
    </w:p>
    <w:p>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6.其他合同文件。</w:t>
      </w:r>
    </w:p>
    <w:p>
      <w:pPr>
        <w:snapToGrid w:val="0"/>
        <w:spacing w:line="360" w:lineRule="auto"/>
        <w:ind w:firstLine="420" w:firstLineChars="200"/>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7.上述合同文件互相补充和解释。如果合同文件之间存在矛盾或者不一致之处，以上述文件的排列顺序在先者为准。</w:t>
      </w:r>
    </w:p>
    <w:p>
      <w:pPr>
        <w:snapToGrid w:val="0"/>
        <w:spacing w:line="360" w:lineRule="auto"/>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第二十二条　</w:t>
      </w:r>
      <w:r>
        <w:rPr>
          <w:rFonts w:hint="eastAsia" w:ascii="宋体" w:hAnsi="宋体" w:eastAsia="宋体" w:cs="宋体"/>
          <w:color w:val="auto"/>
          <w:szCs w:val="21"/>
          <w:highlight w:val="none"/>
        </w:rPr>
        <w:t>本合同一式七份，具有同等法律效力，财政部门（政府采购监管部门）、采购代理机构各一份，甲方四份，乙方一份（可根据需要另增加）。</w:t>
      </w:r>
    </w:p>
    <w:p>
      <w:pPr>
        <w:snapToGrid w:val="0"/>
        <w:spacing w:line="360" w:lineRule="auto"/>
        <w:ind w:firstLine="514"/>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本合</w:t>
      </w:r>
      <w:r>
        <w:rPr>
          <w:rFonts w:hint="eastAsia" w:ascii="宋体" w:hAnsi="宋体" w:eastAsia="宋体" w:cs="宋体"/>
          <w:color w:val="auto"/>
          <w:szCs w:val="21"/>
          <w:highlight w:val="none"/>
          <w:lang w:eastAsia="zh-CN"/>
        </w:rPr>
        <w:t>同在</w:t>
      </w:r>
      <w:r>
        <w:rPr>
          <w:rFonts w:hint="eastAsia" w:ascii="宋体" w:hAnsi="宋体" w:eastAsia="宋体" w:cs="宋体"/>
          <w:color w:val="auto"/>
          <w:szCs w:val="21"/>
          <w:highlight w:val="none"/>
        </w:rPr>
        <w:t>甲乙双方签字盖章后生效，自签订之日起七个工作日内，甲方应当将合同副本报同级财政部门备案。</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本合同自签订之日起2个工作日内，甲方应当将采购合同在广西壮族自治区财政厅指定的媒体上公告。</w:t>
      </w:r>
    </w:p>
    <w:p>
      <w:pPr>
        <w:snapToGrid w:val="0"/>
        <w:spacing w:line="360" w:lineRule="auto"/>
        <w:rPr>
          <w:rFonts w:hint="eastAsia" w:ascii="宋体" w:hAnsi="宋体" w:eastAsia="宋体" w:cs="宋体"/>
          <w:color w:val="auto"/>
          <w:szCs w:val="21"/>
          <w:highlight w:val="none"/>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6"/>
        <w:gridCol w:w="4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0" w:hRule="atLeast"/>
        </w:trPr>
        <w:tc>
          <w:tcPr>
            <w:tcW w:w="4516" w:type="dxa"/>
            <w:vAlign w:val="center"/>
          </w:tcPr>
          <w:p>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甲方（章）           </w:t>
            </w:r>
          </w:p>
          <w:p>
            <w:pPr>
              <w:snapToGrid w:val="0"/>
              <w:spacing w:line="360" w:lineRule="auto"/>
              <w:rPr>
                <w:rFonts w:hint="eastAsia" w:ascii="宋体" w:hAnsi="宋体" w:eastAsia="宋体" w:cs="宋体"/>
                <w:color w:val="auto"/>
                <w:szCs w:val="21"/>
                <w:highlight w:val="none"/>
              </w:rPr>
            </w:pPr>
          </w:p>
          <w:p>
            <w:pPr>
              <w:snapToGrid w:val="0"/>
              <w:spacing w:line="360" w:lineRule="auto"/>
              <w:ind w:firstLine="945" w:firstLineChars="450"/>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年   月   日</w:t>
            </w:r>
          </w:p>
        </w:tc>
        <w:tc>
          <w:tcPr>
            <w:tcW w:w="4517" w:type="dxa"/>
            <w:vAlign w:val="center"/>
          </w:tcPr>
          <w:p>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乙方（章）              </w:t>
            </w:r>
          </w:p>
          <w:p>
            <w:pPr>
              <w:snapToGrid w:val="0"/>
              <w:spacing w:line="360" w:lineRule="auto"/>
              <w:rPr>
                <w:rFonts w:hint="eastAsia" w:ascii="宋体" w:hAnsi="宋体" w:eastAsia="宋体" w:cs="宋体"/>
                <w:color w:val="auto"/>
                <w:szCs w:val="21"/>
                <w:highlight w:val="none"/>
              </w:rPr>
            </w:pPr>
          </w:p>
          <w:p>
            <w:pPr>
              <w:snapToGrid w:val="0"/>
              <w:spacing w:line="360" w:lineRule="auto"/>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8" w:hRule="atLeast"/>
        </w:trPr>
        <w:tc>
          <w:tcPr>
            <w:tcW w:w="4516" w:type="dxa"/>
            <w:vAlign w:val="center"/>
          </w:tcPr>
          <w:p>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单位地址：</w:t>
            </w:r>
          </w:p>
        </w:tc>
        <w:tc>
          <w:tcPr>
            <w:tcW w:w="4517" w:type="dxa"/>
            <w:vAlign w:val="center"/>
          </w:tcPr>
          <w:p>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单位地址：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0" w:hRule="atLeast"/>
        </w:trPr>
        <w:tc>
          <w:tcPr>
            <w:tcW w:w="4516" w:type="dxa"/>
          </w:tcPr>
          <w:p>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法定代表人或者其委托代理人：</w:t>
            </w:r>
          </w:p>
        </w:tc>
        <w:tc>
          <w:tcPr>
            <w:tcW w:w="4517" w:type="dxa"/>
          </w:tcPr>
          <w:p>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法定代表人或者其委托代理人：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4516" w:type="dxa"/>
            <w:vAlign w:val="center"/>
          </w:tcPr>
          <w:p>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电话：</w:t>
            </w:r>
          </w:p>
        </w:tc>
        <w:tc>
          <w:tcPr>
            <w:tcW w:w="4517" w:type="dxa"/>
            <w:vAlign w:val="center"/>
          </w:tcPr>
          <w:p>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4516" w:type="dxa"/>
            <w:vAlign w:val="center"/>
          </w:tcPr>
          <w:p>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电子邮箱：</w:t>
            </w:r>
          </w:p>
        </w:tc>
        <w:tc>
          <w:tcPr>
            <w:tcW w:w="4517" w:type="dxa"/>
            <w:vAlign w:val="center"/>
          </w:tcPr>
          <w:p>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4516" w:type="dxa"/>
            <w:vAlign w:val="center"/>
          </w:tcPr>
          <w:p>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开户银行：</w:t>
            </w:r>
          </w:p>
        </w:tc>
        <w:tc>
          <w:tcPr>
            <w:tcW w:w="4517" w:type="dxa"/>
            <w:vAlign w:val="center"/>
          </w:tcPr>
          <w:p>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4516" w:type="dxa"/>
            <w:vAlign w:val="center"/>
          </w:tcPr>
          <w:p>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账号：</w:t>
            </w:r>
          </w:p>
        </w:tc>
        <w:tc>
          <w:tcPr>
            <w:tcW w:w="4517" w:type="dxa"/>
            <w:vAlign w:val="center"/>
          </w:tcPr>
          <w:p>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4516" w:type="dxa"/>
            <w:vAlign w:val="center"/>
          </w:tcPr>
          <w:p>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邮政编码：</w:t>
            </w:r>
          </w:p>
        </w:tc>
        <w:tc>
          <w:tcPr>
            <w:tcW w:w="4517" w:type="dxa"/>
            <w:vAlign w:val="center"/>
          </w:tcPr>
          <w:p>
            <w:pPr>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邮政编码：</w:t>
            </w:r>
          </w:p>
        </w:tc>
      </w:tr>
    </w:tbl>
    <w:p>
      <w:pPr>
        <w:snapToGrid w:val="0"/>
        <w:spacing w:line="360" w:lineRule="auto"/>
        <w:ind w:left="420" w:hanging="420" w:hangingChars="200"/>
        <w:rPr>
          <w:rFonts w:hint="eastAsia" w:ascii="宋体" w:hAnsi="宋体" w:eastAsia="宋体" w:cs="宋体"/>
          <w:color w:val="auto"/>
          <w:szCs w:val="21"/>
          <w:highlight w:val="none"/>
        </w:rPr>
      </w:pPr>
    </w:p>
    <w:p>
      <w:pPr>
        <w:snapToGrid w:val="0"/>
        <w:spacing w:line="360" w:lineRule="auto"/>
        <w:jc w:val="center"/>
        <w:rPr>
          <w:rFonts w:hint="eastAsia"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合 同 附 件</w:t>
      </w:r>
    </w:p>
    <w:p>
      <w:pPr>
        <w:snapToGrid w:val="0"/>
        <w:spacing w:line="360" w:lineRule="auto"/>
        <w:ind w:firstLine="720" w:firstLineChars="300"/>
        <w:rPr>
          <w:rFonts w:hint="eastAsia" w:ascii="宋体" w:hAnsi="宋体"/>
          <w:color w:val="auto"/>
          <w:sz w:val="24"/>
          <w:highlight w:val="none"/>
        </w:rPr>
      </w:pPr>
      <w:r>
        <w:rPr>
          <w:rFonts w:hint="eastAsia" w:ascii="宋体" w:hAnsi="宋体"/>
          <w:color w:val="auto"/>
          <w:sz w:val="24"/>
          <w:highlight w:val="none"/>
        </w:rPr>
        <w:t>一般货物类</w:t>
      </w:r>
    </w:p>
    <w:tbl>
      <w:tblPr>
        <w:tblStyle w:val="29"/>
        <w:tblW w:w="8522" w:type="dxa"/>
        <w:jc w:val="center"/>
        <w:tblLayout w:type="fixed"/>
        <w:tblCellMar>
          <w:top w:w="0" w:type="dxa"/>
          <w:left w:w="108" w:type="dxa"/>
          <w:bottom w:w="0" w:type="dxa"/>
          <w:right w:w="108" w:type="dxa"/>
        </w:tblCellMar>
      </w:tblPr>
      <w:tblGrid>
        <w:gridCol w:w="4263"/>
        <w:gridCol w:w="4259"/>
      </w:tblGrid>
      <w:tr>
        <w:tblPrEx>
          <w:tblCellMar>
            <w:top w:w="0" w:type="dxa"/>
            <w:left w:w="108" w:type="dxa"/>
            <w:bottom w:w="0" w:type="dxa"/>
            <w:right w:w="108" w:type="dxa"/>
          </w:tblCellMar>
        </w:tblPrEx>
        <w:trPr>
          <w:trHeight w:val="1226" w:hRule="atLeast"/>
          <w:jc w:val="center"/>
        </w:trPr>
        <w:tc>
          <w:tcPr>
            <w:tcW w:w="8522" w:type="dxa"/>
            <w:gridSpan w:val="2"/>
            <w:tcBorders>
              <w:top w:val="single" w:color="auto" w:sz="4" w:space="0"/>
              <w:left w:val="single" w:color="auto" w:sz="4" w:space="0"/>
              <w:right w:val="single" w:color="auto" w:sz="4" w:space="0"/>
            </w:tcBorders>
          </w:tcPr>
          <w:p>
            <w:pPr>
              <w:snapToGrid w:val="0"/>
              <w:spacing w:line="360" w:lineRule="auto"/>
              <w:rPr>
                <w:rFonts w:hint="eastAsia" w:ascii="宋体" w:hAnsi="宋体"/>
                <w:b/>
                <w:color w:val="auto"/>
                <w:sz w:val="24"/>
                <w:highlight w:val="none"/>
              </w:rPr>
            </w:pPr>
            <w:r>
              <w:rPr>
                <w:rFonts w:hint="eastAsia" w:ascii="宋体" w:hAnsi="宋体"/>
                <w:b/>
                <w:color w:val="auto"/>
                <w:sz w:val="24"/>
                <w:highlight w:val="none"/>
              </w:rPr>
              <w:t>1. 供应商承诺具体事项：</w:t>
            </w:r>
          </w:p>
        </w:tc>
      </w:tr>
      <w:tr>
        <w:tblPrEx>
          <w:tblCellMar>
            <w:top w:w="0" w:type="dxa"/>
            <w:left w:w="108" w:type="dxa"/>
            <w:bottom w:w="0" w:type="dxa"/>
            <w:right w:w="108" w:type="dxa"/>
          </w:tblCellMar>
        </w:tblPrEx>
        <w:trPr>
          <w:trHeight w:val="1228" w:hRule="atLeast"/>
          <w:jc w:val="center"/>
        </w:trPr>
        <w:tc>
          <w:tcPr>
            <w:tcW w:w="8522" w:type="dxa"/>
            <w:gridSpan w:val="2"/>
            <w:tcBorders>
              <w:top w:val="single" w:color="auto" w:sz="4" w:space="0"/>
              <w:left w:val="single" w:color="auto" w:sz="4" w:space="0"/>
              <w:right w:val="single" w:color="auto" w:sz="4" w:space="0"/>
            </w:tcBorders>
          </w:tcPr>
          <w:p>
            <w:pPr>
              <w:snapToGrid w:val="0"/>
              <w:spacing w:line="360" w:lineRule="auto"/>
              <w:rPr>
                <w:rFonts w:hint="eastAsia" w:ascii="宋体" w:hAnsi="宋体"/>
                <w:b/>
                <w:color w:val="auto"/>
                <w:sz w:val="24"/>
                <w:highlight w:val="none"/>
              </w:rPr>
            </w:pPr>
            <w:r>
              <w:rPr>
                <w:rFonts w:hint="eastAsia" w:ascii="宋体" w:hAnsi="宋体"/>
                <w:b/>
                <w:color w:val="auto"/>
                <w:sz w:val="24"/>
                <w:highlight w:val="none"/>
              </w:rPr>
              <w:t>2. 售后服务具体事项：</w:t>
            </w:r>
          </w:p>
        </w:tc>
      </w:tr>
      <w:tr>
        <w:tblPrEx>
          <w:tblCellMar>
            <w:top w:w="0" w:type="dxa"/>
            <w:left w:w="108" w:type="dxa"/>
            <w:bottom w:w="0" w:type="dxa"/>
            <w:right w:w="108" w:type="dxa"/>
          </w:tblCellMar>
        </w:tblPrEx>
        <w:trPr>
          <w:trHeight w:val="1088" w:hRule="atLeast"/>
          <w:jc w:val="center"/>
        </w:trPr>
        <w:tc>
          <w:tcPr>
            <w:tcW w:w="8522" w:type="dxa"/>
            <w:gridSpan w:val="2"/>
            <w:tcBorders>
              <w:top w:val="single" w:color="auto" w:sz="4" w:space="0"/>
              <w:left w:val="single" w:color="auto" w:sz="4" w:space="0"/>
              <w:right w:val="single" w:color="auto" w:sz="4" w:space="0"/>
            </w:tcBorders>
          </w:tcPr>
          <w:p>
            <w:pPr>
              <w:snapToGrid w:val="0"/>
              <w:spacing w:line="360" w:lineRule="auto"/>
              <w:rPr>
                <w:rFonts w:hint="eastAsia" w:ascii="宋体" w:hAnsi="宋体"/>
                <w:b/>
                <w:color w:val="auto"/>
                <w:sz w:val="24"/>
                <w:highlight w:val="none"/>
              </w:rPr>
            </w:pPr>
            <w:r>
              <w:rPr>
                <w:rFonts w:hint="eastAsia" w:ascii="宋体" w:hAnsi="宋体"/>
                <w:b/>
                <w:color w:val="auto"/>
                <w:sz w:val="24"/>
                <w:highlight w:val="none"/>
              </w:rPr>
              <w:t>3. 保修期责任：</w:t>
            </w:r>
          </w:p>
        </w:tc>
      </w:tr>
      <w:tr>
        <w:tblPrEx>
          <w:tblCellMar>
            <w:top w:w="0" w:type="dxa"/>
            <w:left w:w="108" w:type="dxa"/>
            <w:bottom w:w="0" w:type="dxa"/>
            <w:right w:w="108" w:type="dxa"/>
          </w:tblCellMar>
        </w:tblPrEx>
        <w:trPr>
          <w:trHeight w:val="1360" w:hRule="atLeast"/>
          <w:jc w:val="center"/>
        </w:trPr>
        <w:tc>
          <w:tcPr>
            <w:tcW w:w="8522" w:type="dxa"/>
            <w:gridSpan w:val="2"/>
            <w:tcBorders>
              <w:top w:val="single" w:color="auto" w:sz="4" w:space="0"/>
              <w:left w:val="single" w:color="auto" w:sz="4" w:space="0"/>
              <w:right w:val="single" w:color="auto" w:sz="4" w:space="0"/>
            </w:tcBorders>
          </w:tcPr>
          <w:p>
            <w:pPr>
              <w:snapToGrid w:val="0"/>
              <w:spacing w:line="360" w:lineRule="auto"/>
              <w:rPr>
                <w:rFonts w:hint="eastAsia" w:ascii="宋体" w:hAnsi="宋体"/>
                <w:b/>
                <w:color w:val="auto"/>
                <w:sz w:val="24"/>
                <w:highlight w:val="none"/>
              </w:rPr>
            </w:pPr>
            <w:r>
              <w:rPr>
                <w:rFonts w:hint="eastAsia" w:ascii="宋体" w:hAnsi="宋体"/>
                <w:b/>
                <w:color w:val="auto"/>
                <w:sz w:val="24"/>
                <w:highlight w:val="none"/>
              </w:rPr>
              <w:t>4. 其他具体事项：</w:t>
            </w:r>
          </w:p>
        </w:tc>
      </w:tr>
      <w:tr>
        <w:tblPrEx>
          <w:tblCellMar>
            <w:top w:w="0" w:type="dxa"/>
            <w:left w:w="108" w:type="dxa"/>
            <w:bottom w:w="0" w:type="dxa"/>
            <w:right w:w="108" w:type="dxa"/>
          </w:tblCellMar>
        </w:tblPrEx>
        <w:trPr>
          <w:trHeight w:val="1703" w:hRule="atLeast"/>
          <w:jc w:val="center"/>
        </w:trPr>
        <w:tc>
          <w:tcPr>
            <w:tcW w:w="426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b/>
                <w:color w:val="auto"/>
                <w:sz w:val="24"/>
                <w:highlight w:val="none"/>
              </w:rPr>
            </w:pPr>
            <w:r>
              <w:rPr>
                <w:rFonts w:hint="eastAsia" w:ascii="宋体" w:hAnsi="宋体"/>
                <w:b/>
                <w:color w:val="auto"/>
                <w:sz w:val="24"/>
                <w:highlight w:val="none"/>
              </w:rPr>
              <w:t>甲方（章）</w:t>
            </w:r>
          </w:p>
          <w:p>
            <w:pPr>
              <w:snapToGrid w:val="0"/>
              <w:spacing w:line="360" w:lineRule="auto"/>
              <w:ind w:firstLine="482" w:firstLineChars="200"/>
              <w:rPr>
                <w:rFonts w:hint="eastAsia" w:ascii="宋体" w:hAnsi="宋体"/>
                <w:b/>
                <w:color w:val="auto"/>
                <w:sz w:val="24"/>
                <w:highlight w:val="none"/>
              </w:rPr>
            </w:pPr>
          </w:p>
          <w:p>
            <w:pPr>
              <w:snapToGrid w:val="0"/>
              <w:spacing w:line="360" w:lineRule="auto"/>
              <w:rPr>
                <w:rFonts w:hint="eastAsia" w:ascii="宋体" w:hAnsi="宋体"/>
                <w:b/>
                <w:color w:val="auto"/>
                <w:sz w:val="24"/>
                <w:highlight w:val="none"/>
              </w:rPr>
            </w:pPr>
          </w:p>
          <w:p>
            <w:pPr>
              <w:snapToGrid w:val="0"/>
              <w:spacing w:line="360" w:lineRule="auto"/>
              <w:ind w:firstLine="482" w:firstLineChars="200"/>
              <w:rPr>
                <w:rFonts w:hint="eastAsia" w:ascii="宋体" w:hAnsi="宋体"/>
                <w:b/>
                <w:color w:val="auto"/>
                <w:sz w:val="24"/>
                <w:highlight w:val="none"/>
              </w:rPr>
            </w:pPr>
            <w:r>
              <w:rPr>
                <w:rFonts w:hint="eastAsia" w:ascii="宋体" w:hAnsi="宋体"/>
                <w:b/>
                <w:color w:val="auto"/>
                <w:sz w:val="24"/>
                <w:highlight w:val="none"/>
              </w:rPr>
              <w:t xml:space="preserve">               年   月   日 </w:t>
            </w:r>
          </w:p>
        </w:tc>
        <w:tc>
          <w:tcPr>
            <w:tcW w:w="425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b/>
                <w:color w:val="auto"/>
                <w:sz w:val="24"/>
                <w:highlight w:val="none"/>
              </w:rPr>
            </w:pPr>
            <w:r>
              <w:rPr>
                <w:rFonts w:hint="eastAsia" w:ascii="宋体" w:hAnsi="宋体"/>
                <w:b/>
                <w:color w:val="auto"/>
                <w:sz w:val="24"/>
                <w:highlight w:val="none"/>
              </w:rPr>
              <w:t>乙方（章）</w:t>
            </w:r>
          </w:p>
          <w:p>
            <w:pPr>
              <w:snapToGrid w:val="0"/>
              <w:spacing w:line="360" w:lineRule="auto"/>
              <w:ind w:firstLine="482" w:firstLineChars="200"/>
              <w:rPr>
                <w:rFonts w:hint="eastAsia" w:ascii="宋体" w:hAnsi="宋体"/>
                <w:b/>
                <w:color w:val="auto"/>
                <w:sz w:val="24"/>
                <w:highlight w:val="none"/>
              </w:rPr>
            </w:pPr>
          </w:p>
          <w:p>
            <w:pPr>
              <w:snapToGrid w:val="0"/>
              <w:spacing w:line="360" w:lineRule="auto"/>
              <w:rPr>
                <w:rFonts w:hint="eastAsia" w:ascii="宋体" w:hAnsi="宋体"/>
                <w:b/>
                <w:color w:val="auto"/>
                <w:sz w:val="24"/>
                <w:highlight w:val="none"/>
              </w:rPr>
            </w:pPr>
          </w:p>
          <w:p>
            <w:pPr>
              <w:snapToGrid w:val="0"/>
              <w:spacing w:line="360" w:lineRule="auto"/>
              <w:ind w:firstLine="482" w:firstLineChars="200"/>
              <w:rPr>
                <w:rFonts w:hint="eastAsia" w:ascii="宋体" w:hAnsi="宋体"/>
                <w:b/>
                <w:color w:val="auto"/>
                <w:sz w:val="24"/>
                <w:highlight w:val="none"/>
              </w:rPr>
            </w:pPr>
            <w:r>
              <w:rPr>
                <w:rFonts w:hint="eastAsia" w:ascii="宋体" w:hAnsi="宋体"/>
                <w:b/>
                <w:color w:val="auto"/>
                <w:sz w:val="24"/>
                <w:highlight w:val="none"/>
              </w:rPr>
              <w:t xml:space="preserve">                 年   月   日</w:t>
            </w:r>
          </w:p>
        </w:tc>
      </w:tr>
    </w:tbl>
    <w:p>
      <w:pPr>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 xml:space="preserve">    注：售后服务事项填不下时可另加附页</w:t>
      </w:r>
    </w:p>
    <w:p>
      <w:pPr>
        <w:keepNext/>
        <w:keepLines/>
        <w:spacing w:before="340" w:after="330" w:line="578" w:lineRule="auto"/>
        <w:jc w:val="center"/>
        <w:outlineLvl w:val="0"/>
        <w:rPr>
          <w:rFonts w:hint="eastAsia" w:ascii="宋体" w:hAnsi="宋体" w:eastAsia="宋体" w:cs="仿宋_GB2312"/>
          <w:bCs/>
          <w:color w:val="auto"/>
          <w:kern w:val="44"/>
          <w:sz w:val="44"/>
          <w:szCs w:val="44"/>
          <w:highlight w:val="none"/>
          <w:lang w:val="zh-CN"/>
        </w:rPr>
      </w:pPr>
    </w:p>
    <w:p>
      <w:pPr>
        <w:keepNext/>
        <w:keepLines/>
        <w:spacing w:before="340" w:after="330" w:line="578" w:lineRule="auto"/>
        <w:jc w:val="center"/>
        <w:outlineLvl w:val="0"/>
        <w:rPr>
          <w:rFonts w:hint="eastAsia" w:ascii="宋体" w:hAnsi="宋体" w:eastAsia="宋体" w:cs="仿宋_GB2312"/>
          <w:bCs/>
          <w:color w:val="auto"/>
          <w:kern w:val="44"/>
          <w:sz w:val="44"/>
          <w:szCs w:val="44"/>
          <w:highlight w:val="none"/>
          <w:lang w:val="zh-CN"/>
        </w:rPr>
      </w:pPr>
    </w:p>
    <w:p>
      <w:pPr>
        <w:keepNext/>
        <w:keepLines/>
        <w:spacing w:before="340" w:after="330" w:line="578" w:lineRule="auto"/>
        <w:jc w:val="center"/>
        <w:outlineLvl w:val="0"/>
        <w:rPr>
          <w:rFonts w:hint="eastAsia" w:ascii="宋体" w:hAnsi="宋体" w:eastAsia="宋体" w:cs="仿宋_GB2312"/>
          <w:bCs/>
          <w:color w:val="auto"/>
          <w:kern w:val="44"/>
          <w:sz w:val="44"/>
          <w:szCs w:val="44"/>
          <w:highlight w:val="none"/>
          <w:lang w:val="zh-CN"/>
        </w:rPr>
      </w:pPr>
      <w:bookmarkStart w:id="201" w:name="_Toc31751"/>
      <w:bookmarkStart w:id="202" w:name="_Toc80205947"/>
    </w:p>
    <w:p>
      <w:pPr>
        <w:keepNext/>
        <w:keepLines/>
        <w:spacing w:before="340" w:after="330" w:line="578" w:lineRule="auto"/>
        <w:jc w:val="center"/>
        <w:outlineLvl w:val="0"/>
        <w:rPr>
          <w:rFonts w:hint="eastAsia" w:ascii="宋体" w:hAnsi="宋体" w:eastAsia="宋体" w:cs="仿宋_GB2312"/>
          <w:bCs/>
          <w:color w:val="auto"/>
          <w:kern w:val="44"/>
          <w:sz w:val="44"/>
          <w:szCs w:val="44"/>
          <w:highlight w:val="none"/>
          <w:lang w:val="zh-CN"/>
        </w:rPr>
      </w:pPr>
    </w:p>
    <w:p>
      <w:pPr>
        <w:keepNext/>
        <w:keepLines/>
        <w:spacing w:before="340" w:after="330" w:line="578" w:lineRule="auto"/>
        <w:jc w:val="center"/>
        <w:outlineLvl w:val="0"/>
        <w:rPr>
          <w:rFonts w:hint="eastAsia" w:ascii="宋体" w:hAnsi="宋体" w:eastAsia="宋体" w:cs="仿宋_GB2312"/>
          <w:b/>
          <w:bCs/>
          <w:color w:val="auto"/>
          <w:kern w:val="44"/>
          <w:sz w:val="44"/>
          <w:szCs w:val="44"/>
          <w:highlight w:val="none"/>
          <w:lang w:val="zh-CN"/>
        </w:rPr>
        <w:sectPr>
          <w:pgSz w:w="11910" w:h="16840"/>
          <w:pgMar w:top="1134" w:right="1134" w:bottom="1134" w:left="1134" w:header="720" w:footer="720" w:gutter="0"/>
          <w:cols w:space="720" w:num="1"/>
        </w:sectPr>
      </w:pPr>
      <w:bookmarkStart w:id="203" w:name="_Toc24483"/>
      <w:bookmarkStart w:id="204" w:name="_Toc32254"/>
      <w:bookmarkStart w:id="205" w:name="_Toc6393"/>
      <w:bookmarkStart w:id="206" w:name="_Toc2169"/>
      <w:bookmarkStart w:id="207" w:name="_Toc5523"/>
      <w:bookmarkStart w:id="208" w:name="_Toc27629"/>
      <w:bookmarkStart w:id="209" w:name="_Toc25054"/>
      <w:r>
        <w:rPr>
          <w:rFonts w:hint="eastAsia" w:ascii="宋体" w:hAnsi="宋体" w:eastAsia="宋体" w:cs="仿宋_GB2312"/>
          <w:bCs/>
          <w:color w:val="auto"/>
          <w:kern w:val="44"/>
          <w:sz w:val="44"/>
          <w:szCs w:val="44"/>
          <w:highlight w:val="none"/>
          <w:lang w:val="zh-CN"/>
        </w:rPr>
        <w:t>第七章 质疑、投诉材料格式</w:t>
      </w:r>
      <w:bookmarkEnd w:id="201"/>
      <w:bookmarkEnd w:id="202"/>
      <w:bookmarkEnd w:id="203"/>
      <w:bookmarkEnd w:id="204"/>
      <w:bookmarkEnd w:id="205"/>
      <w:bookmarkEnd w:id="206"/>
      <w:bookmarkEnd w:id="207"/>
      <w:bookmarkEnd w:id="208"/>
      <w:bookmarkEnd w:id="209"/>
    </w:p>
    <w:p>
      <w:pPr>
        <w:spacing w:line="360" w:lineRule="auto"/>
        <w:jc w:val="center"/>
        <w:rPr>
          <w:rFonts w:hint="eastAsia" w:ascii="宋体" w:hAnsi="宋体" w:eastAsia="宋体" w:cs="Times New Roman"/>
          <w:b/>
          <w:bCs/>
          <w:color w:val="auto"/>
          <w:sz w:val="32"/>
          <w:szCs w:val="32"/>
          <w:highlight w:val="none"/>
        </w:rPr>
      </w:pPr>
      <w:r>
        <w:rPr>
          <w:rFonts w:hint="eastAsia" w:ascii="宋体" w:hAnsi="宋体" w:eastAsia="宋体" w:cs="Times New Roman"/>
          <w:b/>
          <w:bCs/>
          <w:color w:val="auto"/>
          <w:sz w:val="32"/>
          <w:szCs w:val="32"/>
          <w:highlight w:val="none"/>
        </w:rPr>
        <w:t>质疑函（格式）</w:t>
      </w:r>
    </w:p>
    <w:p>
      <w:pPr>
        <w:spacing w:line="360" w:lineRule="auto"/>
        <w:ind w:firstLine="482" w:firstLineChars="200"/>
        <w:contextualSpacing/>
        <w:rPr>
          <w:rFonts w:hint="eastAsia" w:ascii="宋体" w:hAnsi="宋体" w:eastAsia="宋体" w:cs="Times New Roman"/>
          <w:b/>
          <w:bCs/>
          <w:color w:val="auto"/>
          <w:kern w:val="0"/>
          <w:sz w:val="24"/>
          <w:szCs w:val="24"/>
          <w:highlight w:val="none"/>
          <w:lang w:val="zh-CN"/>
        </w:rPr>
      </w:pPr>
      <w:r>
        <w:rPr>
          <w:rFonts w:hint="eastAsia" w:ascii="宋体" w:hAnsi="宋体" w:eastAsia="宋体" w:cs="Times New Roman"/>
          <w:b/>
          <w:bCs/>
          <w:color w:val="auto"/>
          <w:kern w:val="0"/>
          <w:sz w:val="24"/>
          <w:szCs w:val="24"/>
          <w:highlight w:val="none"/>
          <w:lang w:val="zh-CN"/>
        </w:rPr>
        <w:t>一、质疑供应商基本信息：</w:t>
      </w:r>
    </w:p>
    <w:p>
      <w:pPr>
        <w:spacing w:line="360" w:lineRule="auto"/>
        <w:ind w:firstLine="480" w:firstLineChars="200"/>
        <w:contextualSpacing/>
        <w:rPr>
          <w:rFonts w:hint="eastAsia"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质疑供应商：</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pPr>
        <w:spacing w:line="360" w:lineRule="auto"/>
        <w:ind w:firstLine="480" w:firstLineChars="200"/>
        <w:contextualSpacing/>
        <w:rPr>
          <w:rFonts w:hint="eastAsia"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地址</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邮编</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pPr>
        <w:spacing w:line="360" w:lineRule="auto"/>
        <w:ind w:firstLine="480" w:firstLineChars="200"/>
        <w:contextualSpacing/>
        <w:rPr>
          <w:rFonts w:hint="eastAsia"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联系人</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联系电话</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p>
    <w:p>
      <w:pPr>
        <w:spacing w:line="360" w:lineRule="auto"/>
        <w:ind w:firstLine="480" w:firstLineChars="200"/>
        <w:contextualSpacing/>
        <w:rPr>
          <w:rFonts w:hint="eastAsia" w:ascii="宋体" w:hAnsi="宋体" w:eastAsia="宋体" w:cs="Times New Roman"/>
          <w:bCs/>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授权代表：</w:t>
      </w:r>
      <w:r>
        <w:rPr>
          <w:rFonts w:hint="eastAsia" w:ascii="宋体" w:hAnsi="宋体" w:eastAsia="宋体" w:cs="Times New Roman"/>
          <w:bCs/>
          <w:color w:val="auto"/>
          <w:kern w:val="0"/>
          <w:sz w:val="24"/>
          <w:szCs w:val="24"/>
          <w:highlight w:val="none"/>
          <w:u w:val="single"/>
          <w:lang w:val="zh-CN"/>
        </w:rPr>
        <w:t xml:space="preserve">                      </w:t>
      </w:r>
    </w:p>
    <w:p>
      <w:pPr>
        <w:spacing w:line="360" w:lineRule="auto"/>
        <w:ind w:firstLine="480" w:firstLineChars="200"/>
        <w:contextualSpacing/>
        <w:rPr>
          <w:rFonts w:hint="eastAsia" w:ascii="宋体" w:hAnsi="宋体" w:eastAsia="宋体" w:cs="Times New Roman"/>
          <w:bCs/>
          <w:color w:val="auto"/>
          <w:kern w:val="0"/>
          <w:sz w:val="24"/>
          <w:szCs w:val="24"/>
          <w:highlight w:val="none"/>
          <w:u w:val="single"/>
          <w:lang w:val="zh-CN"/>
        </w:rPr>
      </w:pPr>
      <w:r>
        <w:rPr>
          <w:rFonts w:ascii="宋体" w:hAnsi="宋体" w:eastAsia="宋体" w:cs="Times New Roman"/>
          <w:bCs/>
          <w:color w:val="auto"/>
          <w:kern w:val="0"/>
          <w:sz w:val="24"/>
          <w:szCs w:val="24"/>
          <w:highlight w:val="none"/>
          <w:lang w:val="zh-CN"/>
        </w:rPr>
        <w:t>联系</w:t>
      </w:r>
      <w:r>
        <w:rPr>
          <w:rFonts w:hint="eastAsia" w:ascii="宋体" w:hAnsi="宋体" w:eastAsia="宋体" w:cs="Times New Roman"/>
          <w:bCs/>
          <w:color w:val="auto"/>
          <w:kern w:val="0"/>
          <w:sz w:val="24"/>
          <w:szCs w:val="24"/>
          <w:highlight w:val="none"/>
          <w:lang w:val="zh-CN"/>
        </w:rPr>
        <w:t>电话：</w:t>
      </w:r>
      <w:r>
        <w:rPr>
          <w:rFonts w:hint="eastAsia" w:ascii="宋体" w:hAnsi="宋体" w:eastAsia="宋体" w:cs="Times New Roman"/>
          <w:bCs/>
          <w:color w:val="auto"/>
          <w:kern w:val="0"/>
          <w:sz w:val="24"/>
          <w:szCs w:val="24"/>
          <w:highlight w:val="none"/>
          <w:u w:val="single"/>
          <w:lang w:val="zh-CN"/>
        </w:rPr>
        <w:t xml:space="preserve">                      </w:t>
      </w:r>
    </w:p>
    <w:p>
      <w:pPr>
        <w:spacing w:line="360" w:lineRule="auto"/>
        <w:ind w:firstLine="480" w:firstLineChars="200"/>
        <w:contextualSpacing/>
        <w:rPr>
          <w:rFonts w:hint="eastAsia"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地址</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邮编</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pPr>
        <w:spacing w:line="360" w:lineRule="auto"/>
        <w:ind w:firstLine="482" w:firstLineChars="200"/>
        <w:contextualSpacing/>
        <w:rPr>
          <w:rFonts w:hint="eastAsia" w:ascii="宋体" w:hAnsi="宋体" w:eastAsia="宋体" w:cs="Times New Roman"/>
          <w:b/>
          <w:bCs/>
          <w:color w:val="auto"/>
          <w:kern w:val="0"/>
          <w:sz w:val="24"/>
          <w:szCs w:val="24"/>
          <w:highlight w:val="none"/>
          <w:lang w:val="zh-CN"/>
        </w:rPr>
      </w:pPr>
      <w:r>
        <w:rPr>
          <w:rFonts w:hint="eastAsia" w:ascii="宋体" w:hAnsi="宋体" w:eastAsia="宋体" w:cs="Times New Roman"/>
          <w:b/>
          <w:bCs/>
          <w:color w:val="auto"/>
          <w:kern w:val="0"/>
          <w:sz w:val="24"/>
          <w:szCs w:val="24"/>
          <w:highlight w:val="none"/>
          <w:lang w:val="zh-CN"/>
        </w:rPr>
        <w:t>二、质疑项目基本情况：</w:t>
      </w:r>
    </w:p>
    <w:p>
      <w:pPr>
        <w:spacing w:line="360" w:lineRule="auto"/>
        <w:ind w:left="25" w:leftChars="12" w:firstLine="472" w:firstLineChars="197"/>
        <w:contextualSpacing/>
        <w:rPr>
          <w:rFonts w:hint="eastAsia" w:ascii="宋体" w:hAnsi="宋体" w:eastAsia="宋体" w:cs="Times New Roman"/>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质疑</w:t>
      </w:r>
      <w:r>
        <w:rPr>
          <w:rFonts w:hint="eastAsia" w:ascii="宋体" w:hAnsi="宋体" w:eastAsia="宋体" w:cs="Times New Roman"/>
          <w:color w:val="auto"/>
          <w:kern w:val="0"/>
          <w:sz w:val="24"/>
          <w:szCs w:val="24"/>
          <w:highlight w:val="none"/>
          <w:lang w:val="zh-CN"/>
        </w:rPr>
        <w:t>项目的名称：</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u w:val="single"/>
        </w:rPr>
        <w:t xml:space="preserve">                   </w:t>
      </w:r>
      <w:r>
        <w:rPr>
          <w:rFonts w:hint="eastAsia" w:ascii="宋体" w:hAnsi="宋体" w:eastAsia="宋体" w:cs="Times New Roman"/>
          <w:bCs/>
          <w:color w:val="auto"/>
          <w:kern w:val="0"/>
          <w:sz w:val="24"/>
          <w:szCs w:val="24"/>
          <w:highlight w:val="none"/>
          <w:u w:val="single"/>
          <w:lang w:val="zh-CN"/>
        </w:rPr>
        <w:t xml:space="preserve"> </w:t>
      </w:r>
    </w:p>
    <w:p>
      <w:pPr>
        <w:spacing w:line="360" w:lineRule="auto"/>
        <w:ind w:left="25" w:leftChars="12" w:firstLine="472" w:firstLineChars="197"/>
        <w:contextualSpacing/>
        <w:rPr>
          <w:rFonts w:hint="eastAsia" w:ascii="宋体" w:hAnsi="宋体" w:eastAsia="宋体" w:cs="Times New Roman"/>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质疑</w:t>
      </w:r>
      <w:r>
        <w:rPr>
          <w:rFonts w:hint="eastAsia" w:ascii="宋体" w:hAnsi="宋体" w:eastAsia="宋体" w:cs="Times New Roman"/>
          <w:color w:val="auto"/>
          <w:kern w:val="0"/>
          <w:sz w:val="24"/>
          <w:szCs w:val="24"/>
          <w:highlight w:val="none"/>
          <w:lang w:val="zh-CN"/>
        </w:rPr>
        <w:t>项目的编号：</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u w:val="single"/>
        </w:rPr>
        <w:t xml:space="preserve">                    </w:t>
      </w:r>
      <w:r>
        <w:rPr>
          <w:rFonts w:hint="eastAsia" w:ascii="宋体" w:hAnsi="宋体" w:eastAsia="宋体" w:cs="Times New Roman"/>
          <w:bCs/>
          <w:color w:val="auto"/>
          <w:kern w:val="0"/>
          <w:sz w:val="24"/>
          <w:szCs w:val="24"/>
          <w:highlight w:val="none"/>
          <w:u w:val="single"/>
          <w:lang w:val="zh-CN"/>
        </w:rPr>
        <w:t xml:space="preserve"> </w:t>
      </w:r>
    </w:p>
    <w:p>
      <w:pPr>
        <w:spacing w:line="360" w:lineRule="auto"/>
        <w:ind w:left="25" w:leftChars="12" w:firstLine="472" w:firstLineChars="197"/>
        <w:contextualSpacing/>
        <w:rPr>
          <w:rFonts w:hint="eastAsia"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采购人名称：</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u w:val="single"/>
        </w:rPr>
        <w:t xml:space="preserve">         </w:t>
      </w:r>
      <w:r>
        <w:rPr>
          <w:rFonts w:hint="eastAsia" w:ascii="宋体" w:hAnsi="宋体" w:eastAsia="宋体" w:cs="Times New Roman"/>
          <w:bCs/>
          <w:color w:val="auto"/>
          <w:kern w:val="0"/>
          <w:sz w:val="24"/>
          <w:szCs w:val="24"/>
          <w:highlight w:val="none"/>
          <w:u w:val="single"/>
          <w:lang w:val="zh-CN"/>
        </w:rPr>
        <w:t xml:space="preserve"> </w:t>
      </w:r>
    </w:p>
    <w:p>
      <w:pPr>
        <w:spacing w:line="360" w:lineRule="auto"/>
        <w:ind w:left="25" w:leftChars="12" w:firstLine="472" w:firstLineChars="197"/>
        <w:contextualSpacing/>
        <w:rPr>
          <w:rFonts w:hint="eastAsia"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质疑事项：</w:t>
      </w:r>
    </w:p>
    <w:p>
      <w:pPr>
        <w:spacing w:line="360" w:lineRule="auto"/>
        <w:ind w:left="25" w:leftChars="12" w:firstLine="352" w:firstLineChars="147"/>
        <w:contextualSpacing/>
        <w:rPr>
          <w:rFonts w:hint="eastAsia"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□采购文件   采购文件获取日期：</w:t>
      </w:r>
      <w:r>
        <w:rPr>
          <w:rFonts w:hint="eastAsia" w:ascii="宋体" w:hAnsi="宋体" w:eastAsia="宋体" w:cs="Times New Roman"/>
          <w:bCs/>
          <w:color w:val="auto"/>
          <w:kern w:val="0"/>
          <w:sz w:val="24"/>
          <w:szCs w:val="24"/>
          <w:highlight w:val="none"/>
          <w:u w:val="single"/>
          <w:lang w:val="zh-CN"/>
        </w:rPr>
        <w:t xml:space="preserve">                                   </w:t>
      </w:r>
    </w:p>
    <w:p>
      <w:pPr>
        <w:spacing w:line="360" w:lineRule="auto"/>
        <w:ind w:left="25" w:leftChars="12" w:firstLine="352" w:firstLineChars="147"/>
        <w:contextualSpacing/>
        <w:rPr>
          <w:rFonts w:hint="eastAsia"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 xml:space="preserve">□采购过程   </w:t>
      </w:r>
    </w:p>
    <w:p>
      <w:pPr>
        <w:spacing w:line="360" w:lineRule="auto"/>
        <w:ind w:left="25" w:leftChars="12" w:firstLine="352" w:firstLineChars="147"/>
        <w:contextualSpacing/>
        <w:rPr>
          <w:rFonts w:hint="eastAsia" w:ascii="宋体" w:hAnsi="宋体" w:eastAsia="宋体" w:cs="Times New Roman"/>
          <w:bCs/>
          <w:color w:val="auto"/>
          <w:kern w:val="0"/>
          <w:sz w:val="24"/>
          <w:szCs w:val="24"/>
          <w:highlight w:val="none"/>
          <w:u w:val="single"/>
          <w:lang w:val="zh-CN"/>
        </w:rPr>
      </w:pPr>
      <w:r>
        <w:rPr>
          <w:rFonts w:hint="eastAsia" w:ascii="宋体" w:hAnsi="宋体" w:eastAsia="宋体" w:cs="Times New Roman"/>
          <w:color w:val="auto"/>
          <w:kern w:val="0"/>
          <w:sz w:val="24"/>
          <w:szCs w:val="24"/>
          <w:highlight w:val="none"/>
          <w:lang w:val="zh-CN"/>
        </w:rPr>
        <w:t xml:space="preserve">□成交结果   </w:t>
      </w:r>
    </w:p>
    <w:p>
      <w:pPr>
        <w:spacing w:line="360" w:lineRule="auto"/>
        <w:ind w:left="25" w:leftChars="12" w:firstLine="472" w:firstLineChars="196"/>
        <w:contextualSpacing/>
        <w:rPr>
          <w:rFonts w:hint="eastAsia"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三、质疑事项具体内容</w:t>
      </w:r>
    </w:p>
    <w:p>
      <w:pPr>
        <w:spacing w:line="360" w:lineRule="auto"/>
        <w:ind w:left="25" w:leftChars="12" w:firstLine="472" w:firstLineChars="197"/>
        <w:contextualSpacing/>
        <w:rPr>
          <w:rFonts w:hint="eastAsia"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质疑事项1：</w:t>
      </w:r>
      <w:r>
        <w:rPr>
          <w:rFonts w:hint="eastAsia" w:ascii="宋体" w:hAnsi="宋体" w:eastAsia="宋体" w:cs="Times New Roman"/>
          <w:bCs/>
          <w:color w:val="auto"/>
          <w:kern w:val="0"/>
          <w:sz w:val="24"/>
          <w:szCs w:val="24"/>
          <w:highlight w:val="none"/>
          <w:u w:val="single"/>
          <w:lang w:val="zh-CN"/>
        </w:rPr>
        <w:t xml:space="preserve">                                                                    </w:t>
      </w:r>
    </w:p>
    <w:p>
      <w:pPr>
        <w:spacing w:line="360" w:lineRule="auto"/>
        <w:ind w:left="25" w:leftChars="12" w:firstLine="472" w:firstLineChars="197"/>
        <w:contextualSpacing/>
        <w:rPr>
          <w:rFonts w:hint="eastAsia"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事实依据：</w:t>
      </w:r>
      <w:r>
        <w:rPr>
          <w:rFonts w:hint="eastAsia" w:ascii="宋体" w:hAnsi="宋体" w:eastAsia="宋体" w:cs="Times New Roman"/>
          <w:bCs/>
          <w:color w:val="auto"/>
          <w:kern w:val="0"/>
          <w:sz w:val="24"/>
          <w:szCs w:val="24"/>
          <w:highlight w:val="none"/>
          <w:u w:val="single"/>
          <w:lang w:val="zh-CN"/>
        </w:rPr>
        <w:t xml:space="preserve">                                                                      </w:t>
      </w:r>
    </w:p>
    <w:p>
      <w:pPr>
        <w:spacing w:line="360" w:lineRule="auto"/>
        <w:ind w:left="25" w:leftChars="12" w:firstLine="472" w:firstLineChars="197"/>
        <w:contextualSpacing/>
        <w:rPr>
          <w:rFonts w:hint="eastAsia"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法律依据：</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u w:val="single"/>
          <w:lang w:val="zh-CN"/>
        </w:rPr>
        <w:t xml:space="preserve">               </w:t>
      </w:r>
    </w:p>
    <w:p>
      <w:pPr>
        <w:spacing w:line="360" w:lineRule="auto"/>
        <w:ind w:left="25" w:leftChars="12" w:firstLine="472" w:firstLineChars="197"/>
        <w:contextualSpacing/>
        <w:rPr>
          <w:rFonts w:hint="eastAsia"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质疑事项2</w:t>
      </w:r>
    </w:p>
    <w:p>
      <w:pPr>
        <w:spacing w:line="360" w:lineRule="auto"/>
        <w:ind w:left="25" w:leftChars="12" w:firstLine="472" w:firstLineChars="197"/>
        <w:contextualSpacing/>
        <w:rPr>
          <w:rFonts w:hint="eastAsia" w:ascii="宋体" w:hAnsi="宋体" w:eastAsia="宋体" w:cs="Times New Roman"/>
          <w:color w:val="auto"/>
          <w:kern w:val="0"/>
          <w:sz w:val="24"/>
          <w:szCs w:val="24"/>
          <w:highlight w:val="none"/>
          <w:lang w:val="zh-CN"/>
        </w:rPr>
      </w:pPr>
      <w:r>
        <w:rPr>
          <w:rFonts w:ascii="宋体" w:hAnsi="宋体" w:eastAsia="宋体" w:cs="Times New Roman"/>
          <w:color w:val="auto"/>
          <w:kern w:val="0"/>
          <w:sz w:val="24"/>
          <w:szCs w:val="24"/>
          <w:highlight w:val="none"/>
          <w:lang w:val="zh-CN"/>
        </w:rPr>
        <w:t>……</w:t>
      </w:r>
    </w:p>
    <w:p>
      <w:pPr>
        <w:spacing w:line="360" w:lineRule="auto"/>
        <w:ind w:left="25" w:leftChars="12" w:firstLine="472" w:firstLineChars="197"/>
        <w:contextualSpacing/>
        <w:rPr>
          <w:rFonts w:hint="eastAsia"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四、与质疑事项相关的质疑请求：</w:t>
      </w:r>
    </w:p>
    <w:p>
      <w:pPr>
        <w:spacing w:line="360" w:lineRule="auto"/>
        <w:ind w:left="25" w:leftChars="12" w:firstLine="472" w:firstLineChars="197"/>
        <w:contextualSpacing/>
        <w:rPr>
          <w:rFonts w:hint="eastAsia"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请求：</w:t>
      </w:r>
      <w:r>
        <w:rPr>
          <w:rFonts w:hint="eastAsia" w:ascii="宋体" w:hAnsi="宋体" w:eastAsia="宋体" w:cs="Times New Roman"/>
          <w:bCs/>
          <w:color w:val="auto"/>
          <w:kern w:val="0"/>
          <w:sz w:val="24"/>
          <w:szCs w:val="24"/>
          <w:highlight w:val="none"/>
          <w:u w:val="single"/>
          <w:lang w:val="zh-CN"/>
        </w:rPr>
        <w:t xml:space="preserve">                                                                </w:t>
      </w:r>
    </w:p>
    <w:p>
      <w:pPr>
        <w:spacing w:line="360" w:lineRule="auto"/>
        <w:ind w:left="25" w:leftChars="12" w:firstLine="352" w:firstLineChars="147"/>
        <w:contextualSpacing/>
        <w:rPr>
          <w:rFonts w:hint="eastAsia" w:ascii="宋体" w:hAnsi="宋体" w:eastAsia="宋体" w:cs="Times New Roman"/>
          <w:color w:val="auto"/>
          <w:kern w:val="0"/>
          <w:sz w:val="24"/>
          <w:szCs w:val="24"/>
          <w:highlight w:val="none"/>
          <w:lang w:val="zh-CN"/>
        </w:rPr>
      </w:pPr>
    </w:p>
    <w:p>
      <w:pPr>
        <w:spacing w:line="360" w:lineRule="auto"/>
        <w:ind w:left="25" w:leftChars="12" w:firstLine="472" w:firstLineChars="197"/>
        <w:contextualSpacing/>
        <w:rPr>
          <w:rFonts w:hint="eastAsia"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签字（签章）：                                       公章：</w:t>
      </w:r>
    </w:p>
    <w:p>
      <w:pPr>
        <w:spacing w:line="360" w:lineRule="auto"/>
        <w:ind w:left="25" w:leftChars="12" w:firstLine="352" w:firstLineChars="147"/>
        <w:contextualSpacing/>
        <w:rPr>
          <w:rFonts w:hint="eastAsia" w:ascii="宋体" w:hAnsi="宋体" w:eastAsia="宋体" w:cs="Times New Roman"/>
          <w:color w:val="auto"/>
          <w:kern w:val="0"/>
          <w:sz w:val="24"/>
          <w:szCs w:val="24"/>
          <w:highlight w:val="none"/>
          <w:lang w:val="zh-CN"/>
        </w:rPr>
      </w:pPr>
    </w:p>
    <w:p>
      <w:pPr>
        <w:spacing w:line="360" w:lineRule="auto"/>
        <w:ind w:left="25" w:leftChars="12" w:firstLine="472" w:firstLineChars="197"/>
        <w:contextualSpacing/>
        <w:rPr>
          <w:rFonts w:hint="eastAsia"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日期：</w:t>
      </w:r>
    </w:p>
    <w:p>
      <w:pPr>
        <w:spacing w:line="360" w:lineRule="auto"/>
        <w:contextualSpacing/>
        <w:rPr>
          <w:rFonts w:hint="eastAsia" w:ascii="宋体" w:hAnsi="宋体" w:eastAsia="宋体" w:cs="Times New Roman"/>
          <w:b/>
          <w:color w:val="auto"/>
          <w:kern w:val="0"/>
          <w:sz w:val="24"/>
          <w:szCs w:val="24"/>
          <w:highlight w:val="none"/>
          <w:lang w:val="zh-CN"/>
        </w:rPr>
      </w:pPr>
    </w:p>
    <w:p>
      <w:pPr>
        <w:spacing w:line="360" w:lineRule="auto"/>
        <w:contextualSpacing/>
        <w:rPr>
          <w:rFonts w:hint="eastAsia" w:ascii="宋体" w:hAnsi="宋体" w:eastAsia="宋体" w:cs="Times New Roman"/>
          <w:b/>
          <w:color w:val="auto"/>
          <w:kern w:val="0"/>
          <w:sz w:val="24"/>
          <w:szCs w:val="24"/>
          <w:highlight w:val="none"/>
          <w:lang w:val="zh-CN"/>
        </w:rPr>
      </w:pPr>
    </w:p>
    <w:p>
      <w:pPr>
        <w:spacing w:line="360" w:lineRule="auto"/>
        <w:contextualSpacing/>
        <w:rPr>
          <w:rFonts w:hint="eastAsia"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说明：</w:t>
      </w:r>
    </w:p>
    <w:p>
      <w:pPr>
        <w:spacing w:line="360" w:lineRule="auto"/>
        <w:ind w:left="25" w:leftChars="12" w:firstLine="354" w:firstLineChars="147"/>
        <w:contextualSpacing/>
        <w:rPr>
          <w:rFonts w:hint="eastAsia" w:ascii="宋体" w:hAnsi="宋体" w:eastAsia="宋体" w:cs="Times New Roman"/>
          <w:b/>
          <w:bCs/>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1.供应商提出质疑时，应提交质疑函和必要的证明材料</w:t>
      </w:r>
      <w:r>
        <w:rPr>
          <w:rFonts w:hint="eastAsia" w:ascii="宋体" w:hAnsi="宋体" w:eastAsia="宋体" w:cs="Times New Roman"/>
          <w:b/>
          <w:bCs/>
          <w:color w:val="auto"/>
          <w:kern w:val="0"/>
          <w:sz w:val="24"/>
          <w:szCs w:val="24"/>
          <w:highlight w:val="none"/>
          <w:lang w:val="zh-CN"/>
        </w:rPr>
        <w:t>。</w:t>
      </w:r>
    </w:p>
    <w:p>
      <w:pPr>
        <w:spacing w:line="360" w:lineRule="auto"/>
        <w:ind w:left="25" w:leftChars="12" w:firstLine="354" w:firstLineChars="147"/>
        <w:contextualSpacing/>
        <w:rPr>
          <w:rFonts w:hint="eastAsia"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line="360" w:lineRule="auto"/>
        <w:ind w:left="25" w:leftChars="12" w:firstLine="354" w:firstLineChars="147"/>
        <w:contextualSpacing/>
        <w:rPr>
          <w:rFonts w:hint="eastAsia"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3.质疑函的质疑事项应具体、明确，并有必要的事实依据和法律依据。</w:t>
      </w:r>
    </w:p>
    <w:p>
      <w:pPr>
        <w:spacing w:line="360" w:lineRule="auto"/>
        <w:ind w:left="25" w:leftChars="12" w:firstLine="354" w:firstLineChars="147"/>
        <w:contextualSpacing/>
        <w:rPr>
          <w:rFonts w:hint="eastAsia"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4.质疑函的质疑请求应与质疑事项相关。</w:t>
      </w:r>
    </w:p>
    <w:p>
      <w:pPr>
        <w:spacing w:line="360" w:lineRule="auto"/>
        <w:ind w:left="25" w:leftChars="12" w:firstLine="354" w:firstLineChars="147"/>
        <w:contextualSpacing/>
        <w:rPr>
          <w:rFonts w:hint="eastAsia" w:ascii="宋体" w:hAnsi="宋体" w:eastAsia="宋体" w:cs="Times New Roman"/>
          <w:b/>
          <w:color w:val="auto"/>
          <w:kern w:val="0"/>
          <w:sz w:val="20"/>
          <w:szCs w:val="21"/>
          <w:highlight w:val="none"/>
          <w:lang w:val="zh-CN"/>
        </w:rPr>
      </w:pPr>
      <w:r>
        <w:rPr>
          <w:rFonts w:hint="eastAsia" w:ascii="宋体" w:hAnsi="宋体" w:eastAsia="宋体" w:cs="Times New Roman"/>
          <w:b/>
          <w:color w:val="auto"/>
          <w:kern w:val="0"/>
          <w:sz w:val="24"/>
          <w:szCs w:val="24"/>
          <w:highlight w:val="none"/>
          <w:lang w:val="zh-CN"/>
        </w:rPr>
        <w:t>5.质疑供应商为法人或者其他组织的，质疑函应由法定代表人、主要负责人，或者其授权代表签字或者盖章，并加盖公章。</w:t>
      </w:r>
    </w:p>
    <w:p>
      <w:pPr>
        <w:snapToGrid w:val="0"/>
        <w:rPr>
          <w:rFonts w:ascii="宋体" w:hAnsi="Courier New" w:eastAsia="宋体" w:cs="Times New Roman"/>
          <w:b/>
          <w:color w:val="auto"/>
          <w:kern w:val="0"/>
          <w:sz w:val="24"/>
          <w:szCs w:val="24"/>
          <w:highlight w:val="none"/>
          <w:lang w:val="zh-CN"/>
        </w:rPr>
      </w:pPr>
    </w:p>
    <w:p>
      <w:pPr>
        <w:spacing w:line="460" w:lineRule="exact"/>
        <w:jc w:val="center"/>
        <w:rPr>
          <w:rFonts w:ascii="Times New Roman" w:hAnsi="Times New Roman" w:eastAsia="隶书" w:cs="Times New Roman"/>
          <w:color w:val="auto"/>
          <w:sz w:val="44"/>
          <w:szCs w:val="24"/>
          <w:highlight w:val="none"/>
        </w:rPr>
      </w:pPr>
      <w:r>
        <w:rPr>
          <w:rFonts w:ascii="Times New Roman" w:hAnsi="Times New Roman" w:eastAsia="隶书" w:cs="Times New Roman"/>
          <w:color w:val="auto"/>
          <w:sz w:val="44"/>
          <w:szCs w:val="24"/>
          <w:highlight w:val="none"/>
        </w:rPr>
        <w:br w:type="page"/>
      </w:r>
    </w:p>
    <w:p>
      <w:pPr>
        <w:spacing w:line="360" w:lineRule="auto"/>
        <w:jc w:val="center"/>
        <w:rPr>
          <w:rFonts w:hint="eastAsia" w:ascii="宋体" w:hAnsi="宋体" w:eastAsia="宋体" w:cs="Times New Roman"/>
          <w:b/>
          <w:bCs/>
          <w:color w:val="auto"/>
          <w:sz w:val="32"/>
          <w:szCs w:val="32"/>
          <w:highlight w:val="none"/>
        </w:rPr>
      </w:pPr>
      <w:r>
        <w:rPr>
          <w:rFonts w:hint="eastAsia" w:ascii="宋体" w:hAnsi="宋体" w:eastAsia="宋体" w:cs="Times New Roman"/>
          <w:b/>
          <w:bCs/>
          <w:color w:val="auto"/>
          <w:sz w:val="32"/>
          <w:szCs w:val="32"/>
          <w:highlight w:val="none"/>
        </w:rPr>
        <w:t>投诉书（格式）</w:t>
      </w:r>
    </w:p>
    <w:p>
      <w:pPr>
        <w:snapToGrid w:val="0"/>
        <w:spacing w:line="360" w:lineRule="auto"/>
        <w:ind w:firstLine="482" w:firstLineChars="200"/>
        <w:rPr>
          <w:rFonts w:hint="eastAsia" w:ascii="宋体" w:hAnsi="宋体" w:eastAsia="宋体" w:cs="Times New Roman"/>
          <w:b/>
          <w:bCs/>
          <w:color w:val="auto"/>
          <w:kern w:val="0"/>
          <w:sz w:val="24"/>
          <w:szCs w:val="24"/>
          <w:highlight w:val="none"/>
          <w:lang w:val="zh-CN"/>
        </w:rPr>
      </w:pPr>
      <w:r>
        <w:rPr>
          <w:rFonts w:hint="eastAsia" w:ascii="宋体" w:hAnsi="宋体" w:eastAsia="宋体" w:cs="Times New Roman"/>
          <w:b/>
          <w:bCs/>
          <w:color w:val="auto"/>
          <w:kern w:val="0"/>
          <w:sz w:val="24"/>
          <w:szCs w:val="24"/>
          <w:highlight w:val="none"/>
          <w:lang w:val="zh-CN"/>
        </w:rPr>
        <w:t>一、投诉相关主体基本情况：</w:t>
      </w:r>
    </w:p>
    <w:p>
      <w:pPr>
        <w:snapToGrid w:val="0"/>
        <w:spacing w:line="360" w:lineRule="auto"/>
        <w:ind w:firstLine="480" w:firstLineChars="200"/>
        <w:rPr>
          <w:rFonts w:hint="eastAsia"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供应商：</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pPr>
        <w:snapToGrid w:val="0"/>
        <w:spacing w:line="360" w:lineRule="auto"/>
        <w:ind w:firstLine="480" w:firstLineChars="200"/>
        <w:rPr>
          <w:rFonts w:hint="eastAsia"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地址</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邮编</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pPr>
        <w:snapToGrid w:val="0"/>
        <w:spacing w:line="360" w:lineRule="auto"/>
        <w:ind w:firstLine="480" w:firstLineChars="200"/>
        <w:rPr>
          <w:rFonts w:hint="eastAsia"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法定代表人/主要负责人：</w:t>
      </w:r>
      <w:r>
        <w:rPr>
          <w:rFonts w:hint="eastAsia" w:ascii="宋体" w:hAnsi="宋体" w:eastAsia="宋体" w:cs="Times New Roman"/>
          <w:bCs/>
          <w:color w:val="auto"/>
          <w:kern w:val="0"/>
          <w:sz w:val="24"/>
          <w:szCs w:val="24"/>
          <w:highlight w:val="none"/>
          <w:u w:val="single"/>
          <w:lang w:val="zh-CN"/>
        </w:rPr>
        <w:t xml:space="preserve">                                                         </w:t>
      </w:r>
    </w:p>
    <w:p>
      <w:pPr>
        <w:snapToGrid w:val="0"/>
        <w:spacing w:line="360" w:lineRule="auto"/>
        <w:ind w:firstLine="480" w:firstLineChars="200"/>
        <w:rPr>
          <w:rFonts w:hint="eastAsia"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联系电话</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p>
    <w:p>
      <w:pPr>
        <w:snapToGrid w:val="0"/>
        <w:spacing w:line="360" w:lineRule="auto"/>
        <w:ind w:firstLine="480" w:firstLineChars="200"/>
        <w:rPr>
          <w:rFonts w:hint="eastAsia"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授权代表：</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联系</w:t>
      </w:r>
      <w:r>
        <w:rPr>
          <w:rFonts w:hint="eastAsia" w:ascii="宋体" w:hAnsi="宋体" w:eastAsia="宋体" w:cs="Times New Roman"/>
          <w:bCs/>
          <w:color w:val="auto"/>
          <w:kern w:val="0"/>
          <w:sz w:val="24"/>
          <w:szCs w:val="24"/>
          <w:highlight w:val="none"/>
          <w:lang w:val="zh-CN"/>
        </w:rPr>
        <w:t>电话：</w:t>
      </w:r>
      <w:r>
        <w:rPr>
          <w:rFonts w:hint="eastAsia" w:ascii="宋体" w:hAnsi="宋体" w:eastAsia="宋体" w:cs="Times New Roman"/>
          <w:bCs/>
          <w:color w:val="auto"/>
          <w:kern w:val="0"/>
          <w:sz w:val="24"/>
          <w:szCs w:val="24"/>
          <w:highlight w:val="none"/>
          <w:u w:val="single"/>
          <w:lang w:val="zh-CN"/>
        </w:rPr>
        <w:t xml:space="preserve">                   </w:t>
      </w:r>
    </w:p>
    <w:p>
      <w:pPr>
        <w:snapToGrid w:val="0"/>
        <w:spacing w:line="360" w:lineRule="auto"/>
        <w:ind w:firstLine="480" w:firstLineChars="200"/>
        <w:rPr>
          <w:rFonts w:hint="eastAsia" w:ascii="宋体" w:hAnsi="宋体" w:eastAsia="宋体" w:cs="Times New Roman"/>
          <w:bCs/>
          <w:color w:val="auto"/>
          <w:kern w:val="0"/>
          <w:sz w:val="24"/>
          <w:szCs w:val="24"/>
          <w:highlight w:val="none"/>
          <w:u w:val="single"/>
          <w:lang w:val="zh-CN"/>
        </w:rPr>
      </w:pPr>
      <w:r>
        <w:rPr>
          <w:rFonts w:ascii="宋体" w:hAnsi="宋体" w:eastAsia="宋体" w:cs="Times New Roman"/>
          <w:bCs/>
          <w:color w:val="auto"/>
          <w:kern w:val="0"/>
          <w:sz w:val="24"/>
          <w:szCs w:val="24"/>
          <w:highlight w:val="none"/>
          <w:lang w:val="zh-CN"/>
        </w:rPr>
        <w:t>地址</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p>
    <w:p>
      <w:pPr>
        <w:snapToGrid w:val="0"/>
        <w:spacing w:line="360" w:lineRule="auto"/>
        <w:ind w:firstLine="480" w:firstLineChars="200"/>
        <w:rPr>
          <w:rFonts w:hint="eastAsia"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邮编</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pPr>
        <w:snapToGrid w:val="0"/>
        <w:spacing w:line="360" w:lineRule="auto"/>
        <w:ind w:firstLine="480" w:firstLineChars="200"/>
        <w:rPr>
          <w:rFonts w:hint="eastAsia" w:ascii="宋体" w:hAnsi="宋体" w:eastAsia="宋体" w:cs="Times New Roman"/>
          <w:bCs/>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被投诉人1：</w:t>
      </w:r>
    </w:p>
    <w:p>
      <w:pPr>
        <w:snapToGrid w:val="0"/>
        <w:spacing w:line="360" w:lineRule="auto"/>
        <w:ind w:firstLine="480" w:firstLineChars="200"/>
        <w:rPr>
          <w:rFonts w:hint="eastAsia"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地址：</w:t>
      </w:r>
      <w:r>
        <w:rPr>
          <w:rFonts w:hint="eastAsia" w:ascii="宋体" w:hAnsi="宋体" w:eastAsia="宋体" w:cs="Times New Roman"/>
          <w:bCs/>
          <w:color w:val="auto"/>
          <w:kern w:val="0"/>
          <w:sz w:val="24"/>
          <w:szCs w:val="24"/>
          <w:highlight w:val="none"/>
          <w:u w:val="single"/>
          <w:lang w:val="zh-CN"/>
        </w:rPr>
        <w:t xml:space="preserve">                                                            </w:t>
      </w:r>
    </w:p>
    <w:p>
      <w:pPr>
        <w:snapToGrid w:val="0"/>
        <w:spacing w:line="360" w:lineRule="auto"/>
        <w:ind w:firstLine="480" w:firstLineChars="200"/>
        <w:rPr>
          <w:rFonts w:hint="eastAsia"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邮编</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pPr>
        <w:snapToGrid w:val="0"/>
        <w:spacing w:line="360" w:lineRule="auto"/>
        <w:ind w:firstLine="480" w:firstLineChars="200"/>
        <w:rPr>
          <w:rFonts w:hint="eastAsia"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联系人：</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联系</w:t>
      </w:r>
      <w:r>
        <w:rPr>
          <w:rFonts w:hint="eastAsia" w:ascii="宋体" w:hAnsi="宋体" w:eastAsia="宋体" w:cs="Times New Roman"/>
          <w:bCs/>
          <w:color w:val="auto"/>
          <w:kern w:val="0"/>
          <w:sz w:val="24"/>
          <w:szCs w:val="24"/>
          <w:highlight w:val="none"/>
          <w:lang w:val="zh-CN"/>
        </w:rPr>
        <w:t>电话：</w:t>
      </w:r>
      <w:r>
        <w:rPr>
          <w:rFonts w:hint="eastAsia" w:ascii="宋体" w:hAnsi="宋体" w:eastAsia="宋体" w:cs="Times New Roman"/>
          <w:bCs/>
          <w:color w:val="auto"/>
          <w:kern w:val="0"/>
          <w:sz w:val="24"/>
          <w:szCs w:val="24"/>
          <w:highlight w:val="none"/>
          <w:u w:val="single"/>
          <w:lang w:val="zh-CN"/>
        </w:rPr>
        <w:t xml:space="preserve">                </w:t>
      </w:r>
    </w:p>
    <w:p>
      <w:pPr>
        <w:snapToGrid w:val="0"/>
        <w:spacing w:line="360" w:lineRule="auto"/>
        <w:ind w:firstLine="480" w:firstLineChars="200"/>
        <w:rPr>
          <w:rFonts w:hint="eastAsia" w:ascii="宋体" w:hAnsi="宋体" w:eastAsia="宋体" w:cs="Times New Roman"/>
          <w:bCs/>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被投诉人2：</w:t>
      </w:r>
    </w:p>
    <w:p>
      <w:pPr>
        <w:snapToGrid w:val="0"/>
        <w:spacing w:line="360" w:lineRule="auto"/>
        <w:ind w:firstLine="480" w:firstLineChars="200"/>
        <w:rPr>
          <w:rFonts w:hint="eastAsia"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w:t>
      </w:r>
    </w:p>
    <w:p>
      <w:pPr>
        <w:snapToGrid w:val="0"/>
        <w:spacing w:line="360" w:lineRule="auto"/>
        <w:ind w:firstLine="480" w:firstLineChars="200"/>
        <w:rPr>
          <w:rFonts w:hint="eastAsia"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相关供应商：</w:t>
      </w:r>
      <w:r>
        <w:rPr>
          <w:rFonts w:hint="eastAsia" w:ascii="宋体" w:hAnsi="宋体" w:eastAsia="宋体" w:cs="Times New Roman"/>
          <w:bCs/>
          <w:color w:val="auto"/>
          <w:kern w:val="0"/>
          <w:sz w:val="24"/>
          <w:szCs w:val="24"/>
          <w:highlight w:val="none"/>
          <w:u w:val="single"/>
          <w:lang w:val="zh-CN"/>
        </w:rPr>
        <w:t xml:space="preserve">                                                                       </w:t>
      </w:r>
    </w:p>
    <w:p>
      <w:pPr>
        <w:snapToGrid w:val="0"/>
        <w:spacing w:line="360" w:lineRule="auto"/>
        <w:ind w:firstLine="480" w:firstLineChars="200"/>
        <w:rPr>
          <w:rFonts w:hint="eastAsia" w:ascii="宋体" w:hAnsi="宋体" w:eastAsia="宋体" w:cs="Times New Roman"/>
          <w:bCs/>
          <w:color w:val="auto"/>
          <w:kern w:val="0"/>
          <w:sz w:val="24"/>
          <w:szCs w:val="24"/>
          <w:highlight w:val="none"/>
          <w:u w:val="single"/>
          <w:lang w:val="zh-CN"/>
        </w:rPr>
      </w:pPr>
      <w:r>
        <w:rPr>
          <w:rFonts w:ascii="宋体" w:hAnsi="宋体" w:eastAsia="宋体" w:cs="Times New Roman"/>
          <w:bCs/>
          <w:color w:val="auto"/>
          <w:kern w:val="0"/>
          <w:sz w:val="24"/>
          <w:szCs w:val="24"/>
          <w:highlight w:val="none"/>
          <w:lang w:val="zh-CN"/>
        </w:rPr>
        <w:t>地址</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邮编</w:t>
      </w:r>
      <w:r>
        <w:rPr>
          <w:rFonts w:hint="eastAsia" w:ascii="宋体" w:hAnsi="宋体" w:eastAsia="宋体" w:cs="Times New Roman"/>
          <w:bCs/>
          <w:color w:val="auto"/>
          <w:kern w:val="0"/>
          <w:sz w:val="24"/>
          <w:szCs w:val="24"/>
          <w:highlight w:val="none"/>
          <w:lang w:val="zh-CN"/>
        </w:rPr>
        <w:t>：</w:t>
      </w:r>
      <w:r>
        <w:rPr>
          <w:rFonts w:hint="eastAsia" w:ascii="宋体" w:hAnsi="宋体" w:eastAsia="宋体" w:cs="Times New Roman"/>
          <w:bCs/>
          <w:color w:val="auto"/>
          <w:kern w:val="0"/>
          <w:sz w:val="24"/>
          <w:szCs w:val="24"/>
          <w:highlight w:val="none"/>
          <w:u w:val="single"/>
          <w:lang w:val="zh-CN"/>
        </w:rPr>
        <w:t xml:space="preserve">                         </w:t>
      </w:r>
    </w:p>
    <w:p>
      <w:pPr>
        <w:snapToGrid w:val="0"/>
        <w:spacing w:line="360" w:lineRule="auto"/>
        <w:ind w:firstLine="480" w:firstLineChars="200"/>
        <w:rPr>
          <w:rFonts w:hint="eastAsia" w:ascii="宋体" w:hAnsi="宋体" w:eastAsia="宋体" w:cs="Times New Roman"/>
          <w:bCs/>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联系人：</w:t>
      </w:r>
      <w:r>
        <w:rPr>
          <w:rFonts w:hint="eastAsia" w:ascii="宋体" w:hAnsi="宋体" w:eastAsia="宋体" w:cs="Times New Roman"/>
          <w:bCs/>
          <w:color w:val="auto"/>
          <w:kern w:val="0"/>
          <w:sz w:val="24"/>
          <w:szCs w:val="24"/>
          <w:highlight w:val="none"/>
          <w:u w:val="single"/>
          <w:lang w:val="zh-CN"/>
        </w:rPr>
        <w:t xml:space="preserve">                                            </w:t>
      </w:r>
      <w:r>
        <w:rPr>
          <w:rFonts w:ascii="宋体" w:hAnsi="宋体" w:eastAsia="宋体" w:cs="Times New Roman"/>
          <w:bCs/>
          <w:color w:val="auto"/>
          <w:kern w:val="0"/>
          <w:sz w:val="24"/>
          <w:szCs w:val="24"/>
          <w:highlight w:val="none"/>
          <w:lang w:val="zh-CN"/>
        </w:rPr>
        <w:t>联系</w:t>
      </w:r>
      <w:r>
        <w:rPr>
          <w:rFonts w:hint="eastAsia" w:ascii="宋体" w:hAnsi="宋体" w:eastAsia="宋体" w:cs="Times New Roman"/>
          <w:bCs/>
          <w:color w:val="auto"/>
          <w:kern w:val="0"/>
          <w:sz w:val="24"/>
          <w:szCs w:val="24"/>
          <w:highlight w:val="none"/>
          <w:lang w:val="zh-CN"/>
        </w:rPr>
        <w:t>电话：</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lang w:val="zh-CN"/>
        </w:rPr>
        <w:t xml:space="preserve">                </w:t>
      </w:r>
    </w:p>
    <w:p>
      <w:pPr>
        <w:snapToGrid w:val="0"/>
        <w:spacing w:line="360" w:lineRule="auto"/>
        <w:ind w:firstLine="482" w:firstLineChars="200"/>
        <w:rPr>
          <w:rFonts w:hint="eastAsia" w:ascii="宋体" w:hAnsi="宋体" w:eastAsia="宋体" w:cs="Times New Roman"/>
          <w:b/>
          <w:bCs/>
          <w:color w:val="auto"/>
          <w:kern w:val="0"/>
          <w:sz w:val="24"/>
          <w:szCs w:val="24"/>
          <w:highlight w:val="none"/>
          <w:lang w:val="zh-CN"/>
        </w:rPr>
      </w:pPr>
      <w:r>
        <w:rPr>
          <w:rFonts w:hint="eastAsia" w:ascii="宋体" w:hAnsi="宋体" w:eastAsia="宋体" w:cs="Times New Roman"/>
          <w:b/>
          <w:bCs/>
          <w:color w:val="auto"/>
          <w:kern w:val="0"/>
          <w:sz w:val="24"/>
          <w:szCs w:val="24"/>
          <w:highlight w:val="none"/>
          <w:lang w:val="zh-CN"/>
        </w:rPr>
        <w:t>二、投诉项目基本情况：</w:t>
      </w:r>
    </w:p>
    <w:p>
      <w:pPr>
        <w:spacing w:line="360" w:lineRule="auto"/>
        <w:ind w:left="25" w:leftChars="12" w:firstLine="472" w:firstLineChars="197"/>
        <w:rPr>
          <w:rFonts w:hint="eastAsia" w:ascii="宋体" w:hAnsi="宋体" w:eastAsia="宋体" w:cs="Times New Roman"/>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采购</w:t>
      </w:r>
      <w:r>
        <w:rPr>
          <w:rFonts w:hint="eastAsia" w:ascii="宋体" w:hAnsi="宋体" w:eastAsia="宋体" w:cs="Times New Roman"/>
          <w:color w:val="auto"/>
          <w:kern w:val="0"/>
          <w:sz w:val="24"/>
          <w:szCs w:val="24"/>
          <w:highlight w:val="none"/>
          <w:lang w:val="zh-CN"/>
        </w:rPr>
        <w:t>项目的名称：</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u w:val="single"/>
        </w:rPr>
        <w:t xml:space="preserve">                 </w:t>
      </w:r>
      <w:r>
        <w:rPr>
          <w:rFonts w:hint="eastAsia" w:ascii="宋体" w:hAnsi="宋体" w:eastAsia="宋体" w:cs="Times New Roman"/>
          <w:bCs/>
          <w:color w:val="auto"/>
          <w:kern w:val="0"/>
          <w:sz w:val="24"/>
          <w:szCs w:val="24"/>
          <w:highlight w:val="none"/>
          <w:u w:val="single"/>
          <w:lang w:val="zh-CN"/>
        </w:rPr>
        <w:t xml:space="preserve"> </w:t>
      </w:r>
    </w:p>
    <w:p>
      <w:pPr>
        <w:spacing w:line="360" w:lineRule="auto"/>
        <w:ind w:left="25" w:leftChars="12" w:firstLine="472" w:firstLineChars="197"/>
        <w:rPr>
          <w:rFonts w:hint="eastAsia" w:ascii="宋体" w:hAnsi="宋体" w:eastAsia="宋体" w:cs="Times New Roman"/>
          <w:color w:val="auto"/>
          <w:kern w:val="0"/>
          <w:sz w:val="24"/>
          <w:szCs w:val="24"/>
          <w:highlight w:val="none"/>
        </w:rPr>
      </w:pPr>
      <w:r>
        <w:rPr>
          <w:rFonts w:hint="eastAsia" w:ascii="宋体" w:hAnsi="宋体" w:eastAsia="宋体" w:cs="Times New Roman"/>
          <w:bCs/>
          <w:color w:val="auto"/>
          <w:kern w:val="0"/>
          <w:sz w:val="24"/>
          <w:szCs w:val="24"/>
          <w:highlight w:val="none"/>
          <w:lang w:val="zh-CN"/>
        </w:rPr>
        <w:t>采购</w:t>
      </w:r>
      <w:r>
        <w:rPr>
          <w:rFonts w:hint="eastAsia" w:ascii="宋体" w:hAnsi="宋体" w:eastAsia="宋体" w:cs="Times New Roman"/>
          <w:color w:val="auto"/>
          <w:kern w:val="0"/>
          <w:sz w:val="24"/>
          <w:szCs w:val="24"/>
          <w:highlight w:val="none"/>
          <w:lang w:val="zh-CN"/>
        </w:rPr>
        <w:t>项目的编号：</w:t>
      </w:r>
      <w:r>
        <w:rPr>
          <w:rFonts w:hint="eastAsia" w:ascii="宋体" w:hAnsi="宋体" w:eastAsia="宋体" w:cs="Times New Roman"/>
          <w:bCs/>
          <w:color w:val="auto"/>
          <w:kern w:val="0"/>
          <w:sz w:val="24"/>
          <w:szCs w:val="24"/>
          <w:highlight w:val="none"/>
          <w:u w:val="single"/>
        </w:rPr>
        <w:t xml:space="preserve">                 </w:t>
      </w:r>
    </w:p>
    <w:p>
      <w:pPr>
        <w:spacing w:line="360" w:lineRule="auto"/>
        <w:ind w:left="25" w:leftChars="12" w:firstLine="472" w:firstLineChars="197"/>
        <w:rPr>
          <w:rFonts w:hint="eastAsia" w:ascii="宋体" w:hAnsi="宋体" w:eastAsia="宋体" w:cs="Times New Roman"/>
          <w:bCs/>
          <w:color w:val="auto"/>
          <w:kern w:val="0"/>
          <w:sz w:val="24"/>
          <w:szCs w:val="24"/>
          <w:highlight w:val="none"/>
          <w:u w:val="single"/>
          <w:lang w:val="zh-CN"/>
        </w:rPr>
      </w:pPr>
      <w:r>
        <w:rPr>
          <w:rFonts w:hint="eastAsia" w:ascii="宋体" w:hAnsi="宋体" w:eastAsia="宋体" w:cs="Times New Roman"/>
          <w:color w:val="auto"/>
          <w:kern w:val="0"/>
          <w:sz w:val="24"/>
          <w:szCs w:val="24"/>
          <w:highlight w:val="none"/>
          <w:lang w:val="zh-CN"/>
        </w:rPr>
        <w:t>采购人名称：</w:t>
      </w:r>
      <w:r>
        <w:rPr>
          <w:rFonts w:hint="eastAsia" w:ascii="宋体" w:hAnsi="宋体" w:eastAsia="宋体" w:cs="Times New Roman"/>
          <w:bCs/>
          <w:color w:val="auto"/>
          <w:kern w:val="0"/>
          <w:sz w:val="24"/>
          <w:szCs w:val="24"/>
          <w:highlight w:val="none"/>
          <w:u w:val="single"/>
          <w:lang w:val="zh-CN"/>
        </w:rPr>
        <w:t xml:space="preserve"> </w:t>
      </w:r>
      <w:r>
        <w:rPr>
          <w:rFonts w:hint="eastAsia" w:ascii="宋体" w:hAnsi="宋体" w:eastAsia="宋体" w:cs="Times New Roman"/>
          <w:bCs/>
          <w:color w:val="auto"/>
          <w:kern w:val="0"/>
          <w:sz w:val="24"/>
          <w:szCs w:val="24"/>
          <w:highlight w:val="none"/>
          <w:u w:val="single"/>
        </w:rPr>
        <w:t xml:space="preserve">           </w:t>
      </w:r>
      <w:r>
        <w:rPr>
          <w:rFonts w:hint="eastAsia" w:ascii="宋体" w:hAnsi="宋体" w:eastAsia="宋体" w:cs="Times New Roman"/>
          <w:bCs/>
          <w:color w:val="auto"/>
          <w:kern w:val="0"/>
          <w:sz w:val="24"/>
          <w:szCs w:val="24"/>
          <w:highlight w:val="none"/>
          <w:u w:val="single"/>
          <w:lang w:val="zh-CN"/>
        </w:rPr>
        <w:t xml:space="preserve">  </w:t>
      </w:r>
    </w:p>
    <w:p>
      <w:pPr>
        <w:spacing w:line="360" w:lineRule="auto"/>
        <w:ind w:left="25" w:leftChars="12" w:firstLine="472" w:firstLineChars="197"/>
        <w:rPr>
          <w:rFonts w:hint="eastAsia" w:ascii="宋体" w:hAnsi="宋体" w:eastAsia="宋体" w:cs="Times New Roman"/>
          <w:bCs/>
          <w:color w:val="auto"/>
          <w:kern w:val="0"/>
          <w:sz w:val="24"/>
          <w:szCs w:val="24"/>
          <w:highlight w:val="none"/>
          <w:u w:val="single"/>
          <w:lang w:val="zh-CN"/>
        </w:rPr>
      </w:pPr>
      <w:r>
        <w:rPr>
          <w:rFonts w:hint="eastAsia" w:ascii="宋体" w:hAnsi="宋体" w:eastAsia="宋体" w:cs="Times New Roman"/>
          <w:color w:val="auto"/>
          <w:kern w:val="0"/>
          <w:sz w:val="24"/>
          <w:szCs w:val="24"/>
          <w:highlight w:val="none"/>
          <w:lang w:val="zh-CN"/>
        </w:rPr>
        <w:t>代理机构名称：</w:t>
      </w:r>
      <w:r>
        <w:rPr>
          <w:rFonts w:hint="eastAsia" w:ascii="宋体" w:hAnsi="宋体" w:eastAsia="宋体" w:cs="Times New Roman"/>
          <w:bCs/>
          <w:color w:val="auto"/>
          <w:kern w:val="0"/>
          <w:sz w:val="24"/>
          <w:szCs w:val="24"/>
          <w:highlight w:val="none"/>
          <w:u w:val="single"/>
        </w:rPr>
        <w:t xml:space="preserve">               </w:t>
      </w:r>
      <w:r>
        <w:rPr>
          <w:rFonts w:hint="eastAsia" w:ascii="宋体" w:hAnsi="宋体" w:eastAsia="宋体" w:cs="Times New Roman"/>
          <w:bCs/>
          <w:color w:val="auto"/>
          <w:kern w:val="0"/>
          <w:sz w:val="24"/>
          <w:szCs w:val="24"/>
          <w:highlight w:val="none"/>
          <w:u w:val="single"/>
          <w:lang w:val="zh-CN"/>
        </w:rPr>
        <w:t xml:space="preserve"> </w:t>
      </w:r>
    </w:p>
    <w:p>
      <w:pPr>
        <w:spacing w:line="360" w:lineRule="auto"/>
        <w:ind w:left="25" w:leftChars="12" w:firstLine="472" w:firstLineChars="197"/>
        <w:rPr>
          <w:rFonts w:hint="eastAsia"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rPr>
        <w:t>采购</w:t>
      </w:r>
      <w:r>
        <w:rPr>
          <w:rFonts w:hint="eastAsia" w:ascii="宋体" w:hAnsi="宋体" w:eastAsia="宋体" w:cs="Times New Roman"/>
          <w:bCs/>
          <w:color w:val="auto"/>
          <w:kern w:val="0"/>
          <w:sz w:val="24"/>
          <w:szCs w:val="24"/>
          <w:highlight w:val="none"/>
          <w:lang w:val="zh-CN"/>
        </w:rPr>
        <w:t>文件公告：</w:t>
      </w:r>
      <w:r>
        <w:rPr>
          <w:rFonts w:hint="eastAsia" w:ascii="宋体" w:hAnsi="宋体" w:eastAsia="宋体" w:cs="Times New Roman"/>
          <w:bCs/>
          <w:color w:val="auto"/>
          <w:kern w:val="0"/>
          <w:sz w:val="24"/>
          <w:szCs w:val="24"/>
          <w:highlight w:val="none"/>
          <w:u w:val="single"/>
          <w:lang w:val="zh-CN"/>
        </w:rPr>
        <w:t>是/否</w:t>
      </w:r>
      <w:r>
        <w:rPr>
          <w:rFonts w:hint="eastAsia" w:ascii="宋体" w:hAnsi="宋体" w:eastAsia="宋体" w:cs="Times New Roman"/>
          <w:bCs/>
          <w:color w:val="auto"/>
          <w:kern w:val="0"/>
          <w:sz w:val="24"/>
          <w:szCs w:val="24"/>
          <w:highlight w:val="none"/>
          <w:lang w:val="zh-CN"/>
        </w:rPr>
        <w:t>公告期限：</w:t>
      </w:r>
      <w:r>
        <w:rPr>
          <w:rFonts w:hint="eastAsia" w:ascii="宋体" w:hAnsi="宋体" w:eastAsia="宋体" w:cs="Times New Roman"/>
          <w:bCs/>
          <w:color w:val="auto"/>
          <w:kern w:val="0"/>
          <w:sz w:val="24"/>
          <w:szCs w:val="24"/>
          <w:highlight w:val="none"/>
          <w:u w:val="single"/>
          <w:lang w:val="zh-CN"/>
        </w:rPr>
        <w:t xml:space="preserve">                                                       </w:t>
      </w:r>
    </w:p>
    <w:p>
      <w:pPr>
        <w:spacing w:line="360" w:lineRule="auto"/>
        <w:ind w:left="25" w:leftChars="12" w:firstLine="472" w:firstLineChars="197"/>
        <w:rPr>
          <w:rFonts w:hint="eastAsia" w:ascii="宋体" w:hAnsi="宋体" w:eastAsia="宋体" w:cs="Times New Roman"/>
          <w:b/>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采购结果公告：</w:t>
      </w:r>
      <w:r>
        <w:rPr>
          <w:rFonts w:hint="eastAsia" w:ascii="宋体" w:hAnsi="宋体" w:eastAsia="宋体" w:cs="Times New Roman"/>
          <w:bCs/>
          <w:color w:val="auto"/>
          <w:kern w:val="0"/>
          <w:sz w:val="24"/>
          <w:szCs w:val="24"/>
          <w:highlight w:val="none"/>
          <w:u w:val="single"/>
          <w:lang w:val="zh-CN"/>
        </w:rPr>
        <w:t>是/否</w:t>
      </w:r>
      <w:r>
        <w:rPr>
          <w:rFonts w:hint="eastAsia" w:ascii="宋体" w:hAnsi="宋体" w:eastAsia="宋体" w:cs="Times New Roman"/>
          <w:bCs/>
          <w:color w:val="auto"/>
          <w:kern w:val="0"/>
          <w:sz w:val="24"/>
          <w:szCs w:val="24"/>
          <w:highlight w:val="none"/>
          <w:lang w:val="zh-CN"/>
        </w:rPr>
        <w:t>公告期限：</w:t>
      </w:r>
      <w:r>
        <w:rPr>
          <w:rFonts w:hint="eastAsia" w:ascii="宋体" w:hAnsi="宋体" w:eastAsia="宋体" w:cs="Times New Roman"/>
          <w:bCs/>
          <w:color w:val="auto"/>
          <w:kern w:val="0"/>
          <w:sz w:val="24"/>
          <w:szCs w:val="24"/>
          <w:highlight w:val="none"/>
          <w:u w:val="single"/>
          <w:lang w:val="zh-CN"/>
        </w:rPr>
        <w:t xml:space="preserve">                                                       </w:t>
      </w:r>
    </w:p>
    <w:p>
      <w:pPr>
        <w:spacing w:line="360" w:lineRule="auto"/>
        <w:ind w:left="25" w:leftChars="12" w:firstLine="472" w:firstLineChars="196"/>
        <w:rPr>
          <w:rFonts w:hint="eastAsia"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三、质疑基本情况</w:t>
      </w:r>
    </w:p>
    <w:p>
      <w:pPr>
        <w:spacing w:line="360" w:lineRule="auto"/>
        <w:ind w:firstLine="480" w:firstLineChars="200"/>
        <w:rPr>
          <w:rFonts w:hint="eastAsia"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投诉人于</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color w:val="auto"/>
          <w:kern w:val="0"/>
          <w:sz w:val="24"/>
          <w:szCs w:val="24"/>
          <w:highlight w:val="none"/>
          <w:lang w:val="zh-CN"/>
        </w:rPr>
        <w:t>年</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color w:val="auto"/>
          <w:kern w:val="0"/>
          <w:sz w:val="24"/>
          <w:szCs w:val="24"/>
          <w:highlight w:val="none"/>
          <w:lang w:val="zh-CN"/>
        </w:rPr>
        <w:t>月</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color w:val="auto"/>
          <w:kern w:val="0"/>
          <w:sz w:val="24"/>
          <w:szCs w:val="24"/>
          <w:highlight w:val="none"/>
          <w:lang w:val="zh-CN"/>
        </w:rPr>
        <w:t>日，向</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color w:val="auto"/>
          <w:kern w:val="0"/>
          <w:sz w:val="24"/>
          <w:szCs w:val="24"/>
          <w:highlight w:val="none"/>
          <w:lang w:val="zh-CN"/>
        </w:rPr>
        <w:t>提出质疑，质疑事项为：</w:t>
      </w:r>
    </w:p>
    <w:p>
      <w:pPr>
        <w:spacing w:line="360" w:lineRule="auto"/>
        <w:ind w:firstLine="241"/>
        <w:rPr>
          <w:rFonts w:hint="eastAsia" w:ascii="宋体" w:hAnsi="宋体" w:eastAsia="宋体" w:cs="Times New Roman"/>
          <w:bCs/>
          <w:color w:val="auto"/>
          <w:kern w:val="0"/>
          <w:sz w:val="24"/>
          <w:szCs w:val="24"/>
          <w:highlight w:val="none"/>
          <w:u w:val="single"/>
          <w:lang w:val="zh-CN"/>
        </w:rPr>
      </w:pPr>
      <w:r>
        <w:rPr>
          <w:rFonts w:hint="eastAsia" w:ascii="宋体" w:hAnsi="宋体" w:eastAsia="宋体" w:cs="Times New Roman"/>
          <w:color w:val="auto"/>
          <w:kern w:val="0"/>
          <w:sz w:val="24"/>
          <w:szCs w:val="24"/>
          <w:highlight w:val="none"/>
          <w:lang w:val="zh-CN"/>
        </w:rPr>
        <w:t xml:space="preserve">    </w:t>
      </w:r>
      <w:r>
        <w:rPr>
          <w:rFonts w:hint="eastAsia" w:ascii="宋体" w:hAnsi="宋体" w:eastAsia="宋体" w:cs="Times New Roman"/>
          <w:bCs/>
          <w:color w:val="auto"/>
          <w:kern w:val="0"/>
          <w:sz w:val="24"/>
          <w:szCs w:val="24"/>
          <w:highlight w:val="none"/>
          <w:u w:val="single"/>
          <w:lang w:val="zh-CN"/>
        </w:rPr>
        <w:t xml:space="preserve">                                                                                      </w:t>
      </w:r>
    </w:p>
    <w:p>
      <w:pPr>
        <w:spacing w:line="360" w:lineRule="auto"/>
        <w:ind w:firstLine="241"/>
        <w:rPr>
          <w:rFonts w:hint="eastAsia"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 xml:space="preserve">    </w:t>
      </w:r>
      <w:r>
        <w:rPr>
          <w:rFonts w:hint="eastAsia" w:ascii="宋体" w:hAnsi="宋体" w:eastAsia="宋体" w:cs="Times New Roman"/>
          <w:bCs/>
          <w:color w:val="auto"/>
          <w:kern w:val="0"/>
          <w:sz w:val="24"/>
          <w:szCs w:val="24"/>
          <w:highlight w:val="none"/>
          <w:u w:val="single"/>
          <w:lang w:val="zh-CN"/>
        </w:rPr>
        <w:t xml:space="preserve">                                                                                      </w:t>
      </w:r>
    </w:p>
    <w:p>
      <w:pPr>
        <w:spacing w:line="360" w:lineRule="auto"/>
        <w:ind w:firstLine="480" w:firstLineChars="200"/>
        <w:rPr>
          <w:rFonts w:hint="eastAsia" w:ascii="宋体" w:hAnsi="宋体" w:eastAsia="宋体" w:cs="Times New Roman"/>
          <w:color w:val="auto"/>
          <w:kern w:val="0"/>
          <w:sz w:val="24"/>
          <w:szCs w:val="24"/>
          <w:highlight w:val="none"/>
          <w:lang w:val="zh-CN"/>
        </w:rPr>
      </w:pPr>
      <w:r>
        <w:rPr>
          <w:rFonts w:hint="eastAsia" w:ascii="宋体" w:hAnsi="宋体" w:eastAsia="宋体" w:cs="Times New Roman"/>
          <w:bCs/>
          <w:color w:val="auto"/>
          <w:kern w:val="0"/>
          <w:sz w:val="24"/>
          <w:szCs w:val="24"/>
          <w:highlight w:val="none"/>
          <w:u w:val="single"/>
          <w:lang w:val="zh-CN"/>
        </w:rPr>
        <w:t>采购人/代理机构</w:t>
      </w:r>
      <w:r>
        <w:rPr>
          <w:rFonts w:hint="eastAsia" w:ascii="宋体" w:hAnsi="宋体" w:eastAsia="宋体" w:cs="Times New Roman"/>
          <w:bCs/>
          <w:color w:val="auto"/>
          <w:kern w:val="0"/>
          <w:sz w:val="24"/>
          <w:szCs w:val="24"/>
          <w:highlight w:val="none"/>
          <w:lang w:val="zh-CN"/>
        </w:rPr>
        <w:t>于</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color w:val="auto"/>
          <w:kern w:val="0"/>
          <w:sz w:val="24"/>
          <w:szCs w:val="24"/>
          <w:highlight w:val="none"/>
          <w:lang w:val="zh-CN"/>
        </w:rPr>
        <w:t>年</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color w:val="auto"/>
          <w:kern w:val="0"/>
          <w:sz w:val="24"/>
          <w:szCs w:val="24"/>
          <w:highlight w:val="none"/>
          <w:lang w:val="zh-CN"/>
        </w:rPr>
        <w:t>月</w:t>
      </w:r>
      <w:r>
        <w:rPr>
          <w:rFonts w:hint="eastAsia" w:ascii="宋体" w:hAnsi="宋体" w:eastAsia="宋体" w:cs="Times New Roman"/>
          <w:color w:val="auto"/>
          <w:kern w:val="0"/>
          <w:sz w:val="24"/>
          <w:szCs w:val="24"/>
          <w:highlight w:val="none"/>
          <w:u w:val="single"/>
          <w:lang w:val="zh-CN"/>
        </w:rPr>
        <w:t xml:space="preserve">   </w:t>
      </w:r>
      <w:r>
        <w:rPr>
          <w:rFonts w:hint="eastAsia" w:ascii="宋体" w:hAnsi="宋体" w:eastAsia="宋体" w:cs="Times New Roman"/>
          <w:color w:val="auto"/>
          <w:kern w:val="0"/>
          <w:sz w:val="24"/>
          <w:szCs w:val="24"/>
          <w:highlight w:val="none"/>
          <w:lang w:val="zh-CN"/>
        </w:rPr>
        <w:t>日，</w:t>
      </w:r>
      <w:r>
        <w:rPr>
          <w:rFonts w:hint="eastAsia" w:ascii="宋体" w:hAnsi="宋体" w:eastAsia="宋体" w:cs="Times New Roman"/>
          <w:bCs/>
          <w:color w:val="auto"/>
          <w:kern w:val="0"/>
          <w:sz w:val="24"/>
          <w:szCs w:val="24"/>
          <w:highlight w:val="none"/>
          <w:lang w:val="zh-CN"/>
        </w:rPr>
        <w:t xml:space="preserve">就质疑事项作出了答复/没有在法定期限内作出答复。                                                                                             </w:t>
      </w:r>
    </w:p>
    <w:p>
      <w:pPr>
        <w:spacing w:line="360" w:lineRule="auto"/>
        <w:ind w:left="25" w:leftChars="12" w:firstLine="472" w:firstLineChars="196"/>
        <w:rPr>
          <w:rFonts w:hint="eastAsia"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四、投诉事项具体内容</w:t>
      </w:r>
    </w:p>
    <w:p>
      <w:pPr>
        <w:spacing w:line="360" w:lineRule="auto"/>
        <w:ind w:left="25" w:leftChars="12" w:firstLine="472" w:firstLineChars="197"/>
        <w:rPr>
          <w:rFonts w:hint="eastAsia" w:ascii="宋体" w:hAnsi="宋体" w:eastAsia="宋体" w:cs="Times New Roman"/>
          <w:bCs/>
          <w:color w:val="auto"/>
          <w:kern w:val="0"/>
          <w:sz w:val="24"/>
          <w:szCs w:val="24"/>
          <w:highlight w:val="none"/>
          <w:u w:val="single"/>
          <w:lang w:val="zh-CN"/>
        </w:rPr>
      </w:pPr>
      <w:r>
        <w:rPr>
          <w:rFonts w:hint="eastAsia" w:ascii="宋体" w:hAnsi="宋体" w:eastAsia="宋体" w:cs="Times New Roman"/>
          <w:color w:val="auto"/>
          <w:kern w:val="0"/>
          <w:sz w:val="24"/>
          <w:szCs w:val="24"/>
          <w:highlight w:val="none"/>
          <w:lang w:val="zh-CN"/>
        </w:rPr>
        <w:t>投诉事项1：</w:t>
      </w:r>
      <w:r>
        <w:rPr>
          <w:rFonts w:hint="eastAsia" w:ascii="宋体" w:hAnsi="宋体" w:eastAsia="宋体" w:cs="Times New Roman"/>
          <w:bCs/>
          <w:color w:val="auto"/>
          <w:kern w:val="0"/>
          <w:sz w:val="24"/>
          <w:szCs w:val="24"/>
          <w:highlight w:val="none"/>
          <w:u w:val="single"/>
          <w:lang w:val="zh-CN"/>
        </w:rPr>
        <w:t xml:space="preserve">                                                                           </w:t>
      </w:r>
    </w:p>
    <w:p>
      <w:pPr>
        <w:spacing w:line="360" w:lineRule="auto"/>
        <w:ind w:firstLine="480" w:firstLineChars="200"/>
        <w:rPr>
          <w:rFonts w:hint="eastAsia"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事实依据：</w:t>
      </w:r>
      <w:r>
        <w:rPr>
          <w:rFonts w:hint="eastAsia" w:ascii="宋体" w:hAnsi="宋体" w:eastAsia="宋体" w:cs="Times New Roman"/>
          <w:color w:val="auto"/>
          <w:kern w:val="0"/>
          <w:sz w:val="24"/>
          <w:szCs w:val="24"/>
          <w:highlight w:val="none"/>
          <w:lang w:val="zh-CN"/>
        </w:rPr>
        <w:t xml:space="preserve"> </w:t>
      </w:r>
      <w:r>
        <w:rPr>
          <w:rFonts w:hint="eastAsia" w:ascii="宋体" w:hAnsi="宋体" w:eastAsia="宋体" w:cs="Times New Roman"/>
          <w:bCs/>
          <w:color w:val="auto"/>
          <w:kern w:val="0"/>
          <w:sz w:val="24"/>
          <w:szCs w:val="24"/>
          <w:highlight w:val="none"/>
          <w:u w:val="single"/>
          <w:lang w:val="zh-CN"/>
        </w:rPr>
        <w:t xml:space="preserve">                                                                                      </w:t>
      </w:r>
    </w:p>
    <w:p>
      <w:pPr>
        <w:spacing w:line="360" w:lineRule="auto"/>
        <w:ind w:left="25" w:leftChars="12" w:firstLine="472" w:firstLineChars="197"/>
        <w:rPr>
          <w:rFonts w:hint="eastAsia" w:ascii="宋体" w:hAnsi="宋体" w:eastAsia="宋体" w:cs="Times New Roman"/>
          <w:color w:val="auto"/>
          <w:kern w:val="0"/>
          <w:sz w:val="24"/>
          <w:szCs w:val="24"/>
          <w:highlight w:val="none"/>
          <w:lang w:val="zh-CN"/>
        </w:rPr>
      </w:pPr>
      <w:r>
        <w:rPr>
          <w:rFonts w:hint="eastAsia" w:ascii="宋体" w:hAnsi="宋体" w:eastAsia="宋体" w:cs="Times New Roman"/>
          <w:bCs/>
          <w:color w:val="auto"/>
          <w:kern w:val="0"/>
          <w:sz w:val="24"/>
          <w:szCs w:val="24"/>
          <w:highlight w:val="none"/>
          <w:u w:val="single"/>
          <w:lang w:val="zh-CN"/>
        </w:rPr>
        <w:t xml:space="preserve">                                                                                        </w:t>
      </w:r>
    </w:p>
    <w:p>
      <w:pPr>
        <w:spacing w:line="360" w:lineRule="auto"/>
        <w:ind w:firstLine="480" w:firstLineChars="200"/>
        <w:rPr>
          <w:rFonts w:hint="eastAsia"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法律依据：</w:t>
      </w:r>
      <w:r>
        <w:rPr>
          <w:rFonts w:hint="eastAsia" w:ascii="宋体" w:hAnsi="宋体" w:eastAsia="宋体" w:cs="Times New Roman"/>
          <w:color w:val="auto"/>
          <w:kern w:val="0"/>
          <w:sz w:val="24"/>
          <w:szCs w:val="24"/>
          <w:highlight w:val="none"/>
          <w:lang w:val="zh-CN"/>
        </w:rPr>
        <w:t xml:space="preserve"> </w:t>
      </w:r>
      <w:r>
        <w:rPr>
          <w:rFonts w:hint="eastAsia" w:ascii="宋体" w:hAnsi="宋体" w:eastAsia="宋体" w:cs="Times New Roman"/>
          <w:bCs/>
          <w:color w:val="auto"/>
          <w:kern w:val="0"/>
          <w:sz w:val="24"/>
          <w:szCs w:val="24"/>
          <w:highlight w:val="none"/>
          <w:u w:val="single"/>
          <w:lang w:val="zh-CN"/>
        </w:rPr>
        <w:t xml:space="preserve">                                                                                      </w:t>
      </w:r>
    </w:p>
    <w:p>
      <w:pPr>
        <w:spacing w:line="360" w:lineRule="auto"/>
        <w:ind w:left="25" w:leftChars="12" w:firstLine="352" w:firstLineChars="147"/>
        <w:rPr>
          <w:rFonts w:hint="eastAsia" w:ascii="宋体" w:hAnsi="宋体" w:eastAsia="宋体" w:cs="Times New Roman"/>
          <w:bCs/>
          <w:color w:val="auto"/>
          <w:kern w:val="0"/>
          <w:sz w:val="24"/>
          <w:szCs w:val="24"/>
          <w:highlight w:val="none"/>
          <w:u w:val="single"/>
          <w:lang w:val="zh-CN"/>
        </w:rPr>
      </w:pPr>
      <w:r>
        <w:rPr>
          <w:rFonts w:hint="eastAsia" w:ascii="宋体" w:hAnsi="宋体" w:eastAsia="宋体" w:cs="Times New Roman"/>
          <w:bCs/>
          <w:color w:val="auto"/>
          <w:kern w:val="0"/>
          <w:sz w:val="24"/>
          <w:szCs w:val="24"/>
          <w:highlight w:val="none"/>
          <w:lang w:val="zh-CN"/>
        </w:rPr>
        <w:t xml:space="preserve"> </w:t>
      </w:r>
      <w:r>
        <w:rPr>
          <w:rFonts w:hint="eastAsia" w:ascii="宋体" w:hAnsi="宋体" w:eastAsia="宋体" w:cs="Times New Roman"/>
          <w:bCs/>
          <w:color w:val="auto"/>
          <w:kern w:val="0"/>
          <w:sz w:val="24"/>
          <w:szCs w:val="24"/>
          <w:highlight w:val="none"/>
          <w:u w:val="single"/>
          <w:lang w:val="zh-CN"/>
        </w:rPr>
        <w:t xml:space="preserve">                                                                                        </w:t>
      </w:r>
    </w:p>
    <w:p>
      <w:pPr>
        <w:spacing w:line="360" w:lineRule="auto"/>
        <w:ind w:left="25" w:leftChars="12" w:firstLine="472" w:firstLineChars="197"/>
        <w:rPr>
          <w:rFonts w:hint="eastAsia" w:ascii="宋体" w:hAnsi="宋体" w:eastAsia="宋体" w:cs="Times New Roman"/>
          <w:bCs/>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 xml:space="preserve">投诉事项2  </w:t>
      </w:r>
      <w:r>
        <w:rPr>
          <w:rFonts w:hint="eastAsia" w:ascii="宋体" w:hAnsi="宋体" w:eastAsia="宋体" w:cs="Times New Roman"/>
          <w:bCs/>
          <w:color w:val="auto"/>
          <w:kern w:val="0"/>
          <w:sz w:val="24"/>
          <w:szCs w:val="24"/>
          <w:highlight w:val="none"/>
          <w:lang w:val="zh-CN"/>
        </w:rPr>
        <w:t xml:space="preserve">   </w:t>
      </w:r>
    </w:p>
    <w:p>
      <w:pPr>
        <w:spacing w:line="360" w:lineRule="auto"/>
        <w:ind w:left="25" w:leftChars="12" w:firstLine="472" w:firstLineChars="197"/>
        <w:rPr>
          <w:rFonts w:hint="eastAsia" w:ascii="宋体" w:hAnsi="宋体" w:eastAsia="宋体" w:cs="Times New Roman"/>
          <w:bCs/>
          <w:color w:val="auto"/>
          <w:kern w:val="0"/>
          <w:sz w:val="24"/>
          <w:szCs w:val="24"/>
          <w:highlight w:val="none"/>
          <w:lang w:val="zh-CN"/>
        </w:rPr>
      </w:pPr>
      <w:r>
        <w:rPr>
          <w:rFonts w:ascii="宋体" w:hAnsi="宋体" w:eastAsia="宋体" w:cs="Times New Roman"/>
          <w:bCs/>
          <w:color w:val="auto"/>
          <w:kern w:val="0"/>
          <w:sz w:val="24"/>
          <w:szCs w:val="24"/>
          <w:highlight w:val="none"/>
          <w:lang w:val="zh-CN"/>
        </w:rPr>
        <w:t>……</w:t>
      </w:r>
    </w:p>
    <w:p>
      <w:pPr>
        <w:spacing w:line="360" w:lineRule="auto"/>
        <w:ind w:left="25" w:leftChars="12" w:firstLine="472" w:firstLineChars="196"/>
        <w:rPr>
          <w:rFonts w:hint="eastAsia"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五、与投诉事项相关的投诉请求：</w:t>
      </w:r>
    </w:p>
    <w:p>
      <w:pPr>
        <w:spacing w:line="360" w:lineRule="auto"/>
        <w:ind w:left="25" w:leftChars="12" w:firstLine="472" w:firstLineChars="197"/>
        <w:rPr>
          <w:rFonts w:hint="eastAsia"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请求：</w:t>
      </w:r>
      <w:r>
        <w:rPr>
          <w:rFonts w:hint="eastAsia" w:ascii="宋体" w:hAnsi="宋体" w:eastAsia="宋体" w:cs="Times New Roman"/>
          <w:bCs/>
          <w:color w:val="auto"/>
          <w:kern w:val="0"/>
          <w:sz w:val="24"/>
          <w:szCs w:val="24"/>
          <w:highlight w:val="none"/>
          <w:u w:val="single"/>
          <w:lang w:val="zh-CN"/>
        </w:rPr>
        <w:t xml:space="preserve">                                                                                 </w:t>
      </w:r>
    </w:p>
    <w:p>
      <w:pPr>
        <w:spacing w:line="360" w:lineRule="auto"/>
        <w:ind w:left="25" w:leftChars="12" w:firstLine="352" w:firstLineChars="147"/>
        <w:rPr>
          <w:rFonts w:hint="eastAsia" w:ascii="宋体" w:hAnsi="宋体" w:eastAsia="宋体" w:cs="Times New Roman"/>
          <w:color w:val="auto"/>
          <w:kern w:val="0"/>
          <w:sz w:val="24"/>
          <w:szCs w:val="24"/>
          <w:highlight w:val="none"/>
          <w:lang w:val="zh-CN"/>
        </w:rPr>
      </w:pPr>
    </w:p>
    <w:p>
      <w:pPr>
        <w:spacing w:line="360" w:lineRule="auto"/>
        <w:ind w:left="25" w:leftChars="12" w:firstLine="472" w:firstLineChars="197"/>
        <w:rPr>
          <w:rFonts w:hint="eastAsia"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签字（签章）：                                       公章：</w:t>
      </w:r>
    </w:p>
    <w:p>
      <w:pPr>
        <w:spacing w:line="360" w:lineRule="auto"/>
        <w:ind w:left="25" w:leftChars="12" w:firstLine="352" w:firstLineChars="147"/>
        <w:rPr>
          <w:rFonts w:hint="eastAsia" w:ascii="宋体" w:hAnsi="宋体" w:eastAsia="宋体" w:cs="Times New Roman"/>
          <w:color w:val="auto"/>
          <w:kern w:val="0"/>
          <w:sz w:val="24"/>
          <w:szCs w:val="24"/>
          <w:highlight w:val="none"/>
          <w:lang w:val="zh-CN"/>
        </w:rPr>
      </w:pPr>
    </w:p>
    <w:p>
      <w:pPr>
        <w:spacing w:line="360" w:lineRule="auto"/>
        <w:ind w:left="25" w:leftChars="12" w:firstLine="472" w:firstLineChars="197"/>
        <w:rPr>
          <w:rFonts w:hint="eastAsia" w:ascii="宋体" w:hAnsi="宋体" w:eastAsia="宋体" w:cs="Times New Roman"/>
          <w:color w:val="auto"/>
          <w:kern w:val="0"/>
          <w:sz w:val="24"/>
          <w:szCs w:val="24"/>
          <w:highlight w:val="none"/>
          <w:lang w:val="zh-CN"/>
        </w:rPr>
      </w:pPr>
      <w:r>
        <w:rPr>
          <w:rFonts w:hint="eastAsia" w:ascii="宋体" w:hAnsi="宋体" w:eastAsia="宋体" w:cs="Times New Roman"/>
          <w:color w:val="auto"/>
          <w:kern w:val="0"/>
          <w:sz w:val="24"/>
          <w:szCs w:val="24"/>
          <w:highlight w:val="none"/>
          <w:lang w:val="zh-CN"/>
        </w:rPr>
        <w:t>日期：</w:t>
      </w:r>
    </w:p>
    <w:p>
      <w:pPr>
        <w:spacing w:line="360" w:lineRule="auto"/>
        <w:ind w:left="25" w:leftChars="12" w:firstLine="472" w:firstLineChars="197"/>
        <w:rPr>
          <w:rFonts w:hint="eastAsia" w:ascii="宋体" w:hAnsi="宋体" w:eastAsia="宋体" w:cs="Times New Roman"/>
          <w:color w:val="auto"/>
          <w:kern w:val="0"/>
          <w:sz w:val="24"/>
          <w:szCs w:val="24"/>
          <w:highlight w:val="none"/>
          <w:lang w:val="zh-CN"/>
        </w:rPr>
      </w:pPr>
      <w:r>
        <w:rPr>
          <w:rFonts w:hint="eastAsia" w:ascii="宋体" w:hAnsi="宋体" w:eastAsia="宋体" w:cs="Times New Roman"/>
          <w:bCs/>
          <w:color w:val="auto"/>
          <w:kern w:val="0"/>
          <w:sz w:val="24"/>
          <w:szCs w:val="24"/>
          <w:highlight w:val="none"/>
          <w:lang w:val="zh-CN"/>
        </w:rPr>
        <w:t xml:space="preserve">                                                                                 </w:t>
      </w:r>
    </w:p>
    <w:p>
      <w:pPr>
        <w:snapToGrid w:val="0"/>
        <w:spacing w:line="360" w:lineRule="auto"/>
        <w:rPr>
          <w:rFonts w:hint="eastAsia" w:ascii="宋体" w:hAnsi="宋体" w:eastAsia="宋体" w:cs="Times New Roman"/>
          <w:b/>
          <w:color w:val="auto"/>
          <w:kern w:val="0"/>
          <w:sz w:val="24"/>
          <w:szCs w:val="24"/>
          <w:highlight w:val="none"/>
          <w:lang w:val="zh-CN"/>
        </w:rPr>
      </w:pPr>
    </w:p>
    <w:p>
      <w:pPr>
        <w:snapToGrid w:val="0"/>
        <w:spacing w:line="360" w:lineRule="auto"/>
        <w:rPr>
          <w:rFonts w:hint="eastAsia"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说明：</w:t>
      </w:r>
    </w:p>
    <w:p>
      <w:pPr>
        <w:spacing w:line="360" w:lineRule="auto"/>
        <w:ind w:left="25" w:leftChars="12" w:firstLine="354" w:firstLineChars="147"/>
        <w:rPr>
          <w:rFonts w:hint="eastAsia" w:ascii="宋体" w:hAnsi="宋体" w:eastAsia="宋体" w:cs="Times New Roman"/>
          <w:b/>
          <w:bCs/>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1.投诉人提起投诉时，应当提交投诉书和必要的证明材料，并按照被投诉人和与投诉事项有关的供应商数量提供投诉书副本</w:t>
      </w:r>
      <w:r>
        <w:rPr>
          <w:rFonts w:hint="eastAsia" w:ascii="宋体" w:hAnsi="宋体" w:eastAsia="宋体" w:cs="Times New Roman"/>
          <w:b/>
          <w:bCs/>
          <w:color w:val="auto"/>
          <w:kern w:val="0"/>
          <w:sz w:val="24"/>
          <w:szCs w:val="24"/>
          <w:highlight w:val="none"/>
          <w:lang w:val="zh-CN"/>
        </w:rPr>
        <w:t>。</w:t>
      </w:r>
    </w:p>
    <w:p>
      <w:pPr>
        <w:spacing w:line="360" w:lineRule="auto"/>
        <w:ind w:left="25" w:leftChars="12" w:firstLine="354" w:firstLineChars="147"/>
        <w:rPr>
          <w:rFonts w:hint="eastAsia"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2.投诉人若委托代理人进行投诉的，投诉书应按要求列明“授权代表”的有关内容，并在附件中提交由投诉人签署的授权委托书。授权委托书应当载明代理人的姓名或者名称、代理事项、具体权限、期限和相关事项。</w:t>
      </w:r>
    </w:p>
    <w:p>
      <w:pPr>
        <w:spacing w:line="360" w:lineRule="auto"/>
        <w:ind w:left="25" w:leftChars="12" w:firstLine="354" w:firstLineChars="147"/>
        <w:rPr>
          <w:rFonts w:hint="eastAsia"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3.投诉书应简要列明质疑事项，质疑函、质疑答复等作为附件材料提供。</w:t>
      </w:r>
    </w:p>
    <w:p>
      <w:pPr>
        <w:spacing w:line="360" w:lineRule="auto"/>
        <w:ind w:left="25" w:leftChars="12" w:firstLine="354" w:firstLineChars="147"/>
        <w:rPr>
          <w:rFonts w:hint="eastAsia"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4.投诉书的投诉事项应具体、明确，并有必要的事实依据和法律依据。</w:t>
      </w:r>
    </w:p>
    <w:p>
      <w:pPr>
        <w:spacing w:line="360" w:lineRule="auto"/>
        <w:ind w:left="25" w:leftChars="12" w:firstLine="354" w:firstLineChars="147"/>
        <w:rPr>
          <w:rFonts w:hint="eastAsia" w:ascii="宋体" w:hAnsi="宋体" w:eastAsia="宋体" w:cs="Times New Roman"/>
          <w:b/>
          <w:color w:val="auto"/>
          <w:kern w:val="0"/>
          <w:sz w:val="24"/>
          <w:szCs w:val="24"/>
          <w:highlight w:val="none"/>
          <w:lang w:val="zh-CN"/>
        </w:rPr>
      </w:pPr>
      <w:r>
        <w:rPr>
          <w:rFonts w:hint="eastAsia" w:ascii="宋体" w:hAnsi="宋体" w:eastAsia="宋体" w:cs="Times New Roman"/>
          <w:b/>
          <w:color w:val="auto"/>
          <w:kern w:val="0"/>
          <w:sz w:val="24"/>
          <w:szCs w:val="24"/>
          <w:highlight w:val="none"/>
          <w:lang w:val="zh-CN"/>
        </w:rPr>
        <w:t>5.投诉书的投诉请求应与投诉事项相关。</w:t>
      </w:r>
    </w:p>
    <w:p>
      <w:pPr>
        <w:spacing w:line="360" w:lineRule="auto"/>
        <w:ind w:left="25" w:leftChars="12" w:firstLine="354" w:firstLineChars="147"/>
        <w:rPr>
          <w:rFonts w:hint="eastAsia" w:ascii="宋体" w:hAnsi="宋体" w:eastAsia="宋体" w:cs="Times New Roman"/>
          <w:b/>
          <w:color w:val="auto"/>
          <w:kern w:val="0"/>
          <w:sz w:val="20"/>
          <w:szCs w:val="21"/>
          <w:highlight w:val="none"/>
          <w:lang w:val="zh-CN"/>
        </w:rPr>
      </w:pPr>
      <w:r>
        <w:rPr>
          <w:rFonts w:hint="eastAsia" w:ascii="宋体" w:hAnsi="宋体" w:eastAsia="宋体" w:cs="Times New Roman"/>
          <w:b/>
          <w:color w:val="auto"/>
          <w:kern w:val="0"/>
          <w:sz w:val="24"/>
          <w:szCs w:val="24"/>
          <w:highlight w:val="none"/>
          <w:lang w:val="zh-CN"/>
        </w:rPr>
        <w:t>6.投诉人为法人或者其他组织的，投诉书应由法定代表人、主要负责人，或者其授权代表签字或者盖章，并加盖公章。</w:t>
      </w:r>
    </w:p>
    <w:p>
      <w:pPr>
        <w:rPr>
          <w:rFonts w:ascii="Times New Roman" w:hAnsi="Times New Roman" w:eastAsia="宋体" w:cs="Times New Roman"/>
          <w:color w:val="auto"/>
          <w:szCs w:val="24"/>
          <w:highlight w:val="none"/>
          <w:lang w:val="zh-CN"/>
        </w:rPr>
      </w:pPr>
    </w:p>
    <w:p>
      <w:pPr>
        <w:rPr>
          <w:rFonts w:ascii="Times New Roman" w:hAnsi="Times New Roman" w:eastAsia="宋体" w:cs="Times New Roman"/>
          <w:color w:val="auto"/>
          <w:szCs w:val="24"/>
          <w:highlight w:val="none"/>
        </w:rPr>
      </w:pPr>
    </w:p>
    <w:p>
      <w:pPr>
        <w:rPr>
          <w:color w:val="auto"/>
          <w:highlight w:val="none"/>
        </w:rPr>
      </w:pPr>
    </w:p>
    <w:sectPr>
      <w:footerReference r:id="rId11" w:type="first"/>
      <w:footerReference r:id="rId10" w:type="default"/>
      <w:pgSz w:w="11910" w:h="16840"/>
      <w:pgMar w:top="1340" w:right="1500" w:bottom="280" w:left="16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9696B88-D560-441F-84D7-73E4C262CD2C}"/>
  </w:font>
  <w:font w:name="Courier New">
    <w:panose1 w:val="02070309020205020404"/>
    <w:charset w:val="01"/>
    <w:family w:val="modern"/>
    <w:pitch w:val="default"/>
    <w:sig w:usb0="E0002EFF" w:usb1="C0007843" w:usb2="00000009" w:usb3="00000000" w:csb0="400001FF" w:csb1="FFFF0000"/>
    <w:embedRegular r:id="rId2" w:fontKey="{7684979C-EE90-4829-AEDB-492A9A11C95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A0C39BB8-474F-4236-B33F-EF32E87CAB0C}"/>
  </w:font>
  <w:font w:name="Cambria">
    <w:panose1 w:val="02040503050406030204"/>
    <w:charset w:val="00"/>
    <w:family w:val="roman"/>
    <w:pitch w:val="default"/>
    <w:sig w:usb0="E00006FF" w:usb1="420024FF" w:usb2="02000000" w:usb3="00000000" w:csb0="2000019F" w:csb1="00000000"/>
    <w:embedRegular r:id="rId4" w:fontKey="{30A1DC22-C619-4568-B01E-A269E4CF4897}"/>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5" w:fontKey="{10837172-4C4F-435C-A3D7-2C17917143D0}"/>
  </w:font>
  <w:font w:name="Calibri Light">
    <w:panose1 w:val="020F03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embedRegular r:id="rId6" w:fontKey="{C4893E19-05EF-43EA-B792-2BC774CFC463}"/>
  </w:font>
  <w:font w:name="Arial Unicode MS">
    <w:panose1 w:val="020B0604020202020204"/>
    <w:charset w:val="86"/>
    <w:family w:val="swiss"/>
    <w:pitch w:val="default"/>
    <w:sig w:usb0="FFFFFFFF" w:usb1="E9FFFFFF" w:usb2="0000003F" w:usb3="00000000" w:csb0="603F01FF" w:csb1="FFFF0000"/>
    <w:embedRegular r:id="rId7" w:fontKey="{3D8E1B26-7802-4C76-8514-39604A408AD1}"/>
  </w:font>
  <w:font w:name="Helvetica">
    <w:altName w:val="Arial"/>
    <w:panose1 w:val="020B0604020202020204"/>
    <w:charset w:val="00"/>
    <w:family w:val="swiss"/>
    <w:pitch w:val="default"/>
    <w:sig w:usb0="00000000" w:usb1="00000000" w:usb2="00000009" w:usb3="00000000" w:csb0="000001FF" w:csb1="00000000"/>
    <w:embedRegular r:id="rId8" w:fontKey="{BC17C3DB-FBD4-41FF-B22C-DDB2246EA7A5}"/>
  </w:font>
  <w:font w:name="方正小标宋简体">
    <w:panose1 w:val="02000000000000000000"/>
    <w:charset w:val="86"/>
    <w:family w:val="script"/>
    <w:pitch w:val="default"/>
    <w:sig w:usb0="00000001" w:usb1="08000000" w:usb2="00000000" w:usb3="00000000" w:csb0="00040000" w:csb1="00000000"/>
    <w:embedRegular r:id="rId9" w:fontKey="{DA470DE7-4A62-4F4F-86FC-2FF45F88031C}"/>
  </w:font>
  <w:font w:name="Verdana">
    <w:panose1 w:val="020B0604030504040204"/>
    <w:charset w:val="00"/>
    <w:family w:val="swiss"/>
    <w:pitch w:val="default"/>
    <w:sig w:usb0="A00006FF" w:usb1="4000205B" w:usb2="00000010" w:usb3="00000000" w:csb0="2000019F" w:csb1="00000000"/>
    <w:embedRegular r:id="rId10" w:fontKey="{61D62A28-5637-4400-ABAA-B76DD26F076C}"/>
  </w:font>
  <w:font w:name="楷体">
    <w:panose1 w:val="02010609060101010101"/>
    <w:charset w:val="86"/>
    <w:family w:val="auto"/>
    <w:pitch w:val="default"/>
    <w:sig w:usb0="800002BF" w:usb1="38CF7CFA" w:usb2="00000016" w:usb3="00000000" w:csb0="00040001" w:csb1="00000000"/>
    <w:embedRegular r:id="rId11" w:fontKey="{82C2E520-0B39-410B-BBE9-438F6C7E3395}"/>
  </w:font>
  <w:font w:name="隶书">
    <w:panose1 w:val="02010509060101010101"/>
    <w:charset w:val="86"/>
    <w:family w:val="modern"/>
    <w:pitch w:val="default"/>
    <w:sig w:usb0="00000001" w:usb1="080E0000" w:usb2="00000000" w:usb3="00000000" w:csb0="00040000" w:csb1="00000000"/>
    <w:embedRegular r:id="rId12" w:fontKey="{26716409-7F4A-45E4-AB33-A40AF7C8C6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enter" w:pos="4439"/>
        <w:tab w:val="clear" w:pos="4153"/>
      </w:tabs>
      <w:jc w:val="both"/>
    </w:pPr>
  </w:p>
  <w:p>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enter" w:pos="4439"/>
        <w:tab w:val="clear" w:pos="4153"/>
      </w:tabs>
    </w:pPr>
    <w:r>
      <w:rPr>
        <w:lang w:val="en-US"/>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6pebnPAAAABQEAAA8AAAAAAAAAAQAgAAAAIgAAAGRycy9kb3ducmV2&#10;LnhtbFBLAQIUABQAAAAIAIdO4kCGLlBtBQIAAAYEAAAOAAAAAAAAAAEAIAAAAB4BAABkcnMvZTJv&#10;RG9jLnhtbFBLBQYAAAAABgAGAFkBAACVBQAAAAA=&#10;">
              <v:fill on="f" focussize="0,0"/>
              <v:stroke on="f"/>
              <v:imagedata o:title=""/>
              <o:lock v:ext="edit" aspectratio="f"/>
              <v:textbox inset="0mm,0mm,0mm,0mm" style="mso-fit-shape-to-text:t;">
                <w:txbxContent>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enter" w:pos="4439"/>
        <w:tab w:val="clear" w:pos="4153"/>
      </w:tabs>
      <w:jc w:val="both"/>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1"/>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p>
    <w:pPr>
      <w:pStyle w:val="2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enter" w:pos="4439"/>
        <w:tab w:val="clear" w:pos="4153"/>
      </w:tabs>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21"/>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lang w:val="en-US"/>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zql5uc8AAAAFAQAADwAAAAAAAAABACAAAAAiAAAAZHJzL2Rvd25yZXYu&#10;eG1sUEsBAhQAFAAAAAgAh07iQDc+5psEAgAABAQAAA4AAAAAAAAAAQAgAAAAHgEAAGRycy9lMm9E&#10;b2MueG1sUEsFBgAAAAAGAAYAWQEAAJQFAAAAAA==&#10;">
              <v:fill on="f" focussize="0,0"/>
              <v:stroke on="f"/>
              <v:imagedata o:title=""/>
              <o:lock v:ext="edit" aspectratio="f"/>
              <v:textbox inset="0mm,0mm,0mm,0mm" style="mso-fit-shape-to-text:t;">
                <w:txbxContent>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left="420" w:hanging="420"/>
      <w:jc w:val="center"/>
    </w:pPr>
    <w:r>
      <w:rPr>
        <w:lang w:val="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pPr>
                            <w:pStyle w:val="21"/>
                            <w:ind w:left="420" w:hanging="420"/>
                            <w:jc w:val="center"/>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qXm5zwAAAAUBAAAPAAAAAAAAAAEAIAAAACIAAABkcnMvZG93&#10;bnJldi54bWxQSwECFAAUAAAACACHTuJARJcnJAkCAAAUBAAADgAAAAAAAAABACAAAAAeAQAAZHJz&#10;L2Uyb0RvYy54bWxQSwUGAAAAAAYABgBZAQAAmQUAAAAA&#10;">
              <v:fill on="f" focussize="0,0"/>
              <v:stroke on="f"/>
              <v:imagedata o:title=""/>
              <o:lock v:ext="edit" aspectratio="f"/>
              <v:textbox inset="0mm,0mm,0mm,0mm" style="mso-fit-shape-to-text:t;">
                <w:txbxContent>
                  <w:p>
                    <w:pPr>
                      <w:pStyle w:val="21"/>
                      <w:ind w:left="420" w:hanging="420"/>
                      <w:jc w:val="center"/>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v:textbox>
            </v:shape>
          </w:pict>
        </mc:Fallback>
      </mc:AlternateContent>
    </w:r>
  </w:p>
  <w:p>
    <w:pPr>
      <w:pStyle w:val="21"/>
      <w:ind w:left="420" w:hanging="4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rPr>
        <w:lang w:val="en-US"/>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pPr>
                            <w:pStyle w:val="21"/>
                            <w:jc w:val="center"/>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qXm5zwAAAAUBAAAPAAAAAAAAAAEAIAAAACIAAABkcnMvZG93&#10;bnJldi54bWxQSwECFAAUAAAACACHTuJAPPOGSwkCAAAUBAAADgAAAAAAAAABACAAAAAeAQAAZHJz&#10;L2Uyb0RvYy54bWxQSwUGAAAAAAYABgBZAQAAmQUAAAAA&#10;">
              <v:fill on="f" focussize="0,0"/>
              <v:stroke on="f"/>
              <v:imagedata o:title=""/>
              <o:lock v:ext="edit" aspectratio="f"/>
              <v:textbox inset="0mm,0mm,0mm,0mm" style="mso-fit-shape-to-text:t;">
                <w:txbxContent>
                  <w:p>
                    <w:pPr>
                      <w:pStyle w:val="21"/>
                      <w:jc w:val="center"/>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v:textbox>
            </v:shape>
          </w:pict>
        </mc:Fallback>
      </mc:AlternateContent>
    </w:r>
  </w:p>
  <w:p>
    <w:pPr>
      <w:pStyle w:val="2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lang w:val="en-US"/>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pPr>
                            <w:pStyle w:val="21"/>
                          </w:pPr>
                          <w:r>
                            <w:rPr>
                              <w:rFonts w:hint="eastAsia"/>
                            </w:rPr>
                            <w:fldChar w:fldCharType="begin"/>
                          </w:r>
                          <w:r>
                            <w:rPr>
                              <w:rFonts w:hint="eastAsia"/>
                            </w:rPr>
                            <w:instrText xml:space="preserve"> PAGE  \* MERGEFORMAT </w:instrText>
                          </w:r>
                          <w:r>
                            <w:rPr>
                              <w:rFonts w:hint="eastAsia"/>
                            </w:rPr>
                            <w:fldChar w:fldCharType="separate"/>
                          </w:r>
                          <w:r>
                            <w:rPr>
                              <w:lang w:val="en-US"/>
                            </w:rPr>
                            <w:t>63</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qXm5zwAAAAUBAAAPAAAAAAAAAAEAIAAAACIAAABkcnMvZG93&#10;bnJldi54bWxQSwECFAAUAAAACACHTuJApgBt3wkCAAAUBAAADgAAAAAAAAABACAAAAAeAQAAZHJz&#10;L2Uyb0RvYy54bWxQSwUGAAAAAAYABgBZAQAAmQUAAAAA&#10;">
              <v:fill on="f" focussize="0,0"/>
              <v:stroke on="f"/>
              <v:imagedata o:title=""/>
              <o:lock v:ext="edit" aspectratio="f"/>
              <v:textbox inset="0mm,0mm,0mm,0mm" style="mso-fit-shape-to-text:t;">
                <w:txbxContent>
                  <w:p>
                    <w:pPr>
                      <w:pStyle w:val="21"/>
                    </w:pPr>
                    <w:r>
                      <w:rPr>
                        <w:rFonts w:hint="eastAsia"/>
                      </w:rPr>
                      <w:fldChar w:fldCharType="begin"/>
                    </w:r>
                    <w:r>
                      <w:rPr>
                        <w:rFonts w:hint="eastAsia"/>
                      </w:rPr>
                      <w:instrText xml:space="preserve"> PAGE  \* MERGEFORMAT </w:instrText>
                    </w:r>
                    <w:r>
                      <w:rPr>
                        <w:rFonts w:hint="eastAsia"/>
                      </w:rPr>
                      <w:fldChar w:fldCharType="separate"/>
                    </w:r>
                    <w:r>
                      <w:rPr>
                        <w:lang w:val="en-US"/>
                      </w:rPr>
                      <w:t>63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3251C9"/>
    <w:multiLevelType w:val="singleLevel"/>
    <w:tmpl w:val="AA3251C9"/>
    <w:lvl w:ilvl="0" w:tentative="0">
      <w:start w:val="2"/>
      <w:numFmt w:val="decimal"/>
      <w:suff w:val="nothing"/>
      <w:lvlText w:val="（%1）"/>
      <w:lvlJc w:val="left"/>
    </w:lvl>
  </w:abstractNum>
  <w:abstractNum w:abstractNumId="1">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FiYWEwZWY0YjhkOTZjNmY1MTY3ZDU2MWZkYzc3NDAifQ=="/>
  </w:docVars>
  <w:rsids>
    <w:rsidRoot w:val="007C21E9"/>
    <w:rsid w:val="00013A77"/>
    <w:rsid w:val="00080F54"/>
    <w:rsid w:val="000903CF"/>
    <w:rsid w:val="00293058"/>
    <w:rsid w:val="00436879"/>
    <w:rsid w:val="004626C5"/>
    <w:rsid w:val="00482C51"/>
    <w:rsid w:val="004B48CF"/>
    <w:rsid w:val="005B160C"/>
    <w:rsid w:val="00697392"/>
    <w:rsid w:val="007C21E9"/>
    <w:rsid w:val="009511CD"/>
    <w:rsid w:val="00A612AB"/>
    <w:rsid w:val="00AA3CEC"/>
    <w:rsid w:val="00B06AE3"/>
    <w:rsid w:val="00C73DD0"/>
    <w:rsid w:val="00E47682"/>
    <w:rsid w:val="011D075F"/>
    <w:rsid w:val="013226CF"/>
    <w:rsid w:val="0136417B"/>
    <w:rsid w:val="01A544B3"/>
    <w:rsid w:val="01CB02C6"/>
    <w:rsid w:val="01EB45BC"/>
    <w:rsid w:val="01FF46E4"/>
    <w:rsid w:val="02217A18"/>
    <w:rsid w:val="02313F99"/>
    <w:rsid w:val="024457B0"/>
    <w:rsid w:val="024E0ADE"/>
    <w:rsid w:val="0250392C"/>
    <w:rsid w:val="025A34EF"/>
    <w:rsid w:val="02700A12"/>
    <w:rsid w:val="027433E3"/>
    <w:rsid w:val="027F4BED"/>
    <w:rsid w:val="029307AF"/>
    <w:rsid w:val="02B80216"/>
    <w:rsid w:val="02D81677"/>
    <w:rsid w:val="02E24306"/>
    <w:rsid w:val="02F33579"/>
    <w:rsid w:val="02F8758C"/>
    <w:rsid w:val="03036BF9"/>
    <w:rsid w:val="03214847"/>
    <w:rsid w:val="036B6560"/>
    <w:rsid w:val="0372245E"/>
    <w:rsid w:val="037F62D3"/>
    <w:rsid w:val="03930F0A"/>
    <w:rsid w:val="03B804CE"/>
    <w:rsid w:val="03CC21CB"/>
    <w:rsid w:val="03D264AA"/>
    <w:rsid w:val="03E301C6"/>
    <w:rsid w:val="03FB16C0"/>
    <w:rsid w:val="04155920"/>
    <w:rsid w:val="044F16F0"/>
    <w:rsid w:val="045521C0"/>
    <w:rsid w:val="04820ADC"/>
    <w:rsid w:val="048900BC"/>
    <w:rsid w:val="049A7BD3"/>
    <w:rsid w:val="04A70854"/>
    <w:rsid w:val="04C46E30"/>
    <w:rsid w:val="04C64E6C"/>
    <w:rsid w:val="052D6C99"/>
    <w:rsid w:val="05304A58"/>
    <w:rsid w:val="05355B4E"/>
    <w:rsid w:val="05362A09"/>
    <w:rsid w:val="056B42F1"/>
    <w:rsid w:val="05827A6F"/>
    <w:rsid w:val="05B10123"/>
    <w:rsid w:val="05B42F17"/>
    <w:rsid w:val="05BA0F6E"/>
    <w:rsid w:val="05C85B6F"/>
    <w:rsid w:val="05CF2A51"/>
    <w:rsid w:val="05DE4B9D"/>
    <w:rsid w:val="05F17190"/>
    <w:rsid w:val="05F55A06"/>
    <w:rsid w:val="061C77CE"/>
    <w:rsid w:val="065B47F7"/>
    <w:rsid w:val="065B7836"/>
    <w:rsid w:val="066466EB"/>
    <w:rsid w:val="06677F89"/>
    <w:rsid w:val="06695A20"/>
    <w:rsid w:val="066C37F1"/>
    <w:rsid w:val="068407F0"/>
    <w:rsid w:val="06852C34"/>
    <w:rsid w:val="069A210C"/>
    <w:rsid w:val="06A97AAB"/>
    <w:rsid w:val="06AF04B5"/>
    <w:rsid w:val="06B45B9F"/>
    <w:rsid w:val="06EF0DE5"/>
    <w:rsid w:val="07032602"/>
    <w:rsid w:val="070677A2"/>
    <w:rsid w:val="070E6657"/>
    <w:rsid w:val="078556FE"/>
    <w:rsid w:val="07866B35"/>
    <w:rsid w:val="07C26666"/>
    <w:rsid w:val="07C531B9"/>
    <w:rsid w:val="07E278AB"/>
    <w:rsid w:val="08162E97"/>
    <w:rsid w:val="0842480A"/>
    <w:rsid w:val="08744BDF"/>
    <w:rsid w:val="087B7D1C"/>
    <w:rsid w:val="08841649"/>
    <w:rsid w:val="0892386F"/>
    <w:rsid w:val="0896540B"/>
    <w:rsid w:val="08A72DDC"/>
    <w:rsid w:val="08B73E5E"/>
    <w:rsid w:val="08DB7137"/>
    <w:rsid w:val="08E40B8D"/>
    <w:rsid w:val="090B3A39"/>
    <w:rsid w:val="09212671"/>
    <w:rsid w:val="094521FA"/>
    <w:rsid w:val="096F5B1B"/>
    <w:rsid w:val="09786076"/>
    <w:rsid w:val="09811362"/>
    <w:rsid w:val="098E29CC"/>
    <w:rsid w:val="09AF056B"/>
    <w:rsid w:val="09CF3FB8"/>
    <w:rsid w:val="0A2D2358"/>
    <w:rsid w:val="0A303492"/>
    <w:rsid w:val="0A4D49DC"/>
    <w:rsid w:val="0A4D5C46"/>
    <w:rsid w:val="0A5F5B47"/>
    <w:rsid w:val="0A7D2FA4"/>
    <w:rsid w:val="0AA8688D"/>
    <w:rsid w:val="0AB023E6"/>
    <w:rsid w:val="0AB95133"/>
    <w:rsid w:val="0AC260D6"/>
    <w:rsid w:val="0B097343"/>
    <w:rsid w:val="0B254482"/>
    <w:rsid w:val="0B2D703C"/>
    <w:rsid w:val="0B4A3976"/>
    <w:rsid w:val="0B5551FE"/>
    <w:rsid w:val="0B9335CE"/>
    <w:rsid w:val="0BC843BD"/>
    <w:rsid w:val="0BEA62BE"/>
    <w:rsid w:val="0C1A4CA3"/>
    <w:rsid w:val="0C423B4C"/>
    <w:rsid w:val="0C453C16"/>
    <w:rsid w:val="0C4F3999"/>
    <w:rsid w:val="0C632FA1"/>
    <w:rsid w:val="0C6805B7"/>
    <w:rsid w:val="0C917B0E"/>
    <w:rsid w:val="0CBC262F"/>
    <w:rsid w:val="0CC61B2F"/>
    <w:rsid w:val="0CE73BD2"/>
    <w:rsid w:val="0D197B03"/>
    <w:rsid w:val="0D22418C"/>
    <w:rsid w:val="0D2D0AC7"/>
    <w:rsid w:val="0D7D4536"/>
    <w:rsid w:val="0D9755F8"/>
    <w:rsid w:val="0D982CF5"/>
    <w:rsid w:val="0DBA1896"/>
    <w:rsid w:val="0E015DD7"/>
    <w:rsid w:val="0E325320"/>
    <w:rsid w:val="0E411532"/>
    <w:rsid w:val="0E752256"/>
    <w:rsid w:val="0E76520D"/>
    <w:rsid w:val="0E777AAB"/>
    <w:rsid w:val="0E9D4D60"/>
    <w:rsid w:val="0EA855E3"/>
    <w:rsid w:val="0EAE428B"/>
    <w:rsid w:val="0EBF4080"/>
    <w:rsid w:val="0EC266A4"/>
    <w:rsid w:val="0ECA4573"/>
    <w:rsid w:val="0ED24CA8"/>
    <w:rsid w:val="0EF56A7A"/>
    <w:rsid w:val="0EFA072E"/>
    <w:rsid w:val="0F1A64E0"/>
    <w:rsid w:val="0F2C2E76"/>
    <w:rsid w:val="0F4C41C0"/>
    <w:rsid w:val="0F5D461F"/>
    <w:rsid w:val="0F6634D4"/>
    <w:rsid w:val="0F6A1F1A"/>
    <w:rsid w:val="0F7C513B"/>
    <w:rsid w:val="0F7E6819"/>
    <w:rsid w:val="0FB55CA2"/>
    <w:rsid w:val="0FCE0E92"/>
    <w:rsid w:val="0FE235EA"/>
    <w:rsid w:val="0FF17FD6"/>
    <w:rsid w:val="100B407B"/>
    <w:rsid w:val="1018013C"/>
    <w:rsid w:val="101C3B92"/>
    <w:rsid w:val="101F264D"/>
    <w:rsid w:val="10240EAE"/>
    <w:rsid w:val="10267F1F"/>
    <w:rsid w:val="105B0B5E"/>
    <w:rsid w:val="108F0808"/>
    <w:rsid w:val="109E1CBC"/>
    <w:rsid w:val="10CF7081"/>
    <w:rsid w:val="113E5504"/>
    <w:rsid w:val="113F075A"/>
    <w:rsid w:val="11534D38"/>
    <w:rsid w:val="1160125B"/>
    <w:rsid w:val="11694069"/>
    <w:rsid w:val="116C2CA8"/>
    <w:rsid w:val="119223E6"/>
    <w:rsid w:val="119E326A"/>
    <w:rsid w:val="11A56003"/>
    <w:rsid w:val="11AB207C"/>
    <w:rsid w:val="11AC7198"/>
    <w:rsid w:val="11B56492"/>
    <w:rsid w:val="11CA34DB"/>
    <w:rsid w:val="11CF06C4"/>
    <w:rsid w:val="11D144FD"/>
    <w:rsid w:val="11D16BFE"/>
    <w:rsid w:val="11E21E3A"/>
    <w:rsid w:val="12290F0E"/>
    <w:rsid w:val="12412737"/>
    <w:rsid w:val="12415A70"/>
    <w:rsid w:val="124C67BD"/>
    <w:rsid w:val="127C6B6A"/>
    <w:rsid w:val="128E5246"/>
    <w:rsid w:val="129C720C"/>
    <w:rsid w:val="12B14A74"/>
    <w:rsid w:val="12C7247D"/>
    <w:rsid w:val="12FC28BE"/>
    <w:rsid w:val="132077BC"/>
    <w:rsid w:val="13223BB5"/>
    <w:rsid w:val="13264E55"/>
    <w:rsid w:val="13813795"/>
    <w:rsid w:val="13A77BC1"/>
    <w:rsid w:val="13D33102"/>
    <w:rsid w:val="144638D4"/>
    <w:rsid w:val="147D4F72"/>
    <w:rsid w:val="148A3D0B"/>
    <w:rsid w:val="149411FE"/>
    <w:rsid w:val="1497248C"/>
    <w:rsid w:val="149C28BF"/>
    <w:rsid w:val="14A45FB0"/>
    <w:rsid w:val="14A6243D"/>
    <w:rsid w:val="14C44852"/>
    <w:rsid w:val="14C50C9C"/>
    <w:rsid w:val="14ED01F3"/>
    <w:rsid w:val="150115A9"/>
    <w:rsid w:val="15412561"/>
    <w:rsid w:val="154222ED"/>
    <w:rsid w:val="155234DD"/>
    <w:rsid w:val="156A7853"/>
    <w:rsid w:val="158E19C1"/>
    <w:rsid w:val="159C4EFE"/>
    <w:rsid w:val="15A9236C"/>
    <w:rsid w:val="15C60DCC"/>
    <w:rsid w:val="15D078F9"/>
    <w:rsid w:val="15EF5C0F"/>
    <w:rsid w:val="162C6AF9"/>
    <w:rsid w:val="162F52A8"/>
    <w:rsid w:val="16315EBE"/>
    <w:rsid w:val="16493163"/>
    <w:rsid w:val="165401BC"/>
    <w:rsid w:val="16730A62"/>
    <w:rsid w:val="167C010C"/>
    <w:rsid w:val="16C14BCE"/>
    <w:rsid w:val="16E46F14"/>
    <w:rsid w:val="16E87E3D"/>
    <w:rsid w:val="16EB0762"/>
    <w:rsid w:val="16F969DB"/>
    <w:rsid w:val="170830C2"/>
    <w:rsid w:val="17120F22"/>
    <w:rsid w:val="172B12F3"/>
    <w:rsid w:val="1732013F"/>
    <w:rsid w:val="17351144"/>
    <w:rsid w:val="173D7210"/>
    <w:rsid w:val="179C641F"/>
    <w:rsid w:val="17B86748"/>
    <w:rsid w:val="17BA0187"/>
    <w:rsid w:val="17C47764"/>
    <w:rsid w:val="17E413A1"/>
    <w:rsid w:val="18023817"/>
    <w:rsid w:val="180B1B5A"/>
    <w:rsid w:val="18251A52"/>
    <w:rsid w:val="187E26D8"/>
    <w:rsid w:val="18AF432C"/>
    <w:rsid w:val="18D97E3B"/>
    <w:rsid w:val="18DF0FE7"/>
    <w:rsid w:val="18E5190D"/>
    <w:rsid w:val="19031D93"/>
    <w:rsid w:val="191F46F3"/>
    <w:rsid w:val="19250D5E"/>
    <w:rsid w:val="19502AFF"/>
    <w:rsid w:val="198E56A0"/>
    <w:rsid w:val="1992381E"/>
    <w:rsid w:val="199B021E"/>
    <w:rsid w:val="19AA594A"/>
    <w:rsid w:val="19C15826"/>
    <w:rsid w:val="19C21A99"/>
    <w:rsid w:val="19C40971"/>
    <w:rsid w:val="19F17C09"/>
    <w:rsid w:val="1A0E41E2"/>
    <w:rsid w:val="1A183D13"/>
    <w:rsid w:val="1A1A1BD8"/>
    <w:rsid w:val="1A1B57CD"/>
    <w:rsid w:val="1A5A3C35"/>
    <w:rsid w:val="1A7840BB"/>
    <w:rsid w:val="1A7D169C"/>
    <w:rsid w:val="1AA82C77"/>
    <w:rsid w:val="1AAC0209"/>
    <w:rsid w:val="1AB33A4E"/>
    <w:rsid w:val="1AC71182"/>
    <w:rsid w:val="1AE64D67"/>
    <w:rsid w:val="1AF75928"/>
    <w:rsid w:val="1B0D0CA7"/>
    <w:rsid w:val="1B1418BE"/>
    <w:rsid w:val="1B382423"/>
    <w:rsid w:val="1B4E247D"/>
    <w:rsid w:val="1B5003D3"/>
    <w:rsid w:val="1B5468D6"/>
    <w:rsid w:val="1B6612C9"/>
    <w:rsid w:val="1B6B6D5D"/>
    <w:rsid w:val="1BF64E38"/>
    <w:rsid w:val="1C0F2192"/>
    <w:rsid w:val="1C220723"/>
    <w:rsid w:val="1C252706"/>
    <w:rsid w:val="1C3D560A"/>
    <w:rsid w:val="1C463390"/>
    <w:rsid w:val="1C4A28E3"/>
    <w:rsid w:val="1C5316C5"/>
    <w:rsid w:val="1C642B1A"/>
    <w:rsid w:val="1C6568C1"/>
    <w:rsid w:val="1C830837"/>
    <w:rsid w:val="1C8B2EA7"/>
    <w:rsid w:val="1CAB5E94"/>
    <w:rsid w:val="1CB75DAF"/>
    <w:rsid w:val="1CDB57B1"/>
    <w:rsid w:val="1CF00444"/>
    <w:rsid w:val="1D097B94"/>
    <w:rsid w:val="1D0B1216"/>
    <w:rsid w:val="1D230C56"/>
    <w:rsid w:val="1D5860E0"/>
    <w:rsid w:val="1D58614F"/>
    <w:rsid w:val="1D756FD8"/>
    <w:rsid w:val="1D7853F7"/>
    <w:rsid w:val="1D890952"/>
    <w:rsid w:val="1D903E12"/>
    <w:rsid w:val="1D9A3406"/>
    <w:rsid w:val="1D9D1A60"/>
    <w:rsid w:val="1DAF7A74"/>
    <w:rsid w:val="1DB409DB"/>
    <w:rsid w:val="1DC34DD9"/>
    <w:rsid w:val="1DC8750C"/>
    <w:rsid w:val="1DC92F91"/>
    <w:rsid w:val="1DD44CD6"/>
    <w:rsid w:val="1DE541AF"/>
    <w:rsid w:val="1DF05423"/>
    <w:rsid w:val="1E0D2AE4"/>
    <w:rsid w:val="1E36026B"/>
    <w:rsid w:val="1E415936"/>
    <w:rsid w:val="1E9C2E47"/>
    <w:rsid w:val="1EB7105D"/>
    <w:rsid w:val="1EBA1146"/>
    <w:rsid w:val="1ED84C0A"/>
    <w:rsid w:val="1EEA12FF"/>
    <w:rsid w:val="1F002B00"/>
    <w:rsid w:val="1F257CB7"/>
    <w:rsid w:val="1F2A0E70"/>
    <w:rsid w:val="1F526FB3"/>
    <w:rsid w:val="1F92003C"/>
    <w:rsid w:val="1F9F7F10"/>
    <w:rsid w:val="1FC73078"/>
    <w:rsid w:val="1FC9696C"/>
    <w:rsid w:val="1FCA3CC5"/>
    <w:rsid w:val="20254CE5"/>
    <w:rsid w:val="20426B93"/>
    <w:rsid w:val="204C14F0"/>
    <w:rsid w:val="20682955"/>
    <w:rsid w:val="206F45D9"/>
    <w:rsid w:val="20790B8D"/>
    <w:rsid w:val="208539D6"/>
    <w:rsid w:val="20A22E61"/>
    <w:rsid w:val="20AA183D"/>
    <w:rsid w:val="20D11800"/>
    <w:rsid w:val="20D17529"/>
    <w:rsid w:val="20DF35F5"/>
    <w:rsid w:val="20E60491"/>
    <w:rsid w:val="20F070A1"/>
    <w:rsid w:val="20F14BC7"/>
    <w:rsid w:val="20F71370"/>
    <w:rsid w:val="210431F4"/>
    <w:rsid w:val="210C37AF"/>
    <w:rsid w:val="211E305E"/>
    <w:rsid w:val="213F1A88"/>
    <w:rsid w:val="214473ED"/>
    <w:rsid w:val="215C59D3"/>
    <w:rsid w:val="21751354"/>
    <w:rsid w:val="218E49DB"/>
    <w:rsid w:val="21B561FA"/>
    <w:rsid w:val="21C347B6"/>
    <w:rsid w:val="21C83B7A"/>
    <w:rsid w:val="21DA13C0"/>
    <w:rsid w:val="21DB5AB4"/>
    <w:rsid w:val="21E36C06"/>
    <w:rsid w:val="220B2862"/>
    <w:rsid w:val="225464D8"/>
    <w:rsid w:val="225B1540"/>
    <w:rsid w:val="22AD570A"/>
    <w:rsid w:val="22CA6E9F"/>
    <w:rsid w:val="230A5C9B"/>
    <w:rsid w:val="230E06A3"/>
    <w:rsid w:val="23130E25"/>
    <w:rsid w:val="231A0405"/>
    <w:rsid w:val="231E655E"/>
    <w:rsid w:val="233F18A9"/>
    <w:rsid w:val="237130FB"/>
    <w:rsid w:val="237A74F0"/>
    <w:rsid w:val="237C053F"/>
    <w:rsid w:val="237F7B4B"/>
    <w:rsid w:val="238306FE"/>
    <w:rsid w:val="238B5204"/>
    <w:rsid w:val="239B7D19"/>
    <w:rsid w:val="23E85BCA"/>
    <w:rsid w:val="23F724F4"/>
    <w:rsid w:val="241E0D30"/>
    <w:rsid w:val="243328FB"/>
    <w:rsid w:val="24367BD5"/>
    <w:rsid w:val="245636BF"/>
    <w:rsid w:val="245B23CF"/>
    <w:rsid w:val="245C67FB"/>
    <w:rsid w:val="24603FA7"/>
    <w:rsid w:val="24963CCF"/>
    <w:rsid w:val="24986210"/>
    <w:rsid w:val="24B81ED1"/>
    <w:rsid w:val="24BC52F1"/>
    <w:rsid w:val="24E32A79"/>
    <w:rsid w:val="24E753E1"/>
    <w:rsid w:val="24F10479"/>
    <w:rsid w:val="24FD2909"/>
    <w:rsid w:val="250E4686"/>
    <w:rsid w:val="25290C20"/>
    <w:rsid w:val="252E1F46"/>
    <w:rsid w:val="25644CFB"/>
    <w:rsid w:val="25654B45"/>
    <w:rsid w:val="256D6F65"/>
    <w:rsid w:val="259D3570"/>
    <w:rsid w:val="25A92E69"/>
    <w:rsid w:val="25A93CC2"/>
    <w:rsid w:val="25BB6D78"/>
    <w:rsid w:val="26037C97"/>
    <w:rsid w:val="26062336"/>
    <w:rsid w:val="26265313"/>
    <w:rsid w:val="26395BF5"/>
    <w:rsid w:val="263F5510"/>
    <w:rsid w:val="2641436D"/>
    <w:rsid w:val="26650CFE"/>
    <w:rsid w:val="266F5212"/>
    <w:rsid w:val="26866639"/>
    <w:rsid w:val="268B1A7D"/>
    <w:rsid w:val="26931184"/>
    <w:rsid w:val="26B17E46"/>
    <w:rsid w:val="27261C55"/>
    <w:rsid w:val="27996369"/>
    <w:rsid w:val="279F1523"/>
    <w:rsid w:val="27A060EE"/>
    <w:rsid w:val="27A83535"/>
    <w:rsid w:val="27B73322"/>
    <w:rsid w:val="27B839C1"/>
    <w:rsid w:val="27C616D2"/>
    <w:rsid w:val="27D112AE"/>
    <w:rsid w:val="27F62352"/>
    <w:rsid w:val="27F70088"/>
    <w:rsid w:val="27F80870"/>
    <w:rsid w:val="27FF6EB4"/>
    <w:rsid w:val="28017DE6"/>
    <w:rsid w:val="28033475"/>
    <w:rsid w:val="28215D92"/>
    <w:rsid w:val="282B6C11"/>
    <w:rsid w:val="285E1230"/>
    <w:rsid w:val="28653CFA"/>
    <w:rsid w:val="286B40D0"/>
    <w:rsid w:val="28810F26"/>
    <w:rsid w:val="288D2BA7"/>
    <w:rsid w:val="289522DC"/>
    <w:rsid w:val="289D3BDA"/>
    <w:rsid w:val="28A56D74"/>
    <w:rsid w:val="28AB1AFF"/>
    <w:rsid w:val="28CA5E86"/>
    <w:rsid w:val="28E3573D"/>
    <w:rsid w:val="28EB63A0"/>
    <w:rsid w:val="29095871"/>
    <w:rsid w:val="290C539D"/>
    <w:rsid w:val="29230B26"/>
    <w:rsid w:val="292F2731"/>
    <w:rsid w:val="29451AFF"/>
    <w:rsid w:val="295335C6"/>
    <w:rsid w:val="298E4DCE"/>
    <w:rsid w:val="299023C6"/>
    <w:rsid w:val="29BF7193"/>
    <w:rsid w:val="29D61C04"/>
    <w:rsid w:val="29E1562F"/>
    <w:rsid w:val="29E51041"/>
    <w:rsid w:val="29E96D83"/>
    <w:rsid w:val="29F23E8A"/>
    <w:rsid w:val="2A046273"/>
    <w:rsid w:val="2A077C31"/>
    <w:rsid w:val="2A0873C7"/>
    <w:rsid w:val="2A133E00"/>
    <w:rsid w:val="2A4223DA"/>
    <w:rsid w:val="2A4C1CBA"/>
    <w:rsid w:val="2A807CCE"/>
    <w:rsid w:val="2AA07BC7"/>
    <w:rsid w:val="2AD01E8E"/>
    <w:rsid w:val="2AEA63A2"/>
    <w:rsid w:val="2AF52069"/>
    <w:rsid w:val="2B015733"/>
    <w:rsid w:val="2B55197B"/>
    <w:rsid w:val="2B564195"/>
    <w:rsid w:val="2B5A7FF7"/>
    <w:rsid w:val="2BBD04C8"/>
    <w:rsid w:val="2BE74F7F"/>
    <w:rsid w:val="2BEC4909"/>
    <w:rsid w:val="2C17787B"/>
    <w:rsid w:val="2C2C2F57"/>
    <w:rsid w:val="2C50160E"/>
    <w:rsid w:val="2C526025"/>
    <w:rsid w:val="2C5741F8"/>
    <w:rsid w:val="2C576226"/>
    <w:rsid w:val="2C6B2469"/>
    <w:rsid w:val="2CA5186D"/>
    <w:rsid w:val="2CA912D0"/>
    <w:rsid w:val="2CB73169"/>
    <w:rsid w:val="2CB814C7"/>
    <w:rsid w:val="2CC969F8"/>
    <w:rsid w:val="2CFC7DA1"/>
    <w:rsid w:val="2D354F55"/>
    <w:rsid w:val="2D3C33FD"/>
    <w:rsid w:val="2D52407C"/>
    <w:rsid w:val="2D586C07"/>
    <w:rsid w:val="2D650892"/>
    <w:rsid w:val="2D6A1F89"/>
    <w:rsid w:val="2DF837F5"/>
    <w:rsid w:val="2DFE26D1"/>
    <w:rsid w:val="2E267AAE"/>
    <w:rsid w:val="2E541F88"/>
    <w:rsid w:val="2E6017EF"/>
    <w:rsid w:val="2EBC5ED0"/>
    <w:rsid w:val="2EC15BD9"/>
    <w:rsid w:val="2EE43201"/>
    <w:rsid w:val="2F28021B"/>
    <w:rsid w:val="2F4460DD"/>
    <w:rsid w:val="2F546A5B"/>
    <w:rsid w:val="2F6061FA"/>
    <w:rsid w:val="2FAE1719"/>
    <w:rsid w:val="2FB92D54"/>
    <w:rsid w:val="2FE11B38"/>
    <w:rsid w:val="300050D2"/>
    <w:rsid w:val="300A2253"/>
    <w:rsid w:val="300F463E"/>
    <w:rsid w:val="302D729E"/>
    <w:rsid w:val="304F5A47"/>
    <w:rsid w:val="30643430"/>
    <w:rsid w:val="30725211"/>
    <w:rsid w:val="307A7FB1"/>
    <w:rsid w:val="307C438B"/>
    <w:rsid w:val="307D1EE9"/>
    <w:rsid w:val="308710A4"/>
    <w:rsid w:val="308E41E1"/>
    <w:rsid w:val="30905E99"/>
    <w:rsid w:val="30F56C6E"/>
    <w:rsid w:val="31013CC3"/>
    <w:rsid w:val="31061FC9"/>
    <w:rsid w:val="31292209"/>
    <w:rsid w:val="31306402"/>
    <w:rsid w:val="31396EFD"/>
    <w:rsid w:val="313E5C07"/>
    <w:rsid w:val="31647AAC"/>
    <w:rsid w:val="317E6003"/>
    <w:rsid w:val="31AB491E"/>
    <w:rsid w:val="31AF440F"/>
    <w:rsid w:val="31B00187"/>
    <w:rsid w:val="31B95D43"/>
    <w:rsid w:val="31D321C6"/>
    <w:rsid w:val="32077110"/>
    <w:rsid w:val="32085CA7"/>
    <w:rsid w:val="3216323D"/>
    <w:rsid w:val="322023D2"/>
    <w:rsid w:val="323B2880"/>
    <w:rsid w:val="32532CDC"/>
    <w:rsid w:val="32672F3B"/>
    <w:rsid w:val="32770709"/>
    <w:rsid w:val="328953D8"/>
    <w:rsid w:val="328C6723"/>
    <w:rsid w:val="32A00E62"/>
    <w:rsid w:val="32AA4AAD"/>
    <w:rsid w:val="32C963C0"/>
    <w:rsid w:val="32D700C1"/>
    <w:rsid w:val="32DA429C"/>
    <w:rsid w:val="331D184C"/>
    <w:rsid w:val="332018FF"/>
    <w:rsid w:val="333F343F"/>
    <w:rsid w:val="33484AEB"/>
    <w:rsid w:val="335C4EDA"/>
    <w:rsid w:val="33722773"/>
    <w:rsid w:val="337C5266"/>
    <w:rsid w:val="338A5133"/>
    <w:rsid w:val="33A1247D"/>
    <w:rsid w:val="33C5268F"/>
    <w:rsid w:val="342437A7"/>
    <w:rsid w:val="34317897"/>
    <w:rsid w:val="34515C51"/>
    <w:rsid w:val="345D5505"/>
    <w:rsid w:val="34613F15"/>
    <w:rsid w:val="3463243E"/>
    <w:rsid w:val="34743D26"/>
    <w:rsid w:val="348273D4"/>
    <w:rsid w:val="34992B04"/>
    <w:rsid w:val="34B118FA"/>
    <w:rsid w:val="34DB551B"/>
    <w:rsid w:val="34E37918"/>
    <w:rsid w:val="35224B4A"/>
    <w:rsid w:val="35447101"/>
    <w:rsid w:val="35480275"/>
    <w:rsid w:val="357F67EE"/>
    <w:rsid w:val="35942299"/>
    <w:rsid w:val="3597011C"/>
    <w:rsid w:val="359C3F8A"/>
    <w:rsid w:val="35D412B7"/>
    <w:rsid w:val="364936AD"/>
    <w:rsid w:val="367774C5"/>
    <w:rsid w:val="367E60DF"/>
    <w:rsid w:val="36806379"/>
    <w:rsid w:val="368D08AD"/>
    <w:rsid w:val="368F2BEB"/>
    <w:rsid w:val="36B3428B"/>
    <w:rsid w:val="36D13CC6"/>
    <w:rsid w:val="37006F53"/>
    <w:rsid w:val="3717778E"/>
    <w:rsid w:val="371F5976"/>
    <w:rsid w:val="373158C6"/>
    <w:rsid w:val="3747202B"/>
    <w:rsid w:val="375B2943"/>
    <w:rsid w:val="37664F6F"/>
    <w:rsid w:val="37AC1F65"/>
    <w:rsid w:val="37B3452D"/>
    <w:rsid w:val="37CD3840"/>
    <w:rsid w:val="37E54FA0"/>
    <w:rsid w:val="37E6666B"/>
    <w:rsid w:val="37EB3B9D"/>
    <w:rsid w:val="37FA215C"/>
    <w:rsid w:val="37FD2E72"/>
    <w:rsid w:val="3834566E"/>
    <w:rsid w:val="384E79F8"/>
    <w:rsid w:val="385A55DE"/>
    <w:rsid w:val="385F2FBF"/>
    <w:rsid w:val="386629E9"/>
    <w:rsid w:val="38845E7E"/>
    <w:rsid w:val="38A3375B"/>
    <w:rsid w:val="38A70067"/>
    <w:rsid w:val="38D60B41"/>
    <w:rsid w:val="38F01DB9"/>
    <w:rsid w:val="390B4155"/>
    <w:rsid w:val="39195460"/>
    <w:rsid w:val="392A049E"/>
    <w:rsid w:val="394B0965"/>
    <w:rsid w:val="3970374E"/>
    <w:rsid w:val="39886599"/>
    <w:rsid w:val="39894A1A"/>
    <w:rsid w:val="398A077C"/>
    <w:rsid w:val="399D0FAB"/>
    <w:rsid w:val="39A122D0"/>
    <w:rsid w:val="39AB655A"/>
    <w:rsid w:val="39B5458C"/>
    <w:rsid w:val="39B95146"/>
    <w:rsid w:val="39CA501E"/>
    <w:rsid w:val="39EA2F5F"/>
    <w:rsid w:val="39EB26A4"/>
    <w:rsid w:val="39F03604"/>
    <w:rsid w:val="3A2E68EE"/>
    <w:rsid w:val="3A5A096E"/>
    <w:rsid w:val="3A5B056F"/>
    <w:rsid w:val="3A6A4AE7"/>
    <w:rsid w:val="3A6F521E"/>
    <w:rsid w:val="3A756C76"/>
    <w:rsid w:val="3ADD73C6"/>
    <w:rsid w:val="3AE35129"/>
    <w:rsid w:val="3AF85078"/>
    <w:rsid w:val="3B384904"/>
    <w:rsid w:val="3B5509C6"/>
    <w:rsid w:val="3B954675"/>
    <w:rsid w:val="3BA260E2"/>
    <w:rsid w:val="3BB23479"/>
    <w:rsid w:val="3C237ED3"/>
    <w:rsid w:val="3C686789"/>
    <w:rsid w:val="3C6D55F2"/>
    <w:rsid w:val="3C706E90"/>
    <w:rsid w:val="3C8F37BA"/>
    <w:rsid w:val="3CC72F54"/>
    <w:rsid w:val="3CDB450B"/>
    <w:rsid w:val="3CFF4663"/>
    <w:rsid w:val="3D202664"/>
    <w:rsid w:val="3D2C2DB7"/>
    <w:rsid w:val="3D3B536E"/>
    <w:rsid w:val="3D6A0A80"/>
    <w:rsid w:val="3D8C7CFA"/>
    <w:rsid w:val="3DAC6CE1"/>
    <w:rsid w:val="3DB135FF"/>
    <w:rsid w:val="3DB339C8"/>
    <w:rsid w:val="3DB51BFC"/>
    <w:rsid w:val="3DB64D77"/>
    <w:rsid w:val="3DC66159"/>
    <w:rsid w:val="3DE51EC2"/>
    <w:rsid w:val="3DE6141D"/>
    <w:rsid w:val="3DFA79FE"/>
    <w:rsid w:val="3E082B8C"/>
    <w:rsid w:val="3E2C5777"/>
    <w:rsid w:val="3E351BF4"/>
    <w:rsid w:val="3E5C28BB"/>
    <w:rsid w:val="3E646774"/>
    <w:rsid w:val="3E736717"/>
    <w:rsid w:val="3E766A26"/>
    <w:rsid w:val="3E862809"/>
    <w:rsid w:val="3E8912B2"/>
    <w:rsid w:val="3E921340"/>
    <w:rsid w:val="3EC32875"/>
    <w:rsid w:val="3EF732F4"/>
    <w:rsid w:val="3F060785"/>
    <w:rsid w:val="3F160DD8"/>
    <w:rsid w:val="3F302E94"/>
    <w:rsid w:val="3F3514F6"/>
    <w:rsid w:val="3F3538AF"/>
    <w:rsid w:val="3F646EED"/>
    <w:rsid w:val="3F967FAC"/>
    <w:rsid w:val="3FA4198F"/>
    <w:rsid w:val="3FB670F9"/>
    <w:rsid w:val="3FB70DDA"/>
    <w:rsid w:val="3FC1296F"/>
    <w:rsid w:val="3FE17866"/>
    <w:rsid w:val="3FF81676"/>
    <w:rsid w:val="3FFB07ED"/>
    <w:rsid w:val="400022D9"/>
    <w:rsid w:val="40172AA8"/>
    <w:rsid w:val="403C77B5"/>
    <w:rsid w:val="403F2197"/>
    <w:rsid w:val="40535BC9"/>
    <w:rsid w:val="405A40DF"/>
    <w:rsid w:val="40707DC6"/>
    <w:rsid w:val="40853C52"/>
    <w:rsid w:val="40B24EFC"/>
    <w:rsid w:val="40B557B9"/>
    <w:rsid w:val="40C41559"/>
    <w:rsid w:val="410035E5"/>
    <w:rsid w:val="410459C4"/>
    <w:rsid w:val="412A4DF8"/>
    <w:rsid w:val="412C0C24"/>
    <w:rsid w:val="41480BFA"/>
    <w:rsid w:val="41546D80"/>
    <w:rsid w:val="416750F2"/>
    <w:rsid w:val="416F5968"/>
    <w:rsid w:val="41932688"/>
    <w:rsid w:val="41C64225"/>
    <w:rsid w:val="42043403"/>
    <w:rsid w:val="421D4EA6"/>
    <w:rsid w:val="42295FE8"/>
    <w:rsid w:val="424A4629"/>
    <w:rsid w:val="42541399"/>
    <w:rsid w:val="42554B5E"/>
    <w:rsid w:val="427F1068"/>
    <w:rsid w:val="428216CB"/>
    <w:rsid w:val="42993D4D"/>
    <w:rsid w:val="42AC04F6"/>
    <w:rsid w:val="42D27F5D"/>
    <w:rsid w:val="42F05AF9"/>
    <w:rsid w:val="432A5A06"/>
    <w:rsid w:val="43595E81"/>
    <w:rsid w:val="436446AC"/>
    <w:rsid w:val="43777787"/>
    <w:rsid w:val="43D227C4"/>
    <w:rsid w:val="43FA0D9A"/>
    <w:rsid w:val="43FF1225"/>
    <w:rsid w:val="44185E43"/>
    <w:rsid w:val="44473DD4"/>
    <w:rsid w:val="446051AC"/>
    <w:rsid w:val="446C3689"/>
    <w:rsid w:val="449066F6"/>
    <w:rsid w:val="44913E48"/>
    <w:rsid w:val="4497149C"/>
    <w:rsid w:val="44CE4B84"/>
    <w:rsid w:val="44E56D05"/>
    <w:rsid w:val="44F00076"/>
    <w:rsid w:val="44F078A8"/>
    <w:rsid w:val="451A6000"/>
    <w:rsid w:val="45266127"/>
    <w:rsid w:val="45386DA3"/>
    <w:rsid w:val="456357E4"/>
    <w:rsid w:val="457635EC"/>
    <w:rsid w:val="4577128F"/>
    <w:rsid w:val="458D4F3F"/>
    <w:rsid w:val="45994360"/>
    <w:rsid w:val="459B6D2C"/>
    <w:rsid w:val="45A271CF"/>
    <w:rsid w:val="45C04752"/>
    <w:rsid w:val="45F54D27"/>
    <w:rsid w:val="45F778F0"/>
    <w:rsid w:val="46072613"/>
    <w:rsid w:val="4624449B"/>
    <w:rsid w:val="46456C98"/>
    <w:rsid w:val="46725B2C"/>
    <w:rsid w:val="468948B3"/>
    <w:rsid w:val="46A55988"/>
    <w:rsid w:val="46B57629"/>
    <w:rsid w:val="46C14906"/>
    <w:rsid w:val="46C60825"/>
    <w:rsid w:val="46CB0A6B"/>
    <w:rsid w:val="46CE73EA"/>
    <w:rsid w:val="46D10617"/>
    <w:rsid w:val="46D558C1"/>
    <w:rsid w:val="472C05EE"/>
    <w:rsid w:val="472D42FC"/>
    <w:rsid w:val="4745607B"/>
    <w:rsid w:val="474A3DC0"/>
    <w:rsid w:val="4762121A"/>
    <w:rsid w:val="476A43BE"/>
    <w:rsid w:val="47937301"/>
    <w:rsid w:val="47C8182E"/>
    <w:rsid w:val="47F409BD"/>
    <w:rsid w:val="47FB3498"/>
    <w:rsid w:val="47FC6B7A"/>
    <w:rsid w:val="481B3E57"/>
    <w:rsid w:val="48480CC1"/>
    <w:rsid w:val="485052D8"/>
    <w:rsid w:val="487E6876"/>
    <w:rsid w:val="4882187E"/>
    <w:rsid w:val="489E2A01"/>
    <w:rsid w:val="48CF747F"/>
    <w:rsid w:val="48FA2A51"/>
    <w:rsid w:val="490848D8"/>
    <w:rsid w:val="491403CF"/>
    <w:rsid w:val="49156D95"/>
    <w:rsid w:val="493424A6"/>
    <w:rsid w:val="4955729B"/>
    <w:rsid w:val="496074EF"/>
    <w:rsid w:val="49731136"/>
    <w:rsid w:val="497E50E4"/>
    <w:rsid w:val="49830203"/>
    <w:rsid w:val="49865F45"/>
    <w:rsid w:val="498F1A34"/>
    <w:rsid w:val="49965291"/>
    <w:rsid w:val="49B4527E"/>
    <w:rsid w:val="49C108E0"/>
    <w:rsid w:val="49CC5CF4"/>
    <w:rsid w:val="49D8660C"/>
    <w:rsid w:val="49DF4588"/>
    <w:rsid w:val="49E014E1"/>
    <w:rsid w:val="49E9105F"/>
    <w:rsid w:val="4A1258A3"/>
    <w:rsid w:val="4A1743C6"/>
    <w:rsid w:val="4A3009D4"/>
    <w:rsid w:val="4A6022F2"/>
    <w:rsid w:val="4A6E3AAD"/>
    <w:rsid w:val="4AB32D6A"/>
    <w:rsid w:val="4AB9688B"/>
    <w:rsid w:val="4AE61714"/>
    <w:rsid w:val="4B1B05A1"/>
    <w:rsid w:val="4B1D4687"/>
    <w:rsid w:val="4B29541F"/>
    <w:rsid w:val="4B4B4D50"/>
    <w:rsid w:val="4B5B5F59"/>
    <w:rsid w:val="4B651054"/>
    <w:rsid w:val="4B757667"/>
    <w:rsid w:val="4B790C73"/>
    <w:rsid w:val="4BB626BF"/>
    <w:rsid w:val="4BCE0684"/>
    <w:rsid w:val="4BD5286C"/>
    <w:rsid w:val="4BF52E1B"/>
    <w:rsid w:val="4BFC513A"/>
    <w:rsid w:val="4C353356"/>
    <w:rsid w:val="4C3F6109"/>
    <w:rsid w:val="4C63256E"/>
    <w:rsid w:val="4C8A0551"/>
    <w:rsid w:val="4C9E5CED"/>
    <w:rsid w:val="4CA010CC"/>
    <w:rsid w:val="4CA02E7A"/>
    <w:rsid w:val="4CB22BAD"/>
    <w:rsid w:val="4CC2475B"/>
    <w:rsid w:val="4CD174D7"/>
    <w:rsid w:val="4CF4135C"/>
    <w:rsid w:val="4D075106"/>
    <w:rsid w:val="4D1C2E8A"/>
    <w:rsid w:val="4D4A034A"/>
    <w:rsid w:val="4D5D5E3B"/>
    <w:rsid w:val="4D6F501D"/>
    <w:rsid w:val="4D767F1E"/>
    <w:rsid w:val="4D8F32A0"/>
    <w:rsid w:val="4DA32F75"/>
    <w:rsid w:val="4DD16A27"/>
    <w:rsid w:val="4DE35714"/>
    <w:rsid w:val="4E0D7324"/>
    <w:rsid w:val="4E1A512D"/>
    <w:rsid w:val="4E2509D2"/>
    <w:rsid w:val="4E374B25"/>
    <w:rsid w:val="4E390E16"/>
    <w:rsid w:val="4E395BC1"/>
    <w:rsid w:val="4E614C78"/>
    <w:rsid w:val="4E6605CA"/>
    <w:rsid w:val="4E9B40B5"/>
    <w:rsid w:val="4EAB0114"/>
    <w:rsid w:val="4EB2609A"/>
    <w:rsid w:val="4EC21D09"/>
    <w:rsid w:val="4EC72940"/>
    <w:rsid w:val="4ED44381"/>
    <w:rsid w:val="4EE96625"/>
    <w:rsid w:val="4F007EAE"/>
    <w:rsid w:val="4F044D97"/>
    <w:rsid w:val="4F483E30"/>
    <w:rsid w:val="4F4F29EA"/>
    <w:rsid w:val="4F522C31"/>
    <w:rsid w:val="4F654F68"/>
    <w:rsid w:val="4F8F6D42"/>
    <w:rsid w:val="4FA908D9"/>
    <w:rsid w:val="4FAD422B"/>
    <w:rsid w:val="4FE439C5"/>
    <w:rsid w:val="4FE70DC0"/>
    <w:rsid w:val="4FF77255"/>
    <w:rsid w:val="500408DE"/>
    <w:rsid w:val="500A7FBC"/>
    <w:rsid w:val="50163486"/>
    <w:rsid w:val="503C2CE4"/>
    <w:rsid w:val="505446A7"/>
    <w:rsid w:val="50722D7F"/>
    <w:rsid w:val="507B5903"/>
    <w:rsid w:val="5080374E"/>
    <w:rsid w:val="50A14F50"/>
    <w:rsid w:val="50B27017"/>
    <w:rsid w:val="50C6631B"/>
    <w:rsid w:val="51083745"/>
    <w:rsid w:val="512B7CD4"/>
    <w:rsid w:val="516850BA"/>
    <w:rsid w:val="516F3258"/>
    <w:rsid w:val="517E35DD"/>
    <w:rsid w:val="518C2C3D"/>
    <w:rsid w:val="51A01538"/>
    <w:rsid w:val="51AE428B"/>
    <w:rsid w:val="51D1493C"/>
    <w:rsid w:val="51DB39B9"/>
    <w:rsid w:val="522A6F3E"/>
    <w:rsid w:val="523515FB"/>
    <w:rsid w:val="5257234F"/>
    <w:rsid w:val="52594D24"/>
    <w:rsid w:val="52720BC3"/>
    <w:rsid w:val="527A2805"/>
    <w:rsid w:val="52922181"/>
    <w:rsid w:val="52AB41DD"/>
    <w:rsid w:val="52B83584"/>
    <w:rsid w:val="52E0467E"/>
    <w:rsid w:val="53070C6E"/>
    <w:rsid w:val="5321043D"/>
    <w:rsid w:val="532924FD"/>
    <w:rsid w:val="534E7AD3"/>
    <w:rsid w:val="534F1C40"/>
    <w:rsid w:val="535F288A"/>
    <w:rsid w:val="53746B8D"/>
    <w:rsid w:val="53820528"/>
    <w:rsid w:val="53830767"/>
    <w:rsid w:val="538C78B4"/>
    <w:rsid w:val="539A4AC7"/>
    <w:rsid w:val="53A92F5C"/>
    <w:rsid w:val="53BE59EE"/>
    <w:rsid w:val="53C4320D"/>
    <w:rsid w:val="53CD6ECD"/>
    <w:rsid w:val="53E84E1B"/>
    <w:rsid w:val="53F202A9"/>
    <w:rsid w:val="541F6F1A"/>
    <w:rsid w:val="54622923"/>
    <w:rsid w:val="547436E0"/>
    <w:rsid w:val="549239F0"/>
    <w:rsid w:val="54AD202B"/>
    <w:rsid w:val="54B20A58"/>
    <w:rsid w:val="54B836B4"/>
    <w:rsid w:val="54DA0A47"/>
    <w:rsid w:val="54DB372B"/>
    <w:rsid w:val="54E258CE"/>
    <w:rsid w:val="54EF2BF0"/>
    <w:rsid w:val="551408A9"/>
    <w:rsid w:val="554D5B69"/>
    <w:rsid w:val="55514833"/>
    <w:rsid w:val="556C3627"/>
    <w:rsid w:val="55706236"/>
    <w:rsid w:val="5593479C"/>
    <w:rsid w:val="55970697"/>
    <w:rsid w:val="55A1249C"/>
    <w:rsid w:val="55A62B8A"/>
    <w:rsid w:val="55B33C1E"/>
    <w:rsid w:val="55D6790C"/>
    <w:rsid w:val="55DF61D7"/>
    <w:rsid w:val="55F935FB"/>
    <w:rsid w:val="567F1D52"/>
    <w:rsid w:val="568D7B85"/>
    <w:rsid w:val="56A874FB"/>
    <w:rsid w:val="56E12C15"/>
    <w:rsid w:val="56F67C83"/>
    <w:rsid w:val="56FB3ACE"/>
    <w:rsid w:val="57061B4B"/>
    <w:rsid w:val="57095CAB"/>
    <w:rsid w:val="5736758D"/>
    <w:rsid w:val="57452F9B"/>
    <w:rsid w:val="574B3452"/>
    <w:rsid w:val="57515444"/>
    <w:rsid w:val="57560E52"/>
    <w:rsid w:val="5766386C"/>
    <w:rsid w:val="57670253"/>
    <w:rsid w:val="57775CAB"/>
    <w:rsid w:val="579569BD"/>
    <w:rsid w:val="57AB500F"/>
    <w:rsid w:val="57CC0FC7"/>
    <w:rsid w:val="57CD7318"/>
    <w:rsid w:val="57D8796C"/>
    <w:rsid w:val="57E30AE1"/>
    <w:rsid w:val="57EC0DFD"/>
    <w:rsid w:val="58127246"/>
    <w:rsid w:val="581773FE"/>
    <w:rsid w:val="58311AAA"/>
    <w:rsid w:val="5833747D"/>
    <w:rsid w:val="58363036"/>
    <w:rsid w:val="5842572D"/>
    <w:rsid w:val="58613E05"/>
    <w:rsid w:val="58773629"/>
    <w:rsid w:val="58984351"/>
    <w:rsid w:val="58AF1DF6"/>
    <w:rsid w:val="58B32187"/>
    <w:rsid w:val="58B644E3"/>
    <w:rsid w:val="58FA76E7"/>
    <w:rsid w:val="58FC1D80"/>
    <w:rsid w:val="591E1CF6"/>
    <w:rsid w:val="592438F8"/>
    <w:rsid w:val="59543F1F"/>
    <w:rsid w:val="596078FE"/>
    <w:rsid w:val="596D4FAD"/>
    <w:rsid w:val="59723DF0"/>
    <w:rsid w:val="597F637D"/>
    <w:rsid w:val="59882C3D"/>
    <w:rsid w:val="599C0305"/>
    <w:rsid w:val="59A3044D"/>
    <w:rsid w:val="59A929EF"/>
    <w:rsid w:val="59B04FE8"/>
    <w:rsid w:val="59BF56A8"/>
    <w:rsid w:val="59E96821"/>
    <w:rsid w:val="5A107157"/>
    <w:rsid w:val="5A1233D7"/>
    <w:rsid w:val="5A23096E"/>
    <w:rsid w:val="5A2426EB"/>
    <w:rsid w:val="5A470DD9"/>
    <w:rsid w:val="5A501676"/>
    <w:rsid w:val="5A5B1C29"/>
    <w:rsid w:val="5AAC1340"/>
    <w:rsid w:val="5ABD6CE0"/>
    <w:rsid w:val="5AC039E7"/>
    <w:rsid w:val="5AC2218A"/>
    <w:rsid w:val="5AD05272"/>
    <w:rsid w:val="5AE44BD7"/>
    <w:rsid w:val="5AE93EDA"/>
    <w:rsid w:val="5B0A12CC"/>
    <w:rsid w:val="5B156E77"/>
    <w:rsid w:val="5B2C167F"/>
    <w:rsid w:val="5B403EDB"/>
    <w:rsid w:val="5B4C010D"/>
    <w:rsid w:val="5B673AB6"/>
    <w:rsid w:val="5B800A46"/>
    <w:rsid w:val="5B835D00"/>
    <w:rsid w:val="5BB4249E"/>
    <w:rsid w:val="5BCF5517"/>
    <w:rsid w:val="5BD61BB0"/>
    <w:rsid w:val="5BE04B0D"/>
    <w:rsid w:val="5BE24954"/>
    <w:rsid w:val="5BEC0CF4"/>
    <w:rsid w:val="5BF925A6"/>
    <w:rsid w:val="5C0E1B80"/>
    <w:rsid w:val="5C217C66"/>
    <w:rsid w:val="5C2C297C"/>
    <w:rsid w:val="5C33344D"/>
    <w:rsid w:val="5C37035E"/>
    <w:rsid w:val="5C4528D4"/>
    <w:rsid w:val="5C47491A"/>
    <w:rsid w:val="5C577B00"/>
    <w:rsid w:val="5C6739B4"/>
    <w:rsid w:val="5C69772C"/>
    <w:rsid w:val="5CA5043C"/>
    <w:rsid w:val="5CB94636"/>
    <w:rsid w:val="5CC44962"/>
    <w:rsid w:val="5CC4676D"/>
    <w:rsid w:val="5CD06A71"/>
    <w:rsid w:val="5CE57E3C"/>
    <w:rsid w:val="5D293D84"/>
    <w:rsid w:val="5D3662B3"/>
    <w:rsid w:val="5D4E550A"/>
    <w:rsid w:val="5D6A7321"/>
    <w:rsid w:val="5D82193F"/>
    <w:rsid w:val="5D890A34"/>
    <w:rsid w:val="5DBC2E9F"/>
    <w:rsid w:val="5DBC388C"/>
    <w:rsid w:val="5DC8742A"/>
    <w:rsid w:val="5DF33957"/>
    <w:rsid w:val="5E006713"/>
    <w:rsid w:val="5E2107F4"/>
    <w:rsid w:val="5E326B7D"/>
    <w:rsid w:val="5E4173F2"/>
    <w:rsid w:val="5E473A9D"/>
    <w:rsid w:val="5E493FE8"/>
    <w:rsid w:val="5E6C6963"/>
    <w:rsid w:val="5E986C25"/>
    <w:rsid w:val="5EA00D2C"/>
    <w:rsid w:val="5EC92704"/>
    <w:rsid w:val="5ECB4F8C"/>
    <w:rsid w:val="5ED5673A"/>
    <w:rsid w:val="5EDD1D0C"/>
    <w:rsid w:val="5EEB4428"/>
    <w:rsid w:val="5EEE5B65"/>
    <w:rsid w:val="5EF47950"/>
    <w:rsid w:val="5F1D2B10"/>
    <w:rsid w:val="5F6B2779"/>
    <w:rsid w:val="5F76621D"/>
    <w:rsid w:val="5FC133DB"/>
    <w:rsid w:val="5FCD3DCF"/>
    <w:rsid w:val="5FD21DA9"/>
    <w:rsid w:val="5FDC1911"/>
    <w:rsid w:val="5FE4471A"/>
    <w:rsid w:val="600F33B6"/>
    <w:rsid w:val="601E3E49"/>
    <w:rsid w:val="60286A4D"/>
    <w:rsid w:val="602D199B"/>
    <w:rsid w:val="60430294"/>
    <w:rsid w:val="604C7149"/>
    <w:rsid w:val="60711F15"/>
    <w:rsid w:val="607169C6"/>
    <w:rsid w:val="607B21B4"/>
    <w:rsid w:val="60866FE9"/>
    <w:rsid w:val="60932FCA"/>
    <w:rsid w:val="60A3109B"/>
    <w:rsid w:val="60A42C31"/>
    <w:rsid w:val="60AE3960"/>
    <w:rsid w:val="60C166EF"/>
    <w:rsid w:val="60D40EEC"/>
    <w:rsid w:val="61371BA7"/>
    <w:rsid w:val="614E60D8"/>
    <w:rsid w:val="615860B4"/>
    <w:rsid w:val="6160574F"/>
    <w:rsid w:val="61721E5C"/>
    <w:rsid w:val="61734C5D"/>
    <w:rsid w:val="61BD193C"/>
    <w:rsid w:val="61E01682"/>
    <w:rsid w:val="61FD59BC"/>
    <w:rsid w:val="622A66CA"/>
    <w:rsid w:val="624327CD"/>
    <w:rsid w:val="624921C2"/>
    <w:rsid w:val="62585A7C"/>
    <w:rsid w:val="62620EA5"/>
    <w:rsid w:val="62970423"/>
    <w:rsid w:val="62A52FDD"/>
    <w:rsid w:val="62C258A1"/>
    <w:rsid w:val="62EE71CA"/>
    <w:rsid w:val="63403FBC"/>
    <w:rsid w:val="63D01E3F"/>
    <w:rsid w:val="63D43630"/>
    <w:rsid w:val="63EB4ECB"/>
    <w:rsid w:val="64083C3F"/>
    <w:rsid w:val="64117515"/>
    <w:rsid w:val="6417181C"/>
    <w:rsid w:val="644C3BBB"/>
    <w:rsid w:val="64857D05"/>
    <w:rsid w:val="64B77BC7"/>
    <w:rsid w:val="64D375A3"/>
    <w:rsid w:val="64E060B2"/>
    <w:rsid w:val="64FC3B9A"/>
    <w:rsid w:val="653D1B90"/>
    <w:rsid w:val="655B6D3F"/>
    <w:rsid w:val="655B7E2E"/>
    <w:rsid w:val="655D015B"/>
    <w:rsid w:val="658904F7"/>
    <w:rsid w:val="65901B77"/>
    <w:rsid w:val="659B7170"/>
    <w:rsid w:val="65DA6397"/>
    <w:rsid w:val="65FD47A4"/>
    <w:rsid w:val="66052F39"/>
    <w:rsid w:val="660A0B49"/>
    <w:rsid w:val="66236B9E"/>
    <w:rsid w:val="664A412A"/>
    <w:rsid w:val="664F7993"/>
    <w:rsid w:val="666B47EA"/>
    <w:rsid w:val="6677718C"/>
    <w:rsid w:val="668A4D5C"/>
    <w:rsid w:val="669E0F91"/>
    <w:rsid w:val="66A575B3"/>
    <w:rsid w:val="66AD6467"/>
    <w:rsid w:val="66CB4B3F"/>
    <w:rsid w:val="66FA3298"/>
    <w:rsid w:val="67045800"/>
    <w:rsid w:val="670B1EE3"/>
    <w:rsid w:val="670F08FA"/>
    <w:rsid w:val="67303947"/>
    <w:rsid w:val="674C6803"/>
    <w:rsid w:val="675237C7"/>
    <w:rsid w:val="675D0ED1"/>
    <w:rsid w:val="67746F85"/>
    <w:rsid w:val="67855FB8"/>
    <w:rsid w:val="679B7387"/>
    <w:rsid w:val="67EE6D37"/>
    <w:rsid w:val="6819678B"/>
    <w:rsid w:val="682F280A"/>
    <w:rsid w:val="68330BEE"/>
    <w:rsid w:val="68552E02"/>
    <w:rsid w:val="687F6274"/>
    <w:rsid w:val="688D313C"/>
    <w:rsid w:val="689A674E"/>
    <w:rsid w:val="689B6EBF"/>
    <w:rsid w:val="68A042BE"/>
    <w:rsid w:val="68D073D9"/>
    <w:rsid w:val="68D96000"/>
    <w:rsid w:val="68E24E5E"/>
    <w:rsid w:val="68E76994"/>
    <w:rsid w:val="68EC2B74"/>
    <w:rsid w:val="690309A7"/>
    <w:rsid w:val="690D6941"/>
    <w:rsid w:val="69124CA8"/>
    <w:rsid w:val="691D6BEF"/>
    <w:rsid w:val="692270F9"/>
    <w:rsid w:val="69333C1F"/>
    <w:rsid w:val="6938470E"/>
    <w:rsid w:val="69767C4D"/>
    <w:rsid w:val="69CF4947"/>
    <w:rsid w:val="69D16911"/>
    <w:rsid w:val="69F61ED3"/>
    <w:rsid w:val="6A310ACA"/>
    <w:rsid w:val="6A475C3C"/>
    <w:rsid w:val="6A5A73C4"/>
    <w:rsid w:val="6A762D68"/>
    <w:rsid w:val="6A7F2149"/>
    <w:rsid w:val="6ACB2D3F"/>
    <w:rsid w:val="6ADF596E"/>
    <w:rsid w:val="6AE12510"/>
    <w:rsid w:val="6AF97ECD"/>
    <w:rsid w:val="6B072B94"/>
    <w:rsid w:val="6B7226E0"/>
    <w:rsid w:val="6B7554DF"/>
    <w:rsid w:val="6B7802BF"/>
    <w:rsid w:val="6B7B4D86"/>
    <w:rsid w:val="6B9805DE"/>
    <w:rsid w:val="6BA63E2B"/>
    <w:rsid w:val="6BA81731"/>
    <w:rsid w:val="6BA8544F"/>
    <w:rsid w:val="6BBC39AC"/>
    <w:rsid w:val="6BD73A66"/>
    <w:rsid w:val="6BDA195D"/>
    <w:rsid w:val="6BDA2004"/>
    <w:rsid w:val="6BF37332"/>
    <w:rsid w:val="6C1B1A70"/>
    <w:rsid w:val="6C1B1C34"/>
    <w:rsid w:val="6C1C0317"/>
    <w:rsid w:val="6C354FE2"/>
    <w:rsid w:val="6C800049"/>
    <w:rsid w:val="6C967816"/>
    <w:rsid w:val="6CA85897"/>
    <w:rsid w:val="6CAD4C26"/>
    <w:rsid w:val="6CAE6A95"/>
    <w:rsid w:val="6CD21729"/>
    <w:rsid w:val="6CD8269F"/>
    <w:rsid w:val="6D1E3C1B"/>
    <w:rsid w:val="6D1F1741"/>
    <w:rsid w:val="6D265C0D"/>
    <w:rsid w:val="6D311F7D"/>
    <w:rsid w:val="6D39117E"/>
    <w:rsid w:val="6D556E3C"/>
    <w:rsid w:val="6D5D181B"/>
    <w:rsid w:val="6D5D2B62"/>
    <w:rsid w:val="6D6745F5"/>
    <w:rsid w:val="6D8117F8"/>
    <w:rsid w:val="6D8D2B4F"/>
    <w:rsid w:val="6DB56881"/>
    <w:rsid w:val="6DDA1BDC"/>
    <w:rsid w:val="6E0923D8"/>
    <w:rsid w:val="6E482931"/>
    <w:rsid w:val="6E6648EE"/>
    <w:rsid w:val="6E7243FD"/>
    <w:rsid w:val="6E7D0E15"/>
    <w:rsid w:val="6E8610ED"/>
    <w:rsid w:val="6E9A5523"/>
    <w:rsid w:val="6F011A46"/>
    <w:rsid w:val="6F062BB9"/>
    <w:rsid w:val="6F06705D"/>
    <w:rsid w:val="6F312291"/>
    <w:rsid w:val="6F41302D"/>
    <w:rsid w:val="6F414E9A"/>
    <w:rsid w:val="6F42354B"/>
    <w:rsid w:val="6F5A12D1"/>
    <w:rsid w:val="6F610C1F"/>
    <w:rsid w:val="6F865AA7"/>
    <w:rsid w:val="6F9D5714"/>
    <w:rsid w:val="6FCE7735"/>
    <w:rsid w:val="6FFD5A3A"/>
    <w:rsid w:val="700903DC"/>
    <w:rsid w:val="702552C0"/>
    <w:rsid w:val="705A50F3"/>
    <w:rsid w:val="706347F2"/>
    <w:rsid w:val="707B198B"/>
    <w:rsid w:val="709E0557"/>
    <w:rsid w:val="70BB6549"/>
    <w:rsid w:val="70C8462E"/>
    <w:rsid w:val="70D9311B"/>
    <w:rsid w:val="70F51137"/>
    <w:rsid w:val="71290211"/>
    <w:rsid w:val="71566D41"/>
    <w:rsid w:val="715C11B6"/>
    <w:rsid w:val="715E4F2E"/>
    <w:rsid w:val="71762C26"/>
    <w:rsid w:val="71A0693C"/>
    <w:rsid w:val="71AF2334"/>
    <w:rsid w:val="71E068B0"/>
    <w:rsid w:val="71E36583"/>
    <w:rsid w:val="71EC182A"/>
    <w:rsid w:val="720A7322"/>
    <w:rsid w:val="722331A5"/>
    <w:rsid w:val="724E36A5"/>
    <w:rsid w:val="72730565"/>
    <w:rsid w:val="728E35F1"/>
    <w:rsid w:val="72B8066E"/>
    <w:rsid w:val="72C429AD"/>
    <w:rsid w:val="72D73503"/>
    <w:rsid w:val="72E158F4"/>
    <w:rsid w:val="72EB0A43"/>
    <w:rsid w:val="730D1CCA"/>
    <w:rsid w:val="73281380"/>
    <w:rsid w:val="733D0B73"/>
    <w:rsid w:val="735143BA"/>
    <w:rsid w:val="73593CC9"/>
    <w:rsid w:val="737F23C2"/>
    <w:rsid w:val="73956BEF"/>
    <w:rsid w:val="73CD4ED4"/>
    <w:rsid w:val="73EF6ABA"/>
    <w:rsid w:val="741572BE"/>
    <w:rsid w:val="741714DE"/>
    <w:rsid w:val="741E4D72"/>
    <w:rsid w:val="743254BC"/>
    <w:rsid w:val="743A2B82"/>
    <w:rsid w:val="74416441"/>
    <w:rsid w:val="744637BC"/>
    <w:rsid w:val="748527D2"/>
    <w:rsid w:val="74C97E89"/>
    <w:rsid w:val="74E1294F"/>
    <w:rsid w:val="74E219D2"/>
    <w:rsid w:val="74F5031E"/>
    <w:rsid w:val="75050F2A"/>
    <w:rsid w:val="75254880"/>
    <w:rsid w:val="753D2E6F"/>
    <w:rsid w:val="754444B6"/>
    <w:rsid w:val="75483F2B"/>
    <w:rsid w:val="757F1BB3"/>
    <w:rsid w:val="758449E9"/>
    <w:rsid w:val="758E4672"/>
    <w:rsid w:val="75B66ADA"/>
    <w:rsid w:val="75C75DE9"/>
    <w:rsid w:val="75D91271"/>
    <w:rsid w:val="75DD4A5B"/>
    <w:rsid w:val="760065B4"/>
    <w:rsid w:val="762C1BC5"/>
    <w:rsid w:val="762C3780"/>
    <w:rsid w:val="76320737"/>
    <w:rsid w:val="76454210"/>
    <w:rsid w:val="764D6A4B"/>
    <w:rsid w:val="766034F6"/>
    <w:rsid w:val="768B2013"/>
    <w:rsid w:val="769F05AF"/>
    <w:rsid w:val="77170059"/>
    <w:rsid w:val="772103AE"/>
    <w:rsid w:val="772C76A2"/>
    <w:rsid w:val="773B1232"/>
    <w:rsid w:val="77481DC3"/>
    <w:rsid w:val="7765236E"/>
    <w:rsid w:val="776D5A49"/>
    <w:rsid w:val="77775D89"/>
    <w:rsid w:val="77865594"/>
    <w:rsid w:val="77935DDC"/>
    <w:rsid w:val="779C20FF"/>
    <w:rsid w:val="779C7574"/>
    <w:rsid w:val="77A7245B"/>
    <w:rsid w:val="7808174F"/>
    <w:rsid w:val="780C2EA6"/>
    <w:rsid w:val="780D5A03"/>
    <w:rsid w:val="78166FF5"/>
    <w:rsid w:val="78177BE5"/>
    <w:rsid w:val="78674783"/>
    <w:rsid w:val="786848AD"/>
    <w:rsid w:val="78685C72"/>
    <w:rsid w:val="78A52233"/>
    <w:rsid w:val="78FE3DD4"/>
    <w:rsid w:val="790E7239"/>
    <w:rsid w:val="79447889"/>
    <w:rsid w:val="7966655A"/>
    <w:rsid w:val="799C62EB"/>
    <w:rsid w:val="79AF1C2F"/>
    <w:rsid w:val="79C74800"/>
    <w:rsid w:val="79DA711C"/>
    <w:rsid w:val="79DE3525"/>
    <w:rsid w:val="79F70D0C"/>
    <w:rsid w:val="7A0B19CB"/>
    <w:rsid w:val="7A3E58FC"/>
    <w:rsid w:val="7A6016BC"/>
    <w:rsid w:val="7A66006A"/>
    <w:rsid w:val="7A682979"/>
    <w:rsid w:val="7A88301C"/>
    <w:rsid w:val="7A952101"/>
    <w:rsid w:val="7AA502EB"/>
    <w:rsid w:val="7AA97D3A"/>
    <w:rsid w:val="7AC027B5"/>
    <w:rsid w:val="7AD0558D"/>
    <w:rsid w:val="7AD57BBA"/>
    <w:rsid w:val="7AE55D78"/>
    <w:rsid w:val="7AE91D77"/>
    <w:rsid w:val="7B307F57"/>
    <w:rsid w:val="7B3F19BB"/>
    <w:rsid w:val="7B412CD7"/>
    <w:rsid w:val="7B46197D"/>
    <w:rsid w:val="7B4C5DF7"/>
    <w:rsid w:val="7BC11360"/>
    <w:rsid w:val="7BD007D6"/>
    <w:rsid w:val="7BD70ACA"/>
    <w:rsid w:val="7C127041"/>
    <w:rsid w:val="7C194312"/>
    <w:rsid w:val="7C1973BE"/>
    <w:rsid w:val="7C247CA2"/>
    <w:rsid w:val="7C5400E1"/>
    <w:rsid w:val="7C74092F"/>
    <w:rsid w:val="7C824FF2"/>
    <w:rsid w:val="7C831CEC"/>
    <w:rsid w:val="7C914409"/>
    <w:rsid w:val="7CA659DB"/>
    <w:rsid w:val="7CB974BC"/>
    <w:rsid w:val="7CC571A4"/>
    <w:rsid w:val="7CE7227B"/>
    <w:rsid w:val="7CF3413E"/>
    <w:rsid w:val="7CF77FE5"/>
    <w:rsid w:val="7CF93D5D"/>
    <w:rsid w:val="7D225061"/>
    <w:rsid w:val="7D3255DA"/>
    <w:rsid w:val="7D450D50"/>
    <w:rsid w:val="7D61609A"/>
    <w:rsid w:val="7D89688F"/>
    <w:rsid w:val="7DA94EE7"/>
    <w:rsid w:val="7DC503F5"/>
    <w:rsid w:val="7DCF4CAA"/>
    <w:rsid w:val="7DEF74BD"/>
    <w:rsid w:val="7E213C36"/>
    <w:rsid w:val="7E3C2153"/>
    <w:rsid w:val="7E3E1F98"/>
    <w:rsid w:val="7E3F68A0"/>
    <w:rsid w:val="7E404800"/>
    <w:rsid w:val="7E600DC3"/>
    <w:rsid w:val="7E694279"/>
    <w:rsid w:val="7E765D97"/>
    <w:rsid w:val="7E7E700C"/>
    <w:rsid w:val="7E835FD4"/>
    <w:rsid w:val="7EA50B70"/>
    <w:rsid w:val="7EC47289"/>
    <w:rsid w:val="7EEF0E7A"/>
    <w:rsid w:val="7EF0187F"/>
    <w:rsid w:val="7EFD0989"/>
    <w:rsid w:val="7F0251EE"/>
    <w:rsid w:val="7F0C32D2"/>
    <w:rsid w:val="7F5C31CD"/>
    <w:rsid w:val="7F6B5095"/>
    <w:rsid w:val="7FA147C6"/>
    <w:rsid w:val="7FC17032"/>
    <w:rsid w:val="7FE50115"/>
    <w:rsid w:val="7FEE66E4"/>
    <w:rsid w:val="7FEF0C9A"/>
    <w:rsid w:val="7FF96F48"/>
    <w:rsid w:val="7FFB7D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nhideWhenUsed="0" w:uiPriority="9" w:semiHidden="0" w:name="heading 5"/>
    <w:lsdException w:qFormat="1" w:uiPriority="9" w:name="heading 6"/>
    <w:lsdException w:qFormat="1" w:uiPriority="9"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qFormat="1" w:uiPriority="99" w:semiHidden="0"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iPriority="99"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5"/>
    <w:autoRedefine/>
    <w:qFormat/>
    <w:uiPriority w:val="9"/>
    <w:pPr>
      <w:keepNext/>
      <w:keepLines/>
      <w:spacing w:before="340" w:after="330" w:line="578" w:lineRule="auto"/>
      <w:outlineLvl w:val="0"/>
    </w:pPr>
    <w:rPr>
      <w:rFonts w:ascii="Times New Roman" w:hAnsi="Times New Roman" w:eastAsia="宋体" w:cs="Times New Roman"/>
      <w:b/>
      <w:bCs/>
      <w:kern w:val="44"/>
      <w:sz w:val="44"/>
      <w:szCs w:val="44"/>
      <w:lang w:val="zh-CN"/>
    </w:rPr>
  </w:style>
  <w:style w:type="paragraph" w:styleId="3">
    <w:name w:val="heading 2"/>
    <w:basedOn w:val="1"/>
    <w:next w:val="1"/>
    <w:link w:val="46"/>
    <w:autoRedefine/>
    <w:qFormat/>
    <w:uiPriority w:val="9"/>
    <w:pPr>
      <w:keepNext/>
      <w:keepLines/>
      <w:spacing w:before="260" w:after="260" w:line="416" w:lineRule="auto"/>
      <w:outlineLvl w:val="1"/>
    </w:pPr>
    <w:rPr>
      <w:rFonts w:ascii="Cambria" w:hAnsi="Cambria" w:eastAsia="宋体" w:cs="Times New Roman"/>
      <w:b/>
      <w:bCs/>
      <w:sz w:val="32"/>
      <w:szCs w:val="32"/>
      <w:lang w:val="zh-CN"/>
    </w:rPr>
  </w:style>
  <w:style w:type="paragraph" w:styleId="4">
    <w:name w:val="heading 3"/>
    <w:basedOn w:val="1"/>
    <w:next w:val="1"/>
    <w:link w:val="40"/>
    <w:autoRedefine/>
    <w:qFormat/>
    <w:uiPriority w:val="9"/>
    <w:pPr>
      <w:keepNext/>
      <w:keepLines/>
      <w:spacing w:before="260" w:after="260" w:line="416" w:lineRule="auto"/>
      <w:outlineLvl w:val="2"/>
    </w:pPr>
    <w:rPr>
      <w:rFonts w:ascii="Times New Roman" w:hAnsi="Times New Roman" w:eastAsia="宋体" w:cs="Times New Roman"/>
      <w:b/>
      <w:bCs/>
      <w:sz w:val="32"/>
      <w:szCs w:val="32"/>
      <w:lang w:val="zh-CN"/>
    </w:rPr>
  </w:style>
  <w:style w:type="paragraph" w:styleId="5">
    <w:name w:val="heading 5"/>
    <w:basedOn w:val="1"/>
    <w:next w:val="6"/>
    <w:link w:val="47"/>
    <w:autoRedefine/>
    <w:qFormat/>
    <w:uiPriority w:val="9"/>
    <w:pPr>
      <w:keepNext/>
      <w:keepLines/>
      <w:spacing w:before="280" w:after="290" w:line="376" w:lineRule="auto"/>
      <w:outlineLvl w:val="4"/>
    </w:pPr>
    <w:rPr>
      <w:rFonts w:ascii="Times New Roman" w:hAnsi="Times New Roman" w:eastAsia="宋体" w:cs="Times New Roman"/>
      <w:b/>
      <w:bCs/>
      <w:sz w:val="28"/>
      <w:szCs w:val="28"/>
      <w:lang w:val="zh-CN"/>
    </w:rPr>
  </w:style>
  <w:style w:type="paragraph" w:styleId="7">
    <w:name w:val="heading 8"/>
    <w:basedOn w:val="1"/>
    <w:next w:val="1"/>
    <w:link w:val="48"/>
    <w:autoRedefine/>
    <w:qFormat/>
    <w:uiPriority w:val="9"/>
    <w:pPr>
      <w:keepNext/>
      <w:keepLines/>
      <w:spacing w:before="240" w:after="64" w:line="320" w:lineRule="auto"/>
      <w:outlineLvl w:val="7"/>
    </w:pPr>
    <w:rPr>
      <w:rFonts w:ascii="等线 Light" w:hAnsi="等线 Light" w:eastAsia="等线 Light" w:cs="Times New Roman"/>
      <w:sz w:val="24"/>
      <w:szCs w:val="24"/>
      <w:lang w:val="zh-CN"/>
    </w:rPr>
  </w:style>
  <w:style w:type="paragraph" w:styleId="8">
    <w:name w:val="heading 9"/>
    <w:basedOn w:val="1"/>
    <w:next w:val="1"/>
    <w:link w:val="49"/>
    <w:autoRedefine/>
    <w:qFormat/>
    <w:uiPriority w:val="9"/>
    <w:pPr>
      <w:keepNext/>
      <w:keepLines/>
      <w:spacing w:before="240" w:after="64" w:line="320" w:lineRule="auto"/>
      <w:outlineLvl w:val="8"/>
    </w:pPr>
    <w:rPr>
      <w:rFonts w:ascii="Cambria" w:hAnsi="Cambria" w:eastAsia="宋体" w:cs="Times New Roman"/>
      <w:szCs w:val="21"/>
      <w:lang w:val="zh-CN"/>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ind w:firstLine="420"/>
    </w:pPr>
    <w:rPr>
      <w:rFonts w:ascii="Times New Roman" w:hAnsi="Times New Roman" w:eastAsia="宋体" w:cs="Times New Roman"/>
      <w:szCs w:val="20"/>
    </w:rPr>
  </w:style>
  <w:style w:type="paragraph" w:styleId="9">
    <w:name w:val="index 8"/>
    <w:basedOn w:val="1"/>
    <w:next w:val="1"/>
    <w:autoRedefine/>
    <w:qFormat/>
    <w:uiPriority w:val="0"/>
    <w:pPr>
      <w:ind w:left="2940"/>
    </w:pPr>
  </w:style>
  <w:style w:type="paragraph" w:styleId="10">
    <w:name w:val="List Number"/>
    <w:basedOn w:val="1"/>
    <w:autoRedefine/>
    <w:qFormat/>
    <w:uiPriority w:val="0"/>
    <w:pPr>
      <w:widowControl/>
      <w:tabs>
        <w:tab w:val="left" w:pos="454"/>
        <w:tab w:val="left" w:pos="720"/>
        <w:tab w:val="left" w:pos="840"/>
      </w:tabs>
      <w:spacing w:after="50" w:afterLines="50"/>
      <w:ind w:left="454" w:hanging="284"/>
      <w:jc w:val="left"/>
    </w:pPr>
    <w:rPr>
      <w:rFonts w:ascii="Times New Roman" w:hAnsi="Times New Roman" w:eastAsia="宋体" w:cs="Times New Roman"/>
      <w:kern w:val="0"/>
      <w:sz w:val="24"/>
      <w:szCs w:val="20"/>
    </w:rPr>
  </w:style>
  <w:style w:type="paragraph" w:styleId="11">
    <w:name w:val="annotation text"/>
    <w:basedOn w:val="1"/>
    <w:link w:val="51"/>
    <w:autoRedefine/>
    <w:qFormat/>
    <w:uiPriority w:val="0"/>
    <w:pPr>
      <w:jc w:val="left"/>
    </w:pPr>
    <w:rPr>
      <w:rFonts w:ascii="Times New Roman" w:hAnsi="Times New Roman" w:eastAsia="宋体" w:cs="Times New Roman"/>
      <w:szCs w:val="24"/>
      <w:lang w:val="zh-CN"/>
    </w:rPr>
  </w:style>
  <w:style w:type="paragraph" w:styleId="12">
    <w:name w:val="Body Text 3"/>
    <w:basedOn w:val="1"/>
    <w:link w:val="53"/>
    <w:autoRedefine/>
    <w:unhideWhenUsed/>
    <w:qFormat/>
    <w:uiPriority w:val="99"/>
    <w:pPr>
      <w:spacing w:after="120"/>
    </w:pPr>
    <w:rPr>
      <w:rFonts w:ascii="Times New Roman" w:hAnsi="Times New Roman" w:eastAsia="宋体" w:cs="Times New Roman"/>
      <w:sz w:val="16"/>
      <w:szCs w:val="16"/>
      <w:lang w:val="zh-CN"/>
    </w:rPr>
  </w:style>
  <w:style w:type="paragraph" w:styleId="13">
    <w:name w:val="Body Text"/>
    <w:basedOn w:val="1"/>
    <w:next w:val="14"/>
    <w:link w:val="55"/>
    <w:autoRedefine/>
    <w:unhideWhenUsed/>
    <w:qFormat/>
    <w:uiPriority w:val="0"/>
    <w:pPr>
      <w:spacing w:after="120"/>
    </w:pPr>
    <w:rPr>
      <w:rFonts w:ascii="Times New Roman" w:hAnsi="Times New Roman" w:eastAsia="宋体" w:cs="Times New Roman"/>
      <w:szCs w:val="24"/>
      <w:lang w:val="zh-CN"/>
    </w:rPr>
  </w:style>
  <w:style w:type="paragraph" w:styleId="14">
    <w:name w:val="Body Text First Indent 2"/>
    <w:basedOn w:val="1"/>
    <w:link w:val="108"/>
    <w:autoRedefine/>
    <w:semiHidden/>
    <w:unhideWhenUsed/>
    <w:qFormat/>
    <w:uiPriority w:val="99"/>
    <w:pPr>
      <w:spacing w:after="120"/>
      <w:ind w:left="420" w:leftChars="200" w:firstLine="420" w:firstLineChars="200"/>
    </w:pPr>
    <w:rPr>
      <w:rFonts w:ascii="Times New Roman" w:eastAsia="宋体"/>
      <w:szCs w:val="24"/>
    </w:rPr>
  </w:style>
  <w:style w:type="paragraph" w:styleId="15">
    <w:name w:val="Body Text Indent"/>
    <w:basedOn w:val="1"/>
    <w:link w:val="57"/>
    <w:autoRedefine/>
    <w:qFormat/>
    <w:uiPriority w:val="0"/>
    <w:pPr>
      <w:ind w:firstLine="830" w:firstLineChars="352"/>
    </w:pPr>
    <w:rPr>
      <w:rFonts w:ascii="仿宋_GB2312" w:hAnsi="Times New Roman" w:eastAsia="仿宋_GB2312" w:cs="Times New Roman"/>
      <w:kern w:val="0"/>
      <w:sz w:val="32"/>
      <w:szCs w:val="20"/>
      <w:lang w:val="zh-CN"/>
    </w:rPr>
  </w:style>
  <w:style w:type="paragraph" w:styleId="16">
    <w:name w:val="List 2"/>
    <w:basedOn w:val="1"/>
    <w:autoRedefine/>
    <w:unhideWhenUsed/>
    <w:qFormat/>
    <w:uiPriority w:val="99"/>
    <w:pPr>
      <w:ind w:left="100" w:leftChars="200" w:hanging="200" w:hangingChars="200"/>
      <w:contextualSpacing/>
    </w:pPr>
    <w:rPr>
      <w:rFonts w:ascii="Times New Roman" w:hAnsi="Times New Roman" w:eastAsia="宋体" w:cs="Times New Roman"/>
      <w:szCs w:val="24"/>
    </w:rPr>
  </w:style>
  <w:style w:type="paragraph" w:styleId="17">
    <w:name w:val="toc 3"/>
    <w:basedOn w:val="1"/>
    <w:next w:val="1"/>
    <w:autoRedefine/>
    <w:semiHidden/>
    <w:unhideWhenUsed/>
    <w:qFormat/>
    <w:uiPriority w:val="39"/>
    <w:pPr>
      <w:ind w:left="840" w:leftChars="400"/>
    </w:pPr>
  </w:style>
  <w:style w:type="paragraph" w:styleId="18">
    <w:name w:val="Plain Text"/>
    <w:basedOn w:val="1"/>
    <w:next w:val="9"/>
    <w:link w:val="61"/>
    <w:autoRedefine/>
    <w:qFormat/>
    <w:uiPriority w:val="0"/>
    <w:rPr>
      <w:rFonts w:ascii="宋体" w:hAnsi="Courier New" w:eastAsia="宋体" w:cs="Times New Roman"/>
      <w:kern w:val="0"/>
      <w:sz w:val="20"/>
      <w:szCs w:val="21"/>
      <w:lang w:val="zh-CN"/>
    </w:rPr>
  </w:style>
  <w:style w:type="paragraph" w:styleId="19">
    <w:name w:val="Date"/>
    <w:basedOn w:val="1"/>
    <w:next w:val="1"/>
    <w:link w:val="63"/>
    <w:autoRedefine/>
    <w:unhideWhenUsed/>
    <w:qFormat/>
    <w:uiPriority w:val="99"/>
    <w:pPr>
      <w:ind w:left="100" w:leftChars="2500"/>
    </w:pPr>
    <w:rPr>
      <w:rFonts w:ascii="Times New Roman" w:hAnsi="Times New Roman" w:eastAsia="宋体" w:cs="Times New Roman"/>
      <w:szCs w:val="24"/>
      <w:lang w:val="zh-CN"/>
    </w:rPr>
  </w:style>
  <w:style w:type="paragraph" w:styleId="20">
    <w:name w:val="Balloon Text"/>
    <w:basedOn w:val="1"/>
    <w:link w:val="99"/>
    <w:autoRedefine/>
    <w:semiHidden/>
    <w:qFormat/>
    <w:uiPriority w:val="0"/>
    <w:rPr>
      <w:rFonts w:ascii="Times New Roman" w:hAnsi="Times New Roman" w:eastAsia="宋体" w:cs="Times New Roman"/>
      <w:sz w:val="18"/>
      <w:szCs w:val="18"/>
    </w:rPr>
  </w:style>
  <w:style w:type="paragraph" w:styleId="21">
    <w:name w:val="footer"/>
    <w:basedOn w:val="1"/>
    <w:next w:val="1"/>
    <w:link w:val="66"/>
    <w:autoRedefine/>
    <w:unhideWhenUsed/>
    <w:qFormat/>
    <w:uiPriority w:val="0"/>
    <w:pPr>
      <w:tabs>
        <w:tab w:val="center" w:pos="4153"/>
        <w:tab w:val="right" w:pos="8306"/>
      </w:tabs>
      <w:snapToGrid w:val="0"/>
      <w:jc w:val="left"/>
    </w:pPr>
    <w:rPr>
      <w:rFonts w:ascii="Times New Roman" w:hAnsi="Times New Roman" w:eastAsia="宋体" w:cs="Times New Roman"/>
      <w:kern w:val="0"/>
      <w:sz w:val="18"/>
      <w:szCs w:val="18"/>
      <w:lang w:val="zh-CN"/>
    </w:rPr>
  </w:style>
  <w:style w:type="paragraph" w:styleId="22">
    <w:name w:val="header"/>
    <w:basedOn w:val="1"/>
    <w:link w:val="68"/>
    <w:autoRedefine/>
    <w:unhideWhenUsed/>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kern w:val="0"/>
      <w:sz w:val="18"/>
      <w:szCs w:val="18"/>
      <w:lang w:val="zh-CN"/>
    </w:rPr>
  </w:style>
  <w:style w:type="paragraph" w:styleId="23">
    <w:name w:val="toc 1"/>
    <w:basedOn w:val="1"/>
    <w:next w:val="1"/>
    <w:autoRedefine/>
    <w:semiHidden/>
    <w:unhideWhenUsed/>
    <w:qFormat/>
    <w:uiPriority w:val="39"/>
  </w:style>
  <w:style w:type="paragraph" w:styleId="24">
    <w:name w:val="List"/>
    <w:basedOn w:val="1"/>
    <w:autoRedefine/>
    <w:unhideWhenUsed/>
    <w:qFormat/>
    <w:uiPriority w:val="99"/>
    <w:pPr>
      <w:ind w:left="200" w:hanging="200" w:hangingChars="200"/>
      <w:contextualSpacing/>
    </w:pPr>
    <w:rPr>
      <w:rFonts w:ascii="Times New Roman" w:hAnsi="Times New Roman" w:eastAsia="宋体" w:cs="Times New Roman"/>
      <w:szCs w:val="24"/>
    </w:rPr>
  </w:style>
  <w:style w:type="paragraph" w:styleId="25">
    <w:name w:val="toc 2"/>
    <w:basedOn w:val="1"/>
    <w:next w:val="1"/>
    <w:autoRedefine/>
    <w:semiHidden/>
    <w:unhideWhenUsed/>
    <w:qFormat/>
    <w:uiPriority w:val="39"/>
    <w:pPr>
      <w:ind w:left="420" w:leftChars="200"/>
    </w:pPr>
  </w:style>
  <w:style w:type="paragraph" w:styleId="26">
    <w:name w:val="Normal (Web)"/>
    <w:basedOn w:val="1"/>
    <w:autoRedefine/>
    <w:unhideWhenUsed/>
    <w:qFormat/>
    <w:uiPriority w:val="99"/>
    <w:rPr>
      <w:rFonts w:ascii="Calibri" w:hAnsi="Calibri" w:eastAsia="宋体" w:cs="Times New Roman"/>
      <w:kern w:val="0"/>
      <w:sz w:val="24"/>
      <w:szCs w:val="24"/>
    </w:rPr>
  </w:style>
  <w:style w:type="paragraph" w:styleId="27">
    <w:name w:val="Title"/>
    <w:basedOn w:val="1"/>
    <w:link w:val="70"/>
    <w:autoRedefine/>
    <w:qFormat/>
    <w:uiPriority w:val="10"/>
    <w:pPr>
      <w:widowControl/>
      <w:overflowPunct w:val="0"/>
      <w:autoSpaceDE w:val="0"/>
      <w:autoSpaceDN w:val="0"/>
      <w:adjustRightInd w:val="0"/>
      <w:jc w:val="center"/>
      <w:textAlignment w:val="baseline"/>
    </w:pPr>
    <w:rPr>
      <w:rFonts w:ascii="Cambria" w:hAnsi="Cambria" w:eastAsia="宋体" w:cs="Times New Roman"/>
      <w:b/>
      <w:bCs/>
      <w:sz w:val="32"/>
      <w:szCs w:val="32"/>
      <w:lang w:val="zh-CN"/>
    </w:rPr>
  </w:style>
  <w:style w:type="paragraph" w:styleId="28">
    <w:name w:val="annotation subject"/>
    <w:basedOn w:val="11"/>
    <w:next w:val="11"/>
    <w:link w:val="72"/>
    <w:autoRedefine/>
    <w:qFormat/>
    <w:uiPriority w:val="99"/>
    <w:rPr>
      <w:b/>
      <w:bCs/>
    </w:rPr>
  </w:style>
  <w:style w:type="table" w:styleId="30">
    <w:name w:val="Table Grid"/>
    <w:basedOn w:val="29"/>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2">
    <w:name w:val="Strong"/>
    <w:basedOn w:val="31"/>
    <w:autoRedefine/>
    <w:qFormat/>
    <w:uiPriority w:val="0"/>
    <w:rPr>
      <w:b/>
    </w:rPr>
  </w:style>
  <w:style w:type="character" w:styleId="33">
    <w:name w:val="endnote reference"/>
    <w:autoRedefine/>
    <w:unhideWhenUsed/>
    <w:qFormat/>
    <w:uiPriority w:val="99"/>
    <w:rPr>
      <w:vertAlign w:val="superscript"/>
    </w:rPr>
  </w:style>
  <w:style w:type="character" w:styleId="34">
    <w:name w:val="page number"/>
    <w:autoRedefine/>
    <w:qFormat/>
    <w:uiPriority w:val="0"/>
    <w:rPr>
      <w:rFonts w:ascii="Arial" w:hAnsi="Arial" w:eastAsia="黑体" w:cs="Arial"/>
      <w:snapToGrid w:val="0"/>
      <w:kern w:val="0"/>
      <w:szCs w:val="21"/>
    </w:rPr>
  </w:style>
  <w:style w:type="character" w:styleId="35">
    <w:name w:val="FollowedHyperlink"/>
    <w:basedOn w:val="31"/>
    <w:autoRedefine/>
    <w:unhideWhenUsed/>
    <w:qFormat/>
    <w:uiPriority w:val="99"/>
    <w:rPr>
      <w:color w:val="800080"/>
      <w:u w:val="single"/>
    </w:rPr>
  </w:style>
  <w:style w:type="character" w:styleId="36">
    <w:name w:val="Hyperlink"/>
    <w:autoRedefine/>
    <w:unhideWhenUsed/>
    <w:qFormat/>
    <w:uiPriority w:val="99"/>
    <w:rPr>
      <w:color w:val="0000FF"/>
      <w:u w:val="single"/>
    </w:rPr>
  </w:style>
  <w:style w:type="character" w:styleId="37">
    <w:name w:val="annotation reference"/>
    <w:autoRedefine/>
    <w:qFormat/>
    <w:uiPriority w:val="99"/>
    <w:rPr>
      <w:sz w:val="21"/>
      <w:szCs w:val="21"/>
    </w:rPr>
  </w:style>
  <w:style w:type="character" w:customStyle="1" w:styleId="38">
    <w:name w:val="标题 1 Char"/>
    <w:basedOn w:val="31"/>
    <w:autoRedefine/>
    <w:qFormat/>
    <w:uiPriority w:val="9"/>
    <w:rPr>
      <w:b/>
      <w:bCs/>
      <w:kern w:val="44"/>
      <w:sz w:val="44"/>
      <w:szCs w:val="44"/>
    </w:rPr>
  </w:style>
  <w:style w:type="character" w:customStyle="1" w:styleId="39">
    <w:name w:val="标题 2 Char"/>
    <w:basedOn w:val="31"/>
    <w:autoRedefine/>
    <w:qFormat/>
    <w:uiPriority w:val="9"/>
    <w:rPr>
      <w:rFonts w:asciiTheme="majorHAnsi" w:hAnsiTheme="majorHAnsi" w:eastAsiaTheme="majorEastAsia" w:cstheme="majorBidi"/>
      <w:b/>
      <w:bCs/>
      <w:sz w:val="32"/>
      <w:szCs w:val="32"/>
    </w:rPr>
  </w:style>
  <w:style w:type="character" w:customStyle="1" w:styleId="40">
    <w:name w:val="标题 3 字符"/>
    <w:link w:val="4"/>
    <w:autoRedefine/>
    <w:qFormat/>
    <w:uiPriority w:val="9"/>
    <w:rPr>
      <w:rFonts w:ascii="Times New Roman" w:hAnsi="Times New Roman" w:eastAsia="宋体" w:cs="Times New Roman"/>
      <w:b/>
      <w:bCs/>
      <w:sz w:val="32"/>
      <w:szCs w:val="32"/>
      <w:lang w:val="zh-CN" w:eastAsia="zh-CN"/>
    </w:rPr>
  </w:style>
  <w:style w:type="character" w:customStyle="1" w:styleId="41">
    <w:name w:val="标题 5 Char"/>
    <w:basedOn w:val="31"/>
    <w:autoRedefine/>
    <w:qFormat/>
    <w:uiPriority w:val="9"/>
    <w:rPr>
      <w:b/>
      <w:bCs/>
      <w:sz w:val="28"/>
      <w:szCs w:val="28"/>
    </w:rPr>
  </w:style>
  <w:style w:type="character" w:customStyle="1" w:styleId="42">
    <w:name w:val="标题 3 Char"/>
    <w:basedOn w:val="31"/>
    <w:autoRedefine/>
    <w:qFormat/>
    <w:uiPriority w:val="9"/>
    <w:rPr>
      <w:b/>
      <w:bCs/>
      <w:sz w:val="32"/>
      <w:szCs w:val="32"/>
    </w:rPr>
  </w:style>
  <w:style w:type="character" w:customStyle="1" w:styleId="43">
    <w:name w:val="标题 8 Char"/>
    <w:basedOn w:val="31"/>
    <w:autoRedefine/>
    <w:qFormat/>
    <w:uiPriority w:val="0"/>
    <w:rPr>
      <w:rFonts w:asciiTheme="majorHAnsi" w:hAnsiTheme="majorHAnsi" w:eastAsiaTheme="majorEastAsia" w:cstheme="majorBidi"/>
      <w:sz w:val="24"/>
      <w:szCs w:val="24"/>
    </w:rPr>
  </w:style>
  <w:style w:type="character" w:customStyle="1" w:styleId="44">
    <w:name w:val="标题 9 Char"/>
    <w:basedOn w:val="31"/>
    <w:autoRedefine/>
    <w:semiHidden/>
    <w:qFormat/>
    <w:uiPriority w:val="9"/>
    <w:rPr>
      <w:rFonts w:asciiTheme="majorHAnsi" w:hAnsiTheme="majorHAnsi" w:eastAsiaTheme="majorEastAsia" w:cstheme="majorBidi"/>
      <w:szCs w:val="21"/>
    </w:rPr>
  </w:style>
  <w:style w:type="character" w:customStyle="1" w:styleId="45">
    <w:name w:val="标题 1 字符"/>
    <w:link w:val="2"/>
    <w:autoRedefine/>
    <w:qFormat/>
    <w:uiPriority w:val="9"/>
    <w:rPr>
      <w:rFonts w:ascii="Times New Roman" w:hAnsi="Times New Roman" w:eastAsia="宋体" w:cs="Times New Roman"/>
      <w:b/>
      <w:bCs/>
      <w:kern w:val="44"/>
      <w:sz w:val="44"/>
      <w:szCs w:val="44"/>
      <w:lang w:val="zh-CN" w:eastAsia="zh-CN"/>
    </w:rPr>
  </w:style>
  <w:style w:type="character" w:customStyle="1" w:styleId="46">
    <w:name w:val="标题 2 字符"/>
    <w:link w:val="3"/>
    <w:autoRedefine/>
    <w:qFormat/>
    <w:uiPriority w:val="9"/>
    <w:rPr>
      <w:rFonts w:ascii="Cambria" w:hAnsi="Cambria" w:eastAsia="宋体" w:cs="Times New Roman"/>
      <w:b/>
      <w:bCs/>
      <w:sz w:val="32"/>
      <w:szCs w:val="32"/>
      <w:lang w:val="zh-CN" w:eastAsia="zh-CN"/>
    </w:rPr>
  </w:style>
  <w:style w:type="character" w:customStyle="1" w:styleId="47">
    <w:name w:val="标题 5 字符"/>
    <w:link w:val="5"/>
    <w:autoRedefine/>
    <w:qFormat/>
    <w:uiPriority w:val="9"/>
    <w:rPr>
      <w:rFonts w:ascii="Times New Roman" w:hAnsi="Times New Roman" w:eastAsia="宋体" w:cs="Times New Roman"/>
      <w:b/>
      <w:bCs/>
      <w:sz w:val="28"/>
      <w:szCs w:val="28"/>
      <w:lang w:val="zh-CN" w:eastAsia="zh-CN"/>
    </w:rPr>
  </w:style>
  <w:style w:type="character" w:customStyle="1" w:styleId="48">
    <w:name w:val="标题 8 字符"/>
    <w:link w:val="7"/>
    <w:autoRedefine/>
    <w:qFormat/>
    <w:uiPriority w:val="9"/>
    <w:rPr>
      <w:rFonts w:ascii="等线 Light" w:hAnsi="等线 Light" w:eastAsia="等线 Light" w:cs="Times New Roman"/>
      <w:sz w:val="24"/>
      <w:szCs w:val="24"/>
      <w:lang w:val="zh-CN" w:eastAsia="zh-CN"/>
    </w:rPr>
  </w:style>
  <w:style w:type="character" w:customStyle="1" w:styleId="49">
    <w:name w:val="标题 9 字符"/>
    <w:link w:val="8"/>
    <w:autoRedefine/>
    <w:qFormat/>
    <w:uiPriority w:val="9"/>
    <w:rPr>
      <w:rFonts w:ascii="Cambria" w:hAnsi="Cambria" w:eastAsia="宋体" w:cs="Times New Roman"/>
      <w:szCs w:val="21"/>
      <w:lang w:val="zh-CN" w:eastAsia="zh-CN"/>
    </w:rPr>
  </w:style>
  <w:style w:type="character" w:customStyle="1" w:styleId="50">
    <w:name w:val="批注文字 Char"/>
    <w:basedOn w:val="31"/>
    <w:autoRedefine/>
    <w:qFormat/>
    <w:uiPriority w:val="0"/>
  </w:style>
  <w:style w:type="character" w:customStyle="1" w:styleId="51">
    <w:name w:val="批注文字 字符2"/>
    <w:link w:val="11"/>
    <w:autoRedefine/>
    <w:qFormat/>
    <w:uiPriority w:val="0"/>
    <w:rPr>
      <w:rFonts w:ascii="Times New Roman" w:hAnsi="Times New Roman" w:eastAsia="宋体" w:cs="Times New Roman"/>
      <w:szCs w:val="24"/>
      <w:lang w:val="zh-CN" w:eastAsia="zh-CN"/>
    </w:rPr>
  </w:style>
  <w:style w:type="character" w:customStyle="1" w:styleId="52">
    <w:name w:val="正文文本 3 Char"/>
    <w:basedOn w:val="31"/>
    <w:autoRedefine/>
    <w:qFormat/>
    <w:uiPriority w:val="99"/>
    <w:rPr>
      <w:sz w:val="16"/>
      <w:szCs w:val="16"/>
    </w:rPr>
  </w:style>
  <w:style w:type="character" w:customStyle="1" w:styleId="53">
    <w:name w:val="正文文本 3 字符"/>
    <w:link w:val="12"/>
    <w:autoRedefine/>
    <w:qFormat/>
    <w:uiPriority w:val="99"/>
    <w:rPr>
      <w:rFonts w:ascii="Times New Roman" w:hAnsi="Times New Roman" w:eastAsia="宋体" w:cs="Times New Roman"/>
      <w:sz w:val="16"/>
      <w:szCs w:val="16"/>
      <w:lang w:val="zh-CN" w:eastAsia="zh-CN"/>
    </w:rPr>
  </w:style>
  <w:style w:type="character" w:customStyle="1" w:styleId="54">
    <w:name w:val="正文文本 Char"/>
    <w:basedOn w:val="31"/>
    <w:autoRedefine/>
    <w:qFormat/>
    <w:uiPriority w:val="0"/>
  </w:style>
  <w:style w:type="character" w:customStyle="1" w:styleId="55">
    <w:name w:val="正文文本 字符1"/>
    <w:link w:val="13"/>
    <w:autoRedefine/>
    <w:qFormat/>
    <w:uiPriority w:val="0"/>
    <w:rPr>
      <w:rFonts w:ascii="Times New Roman" w:hAnsi="Times New Roman" w:eastAsia="宋体" w:cs="Times New Roman"/>
      <w:szCs w:val="24"/>
      <w:lang w:val="zh-CN" w:eastAsia="zh-CN"/>
    </w:rPr>
  </w:style>
  <w:style w:type="character" w:customStyle="1" w:styleId="56">
    <w:name w:val="正文文本缩进 Char"/>
    <w:basedOn w:val="31"/>
    <w:autoRedefine/>
    <w:qFormat/>
    <w:uiPriority w:val="0"/>
  </w:style>
  <w:style w:type="character" w:customStyle="1" w:styleId="57">
    <w:name w:val="正文文本缩进 字符1"/>
    <w:link w:val="15"/>
    <w:autoRedefine/>
    <w:qFormat/>
    <w:uiPriority w:val="0"/>
    <w:rPr>
      <w:rFonts w:ascii="仿宋_GB2312" w:hAnsi="Times New Roman" w:eastAsia="仿宋_GB2312" w:cs="Times New Roman"/>
      <w:kern w:val="0"/>
      <w:sz w:val="32"/>
      <w:szCs w:val="20"/>
      <w:lang w:val="zh-CN" w:eastAsia="zh-CN"/>
    </w:rPr>
  </w:style>
  <w:style w:type="paragraph" w:customStyle="1" w:styleId="58">
    <w:name w:val="_Style 36"/>
    <w:basedOn w:val="1"/>
    <w:next w:val="59"/>
    <w:autoRedefine/>
    <w:qFormat/>
    <w:uiPriority w:val="99"/>
    <w:pPr>
      <w:ind w:firstLine="420" w:firstLineChars="200"/>
    </w:pPr>
    <w:rPr>
      <w:rFonts w:ascii="Times New Roman" w:hAnsi="Times New Roman" w:eastAsia="宋体" w:cs="Times New Roman"/>
      <w:szCs w:val="24"/>
    </w:rPr>
  </w:style>
  <w:style w:type="paragraph" w:styleId="59">
    <w:name w:val="List Paragraph"/>
    <w:basedOn w:val="1"/>
    <w:autoRedefine/>
    <w:qFormat/>
    <w:uiPriority w:val="34"/>
    <w:pPr>
      <w:ind w:firstLine="420" w:firstLineChars="200"/>
    </w:pPr>
    <w:rPr>
      <w:rFonts w:ascii="Times New Roman" w:hAnsi="Times New Roman" w:eastAsia="宋体" w:cs="Times New Roman"/>
      <w:szCs w:val="24"/>
    </w:rPr>
  </w:style>
  <w:style w:type="character" w:customStyle="1" w:styleId="60">
    <w:name w:val="纯文本 Char"/>
    <w:basedOn w:val="31"/>
    <w:autoRedefine/>
    <w:qFormat/>
    <w:uiPriority w:val="0"/>
    <w:rPr>
      <w:rFonts w:ascii="宋体" w:hAnsi="Courier New" w:eastAsia="宋体" w:cs="Courier New"/>
      <w:szCs w:val="21"/>
    </w:rPr>
  </w:style>
  <w:style w:type="character" w:customStyle="1" w:styleId="61">
    <w:name w:val="纯文本 字符3"/>
    <w:link w:val="18"/>
    <w:autoRedefine/>
    <w:qFormat/>
    <w:uiPriority w:val="0"/>
    <w:rPr>
      <w:rFonts w:ascii="宋体" w:hAnsi="Courier New" w:eastAsia="宋体" w:cs="Times New Roman"/>
      <w:kern w:val="0"/>
      <w:sz w:val="20"/>
      <w:szCs w:val="21"/>
      <w:lang w:val="zh-CN" w:eastAsia="zh-CN"/>
    </w:rPr>
  </w:style>
  <w:style w:type="character" w:customStyle="1" w:styleId="62">
    <w:name w:val="日期 Char"/>
    <w:basedOn w:val="31"/>
    <w:autoRedefine/>
    <w:qFormat/>
    <w:uiPriority w:val="99"/>
  </w:style>
  <w:style w:type="character" w:customStyle="1" w:styleId="63">
    <w:name w:val="日期 字符"/>
    <w:link w:val="19"/>
    <w:autoRedefine/>
    <w:qFormat/>
    <w:uiPriority w:val="99"/>
    <w:rPr>
      <w:rFonts w:ascii="Times New Roman" w:hAnsi="Times New Roman" w:eastAsia="宋体" w:cs="Times New Roman"/>
      <w:szCs w:val="24"/>
      <w:lang w:val="zh-CN" w:eastAsia="zh-CN"/>
    </w:rPr>
  </w:style>
  <w:style w:type="character" w:customStyle="1" w:styleId="64">
    <w:name w:val="批注框文本 Char"/>
    <w:basedOn w:val="31"/>
    <w:autoRedefine/>
    <w:semiHidden/>
    <w:qFormat/>
    <w:uiPriority w:val="0"/>
    <w:rPr>
      <w:sz w:val="18"/>
      <w:szCs w:val="18"/>
    </w:rPr>
  </w:style>
  <w:style w:type="character" w:customStyle="1" w:styleId="65">
    <w:name w:val="页脚 Char"/>
    <w:basedOn w:val="31"/>
    <w:autoRedefine/>
    <w:qFormat/>
    <w:uiPriority w:val="99"/>
    <w:rPr>
      <w:sz w:val="18"/>
      <w:szCs w:val="18"/>
    </w:rPr>
  </w:style>
  <w:style w:type="character" w:customStyle="1" w:styleId="66">
    <w:name w:val="页脚 字符"/>
    <w:link w:val="21"/>
    <w:autoRedefine/>
    <w:qFormat/>
    <w:uiPriority w:val="0"/>
    <w:rPr>
      <w:rFonts w:ascii="Times New Roman" w:hAnsi="Times New Roman" w:eastAsia="宋体" w:cs="Times New Roman"/>
      <w:kern w:val="0"/>
      <w:sz w:val="18"/>
      <w:szCs w:val="18"/>
      <w:lang w:val="zh-CN" w:eastAsia="zh-CN"/>
    </w:rPr>
  </w:style>
  <w:style w:type="character" w:customStyle="1" w:styleId="67">
    <w:name w:val="页眉 Char"/>
    <w:basedOn w:val="31"/>
    <w:autoRedefine/>
    <w:qFormat/>
    <w:uiPriority w:val="99"/>
    <w:rPr>
      <w:sz w:val="18"/>
      <w:szCs w:val="18"/>
    </w:rPr>
  </w:style>
  <w:style w:type="character" w:customStyle="1" w:styleId="68">
    <w:name w:val="页眉 字符"/>
    <w:link w:val="22"/>
    <w:autoRedefine/>
    <w:qFormat/>
    <w:uiPriority w:val="0"/>
    <w:rPr>
      <w:rFonts w:ascii="Times New Roman" w:hAnsi="Times New Roman" w:eastAsia="宋体" w:cs="Times New Roman"/>
      <w:kern w:val="0"/>
      <w:sz w:val="18"/>
      <w:szCs w:val="18"/>
      <w:lang w:val="zh-CN" w:eastAsia="zh-CN"/>
    </w:rPr>
  </w:style>
  <w:style w:type="character" w:customStyle="1" w:styleId="69">
    <w:name w:val="标题 Char"/>
    <w:basedOn w:val="31"/>
    <w:autoRedefine/>
    <w:qFormat/>
    <w:uiPriority w:val="10"/>
    <w:rPr>
      <w:rFonts w:eastAsia="宋体" w:asciiTheme="majorHAnsi" w:hAnsiTheme="majorHAnsi" w:cstheme="majorBidi"/>
      <w:b/>
      <w:bCs/>
      <w:sz w:val="32"/>
      <w:szCs w:val="32"/>
    </w:rPr>
  </w:style>
  <w:style w:type="character" w:customStyle="1" w:styleId="70">
    <w:name w:val="标题 字符"/>
    <w:link w:val="27"/>
    <w:autoRedefine/>
    <w:qFormat/>
    <w:uiPriority w:val="10"/>
    <w:rPr>
      <w:rFonts w:ascii="Cambria" w:hAnsi="Cambria" w:eastAsia="宋体" w:cs="Times New Roman"/>
      <w:b/>
      <w:bCs/>
      <w:sz w:val="32"/>
      <w:szCs w:val="32"/>
      <w:lang w:val="zh-CN" w:eastAsia="zh-CN"/>
    </w:rPr>
  </w:style>
  <w:style w:type="character" w:customStyle="1" w:styleId="71">
    <w:name w:val="批注主题 Char"/>
    <w:basedOn w:val="50"/>
    <w:autoRedefine/>
    <w:qFormat/>
    <w:uiPriority w:val="99"/>
    <w:rPr>
      <w:b/>
      <w:bCs/>
    </w:rPr>
  </w:style>
  <w:style w:type="character" w:customStyle="1" w:styleId="72">
    <w:name w:val="批注主题 字符"/>
    <w:link w:val="28"/>
    <w:autoRedefine/>
    <w:qFormat/>
    <w:uiPriority w:val="99"/>
    <w:rPr>
      <w:rFonts w:ascii="Times New Roman" w:hAnsi="Times New Roman" w:eastAsia="宋体" w:cs="Times New Roman"/>
      <w:b/>
      <w:bCs/>
      <w:szCs w:val="24"/>
      <w:lang w:val="zh-CN" w:eastAsia="zh-CN"/>
    </w:rPr>
  </w:style>
  <w:style w:type="character" w:customStyle="1" w:styleId="73">
    <w:name w:val="正文文本首行缩进 2 字符"/>
    <w:autoRedefine/>
    <w:qFormat/>
    <w:uiPriority w:val="99"/>
    <w:rPr>
      <w:kern w:val="2"/>
      <w:sz w:val="21"/>
      <w:szCs w:val="24"/>
    </w:rPr>
  </w:style>
  <w:style w:type="character" w:customStyle="1" w:styleId="74">
    <w:name w:val="标题 Char1"/>
    <w:autoRedefine/>
    <w:qFormat/>
    <w:uiPriority w:val="0"/>
    <w:rPr>
      <w:rFonts w:ascii="Calibri" w:hAnsi="Calibri"/>
      <w:b/>
      <w:sz w:val="24"/>
      <w:lang w:val="en-GB"/>
    </w:rPr>
  </w:style>
  <w:style w:type="character" w:customStyle="1" w:styleId="75">
    <w:name w:val="正文文本 (26) + 间距 0 pt"/>
    <w:autoRedefine/>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76">
    <w:name w:val="正文文本 字符"/>
    <w:autoRedefine/>
    <w:qFormat/>
    <w:uiPriority w:val="0"/>
    <w:rPr>
      <w:rFonts w:ascii="Times New Roman" w:hAnsi="Times New Roman"/>
      <w:kern w:val="2"/>
      <w:sz w:val="21"/>
      <w:szCs w:val="24"/>
    </w:rPr>
  </w:style>
  <w:style w:type="character" w:customStyle="1" w:styleId="77">
    <w:name w:val="批注文字 字符1"/>
    <w:autoRedefine/>
    <w:qFormat/>
    <w:uiPriority w:val="0"/>
    <w:rPr>
      <w:rFonts w:ascii="Times New Roman" w:hAnsi="Times New Roman"/>
      <w:kern w:val="2"/>
      <w:sz w:val="21"/>
      <w:szCs w:val="24"/>
    </w:rPr>
  </w:style>
  <w:style w:type="character" w:customStyle="1" w:styleId="78">
    <w:name w:val="批注文字 字符"/>
    <w:autoRedefine/>
    <w:qFormat/>
    <w:uiPriority w:val="0"/>
    <w:rPr>
      <w:rFonts w:ascii="Times New Roman" w:hAnsi="Times New Roman"/>
      <w:kern w:val="2"/>
      <w:sz w:val="21"/>
      <w:szCs w:val="24"/>
    </w:rPr>
  </w:style>
  <w:style w:type="character" w:customStyle="1" w:styleId="79">
    <w:name w:val="未处理的提及1"/>
    <w:autoRedefine/>
    <w:unhideWhenUsed/>
    <w:qFormat/>
    <w:uiPriority w:val="99"/>
    <w:rPr>
      <w:color w:val="605E5C"/>
      <w:shd w:val="clear" w:color="auto" w:fill="E1DFDD"/>
    </w:rPr>
  </w:style>
  <w:style w:type="character" w:customStyle="1" w:styleId="80">
    <w:name w:val="apple-style-span"/>
    <w:autoRedefine/>
    <w:qFormat/>
    <w:uiPriority w:val="0"/>
  </w:style>
  <w:style w:type="character" w:customStyle="1" w:styleId="81">
    <w:name w:val="纯文本 字符2"/>
    <w:autoRedefine/>
    <w:qFormat/>
    <w:uiPriority w:val="0"/>
    <w:rPr>
      <w:rFonts w:ascii="宋体" w:hAnsi="Courier New" w:eastAsia="宋体" w:cs="Courier New"/>
      <w:szCs w:val="21"/>
    </w:rPr>
  </w:style>
  <w:style w:type="character" w:customStyle="1" w:styleId="82">
    <w:name w:val="textcontents"/>
    <w:autoRedefine/>
    <w:qFormat/>
    <w:uiPriority w:val="0"/>
  </w:style>
  <w:style w:type="character" w:customStyle="1" w:styleId="83">
    <w:name w:val="纯文本 字符1"/>
    <w:autoRedefine/>
    <w:qFormat/>
    <w:uiPriority w:val="0"/>
    <w:rPr>
      <w:rFonts w:ascii="宋体" w:hAnsi="Courier New"/>
    </w:rPr>
  </w:style>
  <w:style w:type="character" w:customStyle="1" w:styleId="84">
    <w:name w:val="标题 1 字符1"/>
    <w:autoRedefine/>
    <w:qFormat/>
    <w:uiPriority w:val="0"/>
    <w:rPr>
      <w:b/>
      <w:bCs/>
      <w:kern w:val="44"/>
      <w:sz w:val="44"/>
      <w:szCs w:val="44"/>
    </w:rPr>
  </w:style>
  <w:style w:type="character" w:customStyle="1" w:styleId="85">
    <w:name w:val="纯文本 字符"/>
    <w:autoRedefine/>
    <w:qFormat/>
    <w:uiPriority w:val="0"/>
    <w:rPr>
      <w:rFonts w:ascii="宋体" w:hAnsi="Courier New" w:eastAsia="宋体" w:cs="Courier New"/>
      <w:szCs w:val="21"/>
    </w:rPr>
  </w:style>
  <w:style w:type="paragraph" w:customStyle="1" w:styleId="86">
    <w:name w:val="Char Char Char Char"/>
    <w:basedOn w:val="1"/>
    <w:autoRedefine/>
    <w:qFormat/>
    <w:uiPriority w:val="0"/>
    <w:pPr>
      <w:widowControl/>
      <w:spacing w:after="160" w:line="240" w:lineRule="exact"/>
      <w:jc w:val="left"/>
    </w:pPr>
    <w:rPr>
      <w:rFonts w:ascii="Times New Roman" w:hAnsi="Times New Roman" w:eastAsia="宋体" w:cs="Times New Roman"/>
      <w:szCs w:val="24"/>
    </w:rPr>
  </w:style>
  <w:style w:type="paragraph" w:customStyle="1" w:styleId="87">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88">
    <w:name w:val="TOC 标题1"/>
    <w:basedOn w:val="2"/>
    <w:next w:val="1"/>
    <w:autoRedefine/>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lang w:val="en-US"/>
    </w:rPr>
  </w:style>
  <w:style w:type="paragraph" w:customStyle="1" w:styleId="89">
    <w:name w:val="表内文字"/>
    <w:basedOn w:val="1"/>
    <w:autoRedefine/>
    <w:qFormat/>
    <w:uiPriority w:val="0"/>
    <w:pPr>
      <w:snapToGrid w:val="0"/>
      <w:spacing w:before="50" w:after="50"/>
      <w:jc w:val="center"/>
    </w:pPr>
    <w:rPr>
      <w:rFonts w:ascii="仿宋_GB2312" w:hAnsi="宋体" w:eastAsia="仿宋_GB2312" w:cs="Times New Roman"/>
      <w:b/>
      <w:color w:val="000000"/>
      <w:sz w:val="32"/>
      <w:szCs w:val="32"/>
    </w:rPr>
  </w:style>
  <w:style w:type="paragraph" w:customStyle="1" w:styleId="90">
    <w:name w:val="Table Paragraph"/>
    <w:basedOn w:val="1"/>
    <w:autoRedefine/>
    <w:qFormat/>
    <w:uiPriority w:val="1"/>
    <w:pPr>
      <w:jc w:val="left"/>
    </w:pPr>
    <w:rPr>
      <w:rFonts w:ascii="Calibri" w:hAnsi="Calibri" w:eastAsia="宋体" w:cs="Times New Roman"/>
      <w:kern w:val="0"/>
      <w:sz w:val="22"/>
      <w:lang w:eastAsia="en-US"/>
    </w:rPr>
  </w:style>
  <w:style w:type="character" w:customStyle="1" w:styleId="91">
    <w:name w:val="正文文本缩进 字符"/>
    <w:autoRedefine/>
    <w:qFormat/>
    <w:uiPriority w:val="0"/>
    <w:rPr>
      <w:rFonts w:ascii="仿宋_GB2312" w:hAnsi="Times New Roman" w:eastAsia="仿宋_GB2312" w:cs="Times New Roman"/>
      <w:sz w:val="32"/>
      <w:szCs w:val="20"/>
    </w:rPr>
  </w:style>
  <w:style w:type="character" w:customStyle="1" w:styleId="92">
    <w:name w:val="正文2 Char Char"/>
    <w:link w:val="93"/>
    <w:autoRedefine/>
    <w:qFormat/>
    <w:uiPriority w:val="0"/>
    <w:rPr>
      <w:sz w:val="24"/>
    </w:rPr>
  </w:style>
  <w:style w:type="paragraph" w:customStyle="1" w:styleId="93">
    <w:name w:val="正文2"/>
    <w:basedOn w:val="1"/>
    <w:link w:val="92"/>
    <w:autoRedefine/>
    <w:qFormat/>
    <w:uiPriority w:val="0"/>
    <w:pPr>
      <w:adjustRightInd w:val="0"/>
      <w:spacing w:before="156" w:line="360" w:lineRule="auto"/>
      <w:ind w:firstLine="510" w:firstLineChars="200"/>
    </w:pPr>
    <w:rPr>
      <w:sz w:val="24"/>
    </w:rPr>
  </w:style>
  <w:style w:type="character" w:customStyle="1" w:styleId="94">
    <w:name w:val="纯文本 Char2"/>
    <w:autoRedefine/>
    <w:qFormat/>
    <w:uiPriority w:val="0"/>
    <w:rPr>
      <w:rFonts w:ascii="宋体" w:hAnsi="Courier New" w:cs="Arial"/>
      <w:snapToGrid w:val="0"/>
      <w:szCs w:val="21"/>
    </w:rPr>
  </w:style>
  <w:style w:type="paragraph" w:customStyle="1" w:styleId="95">
    <w:name w:val="表格文字"/>
    <w:basedOn w:val="1"/>
    <w:next w:val="13"/>
    <w:autoRedefine/>
    <w:qFormat/>
    <w:uiPriority w:val="0"/>
    <w:pPr>
      <w:adjustRightInd w:val="0"/>
      <w:spacing w:line="420" w:lineRule="atLeast"/>
      <w:jc w:val="left"/>
      <w:textAlignment w:val="baseline"/>
    </w:pPr>
    <w:rPr>
      <w:rFonts w:ascii="Times New Roman" w:hAnsi="Times New Roman" w:eastAsia="宋体" w:cs="Times New Roman"/>
      <w:kern w:val="0"/>
      <w:szCs w:val="24"/>
    </w:rPr>
  </w:style>
  <w:style w:type="paragraph" w:customStyle="1" w:styleId="96">
    <w:name w:val="样式5"/>
    <w:basedOn w:val="1"/>
    <w:autoRedefine/>
    <w:qFormat/>
    <w:uiPriority w:val="0"/>
    <w:pPr>
      <w:adjustRightInd w:val="0"/>
      <w:spacing w:line="440" w:lineRule="exact"/>
      <w:ind w:left="2" w:firstLine="480" w:firstLineChars="200"/>
    </w:pPr>
    <w:rPr>
      <w:rFonts w:ascii="仿宋_GB2312" w:hAnsi="仿宋" w:eastAsia="仿宋_GB2312" w:cs="Times New Roman"/>
      <w:sz w:val="24"/>
      <w:szCs w:val="24"/>
    </w:rPr>
  </w:style>
  <w:style w:type="paragraph" w:customStyle="1" w:styleId="97">
    <w:name w:val="正文缩进1"/>
    <w:basedOn w:val="1"/>
    <w:next w:val="15"/>
    <w:autoRedefine/>
    <w:qFormat/>
    <w:uiPriority w:val="0"/>
    <w:pPr>
      <w:autoSpaceDE w:val="0"/>
      <w:autoSpaceDN w:val="0"/>
      <w:adjustRightInd w:val="0"/>
      <w:snapToGrid w:val="0"/>
      <w:spacing w:after="120" w:line="360" w:lineRule="auto"/>
      <w:ind w:left="420" w:leftChars="200" w:firstLine="480" w:firstLineChars="200"/>
    </w:pPr>
    <w:rPr>
      <w:rFonts w:ascii="Times New Roman" w:hAnsi="Times New Roman" w:eastAsia="宋体" w:cs="Times New Roman"/>
      <w:sz w:val="24"/>
      <w:szCs w:val="21"/>
    </w:rPr>
  </w:style>
  <w:style w:type="character" w:customStyle="1" w:styleId="98">
    <w:name w:val="NormalCharacter"/>
    <w:autoRedefine/>
    <w:qFormat/>
    <w:uiPriority w:val="0"/>
  </w:style>
  <w:style w:type="character" w:customStyle="1" w:styleId="99">
    <w:name w:val="批注框文本 字符"/>
    <w:link w:val="20"/>
    <w:autoRedefine/>
    <w:semiHidden/>
    <w:qFormat/>
    <w:uiPriority w:val="0"/>
    <w:rPr>
      <w:rFonts w:ascii="Times New Roman" w:hAnsi="Times New Roman" w:eastAsia="宋体" w:cs="Times New Roman"/>
      <w:sz w:val="18"/>
      <w:szCs w:val="18"/>
    </w:rPr>
  </w:style>
  <w:style w:type="character" w:customStyle="1" w:styleId="100">
    <w:name w:val="正文首行缩进 2 字符"/>
    <w:autoRedefine/>
    <w:qFormat/>
    <w:uiPriority w:val="99"/>
    <w:rPr>
      <w:rFonts w:ascii="仿宋_GB2312" w:hAnsi="Times New Roman" w:eastAsia="仿宋_GB2312" w:cs="Times New Roman"/>
      <w:kern w:val="2"/>
      <w:sz w:val="21"/>
      <w:szCs w:val="24"/>
    </w:rPr>
  </w:style>
  <w:style w:type="character" w:customStyle="1" w:styleId="101">
    <w:name w:val="纯文本 Char1"/>
    <w:autoRedefine/>
    <w:qFormat/>
    <w:uiPriority w:val="0"/>
    <w:rPr>
      <w:rFonts w:ascii="宋体" w:hAnsi="Courier New" w:eastAsia="宋体" w:cs="Times New Roman"/>
      <w:kern w:val="0"/>
      <w:sz w:val="20"/>
      <w:szCs w:val="21"/>
    </w:rPr>
  </w:style>
  <w:style w:type="character" w:customStyle="1" w:styleId="102">
    <w:name w:val="标题 2 Char1"/>
    <w:autoRedefine/>
    <w:qFormat/>
    <w:uiPriority w:val="9"/>
    <w:rPr>
      <w:rFonts w:ascii="Cambria" w:hAnsi="Cambria"/>
      <w:b/>
      <w:bCs/>
      <w:kern w:val="2"/>
      <w:sz w:val="32"/>
      <w:szCs w:val="32"/>
      <w:lang w:val="zh-CN" w:eastAsia="zh-CN"/>
    </w:rPr>
  </w:style>
  <w:style w:type="character" w:customStyle="1" w:styleId="103">
    <w:name w:val="标题 8 Char1"/>
    <w:autoRedefine/>
    <w:qFormat/>
    <w:uiPriority w:val="9"/>
    <w:rPr>
      <w:rFonts w:ascii="等线 Light" w:hAnsi="等线 Light" w:eastAsia="等线 Light"/>
      <w:kern w:val="2"/>
      <w:sz w:val="24"/>
      <w:szCs w:val="24"/>
      <w:lang w:val="zh-CN" w:eastAsia="zh-CN"/>
    </w:rPr>
  </w:style>
  <w:style w:type="character" w:customStyle="1" w:styleId="104">
    <w:name w:val="批注文字 Char1"/>
    <w:autoRedefine/>
    <w:qFormat/>
    <w:uiPriority w:val="0"/>
    <w:rPr>
      <w:kern w:val="2"/>
      <w:sz w:val="21"/>
      <w:szCs w:val="24"/>
      <w:lang w:val="zh-CN" w:eastAsia="zh-CN"/>
    </w:rPr>
  </w:style>
  <w:style w:type="character" w:customStyle="1" w:styleId="105">
    <w:name w:val="正文文本 Char1"/>
    <w:autoRedefine/>
    <w:qFormat/>
    <w:uiPriority w:val="0"/>
    <w:rPr>
      <w:kern w:val="2"/>
      <w:sz w:val="21"/>
      <w:szCs w:val="24"/>
      <w:lang w:val="zh-CN" w:eastAsia="zh-CN"/>
    </w:rPr>
  </w:style>
  <w:style w:type="character" w:customStyle="1" w:styleId="106">
    <w:name w:val="正文首行缩进 2 字符1"/>
    <w:autoRedefine/>
    <w:semiHidden/>
    <w:qFormat/>
    <w:uiPriority w:val="99"/>
    <w:rPr>
      <w:rFonts w:ascii="仿宋_GB2312" w:hAnsi="Times New Roman" w:eastAsia="仿宋_GB2312" w:cs="Times New Roman"/>
      <w:kern w:val="2"/>
      <w:sz w:val="21"/>
      <w:szCs w:val="24"/>
      <w:lang w:val="zh-CN" w:eastAsia="zh-CN"/>
    </w:rPr>
  </w:style>
  <w:style w:type="character" w:customStyle="1" w:styleId="107">
    <w:name w:val="正文首行缩进 2 字符2"/>
    <w:autoRedefine/>
    <w:semiHidden/>
    <w:qFormat/>
    <w:uiPriority w:val="99"/>
    <w:rPr>
      <w:rFonts w:ascii="仿宋_GB2312" w:hAnsi="Times New Roman" w:eastAsia="仿宋_GB2312" w:cs="Times New Roman"/>
      <w:kern w:val="2"/>
      <w:sz w:val="21"/>
      <w:szCs w:val="24"/>
      <w:lang w:val="zh-CN" w:eastAsia="zh-CN"/>
    </w:rPr>
  </w:style>
  <w:style w:type="character" w:customStyle="1" w:styleId="108">
    <w:name w:val="正文文本首行缩进 2 字符1"/>
    <w:basedOn w:val="56"/>
    <w:link w:val="14"/>
    <w:autoRedefine/>
    <w:semiHidden/>
    <w:qFormat/>
    <w:uiPriority w:val="99"/>
    <w:rPr>
      <w:rFonts w:ascii="Times New Roman" w:hAnsi="Times New Roman" w:eastAsia="宋体" w:cs="Times New Roman"/>
      <w:szCs w:val="24"/>
    </w:rPr>
  </w:style>
  <w:style w:type="paragraph" w:customStyle="1" w:styleId="109">
    <w:name w:val="Heading2"/>
    <w:basedOn w:val="1"/>
    <w:next w:val="1"/>
    <w:autoRedefine/>
    <w:qFormat/>
    <w:uiPriority w:val="0"/>
    <w:pPr>
      <w:keepNext/>
      <w:keepLines/>
      <w:spacing w:before="260" w:after="260" w:line="416" w:lineRule="auto"/>
    </w:pPr>
    <w:rPr>
      <w:rFonts w:ascii="Arial" w:hAnsi="Arial" w:eastAsia="黑体" w:cs="Times New Roman"/>
      <w:b/>
      <w:bCs/>
      <w:kern w:val="0"/>
      <w:sz w:val="32"/>
      <w:szCs w:val="32"/>
    </w:rPr>
  </w:style>
  <w:style w:type="character" w:customStyle="1" w:styleId="110">
    <w:name w:val="font31"/>
    <w:basedOn w:val="31"/>
    <w:autoRedefine/>
    <w:qFormat/>
    <w:uiPriority w:val="0"/>
    <w:rPr>
      <w:rFonts w:hint="eastAsia" w:ascii="宋体" w:hAnsi="宋体" w:eastAsia="宋体" w:cs="宋体"/>
      <w:color w:val="000000"/>
      <w:sz w:val="20"/>
      <w:szCs w:val="20"/>
      <w:u w:val="none"/>
    </w:rPr>
  </w:style>
  <w:style w:type="character" w:customStyle="1" w:styleId="111">
    <w:name w:val="font01"/>
    <w:autoRedefine/>
    <w:qFormat/>
    <w:uiPriority w:val="0"/>
    <w:rPr>
      <w:rFonts w:hint="eastAsia" w:ascii="宋体" w:hAnsi="宋体" w:eastAsia="宋体" w:cs="宋体"/>
      <w:color w:val="000000"/>
      <w:sz w:val="22"/>
      <w:szCs w:val="22"/>
      <w:u w:val="none"/>
    </w:rPr>
  </w:style>
  <w:style w:type="character" w:customStyle="1" w:styleId="112">
    <w:name w:val="font51"/>
    <w:autoRedefine/>
    <w:qFormat/>
    <w:uiPriority w:val="0"/>
    <w:rPr>
      <w:rFonts w:hint="eastAsia" w:ascii="宋体" w:hAnsi="宋体" w:eastAsia="宋体" w:cs="宋体"/>
      <w:color w:val="FF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107</Pages>
  <Words>8803</Words>
  <Characters>10463</Characters>
  <Lines>2123</Lines>
  <Paragraphs>2276</Paragraphs>
  <TotalTime>0</TotalTime>
  <ScaleCrop>false</ScaleCrop>
  <LinksUpToDate>false</LinksUpToDate>
  <CharactersWithSpaces>10587</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2025-05-28T07:59:00Z</dcterms:created>
  <dc:creator>个人用户</dc:creator>
  <cp:lastModifiedBy>欧明聪</cp:lastModifiedBy>
  <dcterms:modified xsi:type="dcterms:W3CDTF">2025-12-08T10:07:07Z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DD04E6E500AF4D4586933411B8330635_13</vt:lpwstr>
  </property>
  <property fmtid="{D5CDD505-2E9C-101B-9397-08002B2CF9AE}" pid="4" name="KSOTemplateDocerSaveRecord">
    <vt:lpwstr>eyJoZGlkIjoiMjYzZGQyNTBmZjdlYjFlNGQ0MTFmMThmNTFkYjhmMTUiLCJ1c2VySWQiOiIxNTkyNTMwODM3In0=</vt:lpwstr>
  </property>
</Properties>
</file>