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72"/>
          <w:szCs w:val="72"/>
          <w:highlight w:val="none"/>
          <w:lang w:eastAsia="zh-CN"/>
        </w:rPr>
      </w:pPr>
      <w:r>
        <w:rPr>
          <w:rFonts w:hint="eastAsia"/>
          <w:color w:val="auto"/>
          <w:sz w:val="72"/>
          <w:szCs w:val="72"/>
          <w:highlight w:val="none"/>
          <w:lang w:eastAsia="zh-CN"/>
        </w:rPr>
        <w:t>广西科联招标中心有限公司</w:t>
      </w:r>
    </w:p>
    <w:p>
      <w:pPr>
        <w:jc w:val="center"/>
        <w:rPr>
          <w:rFonts w:hint="eastAsia"/>
          <w:color w:val="auto"/>
          <w:sz w:val="72"/>
          <w:szCs w:val="72"/>
          <w:highlight w:val="none"/>
        </w:rPr>
      </w:pPr>
    </w:p>
    <w:p>
      <w:pPr>
        <w:pStyle w:val="2"/>
        <w:rPr>
          <w:rFonts w:hint="eastAsia"/>
          <w:color w:val="auto"/>
          <w:highlight w:val="none"/>
        </w:rPr>
      </w:pPr>
    </w:p>
    <w:p>
      <w:pPr>
        <w:jc w:val="center"/>
        <w:rPr>
          <w:rFonts w:hint="eastAsia"/>
          <w:color w:val="auto"/>
          <w:sz w:val="72"/>
          <w:szCs w:val="72"/>
          <w:highlight w:val="none"/>
        </w:rPr>
      </w:pPr>
      <w:r>
        <w:rPr>
          <w:rFonts w:hint="eastAsia"/>
          <w:color w:val="auto"/>
          <w:sz w:val="72"/>
          <w:szCs w:val="72"/>
          <w:highlight w:val="none"/>
        </w:rPr>
        <w:t>竞争性磋商文件</w:t>
      </w:r>
    </w:p>
    <w:p>
      <w:pPr>
        <w:spacing w:before="240" w:beforeLines="100" w:after="12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（全流程电子化评标）</w:t>
      </w:r>
    </w:p>
    <w:p>
      <w:pPr>
        <w:jc w:val="center"/>
        <w:rPr>
          <w:color w:val="auto"/>
          <w:highlight w:val="none"/>
        </w:rPr>
      </w:pPr>
    </w:p>
    <w:p>
      <w:pPr>
        <w:jc w:val="center"/>
        <w:rPr>
          <w:rFonts w:ascii="宋体" w:hAnsi="宋体" w:cs="宋体"/>
          <w:b/>
          <w:bCs/>
          <w:color w:val="auto"/>
          <w:kern w:val="0"/>
          <w:sz w:val="30"/>
          <w:szCs w:val="30"/>
          <w:highlight w:val="none"/>
        </w:rPr>
      </w:pPr>
    </w:p>
    <w:p>
      <w:pPr>
        <w:pStyle w:val="16"/>
        <w:jc w:val="center"/>
        <w:rPr>
          <w:color w:val="auto"/>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bookmarkStart w:id="0" w:name="OLE_LINK6"/>
      <w:r>
        <w:rPr>
          <w:rFonts w:hint="eastAsia" w:ascii="宋体" w:hAnsi="宋体" w:cs="宋体"/>
          <w:b/>
          <w:bCs/>
          <w:color w:val="auto"/>
          <w:kern w:val="0"/>
          <w:sz w:val="30"/>
          <w:szCs w:val="30"/>
          <w:highlight w:val="none"/>
        </w:rPr>
        <w:t>2025年广西与劳务输入地大省开展公共就业招聘服务活动</w:t>
      </w:r>
      <w:r>
        <w:rPr>
          <w:rFonts w:hint="eastAsia" w:ascii="宋体" w:hAnsi="宋体" w:cs="宋体"/>
          <w:b/>
          <w:bCs/>
          <w:color w:val="auto"/>
          <w:kern w:val="0"/>
          <w:sz w:val="30"/>
          <w:szCs w:val="30"/>
          <w:highlight w:val="none"/>
          <w:lang w:eastAsia="zh-CN"/>
        </w:rPr>
        <w:t>项目</w:t>
      </w:r>
      <w:bookmarkEnd w:id="0"/>
    </w:p>
    <w:p>
      <w:pPr>
        <w:jc w:val="center"/>
        <w:rPr>
          <w:rFonts w:ascii="宋体" w:hAnsi="宋体" w:cs="宋体"/>
          <w:b/>
          <w:color w:val="auto"/>
          <w:sz w:val="32"/>
          <w:szCs w:val="32"/>
          <w:highlight w:val="none"/>
        </w:rPr>
      </w:pPr>
      <w:r>
        <w:rPr>
          <w:rFonts w:hint="eastAsia" w:ascii="宋体" w:hAnsi="宋体" w:cs="宋体"/>
          <w:b/>
          <w:bCs/>
          <w:color w:val="auto"/>
          <w:kern w:val="0"/>
          <w:sz w:val="30"/>
          <w:szCs w:val="30"/>
          <w:highlight w:val="none"/>
        </w:rPr>
        <w:t>项目编号：GXZC2025-C3-003284-GXKL</w:t>
      </w:r>
    </w:p>
    <w:p>
      <w:pPr>
        <w:jc w:val="center"/>
        <w:rPr>
          <w:color w:val="auto"/>
          <w:highlight w:val="none"/>
        </w:rPr>
      </w:pPr>
    </w:p>
    <w:p>
      <w:pPr>
        <w:jc w:val="center"/>
        <w:rPr>
          <w:rFonts w:ascii="宋体" w:hAnsi="宋体" w:cs="宋体"/>
          <w:b/>
          <w:bCs/>
          <w:color w:val="auto"/>
          <w:kern w:val="0"/>
          <w:sz w:val="30"/>
          <w:szCs w:val="30"/>
          <w:highlight w:val="none"/>
        </w:rPr>
      </w:pPr>
    </w:p>
    <w:p>
      <w:pPr>
        <w:pStyle w:val="16"/>
        <w:jc w:val="center"/>
        <w:rPr>
          <w:color w:val="auto"/>
          <w:highlight w:val="none"/>
        </w:rPr>
      </w:pPr>
    </w:p>
    <w:p>
      <w:pPr>
        <w:rPr>
          <w:color w:val="auto"/>
          <w:highlight w:val="none"/>
        </w:rPr>
      </w:pPr>
    </w:p>
    <w:p>
      <w:pPr>
        <w:pStyle w:val="16"/>
        <w:jc w:val="center"/>
        <w:rPr>
          <w:rFonts w:ascii="宋体" w:hAnsi="宋体" w:cs="宋体"/>
          <w:b/>
          <w:bCs/>
          <w:color w:val="auto"/>
          <w:sz w:val="30"/>
          <w:szCs w:val="30"/>
          <w:highlight w:val="none"/>
        </w:rPr>
      </w:pPr>
    </w:p>
    <w:p>
      <w:pPr>
        <w:jc w:val="center"/>
        <w:rPr>
          <w:color w:val="auto"/>
          <w:highlight w:val="none"/>
        </w:rPr>
      </w:pPr>
    </w:p>
    <w:p>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采购人：广西壮族自治区就业服务中心</w:t>
      </w:r>
    </w:p>
    <w:p>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采购代理机构：</w:t>
      </w:r>
      <w:bookmarkStart w:id="1" w:name="PO_3000001866_PM031"/>
      <w:r>
        <w:rPr>
          <w:rFonts w:hint="eastAsia" w:ascii="宋体" w:hAnsi="宋体" w:cs="宋体"/>
          <w:b/>
          <w:bCs/>
          <w:color w:val="auto"/>
          <w:kern w:val="0"/>
          <w:sz w:val="30"/>
          <w:szCs w:val="30"/>
          <w:highlight w:val="none"/>
        </w:rPr>
        <w:t>广西科联招标中心有限公司</w:t>
      </w:r>
      <w:bookmarkEnd w:id="1"/>
    </w:p>
    <w:p>
      <w:pPr>
        <w:pStyle w:val="16"/>
        <w:jc w:val="center"/>
        <w:rPr>
          <w:color w:val="auto"/>
          <w:highlight w:val="none"/>
        </w:rPr>
      </w:pPr>
    </w:p>
    <w:p>
      <w:pPr>
        <w:rPr>
          <w:color w:val="auto"/>
          <w:highlight w:val="none"/>
        </w:rPr>
      </w:pPr>
    </w:p>
    <w:p>
      <w:pPr>
        <w:pStyle w:val="21"/>
        <w:rPr>
          <w:color w:val="auto"/>
          <w:highlight w:val="none"/>
        </w:rPr>
      </w:pPr>
    </w:p>
    <w:p>
      <w:pPr>
        <w:jc w:val="center"/>
        <w:rPr>
          <w:color w:val="auto"/>
          <w:highlight w:val="none"/>
        </w:rPr>
      </w:pPr>
    </w:p>
    <w:p>
      <w:pPr>
        <w:snapToGrid w:val="0"/>
        <w:spacing w:before="50" w:after="120" w:line="360" w:lineRule="auto"/>
        <w:jc w:val="center"/>
        <w:rPr>
          <w:rFonts w:ascii="宋体" w:hAnsi="宋体" w:cs="宋体"/>
          <w:b/>
          <w:bCs/>
          <w:color w:val="auto"/>
          <w:w w:val="95"/>
          <w:kern w:val="0"/>
          <w:sz w:val="30"/>
          <w:szCs w:val="30"/>
          <w:highlight w:val="none"/>
        </w:rPr>
      </w:pPr>
      <w:r>
        <w:rPr>
          <w:rFonts w:hint="eastAsia" w:ascii="宋体" w:hAnsi="宋体" w:cs="宋体"/>
          <w:b/>
          <w:bCs/>
          <w:color w:val="auto"/>
          <w:w w:val="95"/>
          <w:kern w:val="0"/>
          <w:sz w:val="30"/>
          <w:szCs w:val="30"/>
          <w:highlight w:val="none"/>
        </w:rPr>
        <w:t>2025年</w:t>
      </w:r>
      <w:r>
        <w:rPr>
          <w:rFonts w:hint="eastAsia" w:ascii="宋体" w:hAnsi="宋体" w:cs="宋体"/>
          <w:b/>
          <w:bCs/>
          <w:color w:val="auto"/>
          <w:w w:val="95"/>
          <w:kern w:val="0"/>
          <w:sz w:val="30"/>
          <w:szCs w:val="30"/>
          <w:highlight w:val="none"/>
          <w:lang w:val="en-US" w:eastAsia="zh-CN"/>
        </w:rPr>
        <w:t>11</w:t>
      </w:r>
      <w:r>
        <w:rPr>
          <w:rFonts w:hint="eastAsia" w:ascii="宋体" w:hAnsi="宋体" w:cs="宋体"/>
          <w:b/>
          <w:bCs/>
          <w:color w:val="auto"/>
          <w:w w:val="95"/>
          <w:kern w:val="0"/>
          <w:sz w:val="30"/>
          <w:szCs w:val="30"/>
          <w:highlight w:val="none"/>
        </w:rPr>
        <w:t>月</w:t>
      </w:r>
    </w:p>
    <w:p>
      <w:pPr>
        <w:pStyle w:val="10"/>
        <w:ind w:firstLine="803"/>
        <w:jc w:val="center"/>
        <w:rPr>
          <w:rFonts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b/>
          <w:color w:val="auto"/>
          <w:sz w:val="44"/>
          <w:szCs w:val="44"/>
          <w:highlight w:val="none"/>
        </w:rPr>
      </w:pPr>
      <w:r>
        <w:rPr>
          <w:rFonts w:hint="eastAsia"/>
          <w:b/>
          <w:color w:val="auto"/>
          <w:sz w:val="44"/>
          <w:szCs w:val="44"/>
          <w:highlight w:val="none"/>
        </w:rPr>
        <w:t>目   录</w:t>
      </w:r>
    </w:p>
    <w:p>
      <w:pPr>
        <w:spacing w:line="400" w:lineRule="exact"/>
        <w:jc w:val="center"/>
        <w:rPr>
          <w:b/>
          <w:color w:val="auto"/>
          <w:sz w:val="44"/>
          <w:szCs w:val="44"/>
          <w:highlight w:val="none"/>
        </w:rPr>
      </w:pPr>
    </w:p>
    <w:p>
      <w:pPr>
        <w:pStyle w:val="18"/>
        <w:tabs>
          <w:tab w:val="right" w:leader="dot" w:pos="9643"/>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"_Toc32264"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第一章  竞争性磋</w:t>
      </w:r>
      <w:bookmarkStart w:id="2" w:name="_Hlt135924181"/>
      <w:r>
        <w:rPr>
          <w:rFonts w:hint="eastAsia" w:ascii="宋体" w:hAnsi="宋体" w:cs="宋体"/>
          <w:b/>
          <w:bCs/>
          <w:color w:val="auto"/>
          <w:sz w:val="32"/>
          <w:szCs w:val="32"/>
          <w:highlight w:val="none"/>
        </w:rPr>
        <w:t>商</w:t>
      </w:r>
      <w:bookmarkEnd w:id="2"/>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1</w:t>
      </w:r>
      <w:r>
        <w:rPr>
          <w:rFonts w:hint="eastAsia" w:ascii="宋体" w:hAnsi="宋体" w:cs="宋体"/>
          <w:b/>
          <w:bCs/>
          <w:color w:val="auto"/>
          <w:sz w:val="32"/>
          <w:szCs w:val="32"/>
          <w:highlight w:val="none"/>
        </w:rPr>
        <w:fldChar w:fldCharType="end"/>
      </w:r>
    </w:p>
    <w:p>
      <w:pPr>
        <w:pStyle w:val="18"/>
        <w:tabs>
          <w:tab w:val="right" w:leader="dot" w:pos="9643"/>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"_Toc26836"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第二章  采购需</w:t>
      </w:r>
      <w:bookmarkStart w:id="3" w:name="_Hlt137127195"/>
      <w:r>
        <w:rPr>
          <w:rFonts w:hint="eastAsia" w:ascii="宋体" w:hAnsi="宋体" w:cs="宋体"/>
          <w:b/>
          <w:bCs/>
          <w:color w:val="auto"/>
          <w:sz w:val="32"/>
          <w:szCs w:val="32"/>
          <w:highlight w:val="none"/>
        </w:rPr>
        <w:t>求</w:t>
      </w:r>
      <w:bookmarkEnd w:id="3"/>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fldChar w:fldCharType="end"/>
      </w:r>
    </w:p>
    <w:p>
      <w:pPr>
        <w:pStyle w:val="18"/>
        <w:tabs>
          <w:tab w:val="right" w:leader="dot" w:pos="9643"/>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"_Toc2072"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第三章  供应</w:t>
      </w:r>
      <w:bookmarkStart w:id="4" w:name="_Hlt135905307"/>
      <w:r>
        <w:rPr>
          <w:rFonts w:hint="eastAsia" w:ascii="宋体" w:hAnsi="宋体" w:cs="宋体"/>
          <w:b/>
          <w:bCs/>
          <w:color w:val="auto"/>
          <w:sz w:val="32"/>
          <w:szCs w:val="32"/>
          <w:highlight w:val="none"/>
        </w:rPr>
        <w:t>商</w:t>
      </w:r>
      <w:bookmarkEnd w:id="4"/>
      <w:r>
        <w:rPr>
          <w:rFonts w:hint="eastAsia" w:ascii="宋体" w:hAnsi="宋体" w:cs="宋体"/>
          <w:b/>
          <w:bCs/>
          <w:color w:val="auto"/>
          <w:sz w:val="32"/>
          <w:szCs w:val="32"/>
          <w:highlight w:val="none"/>
        </w:rPr>
        <w:t>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9</w:t>
      </w:r>
      <w:r>
        <w:rPr>
          <w:rFonts w:hint="eastAsia" w:ascii="宋体" w:hAnsi="宋体" w:cs="宋体"/>
          <w:b/>
          <w:bCs/>
          <w:color w:val="auto"/>
          <w:sz w:val="32"/>
          <w:szCs w:val="32"/>
          <w:highlight w:val="none"/>
        </w:rPr>
        <w:fldChar w:fldCharType="end"/>
      </w:r>
    </w:p>
    <w:p>
      <w:pPr>
        <w:pStyle w:val="18"/>
        <w:tabs>
          <w:tab w:val="right" w:leader="dot" w:pos="9643"/>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"_Toc1088"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第四章  评审程序、评审方法和评审</w:t>
      </w:r>
      <w:bookmarkStart w:id="183" w:name="_GoBack"/>
      <w:bookmarkEnd w:id="183"/>
      <w:r>
        <w:rPr>
          <w:rFonts w:hint="eastAsia" w:ascii="宋体" w:hAnsi="宋体" w:cs="宋体"/>
          <w:b/>
          <w:bCs/>
          <w:color w:val="auto"/>
          <w:sz w:val="32"/>
          <w:szCs w:val="32"/>
          <w:highlight w:val="none"/>
        </w:rPr>
        <w:t>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8</w:t>
      </w:r>
    </w:p>
    <w:p>
      <w:pPr>
        <w:pStyle w:val="18"/>
        <w:tabs>
          <w:tab w:val="right" w:leader="dot" w:pos="9643"/>
        </w:tabs>
        <w:spacing w:line="360" w:lineRule="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"_Toc22302"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第五章  响应文</w:t>
      </w:r>
      <w:bookmarkStart w:id="5" w:name="_Hlt135897174"/>
      <w:bookmarkStart w:id="6" w:name="_Hlt135897173"/>
      <w:r>
        <w:rPr>
          <w:rFonts w:hint="eastAsia" w:ascii="宋体" w:hAnsi="宋体" w:cs="宋体"/>
          <w:b/>
          <w:bCs/>
          <w:color w:val="auto"/>
          <w:sz w:val="32"/>
          <w:szCs w:val="32"/>
          <w:highlight w:val="none"/>
        </w:rPr>
        <w:t>件</w:t>
      </w:r>
      <w:bookmarkEnd w:id="5"/>
      <w:bookmarkEnd w:id="6"/>
      <w:r>
        <w:rPr>
          <w:rFonts w:hint="eastAsia" w:ascii="宋体" w:hAnsi="宋体" w:cs="宋体"/>
          <w:b/>
          <w:bCs/>
          <w:color w:val="auto"/>
          <w:sz w:val="32"/>
          <w:szCs w:val="32"/>
          <w:highlight w:val="none"/>
        </w:rPr>
        <w:t>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6</w:t>
      </w:r>
    </w:p>
    <w:p>
      <w:pPr>
        <w:pStyle w:val="18"/>
        <w:tabs>
          <w:tab w:val="right" w:leader="dot" w:pos="9643"/>
        </w:tabs>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第六章  合同</w:t>
      </w:r>
      <w:bookmarkStart w:id="7" w:name="_Hlt135924190"/>
      <w:bookmarkStart w:id="8" w:name="_Hlt137127064"/>
      <w:bookmarkStart w:id="9" w:name="_Hlt137127063"/>
      <w:r>
        <w:rPr>
          <w:rFonts w:hint="eastAsia" w:ascii="宋体" w:hAnsi="宋体" w:cs="宋体"/>
          <w:b/>
          <w:bCs/>
          <w:color w:val="auto"/>
          <w:sz w:val="32"/>
          <w:szCs w:val="32"/>
          <w:highlight w:val="none"/>
        </w:rPr>
        <w:t>文</w:t>
      </w:r>
      <w:bookmarkEnd w:id="7"/>
      <w:bookmarkEnd w:id="8"/>
      <w:bookmarkEnd w:id="9"/>
      <w:bookmarkStart w:id="10" w:name="_Hlt135924166"/>
      <w:bookmarkStart w:id="11" w:name="_Hlt135924167"/>
      <w:r>
        <w:rPr>
          <w:rFonts w:hint="eastAsia" w:ascii="宋体" w:hAnsi="宋体" w:cs="宋体"/>
          <w:b/>
          <w:bCs/>
          <w:color w:val="auto"/>
          <w:sz w:val="32"/>
          <w:szCs w:val="32"/>
          <w:highlight w:val="none"/>
        </w:rPr>
        <w:t>本</w:t>
      </w:r>
      <w:bookmarkEnd w:id="10"/>
      <w:bookmarkEnd w:id="11"/>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pPr>
        <w:pStyle w:val="18"/>
        <w:tabs>
          <w:tab w:val="right" w:leader="dot" w:pos="9643"/>
        </w:tabs>
        <w:spacing w:line="360" w:lineRule="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HYPERLINK \l "_Toc13011"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第七章  质疑、投诉</w:t>
      </w:r>
      <w:bookmarkStart w:id="12" w:name="_Hlt137580637"/>
      <w:bookmarkStart w:id="13" w:name="_Hlt137580638"/>
      <w:r>
        <w:rPr>
          <w:rFonts w:hint="eastAsia" w:ascii="宋体" w:hAnsi="宋体" w:cs="宋体"/>
          <w:b/>
          <w:bCs/>
          <w:color w:val="auto"/>
          <w:sz w:val="32"/>
          <w:szCs w:val="32"/>
          <w:highlight w:val="none"/>
        </w:rPr>
        <w:t>材</w:t>
      </w:r>
      <w:bookmarkEnd w:id="12"/>
      <w:bookmarkEnd w:id="13"/>
      <w:r>
        <w:rPr>
          <w:rFonts w:hint="eastAsia" w:ascii="宋体" w:hAnsi="宋体" w:cs="宋体"/>
          <w:b/>
          <w:bCs/>
          <w:color w:val="auto"/>
          <w:sz w:val="32"/>
          <w:szCs w:val="32"/>
          <w:highlight w:val="none"/>
        </w:rPr>
        <w:t>料格式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lang w:val="en-US" w:eastAsia="zh-CN"/>
        </w:rPr>
        <w:t>72</w:t>
      </w:r>
    </w:p>
    <w:p>
      <w:pPr>
        <w:pStyle w:val="18"/>
        <w:tabs>
          <w:tab w:val="right" w:leader="dot" w:pos="9643"/>
        </w:tabs>
        <w:spacing w:line="360" w:lineRule="auto"/>
        <w:rPr>
          <w:rFonts w:hint="eastAsia" w:ascii="宋体" w:hAnsi="宋体" w:cs="宋体"/>
          <w:b/>
          <w:bCs/>
          <w:color w:val="auto"/>
          <w:sz w:val="36"/>
          <w:szCs w:val="36"/>
          <w:highlight w:val="none"/>
        </w:rPr>
      </w:pPr>
      <w:r>
        <w:rPr>
          <w:rFonts w:hint="eastAsia" w:ascii="宋体" w:hAnsi="宋体" w:cs="宋体"/>
          <w:b/>
          <w:bCs/>
          <w:color w:val="auto"/>
          <w:sz w:val="32"/>
          <w:szCs w:val="32"/>
          <w:highlight w:val="none"/>
        </w:rPr>
        <w:fldChar w:fldCharType="end"/>
      </w:r>
    </w:p>
    <w:p>
      <w:pPr>
        <w:spacing w:line="400" w:lineRule="exact"/>
        <w:rPr>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pPr>
        <w:pStyle w:val="3"/>
        <w:spacing w:before="360" w:after="360" w:line="400" w:lineRule="exact"/>
        <w:jc w:val="center"/>
        <w:rPr>
          <w:rFonts w:ascii="Calibri" w:hAnsi="Calibri"/>
          <w:color w:val="auto"/>
          <w:highlight w:val="none"/>
        </w:rPr>
      </w:pPr>
      <w:bookmarkStart w:id="14" w:name="_Toc12242"/>
      <w:bookmarkStart w:id="15" w:name="_Toc27000"/>
      <w:bookmarkStart w:id="16" w:name="_Toc80886925"/>
      <w:bookmarkStart w:id="17" w:name="_Toc32264"/>
      <w:bookmarkStart w:id="18" w:name="_Toc18838"/>
      <w:bookmarkStart w:id="19" w:name="_Toc15624"/>
      <w:bookmarkStart w:id="20" w:name="_Toc11989"/>
      <w:bookmarkStart w:id="21" w:name="_Toc11382"/>
      <w:r>
        <w:rPr>
          <w:rFonts w:hint="eastAsia" w:ascii="Calibri" w:hAnsi="Calibri"/>
          <w:color w:val="auto"/>
          <w:highlight w:val="none"/>
        </w:rPr>
        <w:t>第一章 竞争性磋商公告</w:t>
      </w:r>
      <w:bookmarkEnd w:id="14"/>
      <w:bookmarkEnd w:id="15"/>
      <w:bookmarkEnd w:id="16"/>
      <w:bookmarkEnd w:id="17"/>
      <w:bookmarkEnd w:id="18"/>
      <w:bookmarkEnd w:id="19"/>
      <w:bookmarkEnd w:id="20"/>
      <w:bookmarkEnd w:id="21"/>
      <w:bookmarkStart w:id="22" w:name="_Toc28359089"/>
      <w:bookmarkStart w:id="23" w:name="_Toc35393623"/>
      <w:bookmarkStart w:id="24" w:name="_Toc28359081"/>
      <w:bookmarkStart w:id="25" w:name="_Toc28359012"/>
      <w:bookmarkStart w:id="26" w:name="_Toc35393798"/>
      <w:bookmarkStart w:id="27" w:name="_Toc28359004"/>
      <w:bookmarkStart w:id="28" w:name="_Toc35393792"/>
      <w:bookmarkStart w:id="29" w:name="_Toc44229878"/>
      <w:bookmarkStart w:id="30" w:name="_Toc35393629"/>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广西科联招标中心有限公司关于2025年广西与劳务输入地大省开展公共就业招聘服务活动项目（GXZC2025-C3-003284-GXKL）的竞争性磋商公告</w:t>
      </w:r>
    </w:p>
    <w:p>
      <w:pPr>
        <w:pStyle w:val="16"/>
        <w:rPr>
          <w:color w:val="auto"/>
          <w:highlight w:val="none"/>
        </w:rPr>
      </w:pPr>
    </w:p>
    <w:bookmarkEnd w:id="22"/>
    <w:bookmarkEnd w:id="23"/>
    <w:bookmarkEnd w:id="24"/>
    <w:bookmarkEnd w:id="25"/>
    <w:bookmarkEnd w:id="26"/>
    <w:bookmarkEnd w:id="27"/>
    <w:bookmarkEnd w:id="28"/>
    <w:bookmarkEnd w:id="29"/>
    <w:bookmarkEnd w:id="30"/>
    <w:tbl>
      <w:tblPr>
        <w:tblStyle w:val="2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color w:val="auto"/>
                <w:szCs w:val="21"/>
                <w:highlight w:val="none"/>
              </w:rPr>
            </w:pPr>
            <w:r>
              <w:rPr>
                <w:rFonts w:hint="eastAsia"/>
                <w:color w:val="auto"/>
                <w:szCs w:val="21"/>
                <w:highlight w:val="none"/>
              </w:rPr>
              <w:t>项目概况：</w:t>
            </w:r>
          </w:p>
          <w:p>
            <w:pPr>
              <w:spacing w:line="360" w:lineRule="auto"/>
              <w:ind w:firstLine="420" w:firstLineChars="200"/>
              <w:rPr>
                <w:rFonts w:ascii="黑体" w:hAnsi="黑体" w:eastAsia="黑体" w:cs="宋体"/>
                <w:bCs/>
                <w:color w:val="auto"/>
                <w:sz w:val="24"/>
                <w:highlight w:val="none"/>
              </w:rPr>
            </w:pPr>
            <w:r>
              <w:rPr>
                <w:rFonts w:hint="eastAsia" w:ascii="宋体" w:hAnsi="宋体" w:cs="宋体"/>
                <w:color w:val="auto"/>
                <w:szCs w:val="21"/>
                <w:highlight w:val="none"/>
                <w:u w:val="single"/>
              </w:rPr>
              <w:t>2025年广西与劳务输入地大省开展公共就业招聘服务活动项目</w:t>
            </w:r>
            <w:r>
              <w:rPr>
                <w:rFonts w:hint="eastAsia" w:ascii="宋体" w:hAnsi="宋体" w:cs="宋体"/>
                <w:color w:val="auto"/>
                <w:szCs w:val="21"/>
                <w:highlight w:val="none"/>
              </w:rPr>
              <w:t>的潜在供应商应在广西政府采购云平台（https://www.gcy.zfcg.gxzf.gov.cn/）获取采购文件，并于2025年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日0</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:00:00（北京时间）前提交响应文件。</w:t>
            </w:r>
          </w:p>
        </w:tc>
      </w:tr>
    </w:tbl>
    <w:p>
      <w:pPr>
        <w:spacing w:line="360" w:lineRule="auto"/>
        <w:ind w:firstLine="482" w:firstLineChars="200"/>
        <w:rPr>
          <w:rFonts w:ascii="宋体" w:hAnsi="宋体" w:eastAsia="宋体" w:cs="宋体"/>
          <w:b/>
          <w:bCs/>
          <w:color w:val="auto"/>
          <w:sz w:val="24"/>
          <w:highlight w:val="none"/>
        </w:rPr>
      </w:pPr>
      <w:bookmarkStart w:id="31" w:name="_Toc80886926"/>
      <w:bookmarkStart w:id="32" w:name="_Toc26836"/>
      <w:bookmarkStart w:id="33" w:name="_Toc9127"/>
      <w:bookmarkStart w:id="34" w:name="_Toc11093"/>
      <w:bookmarkStart w:id="35" w:name="_Toc7184"/>
      <w:bookmarkStart w:id="36" w:name="_Toc25520"/>
      <w:bookmarkStart w:id="37" w:name="_Toc22325"/>
      <w:bookmarkStart w:id="38" w:name="_Toc22760"/>
      <w:r>
        <w:rPr>
          <w:rFonts w:hint="eastAsia" w:ascii="宋体" w:hAnsi="宋体" w:eastAsia="宋体" w:cs="宋体"/>
          <w:b/>
          <w:bCs/>
          <w:color w:val="auto"/>
          <w:sz w:val="24"/>
          <w:highlight w:val="none"/>
        </w:rPr>
        <w:t>一、项目基本情况</w:t>
      </w:r>
    </w:p>
    <w:p>
      <w:pPr>
        <w:spacing w:line="360" w:lineRule="auto"/>
        <w:ind w:firstLine="422" w:firstLineChars="20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项目编号：</w:t>
      </w:r>
      <w:r>
        <w:rPr>
          <w:rFonts w:hint="eastAsia" w:ascii="宋体" w:hAnsi="宋体" w:eastAsia="宋体" w:cs="Times New Roman"/>
          <w:b w:val="0"/>
          <w:bCs w:val="0"/>
          <w:color w:val="auto"/>
          <w:szCs w:val="21"/>
          <w:highlight w:val="none"/>
        </w:rPr>
        <w:t>GXZC2025-C3-003284-GXKL</w:t>
      </w:r>
    </w:p>
    <w:p>
      <w:pPr>
        <w:spacing w:line="360" w:lineRule="auto"/>
        <w:ind w:firstLine="422" w:firstLineChars="200"/>
        <w:rPr>
          <w:rFonts w:hint="eastAsia" w:ascii="宋体" w:hAnsi="宋体" w:eastAsia="宋体" w:cs="Times New Roman"/>
          <w:color w:val="auto"/>
          <w:szCs w:val="21"/>
          <w:highlight w:val="none"/>
          <w:lang w:eastAsia="zh-CN"/>
        </w:rPr>
      </w:pPr>
      <w:r>
        <w:rPr>
          <w:rFonts w:hint="eastAsia" w:ascii="宋体" w:hAnsi="宋体" w:eastAsia="宋体" w:cs="Times New Roman"/>
          <w:b/>
          <w:bCs/>
          <w:color w:val="auto"/>
          <w:szCs w:val="21"/>
          <w:highlight w:val="none"/>
        </w:rPr>
        <w:t>项目名称：</w:t>
      </w:r>
      <w:r>
        <w:rPr>
          <w:rFonts w:hint="eastAsia" w:ascii="宋体" w:hAnsi="宋体" w:eastAsia="宋体" w:cs="Times New Roman"/>
          <w:color w:val="auto"/>
          <w:szCs w:val="21"/>
          <w:highlight w:val="none"/>
        </w:rPr>
        <w:t>2025年广西与劳务输入地大省开展公共就业招聘服务活动</w:t>
      </w:r>
      <w:r>
        <w:rPr>
          <w:rFonts w:hint="eastAsia" w:ascii="宋体" w:hAnsi="宋体" w:cs="Times New Roman"/>
          <w:color w:val="auto"/>
          <w:szCs w:val="21"/>
          <w:highlight w:val="none"/>
          <w:lang w:eastAsia="zh-CN"/>
        </w:rPr>
        <w:t>项目</w:t>
      </w:r>
    </w:p>
    <w:p>
      <w:pPr>
        <w:spacing w:line="360" w:lineRule="auto"/>
        <w:ind w:firstLine="422" w:firstLineChars="20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采购方式：</w:t>
      </w:r>
      <w:r>
        <w:rPr>
          <w:rFonts w:hint="eastAsia" w:ascii="宋体" w:hAnsi="宋体" w:eastAsia="宋体" w:cs="Times New Roman"/>
          <w:color w:val="auto"/>
          <w:szCs w:val="21"/>
          <w:highlight w:val="none"/>
        </w:rPr>
        <w:t>竞争性磋商</w:t>
      </w:r>
    </w:p>
    <w:p>
      <w:pPr>
        <w:spacing w:line="360" w:lineRule="auto"/>
        <w:ind w:firstLine="422" w:firstLineChars="200"/>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预算总金额（元）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2800000</w:t>
      </w:r>
      <w:r>
        <w:rPr>
          <w:rFonts w:hint="eastAsia" w:ascii="宋体" w:hAnsi="宋体" w:eastAsia="宋体" w:cs="Times New Roman"/>
          <w:color w:val="auto"/>
          <w:szCs w:val="21"/>
          <w:highlight w:val="none"/>
        </w:rPr>
        <w:t>.00</w:t>
      </w:r>
    </w:p>
    <w:p>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采购需求：</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标项名称：2025年广西与劳务输入地大省开展公共就业招聘服务活动</w:t>
      </w:r>
      <w:r>
        <w:rPr>
          <w:rFonts w:hint="eastAsia" w:ascii="宋体" w:hAnsi="宋体" w:cs="Times New Roman"/>
          <w:color w:val="auto"/>
          <w:szCs w:val="21"/>
          <w:highlight w:val="none"/>
          <w:lang w:eastAsia="zh-CN"/>
        </w:rPr>
        <w:t>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数量：1</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预算金额（元）</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2800000.00</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简要规格描述或项目基本概况介绍、用途：2025年广西与劳务输入地大省开展公共就业招聘服务活动</w:t>
      </w:r>
      <w:r>
        <w:rPr>
          <w:rFonts w:hint="eastAsia" w:ascii="宋体" w:hAnsi="宋体" w:cs="Times New Roman"/>
          <w:color w:val="auto"/>
          <w:szCs w:val="21"/>
          <w:highlight w:val="none"/>
          <w:lang w:eastAsia="zh-CN"/>
        </w:rPr>
        <w:t>项目</w:t>
      </w:r>
      <w:r>
        <w:rPr>
          <w:rFonts w:hint="eastAsia" w:ascii="宋体" w:hAnsi="宋体" w:eastAsia="宋体" w:cs="Times New Roman"/>
          <w:color w:val="auto"/>
          <w:szCs w:val="21"/>
          <w:highlight w:val="none"/>
        </w:rPr>
        <w:t>1项，详见本</w:t>
      </w:r>
      <w:r>
        <w:rPr>
          <w:rFonts w:hint="eastAsia" w:ascii="Times New Roman" w:hAnsi="Times New Roman" w:eastAsia="宋体" w:cs="Times New Roman"/>
          <w:color w:val="auto"/>
          <w:highlight w:val="none"/>
        </w:rPr>
        <w:t>竞争性磋商公告</w:t>
      </w:r>
      <w:r>
        <w:rPr>
          <w:rFonts w:hint="eastAsia" w:ascii="宋体" w:hAnsi="宋体" w:eastAsia="宋体" w:cs="Times New Roman"/>
          <w:color w:val="auto"/>
          <w:szCs w:val="21"/>
          <w:highlight w:val="none"/>
        </w:rPr>
        <w:t>附件。</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最高限价（如有）：</w:t>
      </w:r>
      <w:r>
        <w:rPr>
          <w:rFonts w:hint="eastAsia" w:ascii="宋体" w:hAnsi="宋体" w:eastAsia="宋体" w:cs="Times New Roman"/>
          <w:color w:val="auto"/>
          <w:szCs w:val="21"/>
          <w:highlight w:val="none"/>
          <w:lang w:val="en-US" w:eastAsia="zh-CN"/>
        </w:rPr>
        <w:t>/</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合同履约期限（服务时间）：</w:t>
      </w:r>
      <w:bookmarkStart w:id="39" w:name="OLE_LINK4"/>
      <w:r>
        <w:rPr>
          <w:rFonts w:hint="eastAsia" w:ascii="宋体" w:hAnsi="宋体" w:eastAsia="宋体" w:cs="Times New Roman"/>
          <w:color w:val="auto"/>
          <w:szCs w:val="21"/>
          <w:highlight w:val="none"/>
          <w:lang w:val="en-US" w:eastAsia="zh-CN"/>
        </w:rPr>
        <w:t>自合同签订之日起至</w:t>
      </w:r>
      <w:r>
        <w:rPr>
          <w:rFonts w:hint="eastAsia" w:ascii="宋体" w:hAnsi="宋体" w:eastAsia="宋体" w:cs="宋体"/>
          <w:color w:val="auto"/>
          <w:szCs w:val="21"/>
          <w:highlight w:val="none"/>
          <w:lang w:val="en-US" w:eastAsia="zh-CN"/>
        </w:rPr>
        <w:t>2025年12月31日</w:t>
      </w:r>
      <w:bookmarkEnd w:id="39"/>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本标项（否）接受联合体竞标。</w:t>
      </w:r>
    </w:p>
    <w:p>
      <w:pPr>
        <w:spacing w:line="360" w:lineRule="auto"/>
        <w:ind w:firstLine="482" w:firstLineChars="200"/>
        <w:rPr>
          <w:rFonts w:ascii="宋体" w:hAnsi="宋体" w:eastAsia="宋体" w:cs="宋体"/>
          <w:b/>
          <w:bCs/>
          <w:color w:val="auto"/>
          <w:sz w:val="24"/>
          <w:highlight w:val="none"/>
        </w:rPr>
      </w:pPr>
      <w:bookmarkStart w:id="40" w:name="_Toc44229879"/>
      <w:bookmarkStart w:id="41" w:name="_Toc28359090"/>
      <w:bookmarkStart w:id="42" w:name="_Toc28359013"/>
      <w:bookmarkStart w:id="43" w:name="_Toc35393799"/>
      <w:bookmarkStart w:id="44" w:name="_Toc35393630"/>
      <w:r>
        <w:rPr>
          <w:rFonts w:hint="eastAsia" w:ascii="宋体" w:hAnsi="宋体" w:eastAsia="宋体" w:cs="宋体"/>
          <w:b/>
          <w:bCs/>
          <w:color w:val="auto"/>
          <w:sz w:val="24"/>
          <w:highlight w:val="none"/>
        </w:rPr>
        <w:t>二、申请人的资格</w:t>
      </w:r>
      <w:bookmarkEnd w:id="40"/>
      <w:bookmarkEnd w:id="41"/>
      <w:bookmarkEnd w:id="42"/>
      <w:bookmarkEnd w:id="43"/>
      <w:bookmarkEnd w:id="44"/>
      <w:r>
        <w:rPr>
          <w:rFonts w:hint="eastAsia" w:ascii="宋体" w:hAnsi="宋体" w:eastAsia="宋体" w:cs="宋体"/>
          <w:b/>
          <w:bCs/>
          <w:color w:val="auto"/>
          <w:sz w:val="24"/>
          <w:highlight w:val="none"/>
        </w:rPr>
        <w:t>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p>
    <w:p>
      <w:pPr>
        <w:spacing w:line="360" w:lineRule="auto"/>
        <w:ind w:firstLine="420" w:firstLineChars="200"/>
        <w:rPr>
          <w:rFonts w:ascii="宋体" w:hAnsi="宋体" w:eastAsia="宋体" w:cs="宋体"/>
          <w:bCs/>
          <w:color w:val="auto"/>
          <w:kern w:val="0"/>
          <w:szCs w:val="21"/>
          <w:highlight w:val="none"/>
        </w:rPr>
      </w:pPr>
      <w:bookmarkStart w:id="45" w:name="_Toc28359082"/>
      <w:bookmarkStart w:id="46" w:name="_Toc28359005"/>
      <w:bookmarkStart w:id="47" w:name="_Toc35393624"/>
      <w:bookmarkStart w:id="48" w:name="_Toc35393793"/>
      <w:r>
        <w:rPr>
          <w:rFonts w:hint="eastAsia" w:ascii="宋体" w:hAnsi="宋体" w:eastAsia="宋体" w:cs="宋体"/>
          <w:bCs/>
          <w:color w:val="auto"/>
          <w:kern w:val="0"/>
          <w:szCs w:val="21"/>
          <w:highlight w:val="none"/>
        </w:rPr>
        <w:t>时间：2025年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日至2025年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日，每天上午0</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:00至1</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，下午1</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:00至</w:t>
      </w:r>
      <w:r>
        <w:rPr>
          <w:rFonts w:hint="eastAsia" w:ascii="宋体" w:hAnsi="宋体" w:eastAsia="宋体" w:cs="宋体"/>
          <w:bCs/>
          <w:color w:val="auto"/>
          <w:kern w:val="0"/>
          <w:szCs w:val="21"/>
          <w:highlight w:val="none"/>
          <w:lang w:val="en-US" w:eastAsia="zh-CN"/>
        </w:rPr>
        <w:t>18</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（北京时间，法定节假日除外）；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地点（网址）：</w:t>
      </w:r>
      <w:r>
        <w:rPr>
          <w:rFonts w:hint="eastAsia" w:ascii="宋体" w:hAnsi="宋体" w:eastAsia="宋体" w:cs="宋体"/>
          <w:color w:val="auto"/>
          <w:szCs w:val="21"/>
          <w:highlight w:val="none"/>
        </w:rPr>
        <w:t>广西政府采购云平台（https://www.gcy.zfcg.gxzf.gov.cn/）</w:t>
      </w:r>
    </w:p>
    <w:p>
      <w:pPr>
        <w:widowControl w:val="0"/>
        <w:spacing w:line="360" w:lineRule="auto"/>
        <w:jc w:val="left"/>
        <w:rPr>
          <w:rFonts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　　方式：网上下载。本项目不发放纸质文件，潜在供应商可自行登录广西政府采购云平台下载采购文件，电子响应文件制作需要基于广西政府采购云平台获取的采购文件编制。</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售价（元）：0。</w:t>
      </w:r>
    </w:p>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45"/>
      <w:bookmarkEnd w:id="46"/>
      <w:bookmarkEnd w:id="47"/>
      <w:bookmarkEnd w:id="48"/>
      <w:r>
        <w:rPr>
          <w:rFonts w:hint="eastAsia" w:ascii="宋体" w:hAnsi="宋体" w:eastAsia="宋体" w:cs="宋体"/>
          <w:b/>
          <w:bCs/>
          <w:color w:val="auto"/>
          <w:sz w:val="24"/>
          <w:highlight w:val="none"/>
        </w:rPr>
        <w:t>响应文件提交</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：2025年</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日09:00:00（北京时间）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首次响应文件提交地点（网址）：</w:t>
      </w:r>
      <w:bookmarkStart w:id="49" w:name="OLE_LINK11"/>
      <w:bookmarkStart w:id="50" w:name="OLE_LINK2"/>
      <w:r>
        <w:rPr>
          <w:rFonts w:hint="eastAsia" w:ascii="宋体" w:hAnsi="宋体" w:eastAsia="宋体" w:cs="宋体"/>
          <w:color w:val="auto"/>
          <w:szCs w:val="21"/>
          <w:highlight w:val="none"/>
        </w:rPr>
        <w:t>广西政府采购云平台（https://www.gcy.zfcg.gxzf.gov.cn/）</w:t>
      </w:r>
      <w:bookmarkEnd w:id="49"/>
    </w:p>
    <w:bookmarkEnd w:id="50"/>
    <w:p>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五、响应文件开启</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开启时间：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日09:00:00</w:t>
      </w:r>
      <w:r>
        <w:rPr>
          <w:rFonts w:hint="eastAsia" w:ascii="宋体" w:hAnsi="宋体" w:cs="宋体"/>
          <w:color w:val="auto"/>
          <w:szCs w:val="21"/>
          <w:highlight w:val="none"/>
          <w:lang w:val="en-US" w:eastAsia="zh-CN"/>
        </w:rPr>
        <w:t>之后</w:t>
      </w:r>
      <w:r>
        <w:rPr>
          <w:rFonts w:hint="eastAsia" w:ascii="宋体" w:hAnsi="宋体" w:eastAsia="宋体" w:cs="宋体"/>
          <w:bCs/>
          <w:color w:val="auto"/>
          <w:szCs w:val="21"/>
          <w:highlight w:val="none"/>
        </w:rPr>
        <w:t>（北京时间）</w:t>
      </w:r>
    </w:p>
    <w:p>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bookmarkStart w:id="51" w:name="OLE_LINK10"/>
      <w:r>
        <w:rPr>
          <w:rFonts w:hint="eastAsia" w:ascii="宋体" w:hAnsi="宋体" w:eastAsia="宋体" w:cs="宋体"/>
          <w:color w:val="auto"/>
          <w:szCs w:val="21"/>
          <w:highlight w:val="none"/>
        </w:rPr>
        <w:t>广西政府采购云平台电子开标大厅</w:t>
      </w:r>
    </w:p>
    <w:bookmarkEnd w:id="51"/>
    <w:p>
      <w:pPr>
        <w:spacing w:line="360" w:lineRule="auto"/>
        <w:ind w:firstLine="482" w:firstLineChars="200"/>
        <w:rPr>
          <w:rFonts w:ascii="宋体" w:hAnsi="宋体" w:eastAsia="宋体" w:cs="宋体"/>
          <w:b/>
          <w:bCs/>
          <w:color w:val="auto"/>
          <w:sz w:val="24"/>
          <w:highlight w:val="none"/>
        </w:rPr>
      </w:pPr>
      <w:bookmarkStart w:id="52" w:name="_Toc28359084"/>
      <w:bookmarkStart w:id="53" w:name="_Toc28359007"/>
      <w:bookmarkStart w:id="54" w:name="_Toc35393794"/>
      <w:bookmarkStart w:id="55" w:name="_Toc35393625"/>
      <w:r>
        <w:rPr>
          <w:rFonts w:hint="eastAsia" w:ascii="宋体" w:hAnsi="宋体" w:eastAsia="宋体" w:cs="宋体"/>
          <w:b/>
          <w:bCs/>
          <w:color w:val="auto"/>
          <w:sz w:val="24"/>
          <w:highlight w:val="none"/>
        </w:rPr>
        <w:t>六、公告期限</w:t>
      </w:r>
      <w:bookmarkEnd w:id="52"/>
      <w:bookmarkEnd w:id="53"/>
      <w:bookmarkEnd w:id="54"/>
      <w:bookmarkEnd w:id="55"/>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ind w:firstLine="482" w:firstLineChars="200"/>
        <w:rPr>
          <w:rFonts w:ascii="宋体" w:hAnsi="宋体" w:eastAsia="宋体" w:cs="宋体"/>
          <w:b/>
          <w:bCs/>
          <w:color w:val="auto"/>
          <w:sz w:val="24"/>
          <w:highlight w:val="none"/>
        </w:rPr>
      </w:pPr>
      <w:bookmarkStart w:id="56" w:name="_Toc35393795"/>
      <w:bookmarkStart w:id="57" w:name="_Toc35393626"/>
      <w:r>
        <w:rPr>
          <w:rFonts w:hint="eastAsia" w:ascii="宋体" w:hAnsi="宋体" w:eastAsia="宋体" w:cs="宋体"/>
          <w:b/>
          <w:bCs/>
          <w:color w:val="auto"/>
          <w:sz w:val="24"/>
          <w:highlight w:val="none"/>
        </w:rPr>
        <w:t>七、其他补充事宜</w:t>
      </w:r>
      <w:bookmarkEnd w:id="56"/>
      <w:bookmarkEnd w:id="57"/>
    </w:p>
    <w:p>
      <w:pPr>
        <w:spacing w:line="360" w:lineRule="auto"/>
        <w:ind w:firstLine="420" w:firstLineChars="200"/>
        <w:rPr>
          <w:rFonts w:ascii="宋体" w:hAnsi="宋体" w:eastAsia="宋体" w:cs="宋体"/>
          <w:color w:val="auto"/>
          <w:kern w:val="0"/>
          <w:szCs w:val="21"/>
          <w:highlight w:val="none"/>
        </w:rPr>
      </w:pPr>
      <w:bookmarkStart w:id="58" w:name="_Hlk37429585"/>
      <w:r>
        <w:rPr>
          <w:rFonts w:hint="eastAsia" w:ascii="宋体" w:hAnsi="宋体" w:eastAsia="宋体" w:cs="宋体"/>
          <w:color w:val="auto"/>
          <w:kern w:val="0"/>
          <w:szCs w:val="21"/>
          <w:highlight w:val="none"/>
        </w:rPr>
        <w:t>1.磋商保证金：</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磋商保证金金额：人民币</w:t>
      </w:r>
      <w:r>
        <w:rPr>
          <w:rFonts w:hint="eastAsia" w:ascii="宋体" w:hAnsi="宋体" w:eastAsia="宋体" w:cs="宋体"/>
          <w:color w:val="auto"/>
          <w:kern w:val="0"/>
          <w:szCs w:val="21"/>
          <w:highlight w:val="none"/>
          <w:lang w:val="en-US" w:eastAsia="zh-CN"/>
        </w:rPr>
        <w:t>贰</w:t>
      </w:r>
      <w:r>
        <w:rPr>
          <w:rFonts w:hint="eastAsia" w:ascii="宋体" w:hAnsi="宋体" w:eastAsia="宋体" w:cs="宋体"/>
          <w:color w:val="auto"/>
          <w:kern w:val="0"/>
          <w:szCs w:val="21"/>
          <w:highlight w:val="none"/>
        </w:rPr>
        <w:t>万元整（小写：¥</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0000.00）</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bookmarkStart w:id="59" w:name="OLE_LINK12"/>
      <w:r>
        <w:rPr>
          <w:rFonts w:hint="eastAsia" w:ascii="宋体" w:hAnsi="宋体" w:eastAsia="宋体" w:cs="宋体"/>
          <w:color w:val="auto"/>
          <w:kern w:val="0"/>
          <w:szCs w:val="21"/>
          <w:highlight w:val="none"/>
        </w:rPr>
        <w:t>广西科联招标中心有限公司</w:t>
      </w:r>
      <w:bookmarkEnd w:id="59"/>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开户银行：招商银行南宁市金浦路支行</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银行账号：7719011969103333000011147</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开户行行号：308611000112</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采用支票、汇票、本票或者保函等方式的，在首次响应文件提交截止时间前，供应商必须提交单独密封的支票、汇票、本票或者保函（电子保函除外）等原件给采购代理机构。否则视为无效磋商保证金。</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bookmarkStart w:id="60" w:name="_Hlk37429595"/>
      <w:r>
        <w:rPr>
          <w:rFonts w:hint="eastAsia" w:ascii="宋体" w:hAnsi="宋体" w:eastAsia="宋体" w:cs="宋体"/>
          <w:color w:val="auto"/>
          <w:kern w:val="0"/>
          <w:szCs w:val="21"/>
          <w:highlight w:val="none"/>
        </w:rPr>
        <w:t>网上查询地址</w:t>
      </w:r>
    </w:p>
    <w:bookmarkEnd w:id="58"/>
    <w:bookmarkEnd w:id="60"/>
    <w:p>
      <w:pPr>
        <w:spacing w:line="360" w:lineRule="auto"/>
        <w:ind w:firstLine="420" w:firstLineChars="200"/>
        <w:rPr>
          <w:rFonts w:ascii="宋体" w:hAnsi="宋体" w:eastAsia="宋体" w:cs="宋体"/>
          <w:color w:val="auto"/>
          <w:kern w:val="0"/>
          <w:szCs w:val="21"/>
          <w:highlight w:val="none"/>
        </w:rPr>
      </w:pPr>
      <w:bookmarkStart w:id="61" w:name="_Hlk37429674"/>
      <w:r>
        <w:rPr>
          <w:rFonts w:hint="eastAsia" w:ascii="宋体" w:hAnsi="宋体" w:eastAsia="宋体" w:cs="宋体"/>
          <w:color w:val="auto"/>
          <w:kern w:val="0"/>
          <w:szCs w:val="21"/>
          <w:highlight w:val="none"/>
        </w:rPr>
        <w:t>http://www.ccgp-guangxi.gov.cn/（中国政府采购网广西分网）。</w:t>
      </w:r>
    </w:p>
    <w:bookmarkEnd w:id="61"/>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3.本项目需要落实的政府采购政策</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6.在线竞标的有关说明：</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（1）响应文件提交方式：本项目为全流程电子化项目，通过广西政府采购云平台（https://www.gcy.zfcg.gxzf.gov.cn/）实行在线电子响应，</w:t>
      </w:r>
      <w:r>
        <w:rPr>
          <w:rFonts w:hint="eastAsia" w:ascii="Times New Roman" w:hAnsi="Times New Roman" w:eastAsia="宋体" w:cs="Times New Roman"/>
          <w:color w:val="auto"/>
          <w:highlight w:val="none"/>
        </w:rPr>
        <w:t>供应商应先安装广西政府采购云平台新版客户端（新版客户端下载路径：广西政府采购网（访问地</w:t>
      </w:r>
      <w:r>
        <w:rPr>
          <w:rFonts w:hint="eastAsia" w:ascii="宋体" w:hAnsi="宋体" w:eastAsia="宋体" w:cs="宋体"/>
          <w:color w:val="auto"/>
          <w:highlight w:val="none"/>
        </w:rPr>
        <w:t>址http://zfcg.gxzf.gov.cn/</w:t>
      </w:r>
      <w:r>
        <w:rPr>
          <w:rFonts w:hint="eastAsia" w:ascii="Times New Roman" w:hAnsi="Times New Roman" w:eastAsia="宋体" w:cs="Times New Roman"/>
          <w:color w:val="auto"/>
          <w:highlight w:val="none"/>
        </w:rPr>
        <w:t>）—办事服务—下载专区）</w:t>
      </w:r>
      <w:r>
        <w:rPr>
          <w:rFonts w:hint="eastAsia" w:ascii="宋体" w:hAnsi="宋体" w:eastAsia="宋体" w:cs="宋体"/>
          <w:color w:val="auto"/>
          <w:kern w:val="0"/>
          <w:szCs w:val="21"/>
          <w:highlight w:val="none"/>
        </w:rPr>
        <w:t>，并按照本项目采购文件和广西政府采购云平台的要求编制、加密后在响应文件提交截止时间前通过网络上传至广西政府采购云平台，</w:t>
      </w:r>
      <w:r>
        <w:rPr>
          <w:rFonts w:hint="eastAsia" w:ascii="宋体" w:hAnsi="宋体" w:eastAsia="宋体" w:cs="宋体"/>
          <w:b/>
          <w:bCs/>
          <w:color w:val="auto"/>
          <w:kern w:val="0"/>
          <w:szCs w:val="21"/>
          <w:highlight w:val="none"/>
        </w:rPr>
        <w:t>供应商在广西政府采购云平台提交电子版响应文件时，请填写参加远程开标活动经办人联系方式</w:t>
      </w:r>
      <w:r>
        <w:rPr>
          <w:rFonts w:hint="eastAsia" w:ascii="宋体" w:hAnsi="宋体" w:eastAsia="宋体" w:cs="宋体"/>
          <w:color w:val="auto"/>
          <w:kern w:val="0"/>
          <w:szCs w:val="21"/>
          <w:highlight w:val="none"/>
        </w:rPr>
        <w:t>。</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（5）供应商需要在具备摄像头及语音功能且互联网网络状况良好的电脑登录广西政府采购云平台远程开标大厅参与本次磋商，否则后果自负。</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名称：广西壮族自治区就业服务中心</w:t>
      </w:r>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地址：南宁市</w:t>
      </w:r>
      <w:r>
        <w:rPr>
          <w:rFonts w:hint="eastAsia" w:ascii="宋体" w:hAnsi="宋体" w:cs="宋体"/>
          <w:color w:val="auto"/>
          <w:kern w:val="0"/>
          <w:szCs w:val="21"/>
          <w:highlight w:val="none"/>
          <w:lang w:val="en-US" w:eastAsia="zh-CN"/>
        </w:rPr>
        <w:t>青秀区</w:t>
      </w:r>
      <w:r>
        <w:rPr>
          <w:rFonts w:hint="eastAsia" w:ascii="宋体" w:hAnsi="宋体" w:eastAsia="宋体" w:cs="宋体"/>
          <w:color w:val="auto"/>
          <w:kern w:val="0"/>
          <w:szCs w:val="21"/>
          <w:highlight w:val="none"/>
        </w:rPr>
        <w:t>桂春路9号</w:t>
      </w:r>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项目联系人：陆艳梅</w:t>
      </w:r>
    </w:p>
    <w:p>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项目联系方式：0771-</w:t>
      </w:r>
      <w:r>
        <w:rPr>
          <w:rFonts w:hint="eastAsia" w:ascii="Times New Roman" w:hAnsi="Times New Roman" w:eastAsia="宋体" w:cs="Times New Roman"/>
          <w:color w:val="auto"/>
          <w:highlight w:val="none"/>
          <w:lang w:val="en-US" w:eastAsia="zh-CN"/>
        </w:rPr>
        <w:t>5516856</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bookmarkStart w:id="62" w:name="PO_3000001866_PM031_1"/>
      <w:r>
        <w:rPr>
          <w:rFonts w:hint="eastAsia" w:ascii="宋体" w:hAnsi="宋体" w:eastAsia="宋体" w:cs="宋体"/>
          <w:color w:val="auto"/>
          <w:kern w:val="0"/>
          <w:szCs w:val="21"/>
          <w:highlight w:val="none"/>
        </w:rPr>
        <w:t>广西科联招标中心有限公司</w:t>
      </w:r>
      <w:bookmarkEnd w:id="62"/>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bookmarkStart w:id="63" w:name="PO_3000001866_PM035_1"/>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南宁市</w:t>
      </w:r>
      <w:r>
        <w:rPr>
          <w:rFonts w:hint="eastAsia" w:ascii="宋体" w:hAnsi="宋体" w:eastAsia="宋体" w:cs="宋体"/>
          <w:color w:val="auto"/>
          <w:sz w:val="24"/>
          <w:szCs w:val="24"/>
          <w:highlight w:val="none"/>
          <w:lang w:val="en-US" w:eastAsia="zh-CN"/>
        </w:rPr>
        <w:t>西乡塘区</w:t>
      </w:r>
      <w:r>
        <w:rPr>
          <w:rFonts w:hint="eastAsia" w:ascii="宋体" w:hAnsi="宋体" w:eastAsia="宋体" w:cs="宋体"/>
          <w:color w:val="auto"/>
          <w:kern w:val="0"/>
          <w:szCs w:val="21"/>
          <w:highlight w:val="none"/>
        </w:rPr>
        <w:t>大学东路170号</w:t>
      </w:r>
      <w:bookmarkEnd w:id="63"/>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项目联系人：欧明聪</w:t>
      </w:r>
    </w:p>
    <w:p>
      <w:pPr>
        <w:spacing w:line="360" w:lineRule="auto"/>
        <w:ind w:firstLine="630" w:firstLineChars="300"/>
        <w:rPr>
          <w:rFonts w:ascii="Times New Roman" w:hAnsi="Times New Roman" w:eastAsia="宋体" w:cs="Times New Roman"/>
          <w:color w:val="auto"/>
          <w:sz w:val="32"/>
          <w:szCs w:val="32"/>
          <w:highlight w:val="none"/>
        </w:rPr>
      </w:pPr>
      <w:r>
        <w:rPr>
          <w:rFonts w:hint="eastAsia" w:ascii="宋体" w:hAnsi="宋体" w:eastAsia="宋体" w:cs="宋体"/>
          <w:color w:val="auto"/>
          <w:kern w:val="0"/>
          <w:szCs w:val="21"/>
          <w:highlight w:val="none"/>
        </w:rPr>
        <w:t>项目联系方式：</w:t>
      </w:r>
      <w:bookmarkStart w:id="64" w:name="OLE_LINK14"/>
      <w:r>
        <w:rPr>
          <w:rFonts w:hint="eastAsia" w:ascii="宋体" w:hAnsi="宋体" w:eastAsia="宋体" w:cs="宋体"/>
          <w:color w:val="auto"/>
          <w:kern w:val="0"/>
          <w:szCs w:val="21"/>
          <w:highlight w:val="none"/>
        </w:rPr>
        <w:t>0771-3482237</w:t>
      </w:r>
      <w:bookmarkEnd w:id="64"/>
    </w:p>
    <w:p>
      <w:pPr>
        <w:rPr>
          <w:rFonts w:ascii="Cambria" w:hAnsi="Cambria"/>
          <w:color w:val="auto"/>
          <w:sz w:val="32"/>
          <w:szCs w:val="32"/>
          <w:highlight w:val="none"/>
        </w:rPr>
      </w:pPr>
      <w:r>
        <w:rPr>
          <w:rFonts w:hint="eastAsia" w:ascii="Cambria" w:hAnsi="Cambria"/>
          <w:color w:val="auto"/>
          <w:sz w:val="32"/>
          <w:szCs w:val="32"/>
          <w:highlight w:val="none"/>
        </w:rPr>
        <w:br w:type="page"/>
      </w:r>
    </w:p>
    <w:p>
      <w:pPr>
        <w:pStyle w:val="3"/>
        <w:spacing w:before="100" w:after="90" w:line="240" w:lineRule="auto"/>
        <w:jc w:val="center"/>
        <w:rPr>
          <w:rFonts w:ascii="Cambria" w:hAnsi="Cambria"/>
          <w:bCs w:val="0"/>
          <w:color w:val="auto"/>
          <w:sz w:val="32"/>
          <w:szCs w:val="32"/>
          <w:highlight w:val="none"/>
        </w:rPr>
      </w:pPr>
      <w:r>
        <w:rPr>
          <w:rFonts w:hint="eastAsia" w:ascii="Cambria" w:hAnsi="Cambria"/>
          <w:bCs w:val="0"/>
          <w:color w:val="auto"/>
          <w:sz w:val="32"/>
          <w:szCs w:val="32"/>
          <w:highlight w:val="none"/>
        </w:rPr>
        <w:t>第二章 采购需求</w:t>
      </w:r>
      <w:bookmarkEnd w:id="31"/>
      <w:bookmarkEnd w:id="32"/>
      <w:bookmarkEnd w:id="33"/>
      <w:bookmarkEnd w:id="34"/>
      <w:bookmarkEnd w:id="35"/>
      <w:bookmarkEnd w:id="36"/>
      <w:bookmarkEnd w:id="37"/>
    </w:p>
    <w:bookmarkEnd w:id="38"/>
    <w:p>
      <w:pPr>
        <w:spacing w:line="450" w:lineRule="exact"/>
        <w:jc w:val="left"/>
        <w:rPr>
          <w:rFonts w:cs="宋体"/>
          <w:b/>
          <w:bCs/>
          <w:color w:val="auto"/>
          <w:szCs w:val="21"/>
          <w:highlight w:val="none"/>
        </w:rPr>
      </w:pPr>
      <w:r>
        <w:rPr>
          <w:rFonts w:hint="eastAsia" w:cs="宋体"/>
          <w:b/>
          <w:bCs/>
          <w:color w:val="auto"/>
          <w:szCs w:val="21"/>
          <w:highlight w:val="none"/>
        </w:rPr>
        <w:t>说明：</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highlight w:val="none"/>
          <w:lang w:eastAsia="zh-CN"/>
        </w:rPr>
        <w:t>1.</w:t>
      </w:r>
      <w:r>
        <w:rPr>
          <w:rFonts w:hint="eastAsia" w:ascii="宋体" w:hAnsi="宋体" w:cs="宋体"/>
          <w:color w:val="auto"/>
          <w:highlight w:val="none"/>
        </w:rPr>
        <w:t>为落实政府采购政策需满足的要求：</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 xml:space="preserve">。如本项目包含的配套货物属于品目清单内非标注“★”的产品时，应优先采购，具体详见“第四章 </w:t>
      </w:r>
      <w:r>
        <w:rPr>
          <w:rStyle w:val="26"/>
          <w:rFonts w:hint="eastAsia" w:ascii="宋体" w:hAnsi="宋体" w:cs="宋体"/>
          <w:color w:val="auto"/>
          <w:highlight w:val="none"/>
        </w:rPr>
        <w:t>评审程序、评审方法和评审标准</w:t>
      </w:r>
      <w:r>
        <w:rPr>
          <w:rFonts w:hint="eastAsia" w:ascii="宋体" w:hAnsi="宋体" w:cs="宋体"/>
          <w:color w:val="auto"/>
          <w:szCs w:val="21"/>
          <w:highlight w:val="none"/>
        </w:rPr>
        <w:t>”。</w:t>
      </w:r>
    </w:p>
    <w:p>
      <w:pPr>
        <w:spacing w:line="45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lang w:eastAsia="zh-CN"/>
        </w:rPr>
        <w:t>2.</w:t>
      </w:r>
      <w:r>
        <w:rPr>
          <w:rFonts w:hint="eastAsia" w:ascii="宋体" w:hAnsi="宋体" w:cs="宋体"/>
          <w:b/>
          <w:bCs/>
          <w:color w:val="auto"/>
          <w:szCs w:val="21"/>
          <w:highlight w:val="none"/>
        </w:rPr>
        <w:t>“实质性要求”是指磋商文件中已经指明不满足响应文件则按无效响应处理的条款，或者不能负偏离的条款，或者采购需求中带“▲”的条款。</w:t>
      </w:r>
    </w:p>
    <w:p>
      <w:pPr>
        <w:pStyle w:val="10"/>
        <w:spacing w:line="450" w:lineRule="exact"/>
        <w:ind w:firstLine="420" w:firstLineChars="200"/>
        <w:rPr>
          <w:rFonts w:ascii="宋体" w:hAnsi="宋体" w:cs="宋体"/>
          <w:color w:val="auto"/>
          <w:highlight w:val="none"/>
        </w:rPr>
      </w:pPr>
      <w:r>
        <w:rPr>
          <w:rFonts w:hint="eastAsia" w:ascii="宋体" w:hAnsi="宋体" w:cs="宋体"/>
          <w:color w:val="auto"/>
          <w:highlight w:val="none"/>
          <w:lang w:eastAsia="zh-CN"/>
        </w:rPr>
        <w:t>3.</w:t>
      </w:r>
      <w:r>
        <w:rPr>
          <w:rFonts w:hint="eastAsia" w:ascii="宋体" w:hAnsi="宋体" w:cs="宋体"/>
          <w:color w:val="auto"/>
          <w:highlight w:val="none"/>
        </w:rPr>
        <w:t>如竞标产品存在侵犯他人的知识产权或者专利成果行为的，应承担相应法律责任。</w:t>
      </w:r>
    </w:p>
    <w:p>
      <w:pPr>
        <w:pStyle w:val="10"/>
        <w:spacing w:line="450" w:lineRule="exact"/>
        <w:ind w:firstLine="420" w:firstLineChars="200"/>
        <w:rPr>
          <w:color w:val="auto"/>
          <w:highlight w:val="none"/>
        </w:rPr>
      </w:pPr>
      <w:r>
        <w:rPr>
          <w:rFonts w:hint="eastAsia" w:ascii="宋体" w:hAnsi="宋体" w:cs="宋体"/>
          <w:color w:val="auto"/>
          <w:szCs w:val="21"/>
          <w:highlight w:val="none"/>
          <w:lang w:eastAsia="zh-CN"/>
        </w:rPr>
        <w:t>4.</w:t>
      </w:r>
      <w:r>
        <w:rPr>
          <w:rFonts w:hint="eastAsia"/>
          <w:color w:val="auto"/>
          <w:highlight w:val="none"/>
        </w:rPr>
        <w:t>供应商必须自行为其竞标产品侵犯他人的知识产权或者专利成果的行为承担相应法律责任。</w:t>
      </w:r>
    </w:p>
    <w:p>
      <w:pPr>
        <w:pStyle w:val="10"/>
        <w:spacing w:line="450" w:lineRule="exact"/>
        <w:ind w:firstLine="420" w:firstLineChars="200"/>
        <w:rPr>
          <w:rFonts w:ascii="宋体" w:hAnsi="宋体" w:cs="宋体"/>
          <w:i/>
          <w:iCs/>
          <w:color w:val="auto"/>
          <w:highlight w:val="none"/>
          <w:u w:val="single"/>
        </w:rPr>
      </w:pPr>
      <w:r>
        <w:rPr>
          <w:rFonts w:hint="eastAsia" w:ascii="宋体" w:hAnsi="宋体" w:cs="宋体"/>
          <w:color w:val="auto"/>
          <w:highlight w:val="none"/>
          <w:lang w:eastAsia="zh-CN"/>
        </w:rPr>
        <w:t>5.</w:t>
      </w:r>
      <w:r>
        <w:rPr>
          <w:rFonts w:hint="eastAsia" w:ascii="宋体" w:hAnsi="宋体" w:cs="宋体"/>
          <w:color w:val="auto"/>
          <w:highlight w:val="none"/>
        </w:rPr>
        <w:t>采购内容所属行业：</w:t>
      </w:r>
      <w:r>
        <w:rPr>
          <w:rFonts w:hint="eastAsia" w:ascii="宋体" w:hAnsi="宋体" w:cs="宋体"/>
          <w:b/>
          <w:bCs/>
          <w:color w:val="auto"/>
          <w:szCs w:val="21"/>
          <w:highlight w:val="none"/>
          <w:u w:val="single"/>
        </w:rPr>
        <w:t>详见需求一览表。</w:t>
      </w:r>
    </w:p>
    <w:tbl>
      <w:tblPr>
        <w:tblStyle w:val="22"/>
        <w:tblpPr w:leftFromText="180" w:rightFromText="180" w:vertAnchor="text" w:horzAnchor="page" w:tblpX="1012" w:tblpY="386"/>
        <w:tblOverlap w:val="never"/>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96"/>
        <w:gridCol w:w="675"/>
        <w:gridCol w:w="461"/>
        <w:gridCol w:w="6980"/>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10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s="宋体"/>
                <w:color w:val="auto"/>
                <w:sz w:val="32"/>
                <w:szCs w:val="32"/>
                <w:highlight w:val="none"/>
              </w:rPr>
            </w:pPr>
            <w:r>
              <w:rPr>
                <w:rFonts w:hint="eastAsia" w:ascii="宋体" w:hAnsi="宋体" w:cs="宋体"/>
                <w:color w:val="auto"/>
                <w:szCs w:val="21"/>
                <w:highlight w:val="none"/>
              </w:rPr>
              <w:t>分标：无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6" w:type="dxa"/>
            <w:vMerge w:val="restart"/>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需求一览表</w:t>
            </w:r>
          </w:p>
        </w:tc>
        <w:tc>
          <w:tcPr>
            <w:tcW w:w="596" w:type="dxa"/>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75" w:type="dxa"/>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461" w:type="dxa"/>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p>
            <w:pPr>
              <w:spacing w:line="320" w:lineRule="exact"/>
              <w:jc w:val="center"/>
              <w:rPr>
                <w:rFonts w:ascii="宋体" w:hAnsi="宋体" w:cs="宋体"/>
                <w:color w:val="auto"/>
                <w:szCs w:val="21"/>
                <w:highlight w:val="none"/>
              </w:rPr>
            </w:pPr>
          </w:p>
        </w:tc>
        <w:tc>
          <w:tcPr>
            <w:tcW w:w="6980" w:type="dxa"/>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967" w:type="dxa"/>
            <w:tcBorders>
              <w:top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6" w:type="dxa"/>
            <w:vMerge w:val="continue"/>
            <w:vAlign w:val="center"/>
          </w:tcPr>
          <w:p>
            <w:pPr>
              <w:spacing w:line="320" w:lineRule="exact"/>
              <w:jc w:val="center"/>
              <w:rPr>
                <w:rFonts w:ascii="宋体" w:hAnsi="宋体" w:cs="宋体"/>
                <w:color w:val="auto"/>
                <w:szCs w:val="21"/>
                <w:highlight w:val="none"/>
              </w:rPr>
            </w:pPr>
          </w:p>
        </w:tc>
        <w:tc>
          <w:tcPr>
            <w:tcW w:w="59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75" w:type="dxa"/>
            <w:vAlign w:val="center"/>
          </w:tcPr>
          <w:p>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2025年广西与劳务输入地大省开展公共就业招聘服务活动</w:t>
            </w:r>
            <w:r>
              <w:rPr>
                <w:rFonts w:hint="eastAsia" w:ascii="宋体" w:hAnsi="宋体" w:cs="宋体"/>
                <w:color w:val="auto"/>
                <w:kern w:val="0"/>
                <w:szCs w:val="21"/>
                <w:highlight w:val="none"/>
                <w:lang w:eastAsia="zh-CN" w:bidi="ar"/>
              </w:rPr>
              <w:t>项目</w:t>
            </w:r>
          </w:p>
        </w:tc>
        <w:tc>
          <w:tcPr>
            <w:tcW w:w="46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980" w:type="dxa"/>
            <w:vAlign w:val="center"/>
          </w:tcPr>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一、招聘活动组织与岗位征集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1.制定详细的招聘活动总体实施方案，明确时间节点、任务分工和保障措施，并定期做好招聘会数据整理与汇报工作。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2.围绕广西劳动力就业需求和劳务输入地大省（如广东、江苏等）用工特点，组织优质企业报名参会，并对征集岗位进行审核筛选。</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3.在每场线下招聘会举办前，整理汇总岗位信息，确保岗位真实有效、信息完整。</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4.建立并完善“跨区域就业信息共享机制”，实现广西与劳务输入地大省之间的信息互通、资源共享和活动联办，常态化对接输入地企业用工需求，动态更新岗位信息库。</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二、精准宣传与人才组织</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1.通过“广西就业平台”开设专栏，持续发布活动预告、岗位信息和求职指引。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2.针对广西籍劳动力，特别是脱贫人口、高校毕业生、返乡农民工等重点群体，通过短信推送、微信公众号、地方就业服务平台等渠道精准推送招聘会信息。</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3.加强与劳务协作县（如广西33个与广东协作县）对接，积极组织广西籍劳动力参与线上线下招聘活动。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三、线上线下招聘服务</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color w:val="auto"/>
                <w:highlight w:val="none"/>
              </w:rPr>
              <w:t>在广西“数智人社”信息系统搭建线上招聘平台，为我区劳动力提供免费岗位查询、简历投递、在线沟通、求职指导等全流程服务，确保活动参与率、岗位匹配率、求职成功率显著提升。确保岗位质量与求职群体匹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2.2025年12月底前，联合劳务输入地大省举办35场线下专场招聘会，具体安排如下：</w:t>
            </w:r>
          </w:p>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广西与广东有协作任务的33个县各举办1场，共33场；江苏南京与玉林共同举办2场。</w:t>
            </w:r>
          </w:p>
          <w:p>
            <w:pPr>
              <w:numPr>
                <w:ilvl w:val="0"/>
                <w:numId w:val="2"/>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每场招聘会组织</w:t>
            </w:r>
            <w:r>
              <w:rPr>
                <w:rFonts w:hint="eastAsia" w:ascii="宋体" w:hAnsi="宋体" w:eastAsia="宋体" w:cs="宋体"/>
                <w:color w:val="auto"/>
                <w:highlight w:val="none"/>
                <w:lang w:val="en-US" w:eastAsia="zh-CN"/>
              </w:rPr>
              <w:t>30家以上</w:t>
            </w:r>
            <w:r>
              <w:rPr>
                <w:rFonts w:hint="eastAsia" w:ascii="宋体" w:hAnsi="宋体" w:eastAsia="宋体" w:cs="宋体"/>
                <w:color w:val="auto"/>
                <w:highlight w:val="none"/>
              </w:rPr>
              <w:t>招聘企业进场，提供不少于</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个就业岗位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建立广西与劳务输入地大省“跨区域就业信息共享机制”，通过信息互通、资源共享、活动联办等方式，常态化对接输入地企业用工需求，动态更新岗位库。</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四、现场招聘会会务安排</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1.组建专业服务团队，负责招聘单位的联络、组织与现场协调。</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2.根据采购人要求，提前预约并租赁招聘场地，负责展位安排、背景板、横幅等物料设计与制作。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3.负责招聘会布展工作，提供招聘会当天参会单位的基本后勤保障。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4.配备必要的防疫、安保和应急物资，确保招聘会安全有序开展。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五、交通、住宿与安全保障</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1.如需接待跨省招聘方，应在招聘城市预订交通便利、符合公务差旅标准的酒店，保障工作人员住宿需求，费用按实际发生由参会单位自理。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2.制定安全应急预案，确保场地和人员安全。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3.加强个人信息保护，对求职者简历和单位信息进行加密处理，防止数据泄露。</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六、媒体宣传与活动报道</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1.邀请省级媒体、招聘会举办地媒体、网络平台对招聘活动进行报道，提升活动影响力。</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2.根据实际需要，承担媒体记者随团参加招聘活动期间的交通、食宿等差旅费用。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七、活动总结与效果评估</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1.统计每场招聘会的进场人数、简历投递量、初步达成意向人数等数据。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2.撰写招聘会总结报告，对活动成效、存在问题及改进建议进行全面分析。</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3.服务期内对达成就业意向的人员进行抽样跟踪，了解实际入职情况，评估岗位匹配率与求职成功率。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4.配合广西壮族自治区就业服务中心完成其他相关后续服务与评估工作。</w:t>
            </w:r>
          </w:p>
        </w:tc>
        <w:tc>
          <w:tcPr>
            <w:tcW w:w="967" w:type="dxa"/>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105" w:type="dxa"/>
            <w:gridSpan w:val="6"/>
            <w:vAlign w:val="center"/>
          </w:tcPr>
          <w:p>
            <w:pPr>
              <w:spacing w:line="320" w:lineRule="exact"/>
              <w:jc w:val="left"/>
              <w:rPr>
                <w:rFonts w:ascii="宋体" w:hAnsi="宋体" w:cs="宋体"/>
                <w:color w:val="auto"/>
                <w:szCs w:val="21"/>
                <w:highlight w:val="none"/>
              </w:rPr>
            </w:pPr>
            <w:r>
              <w:rPr>
                <w:rFonts w:hint="eastAsia" w:ascii="宋体" w:hAnsi="宋体" w:cs="宋体"/>
                <w:b/>
                <w:bCs/>
                <w:color w:val="auto"/>
                <w:szCs w:val="21"/>
                <w:highlight w:val="none"/>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b/>
                <w:color w:val="auto"/>
                <w:highlight w:val="none"/>
              </w:rPr>
            </w:pPr>
            <w:r>
              <w:rPr>
                <w:rFonts w:hint="eastAsia" w:ascii="宋体" w:hAnsi="宋体"/>
                <w:b/>
                <w:color w:val="auto"/>
                <w:highlight w:val="none"/>
              </w:rPr>
              <w:t>▲合同签订时间</w:t>
            </w:r>
          </w:p>
        </w:tc>
        <w:tc>
          <w:tcPr>
            <w:tcW w:w="7947" w:type="dxa"/>
            <w:gridSpan w:val="2"/>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成交通知书发出之日起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cs="宋体"/>
                <w:color w:val="auto"/>
                <w:szCs w:val="21"/>
                <w:highlight w:val="none"/>
              </w:rPr>
            </w:pPr>
            <w:r>
              <w:rPr>
                <w:rFonts w:hint="eastAsia" w:ascii="宋体" w:hAnsi="宋体"/>
                <w:b/>
                <w:color w:val="auto"/>
                <w:highlight w:val="none"/>
              </w:rPr>
              <w:t>▲服务期限</w:t>
            </w:r>
          </w:p>
        </w:tc>
        <w:tc>
          <w:tcPr>
            <w:tcW w:w="7947" w:type="dxa"/>
            <w:gridSpan w:val="2"/>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自合同签订之日起至2025年12月31日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cs="宋体"/>
                <w:color w:val="auto"/>
                <w:szCs w:val="21"/>
                <w:highlight w:val="none"/>
              </w:rPr>
            </w:pPr>
            <w:r>
              <w:rPr>
                <w:rFonts w:hint="eastAsia" w:ascii="宋体" w:hAnsi="宋体"/>
                <w:b/>
                <w:color w:val="auto"/>
                <w:highlight w:val="none"/>
              </w:rPr>
              <w:t>▲服务地点</w:t>
            </w:r>
          </w:p>
        </w:tc>
        <w:tc>
          <w:tcPr>
            <w:tcW w:w="7947" w:type="dxa"/>
            <w:gridSpan w:val="2"/>
            <w:vAlign w:val="center"/>
          </w:tcPr>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b/>
                <w:color w:val="auto"/>
                <w:highlight w:val="none"/>
              </w:rPr>
            </w:pPr>
            <w:r>
              <w:rPr>
                <w:rFonts w:hint="eastAsia" w:ascii="宋体" w:hAnsi="宋体"/>
                <w:b/>
                <w:color w:val="auto"/>
                <w:highlight w:val="none"/>
              </w:rPr>
              <w:t>▲报价要求</w:t>
            </w:r>
          </w:p>
        </w:tc>
        <w:tc>
          <w:tcPr>
            <w:tcW w:w="7947" w:type="dxa"/>
            <w:gridSpan w:val="2"/>
            <w:vAlign w:val="center"/>
          </w:tcPr>
          <w:p>
            <w:pPr>
              <w:spacing w:line="360" w:lineRule="auto"/>
              <w:rPr>
                <w:rFonts w:hint="eastAsia"/>
                <w:color w:val="auto"/>
                <w:highlight w:val="none"/>
              </w:rPr>
            </w:pPr>
            <w:r>
              <w:rPr>
                <w:rFonts w:hint="eastAsia"/>
                <w:color w:val="auto"/>
                <w:highlight w:val="none"/>
                <w:lang w:val="en-US" w:eastAsia="zh-CN"/>
              </w:rPr>
              <w:t>1.</w:t>
            </w:r>
            <w:r>
              <w:rPr>
                <w:rFonts w:hint="eastAsia"/>
                <w:color w:val="auto"/>
                <w:highlight w:val="none"/>
              </w:rPr>
              <w:t>本项目实行总承包报价，投标报价包含但不限于以下部分：</w:t>
            </w:r>
          </w:p>
          <w:p>
            <w:pPr>
              <w:spacing w:line="360" w:lineRule="auto"/>
              <w:rPr>
                <w:rFonts w:hint="eastAsia"/>
                <w:color w:val="auto"/>
                <w:highlight w:val="none"/>
              </w:rPr>
            </w:pPr>
            <w:r>
              <w:rPr>
                <w:rFonts w:hint="eastAsia"/>
                <w:color w:val="auto"/>
                <w:highlight w:val="none"/>
              </w:rPr>
              <w:t>（1）服务的价格；</w:t>
            </w:r>
          </w:p>
          <w:p>
            <w:pPr>
              <w:spacing w:line="360" w:lineRule="auto"/>
              <w:rPr>
                <w:rFonts w:hint="eastAsia"/>
                <w:color w:val="auto"/>
                <w:highlight w:val="none"/>
              </w:rPr>
            </w:pPr>
            <w:r>
              <w:rPr>
                <w:rFonts w:hint="eastAsia"/>
                <w:color w:val="auto"/>
                <w:highlight w:val="none"/>
              </w:rPr>
              <w:t>（2）必要的保险费用和各项税金；</w:t>
            </w:r>
          </w:p>
          <w:p>
            <w:pPr>
              <w:spacing w:line="360" w:lineRule="auto"/>
              <w:rPr>
                <w:rFonts w:ascii="宋体" w:hAnsi="宋体"/>
                <w:color w:val="auto"/>
                <w:highlight w:val="none"/>
              </w:rPr>
            </w:pPr>
            <w:r>
              <w:rPr>
                <w:rFonts w:hint="eastAsia"/>
                <w:color w:val="auto"/>
                <w:highlight w:val="none"/>
              </w:rPr>
              <w:t>（3）</w:t>
            </w:r>
            <w:r>
              <w:rPr>
                <w:rFonts w:ascii="宋体" w:hAnsi="宋体"/>
                <w:color w:val="auto"/>
                <w:kern w:val="2"/>
                <w:sz w:val="21"/>
                <w:szCs w:val="21"/>
                <w:highlight w:val="none"/>
              </w:rPr>
              <w:t>合同合计金额包括满足本项目全部采购需求所应提供的服务，包含但不限于</w:t>
            </w:r>
            <w:r>
              <w:rPr>
                <w:rFonts w:hint="eastAsia" w:ascii="宋体" w:hAnsi="宋体"/>
                <w:color w:val="auto"/>
                <w:kern w:val="2"/>
                <w:sz w:val="21"/>
                <w:szCs w:val="21"/>
                <w:highlight w:val="none"/>
              </w:rPr>
              <w:t>服务、劳务、人工、</w:t>
            </w:r>
            <w:r>
              <w:rPr>
                <w:rFonts w:hint="eastAsia" w:ascii="宋体" w:hAnsi="宋体"/>
                <w:color w:val="auto"/>
                <w:kern w:val="2"/>
                <w:sz w:val="21"/>
                <w:szCs w:val="21"/>
                <w:highlight w:val="none"/>
                <w:lang w:val="en-US" w:eastAsia="zh-CN"/>
              </w:rPr>
              <w:t>会务、</w:t>
            </w:r>
            <w:r>
              <w:rPr>
                <w:rFonts w:hint="eastAsia"/>
                <w:color w:val="auto"/>
                <w:highlight w:val="none"/>
                <w:lang w:val="en-US" w:eastAsia="zh-CN"/>
              </w:rPr>
              <w:t>场地费</w:t>
            </w:r>
            <w:r>
              <w:rPr>
                <w:rFonts w:hint="eastAsia"/>
                <w:color w:val="auto"/>
                <w:highlight w:val="none"/>
              </w:rPr>
              <w:t>、管理费</w:t>
            </w:r>
            <w:r>
              <w:rPr>
                <w:rFonts w:hint="eastAsia" w:ascii="宋体" w:hAnsi="宋体"/>
                <w:color w:val="auto"/>
                <w:kern w:val="2"/>
                <w:sz w:val="21"/>
                <w:szCs w:val="21"/>
                <w:highlight w:val="none"/>
                <w:lang w:val="en-US" w:eastAsia="zh-CN"/>
              </w:rPr>
              <w:t>、</w:t>
            </w:r>
            <w:r>
              <w:rPr>
                <w:rFonts w:hint="eastAsia" w:ascii="宋体" w:hAnsi="宋体"/>
                <w:color w:val="auto"/>
                <w:kern w:val="2"/>
                <w:sz w:val="21"/>
                <w:szCs w:val="21"/>
                <w:highlight w:val="none"/>
              </w:rPr>
              <w:t>设备设施、宣传、物料、货物、运输（含保险）、安装、调试、检验、技术服务、培训、通讯、邮寄、交通、差旅、食宿、</w:t>
            </w:r>
            <w:r>
              <w:rPr>
                <w:rFonts w:hint="eastAsia"/>
                <w:color w:val="auto"/>
                <w:highlight w:val="none"/>
              </w:rPr>
              <w:t>各项保险、</w:t>
            </w:r>
            <w:r>
              <w:rPr>
                <w:rFonts w:hint="eastAsia" w:ascii="宋体" w:hAnsi="宋体"/>
                <w:color w:val="auto"/>
                <w:kern w:val="2"/>
                <w:sz w:val="21"/>
                <w:szCs w:val="21"/>
                <w:highlight w:val="none"/>
              </w:rPr>
              <w:t>税</w:t>
            </w:r>
            <w:r>
              <w:rPr>
                <w:rFonts w:hint="eastAsia" w:ascii="宋体" w:hAnsi="宋体"/>
                <w:color w:val="auto"/>
                <w:kern w:val="2"/>
                <w:sz w:val="21"/>
                <w:szCs w:val="21"/>
                <w:highlight w:val="none"/>
                <w:lang w:val="en-US" w:eastAsia="zh-CN"/>
              </w:rPr>
              <w:t>金</w:t>
            </w:r>
            <w:r>
              <w:rPr>
                <w:rFonts w:ascii="宋体" w:hAnsi="宋体"/>
                <w:color w:val="auto"/>
                <w:kern w:val="2"/>
                <w:sz w:val="21"/>
                <w:szCs w:val="21"/>
                <w:highlight w:val="none"/>
              </w:rPr>
              <w:t>等</w:t>
            </w:r>
            <w:r>
              <w:rPr>
                <w:rFonts w:hint="eastAsia" w:ascii="宋体" w:hAnsi="宋体"/>
                <w:color w:val="auto"/>
                <w:kern w:val="2"/>
                <w:sz w:val="21"/>
                <w:szCs w:val="21"/>
                <w:highlight w:val="none"/>
                <w:lang w:val="en-US" w:eastAsia="zh-CN"/>
              </w:rPr>
              <w:t>供应商</w:t>
            </w:r>
            <w:r>
              <w:rPr>
                <w:rFonts w:ascii="宋体" w:hAnsi="宋体"/>
                <w:color w:val="auto"/>
                <w:kern w:val="2"/>
                <w:sz w:val="21"/>
                <w:szCs w:val="21"/>
                <w:highlight w:val="none"/>
              </w:rPr>
              <w:t>为履行合同义务而发生的所有费用总和，</w:t>
            </w:r>
            <w:r>
              <w:rPr>
                <w:rFonts w:hint="eastAsia" w:ascii="宋体" w:hAnsi="宋体"/>
                <w:color w:val="auto"/>
                <w:kern w:val="2"/>
                <w:sz w:val="21"/>
                <w:szCs w:val="21"/>
                <w:highlight w:val="none"/>
                <w:lang w:val="en-US" w:eastAsia="zh-CN"/>
              </w:rPr>
              <w:t>供应商</w:t>
            </w:r>
            <w:r>
              <w:rPr>
                <w:rFonts w:ascii="宋体" w:hAnsi="宋体"/>
                <w:color w:val="auto"/>
                <w:kern w:val="2"/>
                <w:sz w:val="21"/>
                <w:szCs w:val="21"/>
                <w:highlight w:val="none"/>
              </w:rPr>
              <w:t>承诺不再向甲方收取其他任何费用。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58" w:type="dxa"/>
            <w:gridSpan w:val="4"/>
            <w:vAlign w:val="center"/>
          </w:tcPr>
          <w:p>
            <w:pPr>
              <w:spacing w:line="360" w:lineRule="auto"/>
              <w:jc w:val="center"/>
              <w:rPr>
                <w:rFonts w:ascii="宋体" w:hAnsi="宋体" w:cs="宋体"/>
                <w:color w:val="auto"/>
                <w:szCs w:val="21"/>
                <w:highlight w:val="none"/>
              </w:rPr>
            </w:pPr>
            <w:r>
              <w:rPr>
                <w:rFonts w:hint="eastAsia" w:ascii="宋体" w:hAnsi="宋体"/>
                <w:b/>
                <w:color w:val="auto"/>
                <w:highlight w:val="none"/>
              </w:rPr>
              <w:t>▲付款方式</w:t>
            </w:r>
          </w:p>
        </w:tc>
        <w:tc>
          <w:tcPr>
            <w:tcW w:w="7947" w:type="dxa"/>
            <w:gridSpan w:val="2"/>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本项目预付款在合同生效以及具备实施条件，并经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审核确认后15日内支付，预付款比例为合同金额的50%，完成35场线下招聘会</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服务期限满且服务成果经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全部验收合格后七天内支付总额的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每次付款前应开具等额、合法有效且符合</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要求的增值税发票，否则付款时间相应顺延，且</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不必承担延迟付款的责任。</w:t>
            </w:r>
          </w:p>
        </w:tc>
      </w:tr>
    </w:tbl>
    <w:p>
      <w:pPr>
        <w:rPr>
          <w:rFonts w:ascii="Arial Unicode MS" w:hAnsi="Arial Unicode MS" w:eastAsia="Arial Unicode MS" w:cs="Arial Unicode MS"/>
          <w:color w:val="auto"/>
          <w:sz w:val="32"/>
          <w:szCs w:val="32"/>
          <w:highlight w:val="none"/>
        </w:rPr>
      </w:pPr>
    </w:p>
    <w:p>
      <w:pPr>
        <w:rPr>
          <w:rFonts w:ascii="宋体" w:hAnsi="宋体" w:cs="宋体"/>
          <w:color w:val="auto"/>
          <w:sz w:val="32"/>
          <w:szCs w:val="32"/>
          <w:highlight w:val="none"/>
        </w:rPr>
      </w:pPr>
      <w:r>
        <w:rPr>
          <w:rFonts w:hint="eastAsia"/>
          <w:color w:val="auto"/>
          <w:highlight w:val="none"/>
        </w:rPr>
        <w:br w:type="page"/>
      </w:r>
      <w:bookmarkStart w:id="65" w:name="_Toc80886927"/>
      <w:bookmarkStart w:id="66" w:name="_Toc3319"/>
    </w:p>
    <w:p>
      <w:pPr>
        <w:ind w:left="119"/>
        <w:rPr>
          <w:rFonts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w:t>
      </w:r>
    </w:p>
    <w:p>
      <w:pPr>
        <w:widowControl/>
        <w:spacing w:before="120" w:beforeLines="50" w:after="120" w:afterLines="50" w:line="280" w:lineRule="exact"/>
        <w:jc w:val="center"/>
        <w:rPr>
          <w:rFonts w:ascii="宋体" w:hAnsi="宋体" w:cs="宋体"/>
          <w:b/>
          <w:bCs/>
          <w:color w:val="auto"/>
          <w:kern w:val="0"/>
          <w:sz w:val="30"/>
          <w:szCs w:val="30"/>
          <w:highlight w:val="none"/>
        </w:rPr>
      </w:pPr>
      <w:bookmarkStart w:id="67" w:name="_Toc28361_WPSOffice_Level2"/>
      <w:bookmarkStart w:id="68" w:name="_Toc24174"/>
      <w:bookmarkStart w:id="69" w:name="_Toc2072"/>
      <w:bookmarkStart w:id="70" w:name="_Toc9239"/>
      <w:bookmarkStart w:id="71" w:name="_Toc7704"/>
      <w:bookmarkStart w:id="72" w:name="_Toc19152"/>
      <w:bookmarkStart w:id="73" w:name="_Toc13614"/>
      <w:r>
        <w:rPr>
          <w:rFonts w:hint="eastAsia" w:ascii="宋体" w:hAnsi="宋体" w:cs="宋体"/>
          <w:b/>
          <w:bCs/>
          <w:color w:val="auto"/>
          <w:kern w:val="0"/>
          <w:sz w:val="30"/>
          <w:szCs w:val="30"/>
          <w:highlight w:val="none"/>
        </w:rPr>
        <w:t>统计上大中小微型企业划分标准</w:t>
      </w:r>
      <w:bookmarkEnd w:id="67"/>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bookmarkStart w:id="74" w:name="OLE_LINK3"/>
            <w:r>
              <w:rPr>
                <w:rFonts w:hint="eastAsia" w:ascii="宋体" w:hAnsi="宋体" w:cs="宋体"/>
                <w:color w:val="auto"/>
                <w:kern w:val="0"/>
                <w:sz w:val="18"/>
                <w:szCs w:val="18"/>
                <w:highlight w:val="none"/>
              </w:rPr>
              <w:t>餐饮业</w:t>
            </w:r>
            <w:bookmarkEnd w:id="74"/>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480" w:lineRule="auto"/>
        <w:rPr>
          <w:rFonts w:ascii="宋体" w:hAnsi="宋体" w:cs="宋体"/>
          <w:color w:val="auto"/>
          <w:spacing w:val="8"/>
          <w:kern w:val="0"/>
          <w:szCs w:val="21"/>
          <w:highlight w:val="none"/>
        </w:rPr>
      </w:pPr>
    </w:p>
    <w:p>
      <w:pPr>
        <w:widowControl/>
        <w:spacing w:line="480" w:lineRule="auto"/>
        <w:rPr>
          <w:rFonts w:ascii="宋体" w:hAnsi="宋体" w:cs="宋体"/>
          <w:color w:val="auto"/>
          <w:spacing w:val="8"/>
          <w:kern w:val="0"/>
          <w:szCs w:val="21"/>
          <w:highlight w:val="none"/>
        </w:rPr>
      </w:pPr>
    </w:p>
    <w:p>
      <w:pPr>
        <w:widowControl/>
        <w:spacing w:line="48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pPr>
        <w:adjustRightInd w:val="0"/>
        <w:spacing w:line="480" w:lineRule="auto"/>
        <w:ind w:firstLine="432" w:firstLineChars="200"/>
        <w:contextualSpacing/>
        <w:rPr>
          <w:rFonts w:ascii="宋体" w:hAnsi="宋体" w:cs="宋体"/>
          <w:color w:val="auto"/>
          <w:spacing w:val="8"/>
          <w:kern w:val="0"/>
          <w:sz w:val="20"/>
          <w:szCs w:val="21"/>
          <w:highlight w:val="none"/>
        </w:rPr>
      </w:pPr>
      <w:r>
        <w:rPr>
          <w:rFonts w:hint="eastAsia" w:ascii="宋体" w:hAnsi="宋体" w:cs="宋体"/>
          <w:color w:val="auto"/>
          <w:spacing w:val="8"/>
          <w:kern w:val="0"/>
          <w:sz w:val="20"/>
          <w:szCs w:val="21"/>
          <w:highlight w:val="none"/>
        </w:rPr>
        <w:t>1.大型、中型和小型企业须同时满足所列指标的下限，否则下划一档；微型企业只须满足所列指标中的一项即可。</w:t>
      </w:r>
    </w:p>
    <w:p>
      <w:pPr>
        <w:adjustRightInd w:val="0"/>
        <w:spacing w:line="480" w:lineRule="auto"/>
        <w:ind w:firstLine="432" w:firstLineChars="200"/>
        <w:contextualSpacing/>
        <w:rPr>
          <w:rFonts w:ascii="宋体" w:hAnsi="宋体" w:cs="宋体"/>
          <w:color w:val="auto"/>
          <w:spacing w:val="8"/>
          <w:kern w:val="0"/>
          <w:sz w:val="20"/>
          <w:szCs w:val="21"/>
          <w:highlight w:val="none"/>
        </w:rPr>
      </w:pPr>
      <w:r>
        <w:rPr>
          <w:rFonts w:hint="eastAsia" w:ascii="宋体" w:hAnsi="宋体" w:cs="宋体"/>
          <w:color w:val="auto"/>
          <w:spacing w:val="8"/>
          <w:kern w:val="0"/>
          <w:sz w:val="2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480" w:lineRule="auto"/>
        <w:ind w:firstLine="432" w:firstLineChars="200"/>
        <w:rPr>
          <w:rFonts w:ascii="宋体" w:hAnsi="宋体" w:cs="宋体"/>
          <w:color w:val="auto"/>
          <w:spacing w:val="8"/>
          <w:kern w:val="0"/>
          <w:sz w:val="24"/>
          <w:highlight w:val="none"/>
        </w:rPr>
      </w:pPr>
      <w:r>
        <w:rPr>
          <w:rFonts w:hint="eastAsia" w:ascii="宋体" w:hAnsi="宋体" w:cs="宋体"/>
          <w:color w:val="auto"/>
          <w:spacing w:val="8"/>
          <w:kern w:val="0"/>
          <w:sz w:val="2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ascii="Cambria" w:hAnsi="Cambria"/>
          <w:color w:val="auto"/>
          <w:sz w:val="32"/>
          <w:szCs w:val="32"/>
          <w:highlight w:val="none"/>
        </w:rPr>
      </w:pPr>
      <w:r>
        <w:rPr>
          <w:rFonts w:hint="eastAsia" w:ascii="Cambria" w:hAnsi="Cambria"/>
          <w:color w:val="auto"/>
          <w:sz w:val="32"/>
          <w:szCs w:val="32"/>
          <w:highlight w:val="none"/>
        </w:rPr>
        <w:br w:type="page"/>
      </w:r>
    </w:p>
    <w:p>
      <w:pPr>
        <w:pStyle w:val="3"/>
        <w:spacing w:line="480" w:lineRule="auto"/>
        <w:jc w:val="center"/>
        <w:rPr>
          <w:rFonts w:ascii="Calibri" w:hAnsi="Calibri"/>
          <w:color w:val="auto"/>
          <w:highlight w:val="none"/>
        </w:rPr>
      </w:pPr>
      <w:r>
        <w:rPr>
          <w:rFonts w:hint="eastAsia" w:ascii="Cambria" w:hAnsi="Cambria"/>
          <w:bCs w:val="0"/>
          <w:color w:val="auto"/>
          <w:sz w:val="32"/>
          <w:szCs w:val="32"/>
          <w:highlight w:val="none"/>
        </w:rPr>
        <w:t xml:space="preserve">第三章 </w:t>
      </w:r>
      <w:bookmarkStart w:id="75" w:name="OLE_LINK13"/>
      <w:r>
        <w:rPr>
          <w:rFonts w:hint="eastAsia" w:ascii="Cambria" w:hAnsi="Cambria"/>
          <w:bCs w:val="0"/>
          <w:color w:val="auto"/>
          <w:sz w:val="32"/>
          <w:szCs w:val="32"/>
          <w:highlight w:val="none"/>
        </w:rPr>
        <w:t>供应商须知</w:t>
      </w:r>
      <w:bookmarkEnd w:id="65"/>
      <w:bookmarkEnd w:id="66"/>
      <w:bookmarkEnd w:id="68"/>
      <w:bookmarkEnd w:id="69"/>
      <w:bookmarkEnd w:id="70"/>
      <w:bookmarkEnd w:id="71"/>
      <w:bookmarkEnd w:id="72"/>
      <w:bookmarkEnd w:id="73"/>
      <w:bookmarkEnd w:id="75"/>
    </w:p>
    <w:p>
      <w:pPr>
        <w:pStyle w:val="4"/>
        <w:jc w:val="center"/>
        <w:rPr>
          <w:rFonts w:ascii="宋体" w:hAnsi="宋体"/>
          <w:b w:val="0"/>
          <w:color w:val="auto"/>
          <w:highlight w:val="none"/>
        </w:rPr>
      </w:pPr>
      <w:bookmarkStart w:id="76" w:name="_Toc80886928"/>
      <w:bookmarkStart w:id="77" w:name="_Toc30660"/>
      <w:bookmarkStart w:id="78" w:name="_Toc9482"/>
      <w:r>
        <w:rPr>
          <w:rFonts w:hint="eastAsia" w:ascii="宋体" w:hAnsi="宋体"/>
          <w:b w:val="0"/>
          <w:color w:val="auto"/>
          <w:highlight w:val="none"/>
        </w:rPr>
        <w:t>第一节 供应商须知前附表</w:t>
      </w:r>
      <w:bookmarkEnd w:id="76"/>
      <w:bookmarkEnd w:id="77"/>
      <w:bookmarkEnd w:id="78"/>
    </w:p>
    <w:tbl>
      <w:tblPr>
        <w:tblStyle w:val="22"/>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9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416"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41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416" w:type="dxa"/>
            <w:vAlign w:val="center"/>
          </w:tcPr>
          <w:p>
            <w:pPr>
              <w:spacing w:line="360" w:lineRule="auto"/>
              <w:rPr>
                <w:rFonts w:ascii="宋体" w:hAnsi="宋体" w:cs="宋体"/>
                <w:color w:val="auto"/>
                <w:szCs w:val="21"/>
                <w:highlight w:val="none"/>
              </w:rPr>
            </w:pPr>
            <w:bookmarkStart w:id="79" w:name="PO_3000001868_PM007"/>
            <w:r>
              <w:rPr>
                <w:rFonts w:hint="eastAsia" w:ascii="宋体" w:hAnsi="宋体" w:cs="宋体"/>
                <w:color w:val="auto"/>
                <w:szCs w:val="21"/>
                <w:highlight w:val="none"/>
              </w:rPr>
              <w:t>详见竞争性磋商公告</w:t>
            </w:r>
            <w:bookmarkEnd w:id="79"/>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6" w:type="dxa"/>
            <w:vAlign w:val="center"/>
          </w:tcPr>
          <w:p>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90" w:type="dxa"/>
            <w:vAlign w:val="center"/>
          </w:tcPr>
          <w:p>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416" w:type="dxa"/>
            <w:vAlign w:val="center"/>
          </w:tcPr>
          <w:p>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1.供应商为法人或者其他组织的提供其营业执照等证明文件复印件（如营业执照或者事业单位法人证书或者执业许可证等），供应商为自然人的提供其有效身份证正反面复印件；（</w:t>
            </w:r>
            <w:bookmarkStart w:id="80" w:name="OLE_LINK15"/>
            <w:r>
              <w:rPr>
                <w:rFonts w:hint="eastAsia" w:ascii="宋体" w:hAnsi="宋体" w:cs="宋体"/>
                <w:b/>
                <w:color w:val="auto"/>
                <w:szCs w:val="21"/>
                <w:highlight w:val="none"/>
              </w:rPr>
              <w:t>必须提供，否则响应文件按无效响应处理</w:t>
            </w:r>
            <w:bookmarkEnd w:id="80"/>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税款所属时期为2025年1月至首次响应文件提交截止时间止的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税款所属时期或缴费起始时间为2025年1月至首次响应文件提交截止时间止的任意1个月的依法缴纳社会保险的缴费凭证复印件；依法不需要缴纳社会保险的供应商，必须提供相应文件证明不需要缴纳社会保险。从取得营业执照时间起到首次响应文件提交截止时间为止不足要求月数的只需提供从取得营业执照起的依法缴纳社会保险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4.供应商财务状况报告（提供2024年度财务报告复印件或者截标时间前半年内至少一个月能反映财务状况的报表或者供应商自拟的截标时间前半年内至少一个月的财务情况说明）；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6.供应商直接控股股东信息表（格式后附）；（</w:t>
            </w:r>
            <w:bookmarkStart w:id="81" w:name="OLE_LINK16"/>
            <w:r>
              <w:rPr>
                <w:rFonts w:hint="eastAsia" w:ascii="宋体" w:hAnsi="宋体" w:cs="宋体"/>
                <w:b/>
                <w:color w:val="auto"/>
                <w:szCs w:val="21"/>
                <w:highlight w:val="none"/>
              </w:rPr>
              <w:t>必须提供，否则响应文件按无效响应处理</w:t>
            </w:r>
            <w:bookmarkEnd w:id="81"/>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如有要求，</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11.除竞争性磋商文件规定必须提供以外，供应商认为需要提供的其他证明材料（格式自拟）。（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pStyle w:val="10"/>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pPr>
              <w:pStyle w:val="10"/>
              <w:spacing w:line="360" w:lineRule="auto"/>
              <w:rPr>
                <w:rFonts w:ascii="宋体" w:hAnsi="宋体" w:cs="宋体"/>
                <w:b/>
                <w:color w:val="auto"/>
                <w:szCs w:val="21"/>
                <w:highlight w:val="none"/>
              </w:rPr>
            </w:pPr>
            <w:r>
              <w:rPr>
                <w:rFonts w:hint="eastAsia" w:ascii="宋体" w:hAnsi="宋体" w:cs="宋体"/>
                <w:b/>
                <w:color w:val="auto"/>
                <w:szCs w:val="21"/>
                <w:highlight w:val="none"/>
              </w:rPr>
              <w:t>　　1.以上标明“必须提供”的材料属于复印件的扫描件的，必须加盖供应商公章，否则响应文件按无效响应处理。</w:t>
            </w:r>
          </w:p>
          <w:p>
            <w:pPr>
              <w:pStyle w:val="1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2.联合体竞标时，第1-4项资格证明文件联合体各方均必须分别提供，联合体各方分别盖章，否则响应文件按无效响应处理。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bookmarkStart w:id="82" w:name="OLE_LINK17"/>
            <w:r>
              <w:rPr>
                <w:rFonts w:hint="eastAsia" w:ascii="宋体" w:hAnsi="宋体" w:cs="宋体"/>
                <w:b/>
                <w:color w:val="auto"/>
                <w:szCs w:val="21"/>
                <w:highlight w:val="none"/>
              </w:rPr>
              <w:t>必须提供，否则响应文件按无效响应处理</w:t>
            </w:r>
            <w:bookmarkEnd w:id="82"/>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bookmarkStart w:id="83" w:name="OLE_LINK18"/>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bookmarkEnd w:id="83"/>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bookmarkStart w:id="84" w:name="OLE_LINK19"/>
            <w:r>
              <w:rPr>
                <w:rFonts w:hint="eastAsia" w:ascii="宋体" w:hAnsi="宋体" w:cs="宋体"/>
                <w:b/>
                <w:color w:val="auto"/>
                <w:szCs w:val="21"/>
                <w:highlight w:val="none"/>
              </w:rPr>
              <w:t>委托时必须提供，否则响应文件按无效响应处理</w:t>
            </w:r>
            <w:bookmarkEnd w:id="84"/>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6.供应商情况介绍（格式自拟）；（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7.对应采购需求的商务条款提供的其他文件资料（格式自拟）；（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416"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2.项目方案（格式自拟）；（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highlight w:val="none"/>
              </w:rPr>
              <w:t>3.</w:t>
            </w:r>
            <w:r>
              <w:rPr>
                <w:rFonts w:hint="eastAsia" w:ascii="宋体" w:hAnsi="宋体" w:cs="宋体"/>
                <w:color w:val="auto"/>
                <w:szCs w:val="21"/>
                <w:highlight w:val="none"/>
              </w:rPr>
              <w:t>对应采购需求的服务需求提供的其他文件资料（格式自拟）；（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2390" w:type="dxa"/>
            <w:vAlign w:val="center"/>
          </w:tcPr>
          <w:p>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416"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w:t>
            </w:r>
            <w:bookmarkStart w:id="85" w:name="OLE_LINK20"/>
            <w:r>
              <w:rPr>
                <w:rFonts w:hint="eastAsia" w:ascii="宋体" w:hAnsi="宋体" w:cs="宋体"/>
                <w:b/>
                <w:color w:val="auto"/>
                <w:szCs w:val="21"/>
                <w:highlight w:val="none"/>
              </w:rPr>
              <w:t>必须提供，否则响应文件按无效响应处理</w:t>
            </w:r>
            <w:bookmarkEnd w:id="85"/>
            <w:r>
              <w:rPr>
                <w:rFonts w:hint="eastAsia" w:ascii="宋体" w:hAnsi="宋体" w:cs="宋体"/>
                <w:b/>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.供应商针对报价需要说明的其他文件和说明（格式自拟）。（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响应文件电子版要求</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1.响应文件电子版要求：按照本竞争性磋商文件“第五章 响应文件格式”编写，第五章未附格式的，由供应商自行拟定。</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响应报价要求</w:t>
            </w:r>
          </w:p>
        </w:tc>
        <w:tc>
          <w:tcPr>
            <w:tcW w:w="6416" w:type="dxa"/>
            <w:vAlign w:val="center"/>
          </w:tcPr>
          <w:p>
            <w:pPr>
              <w:snapToGrid w:val="0"/>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rPr>
              <w:t>响应报价必须包含满足本次竞标全部采购需求所应提供的服务，及以下部分服务的价格</w:t>
            </w:r>
            <w:r>
              <w:rPr>
                <w:rFonts w:hint="eastAsia" w:ascii="宋体" w:hAnsi="宋体" w:cs="宋体"/>
                <w:color w:val="auto"/>
                <w:highlight w:val="none"/>
                <w:lang w:eastAsia="zh-CN"/>
              </w:rPr>
              <w:t>、</w:t>
            </w:r>
            <w:r>
              <w:rPr>
                <w:rFonts w:hint="eastAsia" w:ascii="宋体" w:hAnsi="宋体" w:cs="宋体"/>
                <w:color w:val="auto"/>
                <w:highlight w:val="none"/>
              </w:rPr>
              <w:t>必要的保险费用和各项税金</w:t>
            </w:r>
            <w:r>
              <w:rPr>
                <w:rFonts w:hint="eastAsia" w:ascii="宋体" w:hAnsi="宋体" w:cs="宋体"/>
                <w:color w:val="auto"/>
                <w:highlight w:val="none"/>
                <w:lang w:eastAsia="zh-CN"/>
              </w:rPr>
              <w:t>、</w:t>
            </w:r>
            <w:r>
              <w:rPr>
                <w:rFonts w:hint="eastAsia" w:ascii="宋体" w:hAnsi="宋体" w:cs="宋体"/>
                <w:color w:val="auto"/>
                <w:highlight w:val="none"/>
              </w:rPr>
              <w:t>服务团队的工资、各项保险、场地费、管理费等一切服务成本费用的总和</w:t>
            </w:r>
            <w:r>
              <w:rPr>
                <w:rFonts w:hint="eastAsia" w:ascii="宋体" w:hAnsi="宋体" w:cs="宋体"/>
                <w:color w:val="auto"/>
                <w:highlight w:val="none"/>
                <w:lang w:eastAsia="zh-CN"/>
              </w:rPr>
              <w:t>。</w:t>
            </w:r>
          </w:p>
          <w:p>
            <w:pPr>
              <w:pStyle w:val="12"/>
              <w:spacing w:line="360" w:lineRule="auto"/>
              <w:rPr>
                <w:rFonts w:ascii="宋体" w:hAnsi="宋体" w:cs="宋体"/>
                <w:color w:val="auto"/>
                <w:highlight w:val="none"/>
              </w:rPr>
            </w:pPr>
            <w:r>
              <w:rPr>
                <w:rFonts w:hint="eastAsia" w:ascii="宋体" w:hAnsi="宋体" w:cs="宋体"/>
                <w:b/>
                <w:color w:val="auto"/>
                <w:szCs w:val="21"/>
                <w:highlight w:val="none"/>
              </w:rPr>
              <w:t>响应报价包含验收费用。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竞标有效期</w:t>
            </w:r>
          </w:p>
        </w:tc>
        <w:tc>
          <w:tcPr>
            <w:tcW w:w="6416" w:type="dxa"/>
            <w:vAlign w:val="center"/>
          </w:tcPr>
          <w:p>
            <w:pPr>
              <w:pStyle w:val="8"/>
              <w:widowControl w:val="0"/>
              <w:tabs>
                <w:tab w:val="left" w:pos="720"/>
                <w:tab w:val="left" w:pos="840"/>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磋商保证金</w:t>
            </w:r>
          </w:p>
        </w:tc>
        <w:tc>
          <w:tcPr>
            <w:tcW w:w="6416" w:type="dxa"/>
            <w:vAlign w:val="center"/>
          </w:tcPr>
          <w:p>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磋商保证金，相关要求如下：</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1.磋商保证金的缴纳方式：详见竞争性磋商公告。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2.磋商保证金的金额：详见竞争性磋商公告。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4.磋商保证金采用支票、汇票、本票或者金融机构、担保机构出具的保函等缴纳方式的，供应商应将支票、汇票、本票或者金融机构、担保机构出具的保函等的复印件</w:t>
            </w:r>
            <w:r>
              <w:rPr>
                <w:color w:val="auto"/>
                <w:highlight w:val="none"/>
              </w:rPr>
              <w:t>或者金融机构、担保机构出具的电子保函</w:t>
            </w:r>
            <w:r>
              <w:rPr>
                <w:rFonts w:hint="eastAsia" w:ascii="宋体" w:hAnsi="宋体" w:cs="宋体"/>
                <w:color w:val="auto"/>
                <w:szCs w:val="21"/>
                <w:highlight w:val="none"/>
              </w:rPr>
              <w:t>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首次响应文件提交截止时间前</w:t>
            </w:r>
            <w:r>
              <w:rPr>
                <w:rFonts w:hint="eastAsia" w:ascii="宋体" w:hAnsi="宋体" w:cs="宋体"/>
                <w:color w:val="auto"/>
                <w:szCs w:val="21"/>
                <w:highlight w:val="none"/>
              </w:rPr>
              <w:t>将支票、汇票、本票或者金融机构、担保机构出具的保函（电子保函除外）等原件提交给采购代理机构，由采购代理机构向供应商出具回执，并妥善保管。</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5.磋商保证金指定账户：详见竞争性磋商公告。</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2.供应商采用现金方式或者从个人账户（自然人竞标除外）转出的磋商保证金，视为无效磋商保证金。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首次响应文件提交截止时间</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首次响应文件开启时间</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首次响应文件提交地点</w:t>
            </w:r>
          </w:p>
        </w:tc>
        <w:tc>
          <w:tcPr>
            <w:tcW w:w="6416"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备份响应文件</w:t>
            </w:r>
          </w:p>
        </w:tc>
        <w:tc>
          <w:tcPr>
            <w:tcW w:w="6416"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负偏离要求</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评审方法</w:t>
            </w:r>
          </w:p>
        </w:tc>
        <w:tc>
          <w:tcPr>
            <w:tcW w:w="6416" w:type="dxa"/>
            <w:vAlign w:val="center"/>
          </w:tcPr>
          <w:p>
            <w:pPr>
              <w:pStyle w:val="10"/>
              <w:spacing w:line="360" w:lineRule="auto"/>
              <w:rPr>
                <w:rFonts w:ascii="宋体" w:hAnsi="宋体" w:cs="宋体"/>
                <w:color w:val="auto"/>
                <w:szCs w:val="21"/>
                <w:highlight w:val="none"/>
              </w:rPr>
            </w:pPr>
            <w:r>
              <w:rPr>
                <w:rFonts w:hint="eastAsia"/>
                <w:color w:val="auto"/>
                <w:highlight w:val="none"/>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磋商的顺序</w:t>
            </w:r>
          </w:p>
        </w:tc>
        <w:tc>
          <w:tcPr>
            <w:tcW w:w="6416" w:type="dxa"/>
            <w:vAlign w:val="center"/>
          </w:tcPr>
          <w:p>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如采用视频会议形式进行磋商，将按照提交首次响应文件的顺序，通知磋商时，若某供应商不在通知现场时，该供应商排序到最后磋商，按照签到的顺序由其下一位供应商先参与磋商。</w:t>
            </w:r>
          </w:p>
          <w:p>
            <w:pPr>
              <w:pStyle w:val="10"/>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履约保证金</w:t>
            </w:r>
          </w:p>
        </w:tc>
        <w:tc>
          <w:tcPr>
            <w:tcW w:w="6416" w:type="dxa"/>
            <w:vAlign w:val="center"/>
          </w:tcPr>
          <w:p>
            <w:pPr>
              <w:spacing w:line="360" w:lineRule="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本项目需要缴纳履约保证金，相关要求如下：</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1.履约保证金金额：按项目成交总金额的2%</w:t>
            </w:r>
            <w:r>
              <w:rPr>
                <w:rFonts w:hint="eastAsia" w:asciiTheme="minorEastAsia" w:hAnsiTheme="minorEastAsia" w:eastAsiaTheme="minorEastAsia" w:cstheme="minorEastAsia"/>
                <w:color w:val="auto"/>
                <w:highlight w:val="none"/>
                <w:lang w:val="en-US" w:eastAsia="zh-CN"/>
              </w:rPr>
              <w:t>收取</w:t>
            </w:r>
            <w:r>
              <w:rPr>
                <w:rFonts w:hint="eastAsia" w:asciiTheme="minorEastAsia" w:hAnsiTheme="minorEastAsia" w:eastAsiaTheme="minorEastAsia" w:cstheme="minorEastAsia"/>
                <w:color w:val="auto"/>
                <w:highlight w:val="none"/>
                <w:lang w:val="en-US" w:eastAsia="zh-CN"/>
              </w:rPr>
              <w:t>。</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2.履约保证金递交方式：成交人在签订合同前以银行转账、支票、汇票、本票或者金融机构、担保机构出具的保函等非现金方式向采购人提交。</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3.履约保证金退付方式、时间及条件：</w:t>
            </w:r>
            <w:r>
              <w:rPr>
                <w:rFonts w:hint="eastAsia" w:asciiTheme="minorEastAsia" w:hAnsiTheme="minorEastAsia" w:eastAsiaTheme="minorEastAsia" w:cstheme="minorEastAsia"/>
                <w:color w:val="auto"/>
                <w:highlight w:val="none"/>
                <w:lang w:val="en-US" w:eastAsia="zh-CN"/>
              </w:rPr>
              <w:t>成交人按磋商文件、响应文件、本合同约定或采购人要求完成全部服务内容，服务期限届满，服务成果经采购人全部验收合格且成交人无违约情形的，由成交人向采购人提供审签完成的《广西壮族自治区政府采购项目合同验收书》（格式见详见第五章，规定详见桂财采〔2015〕22号）及《政府采购项目履约保证金退付意见书》（格式见详见第五章），采购人在收到成交人的申请材料，并审核材料合格后5个工作日内办理退还手续（不计利息）。</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4.缴纳履约保证金的指定账户：</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开户名称：广西壮族自治区就业服务中心</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开户银行：建行南宁市汇春支行</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银行账号：45001604568059158158</w:t>
            </w:r>
          </w:p>
          <w:p>
            <w:pPr>
              <w:spacing w:line="360" w:lineRule="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备注：</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3.采用金融、担保机构出具保函的，必须为无条件保函，否则视为未按规定提交履约保证金。</w:t>
            </w:r>
          </w:p>
          <w:p>
            <w:pPr>
              <w:spacing w:line="360" w:lineRule="auto"/>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highlight w:val="none"/>
                <w:lang w:val="en-US" w:eastAsia="zh-CN"/>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签订合同携带的材料</w:t>
            </w:r>
          </w:p>
        </w:tc>
        <w:tc>
          <w:tcPr>
            <w:tcW w:w="6416" w:type="dxa"/>
            <w:vAlign w:val="center"/>
          </w:tcPr>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pPr>
              <w:snapToGrid w:val="0"/>
              <w:spacing w:line="360" w:lineRule="auto"/>
              <w:rPr>
                <w:rFonts w:ascii="宋体" w:hAnsi="宋体" w:cs="宋体"/>
                <w:b/>
                <w:bCs/>
                <w:i/>
                <w:i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接收质疑函方式</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质疑联系部门及联系</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方式</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（1）名称：广西科联招标中心有限公司</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联系地址：广西南宁市大学东路170号广西科联招标中心有限公司</w:t>
            </w:r>
            <w:r>
              <w:rPr>
                <w:rFonts w:hint="eastAsia" w:ascii="宋体" w:hAnsi="宋体" w:cs="宋体"/>
                <w:color w:val="auto"/>
                <w:highlight w:val="none"/>
              </w:rPr>
              <w:t>103室</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0771-3486228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highlight w:val="none"/>
              </w:rPr>
            </w:pP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现场提交质疑办理业务</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时间</w:t>
            </w:r>
          </w:p>
        </w:tc>
        <w:tc>
          <w:tcPr>
            <w:tcW w:w="6416"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质疑期内每个工作日（北京时间）上午8时00分到12时00分，下午15时00分到18时00分。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受理投诉方式</w:t>
            </w:r>
          </w:p>
        </w:tc>
        <w:tc>
          <w:tcPr>
            <w:tcW w:w="6416" w:type="dxa"/>
            <w:vAlign w:val="center"/>
          </w:tcPr>
          <w:p>
            <w:pPr>
              <w:snapToGrid w:val="0"/>
              <w:spacing w:line="360" w:lineRule="auto"/>
              <w:rPr>
                <w:rFonts w:ascii="宋体" w:hAnsi="宋体" w:cs="宋体"/>
                <w:color w:val="auto"/>
                <w:highlight w:val="none"/>
              </w:rPr>
            </w:pPr>
            <w:r>
              <w:rPr>
                <w:rFonts w:hint="eastAsia" w:ascii="宋体" w:hAnsi="宋体" w:cs="宋体"/>
                <w:color w:val="auto"/>
                <w:highlight w:val="none"/>
                <w:lang w:eastAsia="zh-CN"/>
              </w:rPr>
              <w:t>1.</w:t>
            </w:r>
            <w:r>
              <w:rPr>
                <w:rFonts w:hint="eastAsia" w:ascii="宋体" w:hAnsi="宋体" w:cs="宋体"/>
                <w:color w:val="auto"/>
                <w:highlight w:val="none"/>
              </w:rPr>
              <w:t>受理方式：纸质方式受理，投诉书正、副本（经过质疑的事项才可投诉）。</w:t>
            </w:r>
          </w:p>
          <w:p>
            <w:pPr>
              <w:snapToGrid w:val="0"/>
              <w:spacing w:line="360" w:lineRule="auto"/>
              <w:rPr>
                <w:rFonts w:ascii="宋体" w:hAnsi="宋体" w:cs="宋体"/>
                <w:color w:val="auto"/>
                <w:highlight w:val="none"/>
              </w:rPr>
            </w:pPr>
            <w:r>
              <w:rPr>
                <w:rFonts w:hint="eastAsia" w:ascii="宋体" w:hAnsi="宋体" w:cs="宋体"/>
                <w:color w:val="auto"/>
                <w:highlight w:val="none"/>
                <w:lang w:eastAsia="zh-CN"/>
              </w:rPr>
              <w:t>2.</w:t>
            </w:r>
            <w:r>
              <w:rPr>
                <w:rFonts w:hint="eastAsia" w:ascii="宋体" w:hAnsi="宋体" w:cs="宋体"/>
                <w:color w:val="auto"/>
                <w:highlight w:val="none"/>
              </w:rPr>
              <w:t>通讯方式</w:t>
            </w:r>
          </w:p>
          <w:p>
            <w:pPr>
              <w:snapToGrid w:val="0"/>
              <w:spacing w:line="360" w:lineRule="auto"/>
              <w:rPr>
                <w:rFonts w:ascii="宋体" w:hAnsi="宋体" w:cs="宋体"/>
                <w:color w:val="auto"/>
                <w:highlight w:val="none"/>
              </w:rPr>
            </w:pPr>
            <w:r>
              <w:rPr>
                <w:rFonts w:hint="eastAsia" w:ascii="宋体" w:hAnsi="宋体" w:cs="宋体"/>
                <w:color w:val="auto"/>
                <w:highlight w:val="none"/>
              </w:rPr>
              <w:t xml:space="preserve">名称： 广西壮族自治区财政厅 </w:t>
            </w:r>
          </w:p>
          <w:p>
            <w:pPr>
              <w:snapToGrid w:val="0"/>
              <w:spacing w:line="360" w:lineRule="auto"/>
              <w:rPr>
                <w:rFonts w:ascii="宋体" w:hAnsi="宋体" w:cs="宋体"/>
                <w:color w:val="auto"/>
                <w:highlight w:val="none"/>
              </w:rPr>
            </w:pPr>
            <w:r>
              <w:rPr>
                <w:rFonts w:hint="eastAsia" w:ascii="宋体" w:hAnsi="宋体" w:cs="宋体"/>
                <w:color w:val="auto"/>
                <w:highlight w:val="none"/>
              </w:rPr>
              <w:t>地址： 南宁市青秀区桃源路69号</w:t>
            </w:r>
          </w:p>
          <w:p>
            <w:pPr>
              <w:snapToGrid w:val="0"/>
              <w:spacing w:line="360" w:lineRule="auto"/>
              <w:rPr>
                <w:rFonts w:ascii="宋体" w:hAnsi="宋体" w:cs="宋体"/>
                <w:color w:val="auto"/>
                <w:highlight w:val="none"/>
              </w:rPr>
            </w:pPr>
            <w:r>
              <w:rPr>
                <w:rFonts w:hint="eastAsia" w:ascii="宋体" w:hAnsi="宋体" w:cs="宋体"/>
                <w:color w:val="auto"/>
                <w:highlight w:val="none"/>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采购代理服务费</w:t>
            </w:r>
          </w:p>
        </w:tc>
        <w:tc>
          <w:tcPr>
            <w:tcW w:w="6416" w:type="dxa"/>
            <w:vAlign w:val="center"/>
          </w:tcPr>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 本项目收取采购代理服务费</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2.采购代理服务费支付方式：</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本项目采购代理服务费由成交供应商在签订合同前，</w:t>
            </w:r>
            <w:r>
              <w:rPr>
                <w:rFonts w:hint="eastAsia" w:ascii="宋体" w:hAnsi="宋体" w:cs="宋体"/>
                <w:color w:val="auto"/>
                <w:highlight w:val="none"/>
              </w:rPr>
              <w:t>以银行转账、电汇等方式</w:t>
            </w:r>
            <w:r>
              <w:rPr>
                <w:rFonts w:hint="eastAsia" w:ascii="宋体" w:hAnsi="宋体" w:cs="宋体"/>
                <w:color w:val="auto"/>
                <w:kern w:val="0"/>
                <w:szCs w:val="21"/>
                <w:highlight w:val="none"/>
              </w:rPr>
              <w:t>一次性向采购代理机构支付。</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3.采购代理服务费收取标准：</w:t>
            </w:r>
          </w:p>
          <w:p>
            <w:pPr>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以项目成交金额为计费额，按</w:t>
            </w:r>
            <w:r>
              <w:rPr>
                <w:rFonts w:hint="eastAsia" w:ascii="宋体" w:hAnsi="宋体" w:cs="宋体"/>
                <w:color w:val="auto"/>
                <w:highlight w:val="none"/>
              </w:rPr>
              <w:t>本须知正文第33.2条规定的收费计算标准（</w:t>
            </w:r>
            <w:r>
              <w:rPr>
                <w:rFonts w:hint="eastAsia" w:ascii="宋体" w:hAnsi="宋体" w:cs="宋体"/>
                <w:b/>
                <w:bCs/>
                <w:color w:val="auto"/>
                <w:kern w:val="0"/>
                <w:szCs w:val="21"/>
                <w:highlight w:val="none"/>
                <w:u w:val="single"/>
              </w:rPr>
              <w:t>服务类</w:t>
            </w:r>
            <w:r>
              <w:rPr>
                <w:rFonts w:hint="eastAsia" w:ascii="宋体" w:hAnsi="宋体" w:cs="宋体"/>
                <w:color w:val="auto"/>
                <w:highlight w:val="none"/>
              </w:rPr>
              <w:t>）</w:t>
            </w:r>
            <w:r>
              <w:rPr>
                <w:rFonts w:hint="eastAsia" w:ascii="宋体" w:hAnsi="宋体" w:cs="宋体"/>
                <w:color w:val="auto"/>
                <w:kern w:val="0"/>
                <w:szCs w:val="21"/>
                <w:highlight w:val="none"/>
              </w:rPr>
              <w:t>采用差额定率累进法计算出收费基准价格，采购代理机构收费以收费基准价格收取。</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4.采购代理服务费收取银行账户的信息</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开户银行：中国工商银行南宁市高新科技支行</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银行账号：2102111229300032105</w:t>
            </w:r>
          </w:p>
          <w:p>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开户行行号：102611011101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解释</w:t>
            </w:r>
          </w:p>
        </w:tc>
        <w:tc>
          <w:tcPr>
            <w:tcW w:w="6416" w:type="dxa"/>
            <w:vAlign w:val="center"/>
          </w:tcPr>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解释：</w:t>
            </w:r>
            <w:r>
              <w:rPr>
                <w:rFonts w:hint="eastAsia" w:ascii="宋体" w:hAnsi="宋体" w:cs="宋体"/>
                <w:color w:val="auto"/>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本采购文件根据《中华人民共和国政府采购法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中华人民共和国民法典</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中华人民共和国政府采购法实施条例</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政府采购竞争性磋商采购方式管理暂行办法》等有关</w:t>
            </w:r>
            <w:r>
              <w:rPr>
                <w:rFonts w:hint="eastAsia" w:ascii="宋体" w:hAnsi="宋体" w:cs="宋体"/>
                <w:color w:val="auto"/>
                <w:kern w:val="0"/>
                <w:szCs w:val="21"/>
                <w:highlight w:val="none"/>
                <w:lang w:eastAsia="zh-CN"/>
              </w:rPr>
              <w:t>法律法规</w:t>
            </w:r>
            <w:r>
              <w:rPr>
                <w:rFonts w:hint="eastAsia" w:ascii="宋体" w:hAnsi="宋体" w:cs="宋体"/>
                <w:color w:val="auto"/>
                <w:kern w:val="0"/>
                <w:szCs w:val="21"/>
                <w:highlight w:val="none"/>
              </w:rPr>
              <w:t>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90"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w:t>
            </w:r>
          </w:p>
        </w:tc>
        <w:tc>
          <w:tcPr>
            <w:tcW w:w="6416" w:type="dxa"/>
            <w:vAlign w:val="center"/>
          </w:tcPr>
          <w:p>
            <w:pPr>
              <w:pStyle w:val="1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pPr>
              <w:pStyle w:val="10"/>
              <w:tabs>
                <w:tab w:val="center" w:pos="4153"/>
                <w:tab w:val="right" w:pos="8306"/>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5.自然人竞标的，竞争性磋商文件规定盖公章处由自然人摁手指指印。</w:t>
            </w:r>
          </w:p>
          <w:p>
            <w:pPr>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 xml:space="preserve">    6.本竞争性磋商文件所称的“以上”“以下”“以内”“届满”，包括本数；所称的“不满”“超过”“以外”，不包括本数。</w:t>
            </w:r>
          </w:p>
        </w:tc>
      </w:tr>
    </w:tbl>
    <w:p>
      <w:pPr>
        <w:pStyle w:val="4"/>
        <w:spacing w:line="420" w:lineRule="exact"/>
        <w:jc w:val="center"/>
        <w:rPr>
          <w:rFonts w:ascii="宋体" w:hAnsi="宋体"/>
          <w:b w:val="0"/>
          <w:color w:val="auto"/>
          <w:highlight w:val="none"/>
        </w:rPr>
      </w:pPr>
      <w:r>
        <w:rPr>
          <w:rFonts w:ascii="宋体" w:hAnsi="宋体"/>
          <w:b w:val="0"/>
          <w:color w:val="auto"/>
          <w:highlight w:val="none"/>
        </w:rPr>
        <w:br w:type="page"/>
      </w:r>
      <w:bookmarkStart w:id="86" w:name="_Toc27094"/>
      <w:bookmarkStart w:id="87" w:name="_Toc80886929"/>
      <w:bookmarkStart w:id="88" w:name="_Toc30957"/>
      <w:r>
        <w:rPr>
          <w:rFonts w:hint="eastAsia" w:ascii="宋体" w:hAnsi="宋体"/>
          <w:b w:val="0"/>
          <w:color w:val="auto"/>
          <w:highlight w:val="none"/>
        </w:rPr>
        <w:t>第二节 供应商须知正文</w:t>
      </w:r>
      <w:bookmarkEnd w:id="86"/>
      <w:bookmarkEnd w:id="87"/>
      <w:bookmarkEnd w:id="88"/>
    </w:p>
    <w:p>
      <w:pPr>
        <w:pStyle w:val="5"/>
        <w:spacing w:before="0" w:after="0" w:line="360" w:lineRule="auto"/>
        <w:ind w:firstLine="640" w:firstLineChars="200"/>
        <w:rPr>
          <w:b w:val="0"/>
          <w:color w:val="auto"/>
          <w:highlight w:val="none"/>
        </w:rPr>
      </w:pPr>
      <w:bookmarkStart w:id="89" w:name="_Toc80886930"/>
      <w:bookmarkStart w:id="90" w:name="_Toc26166"/>
      <w:bookmarkStart w:id="91" w:name="_Toc6457"/>
      <w:r>
        <w:rPr>
          <w:rFonts w:hint="eastAsia"/>
          <w:b w:val="0"/>
          <w:color w:val="auto"/>
          <w:highlight w:val="none"/>
        </w:rPr>
        <w:t>一、总则</w:t>
      </w:r>
      <w:bookmarkEnd w:id="89"/>
      <w:bookmarkEnd w:id="90"/>
      <w:bookmarkEnd w:id="91"/>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w:t>
      </w:r>
      <w:r>
        <w:rPr>
          <w:rFonts w:hint="eastAsia" w:ascii="宋体" w:hAnsi="宋体" w:cs="宋体"/>
          <w:color w:val="auto"/>
          <w:szCs w:val="21"/>
          <w:highlight w:val="none"/>
        </w:rPr>
        <w:t>报价文件、商务和技术文件</w:t>
      </w:r>
      <w:r>
        <w:rPr>
          <w:rFonts w:hint="eastAsia" w:ascii="宋体" w:hAnsi="宋体" w:cs="宋体"/>
          <w:color w:val="auto"/>
          <w:spacing w:val="-6"/>
          <w:szCs w:val="21"/>
          <w:highlight w:val="none"/>
        </w:rPr>
        <w:t>等所有内容的文件。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2.13“评审报价”是指供应商提</w:t>
      </w:r>
      <w:r>
        <w:rPr>
          <w:rFonts w:hint="eastAsia" w:cs="宋体"/>
          <w:color w:val="auto"/>
          <w:szCs w:val="21"/>
          <w:highlight w:val="none"/>
        </w:rPr>
        <w:t>交的最后报价并经修正（如有）和政策功能价格扣除（如有）后的价格。</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cs="宋体"/>
          <w:color w:val="auto"/>
          <w:szCs w:val="21"/>
          <w:highlight w:val="none"/>
        </w:rPr>
      </w:pPr>
      <w:r>
        <w:rPr>
          <w:rFonts w:hint="eastAsia"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pPr>
        <w:spacing w:line="360" w:lineRule="auto"/>
        <w:ind w:firstLine="420" w:firstLineChars="200"/>
        <w:rPr>
          <w:rFonts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pPr>
        <w:spacing w:line="360" w:lineRule="auto"/>
        <w:ind w:firstLine="482" w:firstLineChars="200"/>
        <w:rPr>
          <w:rFonts w:ascii="黑体" w:hAnsi="黑体" w:eastAsia="黑体" w:cs="宋体"/>
          <w:b/>
          <w:bCs/>
          <w:color w:val="auto"/>
          <w:sz w:val="24"/>
          <w:highlight w:val="none"/>
        </w:rPr>
      </w:pPr>
      <w:bookmarkStart w:id="92" w:name="_Toc254970532"/>
      <w:bookmarkStart w:id="93" w:name="_Toc254970673"/>
      <w:r>
        <w:rPr>
          <w:rFonts w:hint="eastAsia" w:ascii="黑体" w:hAnsi="黑体" w:eastAsia="黑体" w:cs="宋体"/>
          <w:b/>
          <w:bCs/>
          <w:color w:val="auto"/>
          <w:sz w:val="24"/>
          <w:highlight w:val="none"/>
        </w:rPr>
        <w:t>7.特别说明</w:t>
      </w:r>
      <w:bookmarkEnd w:id="92"/>
      <w:bookmarkEnd w:id="93"/>
    </w:p>
    <w:p>
      <w:pPr>
        <w:spacing w:line="360" w:lineRule="auto"/>
        <w:ind w:firstLine="420" w:firstLineChars="200"/>
        <w:rPr>
          <w:rFonts w:ascii="宋体" w:hAnsi="宋体" w:cs="宋体"/>
          <w:color w:val="auto"/>
          <w:szCs w:val="21"/>
          <w:highlight w:val="none"/>
        </w:rPr>
      </w:pPr>
      <w:bookmarkStart w:id="94" w:name="_8.1提供相同品牌产品且通过资格审查、符合性审查的不同投标人参加同一合"/>
      <w:bookmarkEnd w:id="94"/>
      <w:r>
        <w:rPr>
          <w:rFonts w:hint="eastAsia" w:ascii="宋体" w:hAnsi="宋体" w:cs="宋体"/>
          <w:color w:val="auto"/>
          <w:szCs w:val="21"/>
          <w:highlight w:val="none"/>
        </w:rPr>
        <w:t>7.1</w:t>
      </w:r>
      <w:bookmarkStart w:id="9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95"/>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（1）参加采购活动前3年内与供应商存在劳动关系；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（2）参加采购活动前3年内担任供应商的董事、监事；</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（3）参加采购活动前3年内是供应商的控股股东或者实际控制人；</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（5）与供应商有其他可能影响政府采购活动公平、公正进行的关系。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7.5有下列情形之一的视为供应商相互串通竞标，响应文件将被视为无效：</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pPr>
        <w:tabs>
          <w:tab w:val="left" w:pos="6931"/>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hint="eastAsia" w:ascii="宋体" w:hAnsi="宋体" w:cs="宋体"/>
          <w:b/>
          <w:bCs/>
          <w:color w:val="auto"/>
          <w:szCs w:val="21"/>
          <w:highlight w:val="none"/>
        </w:rPr>
        <w:tab/>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7.6供应商有下列情形之一的，属于恶意串通行为，将报同级监督管理部门：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（2）供应商按照采购人或者采购代理机构的授意撤换、修改响应文件；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（3）供应商之间协商报价、技术方案等响应文件的实质性内容；</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（6）供应商之间商定部分供应商放弃参加政府采购活动或者放弃成交；</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b w:val="0"/>
          <w:bCs w:val="0"/>
          <w:color w:val="auto"/>
          <w:highlight w:val="none"/>
        </w:rPr>
      </w:pPr>
      <w:bookmarkStart w:id="96" w:name="_Toc12713"/>
      <w:bookmarkStart w:id="97" w:name="_Toc80886931"/>
      <w:bookmarkStart w:id="98" w:name="_Toc254970675"/>
      <w:bookmarkStart w:id="99" w:name="_Toc27583"/>
      <w:bookmarkStart w:id="100" w:name="_Toc254970534"/>
    </w:p>
    <w:p>
      <w:pPr>
        <w:pStyle w:val="5"/>
        <w:spacing w:before="0" w:after="0" w:line="360" w:lineRule="auto"/>
        <w:ind w:firstLine="640" w:firstLineChars="200"/>
        <w:rPr>
          <w:b w:val="0"/>
          <w:bCs w:val="0"/>
          <w:color w:val="auto"/>
          <w:highlight w:val="none"/>
        </w:rPr>
      </w:pPr>
      <w:r>
        <w:rPr>
          <w:rFonts w:hint="eastAsia"/>
          <w:b w:val="0"/>
          <w:bCs w:val="0"/>
          <w:color w:val="auto"/>
          <w:highlight w:val="none"/>
        </w:rPr>
        <w:t>二、磋商文件</w:t>
      </w:r>
      <w:bookmarkEnd w:id="96"/>
      <w:bookmarkEnd w:id="97"/>
      <w:bookmarkEnd w:id="98"/>
      <w:bookmarkEnd w:id="99"/>
      <w:bookmarkEnd w:id="100"/>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color w:val="auto"/>
          <w:szCs w:val="21"/>
          <w:highlight w:val="none"/>
        </w:rPr>
      </w:pPr>
      <w:r>
        <w:rPr>
          <w:rFonts w:hint="eastAsia"/>
          <w:color w:val="auto"/>
          <w:szCs w:val="21"/>
          <w:highlight w:val="none"/>
        </w:rPr>
        <w:t>第一章 竞争性磋商公告；</w:t>
      </w:r>
    </w:p>
    <w:p>
      <w:pPr>
        <w:spacing w:line="360" w:lineRule="auto"/>
        <w:ind w:firstLine="420" w:firstLineChars="200"/>
        <w:jc w:val="left"/>
        <w:rPr>
          <w:color w:val="auto"/>
          <w:szCs w:val="21"/>
          <w:highlight w:val="none"/>
        </w:rPr>
      </w:pPr>
      <w:r>
        <w:rPr>
          <w:rFonts w:hint="eastAsia"/>
          <w:color w:val="auto"/>
          <w:szCs w:val="21"/>
          <w:highlight w:val="none"/>
        </w:rPr>
        <w:t>第二章 采购需求；</w:t>
      </w:r>
    </w:p>
    <w:p>
      <w:pPr>
        <w:spacing w:line="360" w:lineRule="auto"/>
        <w:ind w:firstLine="420" w:firstLineChars="200"/>
        <w:jc w:val="left"/>
        <w:rPr>
          <w:color w:val="auto"/>
          <w:szCs w:val="21"/>
          <w:highlight w:val="none"/>
        </w:rPr>
      </w:pPr>
      <w:r>
        <w:rPr>
          <w:rFonts w:hint="eastAsia"/>
          <w:color w:val="auto"/>
          <w:szCs w:val="21"/>
          <w:highlight w:val="none"/>
        </w:rPr>
        <w:t xml:space="preserve">第三章 供应商须知； </w:t>
      </w:r>
    </w:p>
    <w:p>
      <w:pPr>
        <w:spacing w:line="360" w:lineRule="auto"/>
        <w:ind w:firstLine="420" w:firstLineChars="200"/>
        <w:jc w:val="left"/>
        <w:rPr>
          <w:color w:val="auto"/>
          <w:szCs w:val="21"/>
          <w:highlight w:val="none"/>
        </w:rPr>
      </w:pPr>
      <w:r>
        <w:rPr>
          <w:rFonts w:hint="eastAsia"/>
          <w:color w:val="auto"/>
          <w:szCs w:val="21"/>
          <w:highlight w:val="none"/>
        </w:rPr>
        <w:t>第四章 评审程序、评审方法和评审标准；</w:t>
      </w:r>
    </w:p>
    <w:p>
      <w:pPr>
        <w:spacing w:line="360" w:lineRule="auto"/>
        <w:ind w:firstLine="420" w:firstLineChars="200"/>
        <w:jc w:val="left"/>
        <w:rPr>
          <w:color w:val="auto"/>
          <w:szCs w:val="21"/>
          <w:highlight w:val="none"/>
        </w:rPr>
      </w:pPr>
      <w:r>
        <w:rPr>
          <w:rFonts w:hint="eastAsia"/>
          <w:color w:val="auto"/>
          <w:szCs w:val="21"/>
          <w:highlight w:val="none"/>
        </w:rPr>
        <w:t>第五章 响应文件格式；</w:t>
      </w:r>
    </w:p>
    <w:p>
      <w:pPr>
        <w:spacing w:line="360" w:lineRule="auto"/>
        <w:ind w:firstLine="420" w:firstLineChars="200"/>
        <w:jc w:val="left"/>
        <w:rPr>
          <w:color w:val="auto"/>
          <w:szCs w:val="21"/>
          <w:highlight w:val="none"/>
        </w:rPr>
      </w:pPr>
      <w:r>
        <w:rPr>
          <w:rFonts w:hint="eastAsia"/>
          <w:color w:val="auto"/>
          <w:szCs w:val="21"/>
          <w:highlight w:val="none"/>
        </w:rPr>
        <w:t>第六章 合同文本；</w:t>
      </w:r>
    </w:p>
    <w:p>
      <w:pPr>
        <w:spacing w:line="360" w:lineRule="auto"/>
        <w:ind w:firstLine="420" w:firstLineChars="200"/>
        <w:jc w:val="left"/>
        <w:rPr>
          <w:color w:val="auto"/>
          <w:szCs w:val="21"/>
          <w:highlight w:val="none"/>
        </w:rPr>
      </w:pPr>
      <w:r>
        <w:rPr>
          <w:rFonts w:hint="eastAsia"/>
          <w:color w:val="auto"/>
          <w:szCs w:val="21"/>
          <w:highlight w:val="none"/>
        </w:rPr>
        <w:t>第七章 质疑、投诉材料格式。</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响应文件未按磋商文件的澄清、修改的内容编制，又不符合实质性要求的，其响应文件按无效处理。</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p>
    <w:p>
      <w:pPr>
        <w:pStyle w:val="5"/>
        <w:spacing w:before="0" w:after="0" w:line="360" w:lineRule="auto"/>
        <w:ind w:firstLine="320" w:firstLineChars="100"/>
        <w:rPr>
          <w:b w:val="0"/>
          <w:bCs w:val="0"/>
          <w:color w:val="auto"/>
          <w:highlight w:val="none"/>
        </w:rPr>
      </w:pPr>
      <w:r>
        <w:rPr>
          <w:rFonts w:hint="eastAsia"/>
          <w:b w:val="0"/>
          <w:bCs w:val="0"/>
          <w:color w:val="auto"/>
          <w:highlight w:val="none"/>
        </w:rPr>
        <w:t xml:space="preserve"> </w:t>
      </w:r>
      <w:bookmarkStart w:id="101" w:name="_Toc21480"/>
      <w:bookmarkStart w:id="102" w:name="_Toc21690"/>
      <w:bookmarkStart w:id="103" w:name="_Toc80886932"/>
      <w:r>
        <w:rPr>
          <w:rFonts w:hint="eastAsia"/>
          <w:b w:val="0"/>
          <w:bCs w:val="0"/>
          <w:color w:val="auto"/>
          <w:highlight w:val="none"/>
        </w:rPr>
        <w:t>三、响应文件的编制</w:t>
      </w:r>
      <w:bookmarkEnd w:id="101"/>
      <w:bookmarkEnd w:id="102"/>
      <w:bookmarkEnd w:id="103"/>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12.1.2商务</w:t>
      </w:r>
      <w:r>
        <w:rPr>
          <w:rFonts w:hint="eastAsia" w:ascii="宋体" w:hAnsi="宋体" w:cs="宋体"/>
          <w:color w:val="auto"/>
          <w:szCs w:val="21"/>
          <w:highlight w:val="none"/>
          <w:lang w:eastAsia="zh-CN"/>
        </w:rPr>
        <w:t>和</w:t>
      </w:r>
      <w:r>
        <w:rPr>
          <w:rFonts w:hint="eastAsia" w:ascii="宋体" w:hAnsi="宋体" w:cs="宋体"/>
          <w:color w:val="auto"/>
          <w:szCs w:val="21"/>
          <w:highlight w:val="none"/>
        </w:rPr>
        <w:t>技术文件：详见供应商须知前附表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（2）供应商必须就所竞标的项目/分标的单项内容作唯一报价。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104" w:name="_Hlk42592874"/>
      <w:r>
        <w:rPr>
          <w:rFonts w:hint="eastAsia" w:ascii="宋体" w:hAnsi="宋体" w:cs="宋体"/>
          <w:color w:val="auto"/>
          <w:szCs w:val="21"/>
          <w:highlight w:val="none"/>
        </w:rPr>
        <w:t>响应报价（包含首次报价、最后报价）超过分项采购预算金额或者最高限价的（如本项目公布了最高限价），其响应文件将按无效处理。</w:t>
      </w:r>
    </w:p>
    <w:bookmarkEnd w:id="104"/>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i/>
          <w:i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pPr>
        <w:pStyle w:val="9"/>
        <w:spacing w:line="360" w:lineRule="auto"/>
        <w:ind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17.2.2成交供应商的磋商保证金自签订合同之日起5个工作日内退还，退还方式同未成交供应商的磋商保证金的退还方式；或者转为成交供应商的履约保证金。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left="420" w:leftChars="200"/>
        <w:rPr>
          <w:rFonts w:cs="宋体"/>
          <w:color w:val="auto"/>
          <w:szCs w:val="21"/>
          <w:highlight w:val="none"/>
        </w:rPr>
      </w:pPr>
      <w:r>
        <w:rPr>
          <w:rFonts w:hint="eastAsia" w:ascii="宋体" w:hAnsi="宋体" w:cs="宋体"/>
          <w:color w:val="auto"/>
          <w:szCs w:val="21"/>
          <w:highlight w:val="none"/>
        </w:rPr>
        <w:t>（5）磋商文件规定的其他情形。</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105" w:name="_Hlk65832699"/>
      <w:r>
        <w:rPr>
          <w:rFonts w:hint="eastAsia" w:ascii="宋体" w:hAnsi="宋体" w:cs="宋体"/>
          <w:color w:val="auto"/>
          <w:szCs w:val="21"/>
          <w:highlight w:val="none"/>
        </w:rPr>
        <w:t>3响应文件须由供应商按</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要求进行签署、盖章</w:t>
      </w:r>
      <w:bookmarkEnd w:id="105"/>
      <w:r>
        <w:rPr>
          <w:rFonts w:hint="eastAsia" w:ascii="宋体" w:hAnsi="宋体" w:cs="宋体"/>
          <w:color w:val="auto"/>
          <w:szCs w:val="21"/>
          <w:highlight w:val="none"/>
        </w:rPr>
        <w:t>，</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18.4响应文件中标注的供应商名称应与营业执照（事业单位法人证书、执业许可证、自然人身份证）及供应商公章一致，</w:t>
      </w:r>
      <w:r>
        <w:rPr>
          <w:rFonts w:hint="eastAsia" w:ascii="宋体" w:hAnsi="宋体" w:cs="宋体"/>
          <w:b/>
          <w:bCs/>
          <w:color w:val="auto"/>
          <w:szCs w:val="21"/>
          <w:highlight w:val="none"/>
        </w:rPr>
        <w:t>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pacing w:line="360" w:lineRule="auto"/>
        <w:ind w:firstLine="420" w:firstLineChars="200"/>
        <w:rPr>
          <w:rFonts w:cs="宋体"/>
          <w:color w:val="auto"/>
          <w:szCs w:val="21"/>
          <w:highlight w:val="none"/>
        </w:rPr>
      </w:pPr>
      <w:r>
        <w:rPr>
          <w:rFonts w:hint="eastAsia"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highlight w:val="none"/>
        </w:rPr>
      </w:pPr>
      <w:bookmarkStart w:id="106"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cs="宋体"/>
          <w:color w:val="auto"/>
          <w:szCs w:val="21"/>
          <w:highlight w:val="none"/>
        </w:rPr>
      </w:pPr>
      <w:r>
        <w:rPr>
          <w:rFonts w:hint="eastAsia" w:cs="宋体"/>
          <w:color w:val="auto"/>
          <w:szCs w:val="21"/>
          <w:highlight w:val="none"/>
        </w:rPr>
        <w:t>在首次响应文件提交截止时间止提交响应文件的供应商不足3家时，电子响应文件的退回由广西政府采购云平台自动操作。</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bookmarkEnd w:id="106"/>
    <w:p>
      <w:pPr>
        <w:pStyle w:val="12"/>
        <w:spacing w:line="360" w:lineRule="auto"/>
        <w:ind w:firstLine="420" w:firstLineChars="200"/>
        <w:rPr>
          <w:rFonts w:cs="宋体"/>
          <w:i/>
          <w:iCs/>
          <w:color w:val="auto"/>
          <w:szCs w:val="21"/>
          <w:highlight w:val="none"/>
        </w:rPr>
      </w:pPr>
      <w:r>
        <w:rPr>
          <w:rFonts w:hint="eastAsia"/>
          <w:color w:val="auto"/>
          <w:highlight w:val="none"/>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b w:val="0"/>
          <w:bCs w:val="0"/>
          <w:color w:val="auto"/>
          <w:highlight w:val="none"/>
        </w:rPr>
      </w:pPr>
      <w:r>
        <w:rPr>
          <w:rFonts w:hint="eastAsia"/>
          <w:b w:val="0"/>
          <w:bCs w:val="0"/>
          <w:color w:val="auto"/>
          <w:highlight w:val="none"/>
        </w:rPr>
        <w:t xml:space="preserve"> </w:t>
      </w:r>
      <w:bookmarkStart w:id="107" w:name="_Toc20044"/>
      <w:bookmarkStart w:id="108" w:name="_Toc80886933"/>
      <w:bookmarkStart w:id="109" w:name="_Toc17876"/>
    </w:p>
    <w:p>
      <w:pPr>
        <w:pStyle w:val="5"/>
        <w:spacing w:before="0" w:after="0" w:line="360" w:lineRule="auto"/>
        <w:ind w:firstLine="640" w:firstLineChars="200"/>
        <w:rPr>
          <w:b w:val="0"/>
          <w:bCs w:val="0"/>
          <w:color w:val="auto"/>
          <w:highlight w:val="none"/>
        </w:rPr>
      </w:pPr>
      <w:r>
        <w:rPr>
          <w:rFonts w:hint="eastAsia"/>
          <w:b w:val="0"/>
          <w:bCs w:val="0"/>
          <w:color w:val="auto"/>
          <w:highlight w:val="none"/>
        </w:rPr>
        <w:t>四、评审及磋商</w:t>
      </w:r>
      <w:bookmarkEnd w:id="107"/>
      <w:bookmarkEnd w:id="108"/>
      <w:bookmarkEnd w:id="109"/>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highlight w:val="none"/>
        </w:rPr>
        <w:t>。</w:t>
      </w:r>
      <w:r>
        <w:rPr>
          <w:rFonts w:hint="eastAsia" w:ascii="宋体" w:hAnsi="宋体" w:cs="宋体"/>
          <w:color w:val="auto"/>
          <w:kern w:val="1"/>
          <w:szCs w:val="21"/>
          <w:highlight w:val="none"/>
        </w:rPr>
        <w:t>响应文件未按时解密的</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26.4电子交易活动的中止。）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供应商成功解密响应文件，但未在广西政府采购云平台电子开标大厅参加磋商的，视同认可磋商过程和结果，</w:t>
      </w:r>
      <w:r>
        <w:rPr>
          <w:rFonts w:hint="eastAsia" w:ascii="宋体" w:hAnsi="宋体" w:cs="宋体"/>
          <w:color w:val="auto"/>
          <w:kern w:val="0"/>
          <w:szCs w:val="21"/>
          <w:highlight w:val="none"/>
        </w:rPr>
        <w:t>由此产生的后果由供应商自行负责。 参与磋商的供应商不足3家的，不得磋商。</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 采购需求负偏离要求及磋商顺序详见“供应商须知前附表</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b w:val="0"/>
          <w:bCs w:val="0"/>
          <w:color w:val="auto"/>
          <w:highlight w:val="none"/>
        </w:rPr>
      </w:pPr>
      <w:bookmarkStart w:id="110" w:name="_Toc12018"/>
      <w:bookmarkStart w:id="111" w:name="_Toc80886934"/>
      <w:bookmarkStart w:id="112" w:name="_Toc17745"/>
    </w:p>
    <w:p>
      <w:pPr>
        <w:pStyle w:val="5"/>
        <w:spacing w:before="0" w:after="0" w:line="360" w:lineRule="auto"/>
        <w:ind w:firstLine="480" w:firstLineChars="150"/>
        <w:rPr>
          <w:b w:val="0"/>
          <w:bCs w:val="0"/>
          <w:i w:val="0"/>
          <w:iCs w:val="0"/>
          <w:color w:val="auto"/>
          <w:highlight w:val="none"/>
        </w:rPr>
      </w:pPr>
      <w:r>
        <w:rPr>
          <w:rFonts w:hint="eastAsia"/>
          <w:b w:val="0"/>
          <w:bCs w:val="0"/>
          <w:i w:val="0"/>
          <w:iCs w:val="0"/>
          <w:color w:val="auto"/>
          <w:highlight w:val="none"/>
        </w:rPr>
        <w:t>五、成交及合同</w:t>
      </w:r>
      <w:bookmarkEnd w:id="110"/>
      <w:bookmarkEnd w:id="111"/>
      <w:bookmarkEnd w:id="112"/>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27.5排名第一的成交候选人放弃成交，采购人可以按照评审报告推荐的成交候选人名单排序，依法确定下一候选人为成交</w:t>
      </w:r>
      <w:r>
        <w:rPr>
          <w:rFonts w:hint="eastAsia" w:ascii="宋体" w:hAnsi="宋体" w:cs="宋体"/>
          <w:color w:val="auto"/>
          <w:szCs w:val="21"/>
          <w:highlight w:val="none"/>
        </w:rPr>
        <w:t>供应商</w:t>
      </w:r>
      <w:r>
        <w:rPr>
          <w:rFonts w:hint="eastAsia" w:ascii="宋体" w:hAnsi="宋体" w:cs="宋体"/>
          <w:bCs/>
          <w:color w:val="auto"/>
          <w:szCs w:val="21"/>
          <w:highlight w:val="none"/>
        </w:rPr>
        <w:t>，也可以重新开展政府采购活动</w:t>
      </w:r>
      <w:r>
        <w:rPr>
          <w:rFonts w:hint="eastAsia" w:ascii="宋体" w:hAnsi="宋体" w:cs="宋体"/>
          <w:color w:val="auto"/>
          <w:szCs w:val="21"/>
          <w:highlight w:val="none"/>
        </w:rPr>
        <w:t>。</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2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color w:val="auto"/>
          <w:szCs w:val="21"/>
          <w:highlight w:val="none"/>
        </w:rPr>
      </w:pPr>
      <w:r>
        <w:rPr>
          <w:rFonts w:hint="eastAsia" w:ascii="宋体" w:hAnsi="宋体" w:cs="宋体"/>
          <w:color w:val="auto"/>
          <w:szCs w:val="21"/>
          <w:highlight w:val="none"/>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bookmarkStart w:id="113" w:name="_Toc80205930"/>
    </w:p>
    <w:p>
      <w:pPr>
        <w:pStyle w:val="5"/>
        <w:spacing w:before="0" w:after="0" w:line="360" w:lineRule="auto"/>
        <w:ind w:firstLine="315" w:firstLineChars="98"/>
        <w:rPr>
          <w:color w:val="auto"/>
          <w:highlight w:val="none"/>
        </w:rPr>
      </w:pPr>
      <w:bookmarkStart w:id="114" w:name="_Toc26989"/>
      <w:bookmarkStart w:id="115" w:name="_Toc9275"/>
      <w:bookmarkStart w:id="116" w:name="_Toc80886935"/>
    </w:p>
    <w:p>
      <w:pPr>
        <w:pStyle w:val="5"/>
        <w:spacing w:before="0" w:after="0" w:line="360" w:lineRule="auto"/>
        <w:ind w:firstLine="313" w:firstLineChars="98"/>
        <w:rPr>
          <w:b w:val="0"/>
          <w:color w:val="auto"/>
          <w:highlight w:val="none"/>
        </w:rPr>
      </w:pPr>
      <w:r>
        <w:rPr>
          <w:rFonts w:hint="eastAsia"/>
          <w:b w:val="0"/>
          <w:bCs w:val="0"/>
          <w:color w:val="auto"/>
          <w:highlight w:val="none"/>
        </w:rPr>
        <w:t>六</w:t>
      </w:r>
      <w:r>
        <w:rPr>
          <w:rFonts w:hint="eastAsia"/>
          <w:b w:val="0"/>
          <w:color w:val="auto"/>
          <w:highlight w:val="none"/>
        </w:rPr>
        <w:t>、验收</w:t>
      </w:r>
      <w:bookmarkEnd w:id="113"/>
      <w:bookmarkEnd w:id="114"/>
      <w:bookmarkEnd w:id="115"/>
      <w:bookmarkEnd w:id="116"/>
    </w:p>
    <w:p>
      <w:pPr>
        <w:tabs>
          <w:tab w:val="left" w:pos="0"/>
        </w:tabs>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ascii="宋体" w:hAnsi="宋体" w:cs="宋体"/>
          <w:color w:val="auto"/>
          <w:kern w:val="0"/>
          <w:szCs w:val="21"/>
          <w:highlight w:val="none"/>
        </w:rPr>
        <w:t>返还条件挂钩。履约验收的各项资料应当存档备查。</w:t>
      </w:r>
    </w:p>
    <w:p>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b w:val="0"/>
          <w:bCs w:val="0"/>
          <w:color w:val="auto"/>
          <w:highlight w:val="none"/>
        </w:rPr>
      </w:pPr>
      <w:bookmarkStart w:id="117" w:name="_Toc80886936"/>
      <w:bookmarkStart w:id="118" w:name="_Toc10913"/>
      <w:bookmarkStart w:id="119" w:name="_Toc1170"/>
    </w:p>
    <w:p>
      <w:pPr>
        <w:pStyle w:val="5"/>
        <w:spacing w:before="0" w:after="0" w:line="360" w:lineRule="auto"/>
        <w:ind w:firstLine="320" w:firstLineChars="100"/>
        <w:rPr>
          <w:b w:val="0"/>
          <w:bCs w:val="0"/>
          <w:color w:val="auto"/>
          <w:highlight w:val="none"/>
        </w:rPr>
      </w:pPr>
      <w:r>
        <w:rPr>
          <w:rFonts w:hint="eastAsia"/>
          <w:b w:val="0"/>
          <w:bCs w:val="0"/>
          <w:color w:val="auto"/>
          <w:highlight w:val="none"/>
        </w:rPr>
        <w:t>七、其他事项</w:t>
      </w:r>
      <w:bookmarkEnd w:id="117"/>
      <w:bookmarkEnd w:id="118"/>
      <w:bookmarkEnd w:id="119"/>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3.采购代理服务费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采购代理服务费收费标准及缴费账户详见“供应商须知前附表”，供应商为联合体的，可以由联合体中的一方或者多方共同缴纳采购代理服务费。</w:t>
      </w:r>
    </w:p>
    <w:p>
      <w:pPr>
        <w:pStyle w:val="12"/>
        <w:ind w:firstLine="420" w:firstLineChars="200"/>
        <w:rPr>
          <w:rFonts w:ascii="宋体" w:hAnsi="宋体" w:cs="宋体"/>
          <w:color w:val="auto"/>
          <w:highlight w:val="none"/>
        </w:rPr>
      </w:pPr>
      <w:r>
        <w:rPr>
          <w:rFonts w:hint="eastAsia" w:ascii="宋体" w:hAnsi="宋体" w:cs="宋体"/>
          <w:color w:val="auto"/>
          <w:szCs w:val="21"/>
          <w:highlight w:val="none"/>
        </w:rPr>
        <w:t>33.2采购代理服务费收费计算标准：</w:t>
      </w:r>
    </w:p>
    <w:tbl>
      <w:tblPr>
        <w:tblStyle w:val="2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100万元～500万元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500万元～1000万元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1000万元～5000万元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1亿元～5亿元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5亿元～10亿元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10亿元～50亿元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50亿元～100亿元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例如：项目成交金额为198万元，计算采购代理收费额如下：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198 － 100 ）万元 ×0.8％＝ 0.784万元</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 1.5 ＋ 0.784＝ 2.284 万元</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35. 广西线上“政采贷”政策告知函</w:t>
      </w:r>
    </w:p>
    <w:p>
      <w:pPr>
        <w:spacing w:line="580" w:lineRule="exact"/>
        <w:jc w:val="center"/>
        <w:rPr>
          <w:rFonts w:ascii="宋体" w:hAnsi="宋体" w:cs="宋体"/>
          <w:color w:val="auto"/>
          <w:sz w:val="32"/>
          <w:szCs w:val="32"/>
          <w:highlight w:val="none"/>
        </w:rPr>
      </w:pPr>
    </w:p>
    <w:p>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广西线上“政采贷”政策告知函</w:t>
      </w:r>
    </w:p>
    <w:p>
      <w:pPr>
        <w:spacing w:line="580" w:lineRule="exact"/>
        <w:ind w:firstLine="420" w:firstLineChars="200"/>
        <w:rPr>
          <w:rFonts w:ascii="宋体" w:hAnsi="宋体" w:cs="宋体"/>
          <w:color w:val="auto"/>
          <w:szCs w:val="32"/>
          <w:highlight w:val="none"/>
        </w:rPr>
      </w:pPr>
    </w:p>
    <w:p>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5"/>
          <w:rFonts w:hint="eastAsia" w:ascii="宋体" w:hAnsi="宋体" w:cs="宋体"/>
          <w:color w:val="auto"/>
          <w:szCs w:val="21"/>
          <w:highlight w:val="none"/>
        </w:rPr>
        <w:t>https://www.crcrfsp.com/</w:t>
      </w:r>
      <w:r>
        <w:rPr>
          <w:rStyle w:val="25"/>
          <w:rFonts w:hint="eastAsia" w:ascii="宋体" w:hAnsi="宋体" w:cs="宋体"/>
          <w:color w:val="auto"/>
          <w:szCs w:val="21"/>
          <w:highlight w:val="none"/>
        </w:rPr>
        <w:fldChar w:fldCharType="end"/>
      </w:r>
      <w:r>
        <w:rPr>
          <w:rFonts w:hint="eastAsia" w:ascii="宋体" w:hAnsi="宋体" w:cs="宋体"/>
          <w:color w:val="auto"/>
          <w:szCs w:val="21"/>
          <w:highlight w:val="none"/>
        </w:rPr>
        <w:t>，客服电话：400-009-0001）。</w:t>
      </w:r>
    </w:p>
    <w:p>
      <w:pPr>
        <w:pStyle w:val="16"/>
        <w:rPr>
          <w:rFonts w:ascii="宋体" w:hAnsi="宋体" w:cs="宋体"/>
          <w:color w:val="auto"/>
          <w:szCs w:val="21"/>
          <w:highlight w:val="none"/>
        </w:rPr>
      </w:pPr>
      <w:r>
        <w:rPr>
          <w:rFonts w:hint="eastAsia" w:ascii="宋体" w:hAnsi="宋体" w:cs="宋体"/>
          <w:color w:val="auto"/>
          <w:szCs w:val="21"/>
          <w:highlight w:val="none"/>
        </w:rPr>
        <w:br w:type="page"/>
      </w:r>
    </w:p>
    <w:p>
      <w:pPr>
        <w:pStyle w:val="3"/>
        <w:spacing w:line="240" w:lineRule="auto"/>
        <w:jc w:val="center"/>
        <w:rPr>
          <w:rFonts w:ascii="Calibri" w:hAnsi="Calibri"/>
          <w:color w:val="auto"/>
          <w:highlight w:val="none"/>
        </w:rPr>
      </w:pPr>
      <w:bookmarkStart w:id="120" w:name="_Toc80886937"/>
      <w:bookmarkStart w:id="121" w:name="_Toc3976"/>
      <w:bookmarkStart w:id="122" w:name="_Toc8593"/>
      <w:bookmarkStart w:id="123" w:name="_Toc28979"/>
      <w:bookmarkStart w:id="124" w:name="_Toc8412"/>
      <w:bookmarkStart w:id="125" w:name="_Toc3879"/>
      <w:bookmarkStart w:id="126" w:name="_Toc1088"/>
      <w:bookmarkStart w:id="127" w:name="_Toc17511"/>
      <w:r>
        <w:rPr>
          <w:rFonts w:hint="eastAsia" w:ascii="Calibri" w:hAnsi="Calibri"/>
          <w:color w:val="auto"/>
          <w:highlight w:val="none"/>
        </w:rPr>
        <w:t>第四章  评审程序、评审方法和评审标准</w:t>
      </w:r>
      <w:bookmarkEnd w:id="120"/>
      <w:bookmarkEnd w:id="121"/>
      <w:bookmarkEnd w:id="122"/>
      <w:bookmarkEnd w:id="123"/>
      <w:bookmarkEnd w:id="124"/>
      <w:bookmarkEnd w:id="125"/>
      <w:bookmarkEnd w:id="126"/>
      <w:bookmarkEnd w:id="127"/>
    </w:p>
    <w:p>
      <w:pPr>
        <w:pStyle w:val="4"/>
        <w:jc w:val="center"/>
        <w:rPr>
          <w:rFonts w:ascii="宋体" w:hAnsi="宋体"/>
          <w:b w:val="0"/>
          <w:color w:val="auto"/>
          <w:highlight w:val="none"/>
        </w:rPr>
      </w:pPr>
      <w:bookmarkStart w:id="128" w:name="_Toc17424"/>
      <w:bookmarkStart w:id="129" w:name="_Toc80886938"/>
      <w:bookmarkStart w:id="130" w:name="_Toc11607"/>
      <w:r>
        <w:rPr>
          <w:rFonts w:hint="eastAsia" w:ascii="宋体" w:hAnsi="宋体"/>
          <w:b w:val="0"/>
          <w:color w:val="auto"/>
          <w:highlight w:val="none"/>
        </w:rPr>
        <w:t>第一节 评审程序和评审方法</w:t>
      </w:r>
      <w:bookmarkEnd w:id="128"/>
      <w:bookmarkEnd w:id="129"/>
      <w:bookmarkEnd w:id="130"/>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pPr>
        <w:spacing w:line="360" w:lineRule="auto"/>
        <w:ind w:firstLine="420" w:firstLineChars="200"/>
        <w:rPr>
          <w:rFonts w:cs="宋体"/>
          <w:color w:val="auto"/>
          <w:szCs w:val="21"/>
          <w:highlight w:val="none"/>
        </w:rPr>
      </w:pPr>
      <w:r>
        <w:rPr>
          <w:rFonts w:hint="eastAsia" w:cs="宋体"/>
          <w:color w:val="auto"/>
          <w:szCs w:val="21"/>
          <w:highlight w:val="none"/>
        </w:rPr>
        <w:t>由磋商小组确认磋商文件。</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rFonts w:hint="eastAsia" w:ascii="宋体" w:hAnsi="宋体" w:cs="宋体"/>
          <w:color w:val="auto"/>
          <w:highlight w:val="none"/>
          <w:u w:val="none"/>
        </w:rPr>
        <w:t>www.creditchina.gov.cn</w:t>
      </w:r>
      <w:r>
        <w:rPr>
          <w:rStyle w:val="26"/>
          <w:rFonts w:hint="eastAsia" w:ascii="宋体" w:hAnsi="宋体" w:cs="宋体"/>
          <w:color w:val="auto"/>
          <w:highlight w:val="none"/>
          <w:u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6"/>
          <w:rFonts w:hint="eastAsia" w:ascii="宋体" w:hAnsi="宋体" w:cs="宋体"/>
          <w:color w:val="auto"/>
          <w:highlight w:val="none"/>
          <w:u w:val="none"/>
        </w:rPr>
        <w:t>www.ccgp.gov.cn</w:t>
      </w:r>
      <w:r>
        <w:rPr>
          <w:rStyle w:val="26"/>
          <w:rFonts w:hint="eastAsia" w:ascii="宋体" w:hAnsi="宋体" w:cs="宋体"/>
          <w:color w:val="auto"/>
          <w:highlight w:val="none"/>
          <w:u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bookmarkStart w:id="13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（1）响应文件中响应报价表内容与响应文件中相应内容不一致的，以响应报价表为准；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（3）单价金额小数点或者百分比有明显错位的，以响应报价表的总价为准，并修改单价；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pPr>
        <w:pStyle w:val="12"/>
        <w:ind w:firstLine="420" w:firstLineChars="200"/>
        <w:rPr>
          <w:rFonts w:ascii="宋体" w:hAnsi="宋体" w:cs="宋体"/>
          <w:color w:val="auto"/>
          <w:highlight w:val="none"/>
        </w:rPr>
      </w:pPr>
      <w:r>
        <w:rPr>
          <w:rFonts w:hint="eastAsia" w:ascii="宋体" w:hAnsi="宋体" w:cs="宋体"/>
          <w:color w:val="auto"/>
          <w:szCs w:val="21"/>
          <w:highlight w:val="none"/>
        </w:rPr>
        <w:t>15）提交的磋商保证金无效的或者未按照磋商文件的规定提交磋商保证金；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项目/分标规定的采购预算金额或者最高限价的（如本项目公布了最高限价）；响应报价（包含首次报价、最后报价）超过磋商文件分项采购预算金额（如本项目公布了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如本项目公布了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4.6磋商小组应对磋商过程和重要磋商内容进行记录，作为评审报告一部分，磋商小组在记录上签字确认。</w:t>
      </w:r>
      <w:r>
        <w:rPr>
          <w:rFonts w:hint="eastAsia" w:ascii="宋体" w:hAnsi="宋体" w:cs="宋体"/>
          <w:b/>
          <w:color w:val="auto"/>
          <w:highlight w:val="none"/>
        </w:rPr>
        <w:t>主要内容包括：</w:t>
      </w:r>
    </w:p>
    <w:p>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ind w:firstLine="482" w:firstLineChars="200"/>
        <w:rPr>
          <w:rFonts w:ascii="宋体" w:hAnsi="宋体" w:cs="宋体"/>
          <w:color w:val="auto"/>
          <w:szCs w:val="21"/>
          <w:highlight w:val="none"/>
        </w:rPr>
      </w:pPr>
      <w:r>
        <w:rPr>
          <w:rFonts w:hint="eastAsia" w:ascii="宋体" w:hAnsi="宋体" w:cs="宋体"/>
          <w:b/>
          <w:bCs/>
          <w:color w:val="auto"/>
          <w:sz w:val="24"/>
          <w:highlight w:val="none"/>
        </w:rPr>
        <w:t>5.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5.5供应商未在规定时间内提交最后报价的，视同退出磋商，其响应文件按无效处理。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5.8修正后的最后报价出现下列情形的，按无效响应处理：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pPr>
        <w:pStyle w:val="16"/>
        <w:spacing w:line="360" w:lineRule="auto"/>
        <w:ind w:firstLine="422" w:firstLineChars="200"/>
        <w:rPr>
          <w:color w:val="auto"/>
          <w:highlight w:val="none"/>
        </w:rPr>
      </w:pPr>
      <w:r>
        <w:rPr>
          <w:rFonts w:hint="eastAsia" w:ascii="宋体" w:hAnsi="宋体" w:cs="宋体"/>
          <w:b/>
          <w:bCs/>
          <w:color w:val="auto"/>
          <w:sz w:val="21"/>
          <w:szCs w:val="21"/>
          <w:highlight w:val="none"/>
        </w:rPr>
        <w:t>注：</w:t>
      </w:r>
      <w:r>
        <w:rPr>
          <w:rFonts w:hint="eastAsia"/>
          <w:b/>
          <w:bCs/>
          <w:color w:val="auto"/>
          <w:sz w:val="21"/>
          <w:szCs w:val="21"/>
          <w:highlight w:val="none"/>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highlight w:val="none"/>
          <w:lang w:val="zh-CN"/>
        </w:rPr>
        <w:t>。</w:t>
      </w:r>
    </w:p>
    <w:p>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pPr>
        <w:pStyle w:val="12"/>
        <w:spacing w:line="360" w:lineRule="auto"/>
        <w:ind w:firstLine="420" w:firstLineChars="200"/>
        <w:rPr>
          <w:rFonts w:ascii="宋体" w:hAnsi="宋体" w:cs="宋体"/>
          <w:color w:val="auto"/>
          <w:highlight w:val="none"/>
        </w:rPr>
      </w:pPr>
      <w:r>
        <w:rPr>
          <w:rFonts w:hint="eastAsia" w:ascii="宋体" w:hAnsi="宋体" w:cs="宋体"/>
          <w:color w:val="auto"/>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w:t>
      </w:r>
      <w:r>
        <w:rPr>
          <w:rFonts w:hint="eastAsia" w:ascii="宋体" w:hAnsi="宋体" w:cs="宋体"/>
          <w:color w:val="auto"/>
          <w:highlight w:val="none"/>
        </w:rPr>
        <w:t>报价</w:t>
      </w:r>
      <w:r>
        <w:rPr>
          <w:rFonts w:hint="eastAsia" w:ascii="宋体" w:hAnsi="宋体" w:cs="宋体"/>
          <w:color w:val="auto"/>
          <w:szCs w:val="21"/>
          <w:highlight w:val="none"/>
        </w:rPr>
        <w:t>为供应商的最后报价进行政策性扣除后的价格，评审</w:t>
      </w:r>
      <w:r>
        <w:rPr>
          <w:rFonts w:hint="eastAsia" w:ascii="宋体" w:hAnsi="宋体" w:cs="宋体"/>
          <w:color w:val="auto"/>
          <w:highlight w:val="none"/>
        </w:rPr>
        <w:t>报价</w:t>
      </w:r>
      <w:r>
        <w:rPr>
          <w:rFonts w:hint="eastAsia" w:ascii="宋体" w:hAnsi="宋体" w:cs="宋体"/>
          <w:color w:val="auto"/>
          <w:szCs w:val="21"/>
          <w:highlight w:val="none"/>
        </w:rPr>
        <w:t>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审报告。符合本章第5.3条情形的，可以推荐2家成交候选供应商。评审得分相同的，</w:t>
      </w:r>
      <w:r>
        <w:rPr>
          <w:rFonts w:hint="eastAsia" w:ascii="宋体" w:hAnsi="宋体" w:cs="宋体"/>
          <w:bCs/>
          <w:color w:val="auto"/>
          <w:szCs w:val="21"/>
          <w:highlight w:val="none"/>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7.1评审依据：磋商小组将以响应文件为评审依据，对供应商的报价、技术、商务等方面内容按百分制打分，总得分=</w:t>
      </w:r>
      <w:r>
        <w:rPr>
          <w:rFonts w:hint="eastAsia" w:ascii="宋体" w:hAnsi="宋体" w:cs="宋体"/>
          <w:color w:val="auto"/>
          <w:kern w:val="0"/>
          <w:szCs w:val="21"/>
          <w:highlight w:val="none"/>
          <w:lang w:val="en-US" w:eastAsia="zh-CN"/>
        </w:rPr>
        <w:t>价格分</w:t>
      </w:r>
      <w:r>
        <w:rPr>
          <w:rFonts w:hint="eastAsia" w:ascii="宋体" w:hAnsi="宋体" w:cs="宋体"/>
          <w:color w:val="auto"/>
          <w:kern w:val="0"/>
          <w:szCs w:val="21"/>
          <w:highlight w:val="none"/>
        </w:rPr>
        <w:t>+技术分+</w:t>
      </w:r>
      <w:r>
        <w:rPr>
          <w:rFonts w:hint="eastAsia" w:ascii="宋体" w:hAnsi="宋体" w:cs="宋体"/>
          <w:color w:val="auto"/>
          <w:kern w:val="0"/>
          <w:szCs w:val="21"/>
          <w:highlight w:val="none"/>
          <w:lang w:val="en-US" w:eastAsia="zh-CN"/>
        </w:rPr>
        <w:t>商务分</w:t>
      </w:r>
      <w:r>
        <w:rPr>
          <w:rFonts w:hint="eastAsia" w:ascii="宋体" w:hAnsi="宋体" w:cs="宋体"/>
          <w:color w:val="auto"/>
          <w:kern w:val="0"/>
          <w:szCs w:val="21"/>
          <w:highlight w:val="none"/>
        </w:rPr>
        <w:t>。（计分方法按四舍五入取至百分位）</w:t>
      </w:r>
    </w:p>
    <w:p>
      <w:pPr>
        <w:spacing w:line="360" w:lineRule="auto"/>
        <w:ind w:firstLine="420" w:firstLineChars="200"/>
        <w:rPr>
          <w:rFonts w:ascii="宋体" w:hAnsi="宋体" w:cs="宋体"/>
          <w:color w:val="auto"/>
          <w:kern w:val="0"/>
          <w:szCs w:val="21"/>
          <w:highlight w:val="none"/>
        </w:rPr>
      </w:pPr>
    </w:p>
    <w:tbl>
      <w:tblPr>
        <w:tblStyle w:val="22"/>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18"/>
        <w:gridCol w:w="705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0" w:type="dxa"/>
            <w:vAlign w:val="center"/>
          </w:tcPr>
          <w:p>
            <w:pPr>
              <w:widowControl/>
              <w:spacing w:line="360" w:lineRule="auto"/>
              <w:jc w:val="center"/>
              <w:rPr>
                <w:rFonts w:ascii="宋体" w:hAnsi="宋体" w:eastAsia="Arial" w:cs="Tahoma"/>
                <w:b/>
                <w:bCs/>
                <w:color w:val="auto"/>
                <w:kern w:val="0"/>
                <w:szCs w:val="21"/>
                <w:highlight w:val="none"/>
              </w:rPr>
            </w:pPr>
            <w:bookmarkStart w:id="132" w:name="_Toc80205935"/>
            <w:r>
              <w:rPr>
                <w:rFonts w:hint="eastAsia" w:ascii="宋体" w:hAnsi="宋体" w:eastAsia="Arial" w:cs="Tahoma"/>
                <w:b/>
                <w:bCs/>
                <w:color w:val="auto"/>
                <w:kern w:val="0"/>
                <w:szCs w:val="21"/>
                <w:highlight w:val="none"/>
              </w:rPr>
              <w:t>序号</w:t>
            </w:r>
          </w:p>
        </w:tc>
        <w:tc>
          <w:tcPr>
            <w:tcW w:w="1418" w:type="dxa"/>
            <w:vAlign w:val="center"/>
          </w:tcPr>
          <w:p>
            <w:pPr>
              <w:widowControl/>
              <w:spacing w:line="360" w:lineRule="auto"/>
              <w:jc w:val="center"/>
              <w:rPr>
                <w:rFonts w:ascii="宋体" w:hAnsi="宋体" w:eastAsia="Arial" w:cs="Tahoma"/>
                <w:b/>
                <w:bCs/>
                <w:color w:val="auto"/>
                <w:kern w:val="0"/>
                <w:szCs w:val="21"/>
                <w:highlight w:val="none"/>
              </w:rPr>
            </w:pPr>
            <w:r>
              <w:rPr>
                <w:rFonts w:hint="eastAsia" w:ascii="宋体" w:hAnsi="宋体" w:eastAsia="Arial" w:cs="Tahoma"/>
                <w:b/>
                <w:bCs/>
                <w:color w:val="auto"/>
                <w:kern w:val="0"/>
                <w:szCs w:val="21"/>
                <w:highlight w:val="none"/>
              </w:rPr>
              <w:t>评审因素</w:t>
            </w:r>
          </w:p>
        </w:tc>
        <w:tc>
          <w:tcPr>
            <w:tcW w:w="7055" w:type="dxa"/>
            <w:vAlign w:val="center"/>
          </w:tcPr>
          <w:p>
            <w:pPr>
              <w:widowControl/>
              <w:spacing w:line="360" w:lineRule="auto"/>
              <w:jc w:val="center"/>
              <w:rPr>
                <w:rFonts w:ascii="宋体" w:hAnsi="宋体" w:eastAsia="Arial" w:cs="Tahoma"/>
                <w:b/>
                <w:bCs/>
                <w:color w:val="auto"/>
                <w:kern w:val="0"/>
                <w:szCs w:val="21"/>
                <w:highlight w:val="none"/>
              </w:rPr>
            </w:pPr>
            <w:r>
              <w:rPr>
                <w:rFonts w:hint="eastAsia" w:ascii="宋体" w:hAnsi="宋体" w:eastAsia="Arial" w:cs="Tahoma"/>
                <w:b/>
                <w:bCs/>
                <w:color w:val="auto"/>
                <w:kern w:val="0"/>
                <w:szCs w:val="21"/>
                <w:highlight w:val="none"/>
              </w:rPr>
              <w:t>评审因素具体内容</w:t>
            </w:r>
          </w:p>
        </w:tc>
        <w:tc>
          <w:tcPr>
            <w:tcW w:w="851" w:type="dxa"/>
            <w:vAlign w:val="center"/>
          </w:tcPr>
          <w:p>
            <w:pPr>
              <w:widowControl/>
              <w:spacing w:line="360" w:lineRule="auto"/>
              <w:jc w:val="center"/>
              <w:rPr>
                <w:rFonts w:ascii="宋体" w:hAnsi="宋体" w:eastAsia="Arial" w:cs="Tahoma"/>
                <w:b/>
                <w:bCs/>
                <w:color w:val="auto"/>
                <w:kern w:val="0"/>
                <w:szCs w:val="21"/>
                <w:highlight w:val="none"/>
              </w:rPr>
            </w:pPr>
            <w:r>
              <w:rPr>
                <w:rFonts w:hint="eastAsia" w:ascii="宋体" w:hAnsi="宋体" w:eastAsia="Arial"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widowControl/>
              <w:spacing w:line="360" w:lineRule="auto"/>
              <w:jc w:val="center"/>
              <w:rPr>
                <w:rFonts w:ascii="宋体" w:hAnsi="宋体" w:eastAsia="Arial" w:cs="Tahoma"/>
                <w:color w:val="auto"/>
                <w:kern w:val="0"/>
                <w:szCs w:val="21"/>
                <w:highlight w:val="none"/>
              </w:rPr>
            </w:pPr>
            <w:r>
              <w:rPr>
                <w:rFonts w:hint="eastAsia" w:ascii="宋体" w:hAnsi="宋体" w:eastAsia="Arial" w:cs="Tahoma"/>
                <w:color w:val="auto"/>
                <w:kern w:val="0"/>
                <w:szCs w:val="21"/>
                <w:highlight w:val="none"/>
              </w:rPr>
              <w:t>1</w:t>
            </w:r>
          </w:p>
        </w:tc>
        <w:tc>
          <w:tcPr>
            <w:tcW w:w="1418" w:type="dxa"/>
            <w:vAlign w:val="center"/>
          </w:tcPr>
          <w:p>
            <w:pPr>
              <w:widowControl/>
              <w:spacing w:line="360" w:lineRule="auto"/>
              <w:jc w:val="center"/>
              <w:rPr>
                <w:rFonts w:ascii="宋体" w:hAnsi="宋体" w:eastAsia="Arial" w:cs="Tahoma"/>
                <w:color w:val="auto"/>
                <w:kern w:val="0"/>
                <w:szCs w:val="21"/>
                <w:highlight w:val="none"/>
              </w:rPr>
            </w:pPr>
            <w:r>
              <w:rPr>
                <w:rFonts w:hint="eastAsia" w:ascii="宋体" w:hAnsi="宋体" w:eastAsia="Arial" w:cs="Tahoma"/>
                <w:color w:val="auto"/>
                <w:kern w:val="0"/>
                <w:szCs w:val="21"/>
                <w:highlight w:val="none"/>
              </w:rPr>
              <w:t>价格分</w:t>
            </w:r>
          </w:p>
        </w:tc>
        <w:tc>
          <w:tcPr>
            <w:tcW w:w="7055" w:type="dxa"/>
          </w:tcPr>
          <w:p>
            <w:pPr>
              <w:spacing w:line="360" w:lineRule="auto"/>
              <w:jc w:val="left"/>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1.本项目为专门面向中小企业采购的项目，按照《政府采购促进中小企业发展管理办法》（财库〔2020〕46号）的规定，对供应商最后报价不再执行价格评审优惠的扶持政策。</w:t>
            </w:r>
          </w:p>
          <w:p>
            <w:pPr>
              <w:spacing w:line="360" w:lineRule="auto"/>
              <w:jc w:val="left"/>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2.评审报价为供应商的最后报价，评审报价只是作为评审时使用。最终成交供应商的成交金额等于最后报价（如有修正，以确认修正后的最后报价为准）。</w:t>
            </w:r>
          </w:p>
          <w:p>
            <w:pPr>
              <w:spacing w:line="360" w:lineRule="auto"/>
              <w:jc w:val="left"/>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3.以进入比较与评价环节的最低的评审报价为基准价，基准价得分为</w:t>
            </w:r>
            <w:r>
              <w:rPr>
                <w:rFonts w:hint="eastAsia" w:ascii="宋体" w:hAnsi="宋体" w:cs="Courier New"/>
                <w:bCs/>
                <w:color w:val="auto"/>
                <w:szCs w:val="21"/>
                <w:highlight w:val="none"/>
              </w:rPr>
              <w:t>10</w:t>
            </w:r>
            <w:r>
              <w:rPr>
                <w:rFonts w:hint="eastAsia" w:ascii="宋体" w:hAnsi="宋体" w:eastAsia="Arial" w:cs="Courier New"/>
                <w:bCs/>
                <w:color w:val="auto"/>
                <w:szCs w:val="21"/>
                <w:highlight w:val="none"/>
              </w:rPr>
              <w:t>分。</w:t>
            </w:r>
          </w:p>
          <w:p>
            <w:pPr>
              <w:spacing w:line="360" w:lineRule="auto"/>
              <w:jc w:val="left"/>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4.价格分计算公式：</w:t>
            </w:r>
          </w:p>
          <w:p>
            <w:pPr>
              <w:spacing w:line="360" w:lineRule="auto"/>
              <w:jc w:val="left"/>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报价得分=（基准价/评审报价）×</w:t>
            </w:r>
            <w:r>
              <w:rPr>
                <w:rFonts w:hint="eastAsia" w:ascii="宋体" w:hAnsi="宋体" w:cs="Courier New"/>
                <w:bCs/>
                <w:color w:val="auto"/>
                <w:szCs w:val="21"/>
                <w:highlight w:val="none"/>
              </w:rPr>
              <w:t>10</w:t>
            </w:r>
            <w:r>
              <w:rPr>
                <w:rFonts w:hint="eastAsia" w:ascii="宋体" w:hAnsi="宋体" w:eastAsia="Arial" w:cs="Courier New"/>
                <w:bCs/>
                <w:color w:val="auto"/>
                <w:szCs w:val="21"/>
                <w:highlight w:val="none"/>
              </w:rPr>
              <w:t>分</w:t>
            </w:r>
          </w:p>
        </w:tc>
        <w:tc>
          <w:tcPr>
            <w:tcW w:w="851" w:type="dxa"/>
            <w:vAlign w:val="center"/>
          </w:tcPr>
          <w:p>
            <w:pPr>
              <w:widowControl/>
              <w:spacing w:line="360" w:lineRule="auto"/>
              <w:jc w:val="center"/>
              <w:rPr>
                <w:rFonts w:ascii="宋体" w:hAnsi="宋体" w:eastAsia="Arial" w:cs="Tahoma"/>
                <w:color w:val="auto"/>
                <w:kern w:val="0"/>
                <w:szCs w:val="21"/>
                <w:highlight w:val="none"/>
              </w:rPr>
            </w:pPr>
            <w:r>
              <w:rPr>
                <w:rFonts w:hint="eastAsia" w:ascii="宋体" w:hAnsi="宋体" w:eastAsia="Arial" w:cs="Tahoma"/>
                <w:color w:val="auto"/>
                <w:kern w:val="0"/>
                <w:szCs w:val="21"/>
                <w:highlight w:val="none"/>
              </w:rPr>
              <w:t>1</w:t>
            </w:r>
            <w:r>
              <w:rPr>
                <w:rFonts w:hint="eastAsia" w:ascii="宋体" w:hAnsi="宋体" w:cs="Tahoma"/>
                <w:color w:val="auto"/>
                <w:kern w:val="0"/>
                <w:szCs w:val="21"/>
                <w:highlight w:val="none"/>
              </w:rPr>
              <w:t>0</w:t>
            </w:r>
            <w:r>
              <w:rPr>
                <w:rFonts w:hint="eastAsia" w:ascii="宋体" w:hAnsi="宋体" w:eastAsia="Arial"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0" w:type="dxa"/>
            <w:vAlign w:val="center"/>
          </w:tcPr>
          <w:p>
            <w:pPr>
              <w:widowControl/>
              <w:spacing w:line="360" w:lineRule="auto"/>
              <w:jc w:val="center"/>
              <w:rPr>
                <w:rFonts w:ascii="宋体" w:hAnsi="宋体" w:eastAsia="Arial" w:cs="Tahoma"/>
                <w:bCs/>
                <w:color w:val="auto"/>
                <w:kern w:val="0"/>
                <w:szCs w:val="21"/>
                <w:highlight w:val="none"/>
              </w:rPr>
            </w:pPr>
            <w:r>
              <w:rPr>
                <w:rFonts w:hint="eastAsia" w:ascii="宋体" w:hAnsi="宋体" w:eastAsia="Arial" w:cs="Arial"/>
                <w:bCs/>
                <w:color w:val="auto"/>
                <w:kern w:val="0"/>
                <w:szCs w:val="21"/>
                <w:highlight w:val="none"/>
              </w:rPr>
              <w:t>2</w:t>
            </w:r>
          </w:p>
        </w:tc>
        <w:tc>
          <w:tcPr>
            <w:tcW w:w="1418" w:type="dxa"/>
            <w:vAlign w:val="center"/>
          </w:tcPr>
          <w:p>
            <w:pPr>
              <w:widowControl/>
              <w:spacing w:line="360" w:lineRule="auto"/>
              <w:jc w:val="center"/>
              <w:rPr>
                <w:rFonts w:ascii="宋体" w:hAnsi="宋体" w:cs="Tahoma"/>
                <w:bCs/>
                <w:color w:val="auto"/>
                <w:kern w:val="0"/>
                <w:szCs w:val="21"/>
                <w:highlight w:val="none"/>
              </w:rPr>
            </w:pPr>
            <w:r>
              <w:rPr>
                <w:rFonts w:hint="eastAsia" w:ascii="宋体" w:hAnsi="宋体" w:eastAsia="Arial" w:cs="Arial"/>
                <w:bCs/>
                <w:color w:val="auto"/>
                <w:kern w:val="0"/>
                <w:szCs w:val="21"/>
                <w:highlight w:val="none"/>
              </w:rPr>
              <w:t>技术分</w:t>
            </w:r>
            <w:r>
              <w:rPr>
                <w:rFonts w:hint="eastAsia" w:ascii="宋体" w:hAnsi="宋体" w:cs="Arial"/>
                <w:bCs/>
                <w:color w:val="auto"/>
                <w:kern w:val="0"/>
                <w:szCs w:val="21"/>
                <w:highlight w:val="none"/>
              </w:rPr>
              <w:t>（满分</w:t>
            </w:r>
            <w:r>
              <w:rPr>
                <w:rFonts w:hint="eastAsia" w:ascii="宋体" w:hAnsi="宋体" w:cs="Arial"/>
                <w:bCs/>
                <w:color w:val="auto"/>
                <w:kern w:val="0"/>
                <w:szCs w:val="21"/>
                <w:highlight w:val="none"/>
                <w:lang w:val="en-US" w:eastAsia="zh-CN"/>
              </w:rPr>
              <w:t>61</w:t>
            </w:r>
            <w:r>
              <w:rPr>
                <w:rFonts w:hint="eastAsia" w:ascii="宋体" w:hAnsi="宋体" w:cs="Arial"/>
                <w:bCs/>
                <w:color w:val="auto"/>
                <w:kern w:val="0"/>
                <w:szCs w:val="21"/>
                <w:highlight w:val="none"/>
              </w:rPr>
              <w:t>分）</w:t>
            </w:r>
          </w:p>
        </w:tc>
        <w:tc>
          <w:tcPr>
            <w:tcW w:w="7906" w:type="dxa"/>
            <w:gridSpan w:val="2"/>
            <w:vAlign w:val="center"/>
          </w:tcPr>
          <w:p>
            <w:pPr>
              <w:widowControl/>
              <w:spacing w:line="360" w:lineRule="auto"/>
              <w:jc w:val="center"/>
              <w:rPr>
                <w:rFonts w:ascii="宋体" w:hAnsi="宋体" w:eastAsia="Arial" w:cs="Tahoma"/>
                <w:bCs/>
                <w:color w:val="auto"/>
                <w:kern w:val="0"/>
                <w:szCs w:val="21"/>
                <w:highlight w:val="none"/>
              </w:rPr>
            </w:pPr>
            <w:r>
              <w:rPr>
                <w:rFonts w:hint="eastAsia" w:ascii="宋体" w:hAnsi="宋体" w:cs="宋体"/>
                <w:b/>
                <w:color w:val="auto"/>
                <w:szCs w:val="21"/>
                <w:highlight w:val="none"/>
              </w:rPr>
              <w:t>评分内容与标准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730" w:type="dxa"/>
            <w:vAlign w:val="center"/>
          </w:tcPr>
          <w:p>
            <w:pPr>
              <w:adjustRightInd w:val="0"/>
              <w:spacing w:line="360" w:lineRule="auto"/>
              <w:ind w:left="-105" w:leftChars="-50" w:right="-105" w:rightChars="-50"/>
              <w:jc w:val="center"/>
              <w:textAlignment w:val="baseline"/>
              <w:rPr>
                <w:rFonts w:ascii="宋体" w:hAnsi="宋体" w:eastAsia="Arial" w:cs="Arial"/>
                <w:bCs/>
                <w:color w:val="auto"/>
                <w:kern w:val="0"/>
                <w:szCs w:val="21"/>
                <w:highlight w:val="none"/>
              </w:rPr>
            </w:pPr>
            <w:r>
              <w:rPr>
                <w:rFonts w:hint="eastAsia" w:ascii="宋体" w:hAnsi="宋体" w:eastAsia="Arial" w:cs="Arial"/>
                <w:bCs/>
                <w:color w:val="auto"/>
                <w:kern w:val="0"/>
                <w:szCs w:val="21"/>
                <w:highlight w:val="none"/>
              </w:rPr>
              <w:t>2</w:t>
            </w:r>
            <w:r>
              <w:rPr>
                <w:rFonts w:ascii="宋体" w:hAnsi="宋体" w:eastAsia="Arial" w:cs="Arial"/>
                <w:bCs/>
                <w:color w:val="auto"/>
                <w:kern w:val="0"/>
                <w:szCs w:val="21"/>
                <w:highlight w:val="none"/>
              </w:rPr>
              <w:t>.1</w:t>
            </w:r>
          </w:p>
        </w:tc>
        <w:tc>
          <w:tcPr>
            <w:tcW w:w="1418" w:type="dxa"/>
            <w:vAlign w:val="center"/>
          </w:tcPr>
          <w:p>
            <w:pPr>
              <w:adjustRightInd w:val="0"/>
              <w:spacing w:line="360" w:lineRule="auto"/>
              <w:jc w:val="center"/>
              <w:textAlignment w:val="baseline"/>
              <w:rPr>
                <w:rFonts w:hint="default" w:ascii="Arial" w:hAnsi="Arial" w:eastAsia="宋体" w:cs="Arial"/>
                <w:color w:val="auto"/>
                <w:highlight w:val="none"/>
                <w:lang w:val="en-US" w:eastAsia="zh-CN"/>
              </w:rPr>
            </w:pPr>
            <w:r>
              <w:rPr>
                <w:rFonts w:hint="eastAsia" w:ascii="Arial" w:hAnsi="Arial" w:cs="Arial"/>
                <w:color w:val="auto"/>
                <w:highlight w:val="none"/>
                <w:lang w:val="en-US" w:eastAsia="zh-CN"/>
              </w:rPr>
              <w:t>服务方案评价（满分20分）</w:t>
            </w:r>
          </w:p>
        </w:tc>
        <w:tc>
          <w:tcPr>
            <w:tcW w:w="7055" w:type="dxa"/>
            <w:vAlign w:val="center"/>
          </w:tcPr>
          <w:p>
            <w:pPr>
              <w:suppressAutoHyphens/>
              <w:spacing w:line="360" w:lineRule="auto"/>
              <w:ind w:firstLine="378" w:firstLineChars="1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提供的项目实施方案不符合采购需求或者不切实际；</w:t>
            </w:r>
          </w:p>
          <w:p>
            <w:pPr>
              <w:suppressAutoHyphens/>
              <w:spacing w:line="360" w:lineRule="auto"/>
              <w:ind w:firstLine="378" w:firstLineChars="1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二档（5分）供应商提供的项目实施方案满足项目需求，包含简单的管理措施、具体实施流程、质量保证措施等；</w:t>
            </w:r>
          </w:p>
          <w:p>
            <w:pPr>
              <w:suppressAutoHyphens/>
              <w:spacing w:line="360" w:lineRule="auto"/>
              <w:ind w:firstLine="378" w:firstLineChars="1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三档（10分）供应商提供的项目实施方案包含</w:t>
            </w:r>
            <w:r>
              <w:rPr>
                <w:rFonts w:hint="eastAsia" w:ascii="宋体" w:hAnsi="宋体" w:cs="宋体"/>
                <w:bCs/>
                <w:color w:val="auto"/>
                <w:szCs w:val="21"/>
                <w:highlight w:val="none"/>
                <w:lang w:val="en-US" w:eastAsia="zh-CN"/>
              </w:rPr>
              <w:t>详细的</w:t>
            </w:r>
            <w:r>
              <w:rPr>
                <w:rFonts w:hint="eastAsia" w:ascii="宋体" w:hAnsi="宋体" w:eastAsia="宋体" w:cs="宋体"/>
                <w:bCs/>
                <w:color w:val="auto"/>
                <w:szCs w:val="21"/>
                <w:highlight w:val="none"/>
              </w:rPr>
              <w:t>管理措施、具体实施流程、质量保证措施等，整体方案</w:t>
            </w:r>
            <w:r>
              <w:rPr>
                <w:rFonts w:hint="eastAsia" w:ascii="宋体" w:hAnsi="宋体" w:cs="宋体"/>
                <w:bCs/>
                <w:color w:val="auto"/>
                <w:szCs w:val="21"/>
                <w:highlight w:val="none"/>
                <w:lang w:val="en-US" w:eastAsia="zh-CN"/>
              </w:rPr>
              <w:t>具有可行性</w:t>
            </w:r>
            <w:r>
              <w:rPr>
                <w:rFonts w:hint="eastAsia" w:ascii="宋体" w:hAnsi="宋体" w:eastAsia="宋体" w:cs="宋体"/>
                <w:bCs/>
                <w:color w:val="auto"/>
                <w:szCs w:val="21"/>
                <w:highlight w:val="none"/>
              </w:rPr>
              <w:t>；</w:t>
            </w:r>
          </w:p>
          <w:p>
            <w:pPr>
              <w:suppressAutoHyphens/>
              <w:spacing w:line="360" w:lineRule="auto"/>
              <w:ind w:firstLine="378" w:firstLineChars="18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四档（15分）供应商提供的项目实施方案详细，包含管理措施、具体实施流程、质量保证措施、突发事件应急方案，整体方案具有可行性，能说明实施各个阶段工作安排和进度计划，具有可行性；</w:t>
            </w:r>
          </w:p>
          <w:p>
            <w:pPr>
              <w:suppressAutoHyphens/>
              <w:spacing w:line="360" w:lineRule="auto"/>
              <w:ind w:firstLine="378" w:firstLineChars="18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五档（20分）供应商方案有活动协调机制；提供的各项目实施方案详细，包含管理措施、具体实施流程、质量保证措施、突发事件应急方案，整体方案具有针对性，能说明项目风险管理措施，有详细的关键技术说明，重点难点分析理解准确，描述详细，完全准确地理解项目需求。</w:t>
            </w:r>
          </w:p>
        </w:tc>
        <w:tc>
          <w:tcPr>
            <w:tcW w:w="851" w:type="dxa"/>
            <w:vAlign w:val="center"/>
          </w:tcPr>
          <w:p>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0" w:type="dxa"/>
            <w:vAlign w:val="center"/>
          </w:tcPr>
          <w:p>
            <w:pPr>
              <w:adjustRightInd w:val="0"/>
              <w:spacing w:line="360" w:lineRule="auto"/>
              <w:ind w:left="-105" w:leftChars="-50" w:right="-105" w:rightChars="-50"/>
              <w:jc w:val="center"/>
              <w:textAlignment w:val="baseline"/>
              <w:rPr>
                <w:rFonts w:ascii="宋体" w:hAnsi="宋体" w:eastAsia="Arial" w:cs="Arial"/>
                <w:bCs/>
                <w:color w:val="auto"/>
                <w:kern w:val="0"/>
                <w:szCs w:val="21"/>
                <w:highlight w:val="none"/>
              </w:rPr>
            </w:pPr>
            <w:r>
              <w:rPr>
                <w:rFonts w:ascii="宋体" w:hAnsi="宋体" w:eastAsia="Arial" w:cs="Arial"/>
                <w:bCs/>
                <w:color w:val="auto"/>
                <w:kern w:val="0"/>
                <w:szCs w:val="21"/>
                <w:highlight w:val="none"/>
              </w:rPr>
              <w:t>2.2</w:t>
            </w:r>
          </w:p>
        </w:tc>
        <w:tc>
          <w:tcPr>
            <w:tcW w:w="1418" w:type="dxa"/>
            <w:vAlign w:val="center"/>
          </w:tcPr>
          <w:p>
            <w:pPr>
              <w:adjustRightInd w:val="0"/>
              <w:spacing w:line="360" w:lineRule="auto"/>
              <w:jc w:val="center"/>
              <w:textAlignment w:val="baseline"/>
              <w:rPr>
                <w:rFonts w:hint="default" w:ascii="宋体" w:hAnsi="宋体" w:eastAsia="宋体" w:cs="Arial"/>
                <w:bCs/>
                <w:color w:val="auto"/>
                <w:kern w:val="0"/>
                <w:szCs w:val="21"/>
                <w:highlight w:val="none"/>
                <w:lang w:val="en-US" w:eastAsia="zh-CN"/>
              </w:rPr>
            </w:pPr>
            <w:r>
              <w:rPr>
                <w:rFonts w:hint="eastAsia" w:ascii="宋体" w:hAnsi="宋体" w:cs="Arial"/>
                <w:bCs/>
                <w:color w:val="auto"/>
                <w:kern w:val="0"/>
                <w:szCs w:val="21"/>
                <w:highlight w:val="none"/>
                <w:lang w:val="en-US" w:eastAsia="zh-CN"/>
              </w:rPr>
              <w:t>服务团队及服务设施设备分（满分15分）</w:t>
            </w:r>
          </w:p>
        </w:tc>
        <w:tc>
          <w:tcPr>
            <w:tcW w:w="7055" w:type="dxa"/>
            <w:vAlign w:val="center"/>
          </w:tcPr>
          <w:p>
            <w:pPr>
              <w:spacing w:line="360" w:lineRule="auto"/>
              <w:ind w:firstLine="420" w:firstLineChars="200"/>
              <w:rPr>
                <w:rFonts w:hint="eastAsia" w:ascii="宋体" w:hAnsi="宋体" w:eastAsia="Arial" w:cs="Courier New"/>
                <w:bCs/>
                <w:color w:val="auto"/>
                <w:szCs w:val="21"/>
                <w:highlight w:val="none"/>
              </w:rPr>
            </w:pPr>
            <w:r>
              <w:rPr>
                <w:rFonts w:hint="eastAsia" w:ascii="宋体" w:hAnsi="宋体" w:eastAsia="Arial" w:cs="Courier New"/>
                <w:bCs/>
                <w:color w:val="auto"/>
                <w:szCs w:val="21"/>
                <w:highlight w:val="none"/>
              </w:rPr>
              <w:t>一档（</w:t>
            </w:r>
            <w:r>
              <w:rPr>
                <w:rFonts w:hint="eastAsia" w:ascii="宋体" w:hAnsi="宋体" w:eastAsia="宋体" w:cs="Courier New"/>
                <w:bCs/>
                <w:color w:val="auto"/>
                <w:szCs w:val="21"/>
                <w:highlight w:val="none"/>
                <w:lang w:val="en-US" w:eastAsia="zh-CN"/>
              </w:rPr>
              <w:t>5</w:t>
            </w:r>
            <w:r>
              <w:rPr>
                <w:rFonts w:hint="eastAsia" w:ascii="宋体" w:hAnsi="宋体" w:eastAsia="Arial" w:cs="Courier New"/>
                <w:bCs/>
                <w:color w:val="auto"/>
                <w:szCs w:val="21"/>
                <w:highlight w:val="none"/>
              </w:rPr>
              <w:t>分）拟投入</w:t>
            </w:r>
            <w:bookmarkStart w:id="133" w:name="OLE_LINK5"/>
            <w:r>
              <w:rPr>
                <w:rFonts w:hint="eastAsia" w:ascii="宋体" w:hAnsi="宋体" w:eastAsia="Arial" w:cs="Courier New"/>
                <w:bCs/>
                <w:color w:val="auto"/>
                <w:szCs w:val="21"/>
                <w:highlight w:val="none"/>
              </w:rPr>
              <w:t>设备设施配备</w:t>
            </w:r>
            <w:bookmarkEnd w:id="133"/>
            <w:r>
              <w:rPr>
                <w:rFonts w:hint="eastAsia" w:ascii="宋体" w:hAnsi="宋体" w:eastAsia="Arial" w:cs="Courier New"/>
                <w:bCs/>
                <w:color w:val="auto"/>
                <w:szCs w:val="21"/>
                <w:highlight w:val="none"/>
              </w:rPr>
              <w:t>满足项目实施需求。建立</w:t>
            </w:r>
            <w:r>
              <w:rPr>
                <w:rFonts w:hint="eastAsia" w:ascii="宋体" w:hAnsi="宋体" w:eastAsia="宋体" w:cs="Courier New"/>
                <w:bCs/>
                <w:color w:val="auto"/>
                <w:szCs w:val="21"/>
                <w:highlight w:val="none"/>
                <w:lang w:val="en-US" w:eastAsia="zh-CN"/>
              </w:rPr>
              <w:t>有</w:t>
            </w:r>
            <w:r>
              <w:rPr>
                <w:rFonts w:hint="eastAsia" w:ascii="宋体" w:hAnsi="宋体" w:eastAsia="Arial" w:cs="Courier New"/>
                <w:bCs/>
                <w:color w:val="auto"/>
                <w:szCs w:val="21"/>
                <w:highlight w:val="none"/>
              </w:rPr>
              <w:t>相关运营管理制度性文件。</w:t>
            </w:r>
          </w:p>
          <w:p>
            <w:pPr>
              <w:spacing w:line="360" w:lineRule="auto"/>
              <w:ind w:firstLine="420" w:firstLineChars="200"/>
              <w:rPr>
                <w:rFonts w:hint="eastAsia" w:ascii="宋体" w:hAnsi="宋体" w:eastAsia="Arial" w:cs="Courier New"/>
                <w:bCs/>
                <w:color w:val="auto"/>
                <w:szCs w:val="21"/>
                <w:highlight w:val="none"/>
              </w:rPr>
            </w:pPr>
            <w:r>
              <w:rPr>
                <w:rFonts w:hint="eastAsia" w:ascii="宋体" w:hAnsi="宋体" w:eastAsia="Arial" w:cs="Courier New"/>
                <w:bCs/>
                <w:color w:val="auto"/>
                <w:szCs w:val="21"/>
                <w:highlight w:val="none"/>
              </w:rPr>
              <w:t>二档（</w:t>
            </w:r>
            <w:r>
              <w:rPr>
                <w:rFonts w:hint="eastAsia" w:ascii="宋体" w:hAnsi="宋体" w:cs="Courier New"/>
                <w:bCs/>
                <w:color w:val="auto"/>
                <w:szCs w:val="21"/>
                <w:highlight w:val="none"/>
                <w:lang w:val="en-US" w:eastAsia="zh-CN"/>
              </w:rPr>
              <w:t>10</w:t>
            </w:r>
            <w:r>
              <w:rPr>
                <w:rFonts w:hint="eastAsia" w:ascii="宋体" w:hAnsi="宋体" w:eastAsia="Arial" w:cs="Courier New"/>
                <w:bCs/>
                <w:color w:val="auto"/>
                <w:szCs w:val="21"/>
                <w:highlight w:val="none"/>
              </w:rPr>
              <w:t>分）拟投入设备设施配备满足项目实施需求。建立</w:t>
            </w:r>
            <w:r>
              <w:rPr>
                <w:rFonts w:hint="eastAsia" w:ascii="宋体" w:hAnsi="宋体" w:eastAsia="宋体" w:cs="Courier New"/>
                <w:bCs/>
                <w:color w:val="auto"/>
                <w:szCs w:val="21"/>
                <w:highlight w:val="none"/>
                <w:lang w:val="en-US" w:eastAsia="zh-CN"/>
              </w:rPr>
              <w:t>有详细的</w:t>
            </w:r>
            <w:r>
              <w:rPr>
                <w:rFonts w:hint="eastAsia" w:ascii="宋体" w:hAnsi="宋体" w:eastAsia="Arial" w:cs="Courier New"/>
                <w:bCs/>
                <w:color w:val="auto"/>
                <w:szCs w:val="21"/>
                <w:highlight w:val="none"/>
              </w:rPr>
              <w:t>相关运营管理制度性文件，</w:t>
            </w:r>
            <w:r>
              <w:rPr>
                <w:rFonts w:hint="eastAsia" w:ascii="宋体" w:hAnsi="宋体" w:eastAsia="宋体" w:cs="Courier New"/>
                <w:bCs/>
                <w:color w:val="auto"/>
                <w:szCs w:val="21"/>
                <w:highlight w:val="none"/>
                <w:lang w:val="en-US" w:eastAsia="zh-CN"/>
              </w:rPr>
              <w:t>有详</w:t>
            </w:r>
            <w:r>
              <w:rPr>
                <w:rFonts w:hint="eastAsia" w:ascii="宋体" w:hAnsi="宋体" w:cs="Courier New"/>
                <w:bCs/>
                <w:color w:val="auto"/>
                <w:szCs w:val="21"/>
                <w:highlight w:val="none"/>
                <w:lang w:val="en-US" w:eastAsia="zh-CN"/>
              </w:rPr>
              <w:t>细</w:t>
            </w:r>
            <w:r>
              <w:rPr>
                <w:rFonts w:hint="eastAsia" w:ascii="宋体" w:hAnsi="宋体" w:eastAsia="Arial" w:cs="Courier New"/>
                <w:bCs/>
                <w:color w:val="auto"/>
                <w:szCs w:val="21"/>
                <w:highlight w:val="none"/>
              </w:rPr>
              <w:t>规章制度。</w:t>
            </w:r>
          </w:p>
          <w:p>
            <w:pPr>
              <w:spacing w:line="360" w:lineRule="auto"/>
              <w:ind w:firstLine="420" w:firstLineChars="200"/>
              <w:rPr>
                <w:rFonts w:ascii="宋体" w:hAnsi="宋体" w:eastAsia="Arial" w:cs="Courier New"/>
                <w:bCs/>
                <w:color w:val="auto"/>
                <w:szCs w:val="21"/>
                <w:highlight w:val="none"/>
              </w:rPr>
            </w:pPr>
            <w:r>
              <w:rPr>
                <w:rFonts w:hint="eastAsia" w:ascii="宋体" w:hAnsi="宋体" w:eastAsia="Arial" w:cs="Courier New"/>
                <w:bCs/>
                <w:color w:val="auto"/>
                <w:szCs w:val="21"/>
                <w:highlight w:val="none"/>
              </w:rPr>
              <w:t>三档（</w:t>
            </w:r>
            <w:r>
              <w:rPr>
                <w:rFonts w:hint="eastAsia" w:ascii="宋体" w:hAnsi="宋体" w:eastAsia="宋体" w:cs="Courier New"/>
                <w:bCs/>
                <w:color w:val="auto"/>
                <w:szCs w:val="21"/>
                <w:highlight w:val="none"/>
                <w:lang w:val="en-US" w:eastAsia="zh-CN"/>
              </w:rPr>
              <w:t>1</w:t>
            </w:r>
            <w:r>
              <w:rPr>
                <w:rFonts w:hint="eastAsia" w:ascii="宋体" w:hAnsi="宋体" w:cs="Courier New"/>
                <w:bCs/>
                <w:color w:val="auto"/>
                <w:szCs w:val="21"/>
                <w:highlight w:val="none"/>
                <w:lang w:val="en-US" w:eastAsia="zh-CN"/>
              </w:rPr>
              <w:t>5</w:t>
            </w:r>
            <w:r>
              <w:rPr>
                <w:rFonts w:hint="eastAsia" w:ascii="宋体" w:hAnsi="宋体" w:eastAsia="Arial" w:cs="Courier New"/>
                <w:bCs/>
                <w:color w:val="auto"/>
                <w:szCs w:val="21"/>
                <w:highlight w:val="none"/>
              </w:rPr>
              <w:t>分）设备设施配备满足项目实施需求</w:t>
            </w:r>
            <w:r>
              <w:rPr>
                <w:rFonts w:hint="eastAsia" w:ascii="宋体" w:hAnsi="宋体" w:eastAsia="宋体" w:cs="Courier New"/>
                <w:bCs/>
                <w:color w:val="auto"/>
                <w:szCs w:val="21"/>
                <w:highlight w:val="none"/>
                <w:lang w:eastAsia="zh-CN"/>
              </w:rPr>
              <w:t>，</w:t>
            </w:r>
            <w:r>
              <w:rPr>
                <w:rFonts w:hint="eastAsia" w:ascii="宋体" w:hAnsi="宋体" w:cs="Courier New"/>
                <w:bCs/>
                <w:color w:val="auto"/>
                <w:szCs w:val="21"/>
                <w:highlight w:val="none"/>
                <w:lang w:val="en-US" w:eastAsia="zh-CN"/>
              </w:rPr>
              <w:t>能提供</w:t>
            </w:r>
            <w:r>
              <w:rPr>
                <w:rFonts w:hint="eastAsia" w:ascii="宋体" w:hAnsi="宋体" w:eastAsia="Arial" w:cs="Courier New"/>
                <w:bCs/>
                <w:color w:val="auto"/>
                <w:szCs w:val="21"/>
                <w:highlight w:val="none"/>
              </w:rPr>
              <w:t>设备设施配备</w:t>
            </w:r>
            <w:r>
              <w:rPr>
                <w:rFonts w:hint="eastAsia" w:ascii="宋体" w:hAnsi="宋体" w:cs="Courier New"/>
                <w:bCs/>
                <w:color w:val="auto"/>
                <w:szCs w:val="21"/>
                <w:highlight w:val="none"/>
                <w:lang w:val="en-US" w:eastAsia="zh-CN"/>
              </w:rPr>
              <w:t>清单，有详细的团队人员职责分工，</w:t>
            </w:r>
            <w:r>
              <w:rPr>
                <w:rFonts w:hint="eastAsia" w:ascii="宋体" w:hAnsi="宋体" w:eastAsia="Arial" w:cs="Courier New"/>
                <w:bCs/>
                <w:color w:val="auto"/>
                <w:szCs w:val="21"/>
                <w:highlight w:val="none"/>
              </w:rPr>
              <w:t>参与人员及技术力量投入有保障，建立</w:t>
            </w:r>
            <w:r>
              <w:rPr>
                <w:rFonts w:hint="eastAsia" w:ascii="宋体" w:hAnsi="宋体" w:cs="Courier New"/>
                <w:bCs/>
                <w:color w:val="auto"/>
                <w:szCs w:val="21"/>
                <w:highlight w:val="none"/>
                <w:lang w:val="en-US" w:eastAsia="zh-CN"/>
              </w:rPr>
              <w:t>有详细的</w:t>
            </w:r>
            <w:r>
              <w:rPr>
                <w:rFonts w:hint="eastAsia" w:ascii="宋体" w:hAnsi="宋体" w:eastAsia="Arial" w:cs="Courier New"/>
                <w:bCs/>
                <w:color w:val="auto"/>
                <w:szCs w:val="21"/>
                <w:highlight w:val="none"/>
              </w:rPr>
              <w:t>运营管理制度性文件，规章制度</w:t>
            </w:r>
            <w:r>
              <w:rPr>
                <w:rFonts w:hint="eastAsia" w:ascii="宋体" w:hAnsi="宋体" w:cs="Courier New"/>
                <w:bCs/>
                <w:color w:val="auto"/>
                <w:szCs w:val="21"/>
                <w:highlight w:val="none"/>
                <w:lang w:val="en-US" w:eastAsia="zh-CN"/>
              </w:rPr>
              <w:t>详细</w:t>
            </w:r>
            <w:r>
              <w:rPr>
                <w:rFonts w:hint="eastAsia" w:ascii="宋体" w:hAnsi="宋体" w:eastAsia="Arial" w:cs="Courier New"/>
                <w:bCs/>
                <w:color w:val="auto"/>
                <w:szCs w:val="21"/>
                <w:highlight w:val="none"/>
              </w:rPr>
              <w:t>，项目运作机制成熟，</w:t>
            </w:r>
            <w:r>
              <w:rPr>
                <w:rFonts w:hint="eastAsia" w:ascii="宋体" w:hAnsi="宋体" w:cs="Courier New"/>
                <w:bCs/>
                <w:color w:val="auto"/>
                <w:szCs w:val="21"/>
                <w:highlight w:val="none"/>
                <w:lang w:val="en-US" w:eastAsia="zh-CN"/>
              </w:rPr>
              <w:t>具有可行性</w:t>
            </w:r>
            <w:r>
              <w:rPr>
                <w:rFonts w:hint="eastAsia" w:ascii="宋体" w:hAnsi="宋体" w:eastAsia="Arial" w:cs="Courier New"/>
                <w:bCs/>
                <w:color w:val="auto"/>
                <w:szCs w:val="21"/>
                <w:highlight w:val="none"/>
              </w:rPr>
              <w:t>。</w:t>
            </w:r>
          </w:p>
        </w:tc>
        <w:tc>
          <w:tcPr>
            <w:tcW w:w="851" w:type="dxa"/>
            <w:vAlign w:val="center"/>
          </w:tcPr>
          <w:p>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0" w:type="dxa"/>
            <w:vAlign w:val="center"/>
          </w:tcPr>
          <w:p>
            <w:pPr>
              <w:adjustRightInd w:val="0"/>
              <w:spacing w:line="360" w:lineRule="auto"/>
              <w:ind w:left="-105" w:leftChars="-50" w:right="-105" w:rightChars="-50"/>
              <w:jc w:val="center"/>
              <w:textAlignment w:val="baseline"/>
              <w:rPr>
                <w:rFonts w:ascii="宋体" w:hAnsi="宋体" w:eastAsia="Arial" w:cs="Arial"/>
                <w:bCs/>
                <w:color w:val="auto"/>
                <w:kern w:val="0"/>
                <w:szCs w:val="21"/>
                <w:highlight w:val="none"/>
              </w:rPr>
            </w:pPr>
            <w:r>
              <w:rPr>
                <w:rFonts w:hint="eastAsia" w:ascii="宋体" w:hAnsi="宋体" w:eastAsia="Arial" w:cs="Arial"/>
                <w:bCs/>
                <w:color w:val="auto"/>
                <w:kern w:val="0"/>
                <w:szCs w:val="21"/>
                <w:highlight w:val="none"/>
              </w:rPr>
              <w:t>2.3</w:t>
            </w:r>
          </w:p>
        </w:tc>
        <w:tc>
          <w:tcPr>
            <w:tcW w:w="1418" w:type="dxa"/>
            <w:vAlign w:val="center"/>
          </w:tcPr>
          <w:p>
            <w:pPr>
              <w:adjustRightInd w:val="0"/>
              <w:spacing w:line="360" w:lineRule="auto"/>
              <w:jc w:val="center"/>
              <w:textAlignment w:val="baseline"/>
              <w:rPr>
                <w:rFonts w:hint="eastAsia" w:ascii="宋体" w:hAnsi="宋体" w:cs="Arial"/>
                <w:bCs/>
                <w:color w:val="auto"/>
                <w:kern w:val="0"/>
                <w:szCs w:val="21"/>
                <w:highlight w:val="none"/>
              </w:rPr>
            </w:pPr>
            <w:r>
              <w:rPr>
                <w:rFonts w:hint="eastAsia" w:ascii="宋体" w:hAnsi="宋体" w:cs="Arial"/>
                <w:bCs/>
                <w:color w:val="auto"/>
                <w:kern w:val="0"/>
                <w:szCs w:val="21"/>
                <w:highlight w:val="none"/>
              </w:rPr>
              <w:t>应急预案</w:t>
            </w:r>
          </w:p>
          <w:p>
            <w:pPr>
              <w:adjustRightInd w:val="0"/>
              <w:spacing w:line="360" w:lineRule="auto"/>
              <w:jc w:val="center"/>
              <w:textAlignment w:val="baseline"/>
              <w:rPr>
                <w:rFonts w:hint="eastAsia" w:ascii="宋体" w:hAnsi="宋体" w:cs="Arial"/>
                <w:bCs/>
                <w:color w:val="auto"/>
                <w:kern w:val="0"/>
                <w:szCs w:val="21"/>
                <w:highlight w:val="none"/>
              </w:rPr>
            </w:pPr>
            <w:r>
              <w:rPr>
                <w:rFonts w:hint="eastAsia" w:ascii="宋体" w:hAnsi="宋体" w:cs="Arial"/>
                <w:bCs/>
                <w:color w:val="auto"/>
                <w:kern w:val="0"/>
                <w:szCs w:val="21"/>
                <w:highlight w:val="none"/>
              </w:rPr>
              <w:t>及保障措</w:t>
            </w:r>
          </w:p>
          <w:p>
            <w:pPr>
              <w:adjustRightInd w:val="0"/>
              <w:spacing w:line="360" w:lineRule="auto"/>
              <w:jc w:val="center"/>
              <w:textAlignment w:val="baseline"/>
              <w:rPr>
                <w:rFonts w:hint="eastAsia" w:ascii="宋体" w:hAnsi="宋体" w:eastAsia="宋体" w:cs="Arial"/>
                <w:bCs/>
                <w:color w:val="auto"/>
                <w:kern w:val="0"/>
                <w:szCs w:val="21"/>
                <w:highlight w:val="none"/>
                <w:lang w:eastAsia="zh-CN"/>
              </w:rPr>
            </w:pPr>
            <w:r>
              <w:rPr>
                <w:rFonts w:hint="eastAsia" w:ascii="宋体" w:hAnsi="宋体" w:cs="Arial"/>
                <w:bCs/>
                <w:color w:val="auto"/>
                <w:kern w:val="0"/>
                <w:szCs w:val="21"/>
                <w:highlight w:val="none"/>
              </w:rPr>
              <w:t>施</w:t>
            </w:r>
            <w:r>
              <w:rPr>
                <w:rFonts w:hint="eastAsia" w:ascii="宋体" w:hAnsi="宋体" w:cs="Arial"/>
                <w:bCs/>
                <w:color w:val="auto"/>
                <w:kern w:val="0"/>
                <w:szCs w:val="21"/>
                <w:highlight w:val="none"/>
                <w:lang w:eastAsia="zh-CN"/>
              </w:rPr>
              <w:t>（</w:t>
            </w:r>
            <w:r>
              <w:rPr>
                <w:rFonts w:hint="eastAsia" w:ascii="宋体" w:hAnsi="宋体" w:cs="Arial"/>
                <w:bCs/>
                <w:color w:val="auto"/>
                <w:kern w:val="0"/>
                <w:szCs w:val="21"/>
                <w:highlight w:val="none"/>
                <w:lang w:val="en-US" w:eastAsia="zh-CN"/>
              </w:rPr>
              <w:t>满分12分）</w:t>
            </w:r>
          </w:p>
        </w:tc>
        <w:tc>
          <w:tcPr>
            <w:tcW w:w="7055" w:type="dxa"/>
            <w:vAlign w:val="center"/>
          </w:tcPr>
          <w:p>
            <w:pPr>
              <w:suppressAutoHyphens/>
              <w:spacing w:line="360" w:lineRule="auto"/>
              <w:ind w:firstLine="420" w:firstLineChars="200"/>
              <w:rPr>
                <w:rFonts w:hint="eastAsia" w:ascii="宋体" w:hAnsi="宋体" w:eastAsia="Arial" w:cs="宋体"/>
                <w:bCs/>
                <w:color w:val="auto"/>
                <w:szCs w:val="21"/>
                <w:highlight w:val="none"/>
              </w:rPr>
            </w:pPr>
            <w:r>
              <w:rPr>
                <w:rFonts w:hint="eastAsia" w:ascii="宋体" w:hAnsi="宋体" w:eastAsia="Arial" w:cs="宋体"/>
                <w:bCs/>
                <w:color w:val="auto"/>
                <w:szCs w:val="21"/>
                <w:highlight w:val="none"/>
              </w:rPr>
              <w:t>一档（</w:t>
            </w:r>
            <w:r>
              <w:rPr>
                <w:rFonts w:hint="eastAsia" w:ascii="宋体" w:hAnsi="宋体" w:cs="宋体"/>
                <w:bCs/>
                <w:color w:val="auto"/>
                <w:szCs w:val="21"/>
                <w:highlight w:val="none"/>
                <w:lang w:val="en-US" w:eastAsia="zh-CN"/>
              </w:rPr>
              <w:t>3</w:t>
            </w:r>
            <w:r>
              <w:rPr>
                <w:rFonts w:hint="eastAsia" w:ascii="宋体" w:hAnsi="宋体" w:eastAsia="Arial" w:cs="宋体"/>
                <w:bCs/>
                <w:color w:val="auto"/>
                <w:szCs w:val="21"/>
                <w:highlight w:val="none"/>
              </w:rPr>
              <w:t>分）未根据项目实际情况制定</w:t>
            </w:r>
            <w:r>
              <w:rPr>
                <w:rFonts w:hint="eastAsia" w:ascii="宋体" w:hAnsi="宋体" w:eastAsia="宋体" w:cs="宋体"/>
                <w:bCs/>
                <w:color w:val="auto"/>
                <w:szCs w:val="21"/>
                <w:highlight w:val="none"/>
                <w:lang w:eastAsia="zh-CN"/>
              </w:rPr>
              <w:t>的</w:t>
            </w:r>
            <w:r>
              <w:rPr>
                <w:rFonts w:hint="eastAsia" w:ascii="宋体" w:hAnsi="宋体" w:eastAsia="Arial" w:cs="宋体"/>
                <w:bCs/>
                <w:color w:val="auto"/>
                <w:szCs w:val="21"/>
                <w:highlight w:val="none"/>
              </w:rPr>
              <w:t>应急预案，或保障措施不具有针对性；</w:t>
            </w:r>
          </w:p>
          <w:p>
            <w:pPr>
              <w:suppressAutoHyphens/>
              <w:spacing w:line="360" w:lineRule="auto"/>
              <w:ind w:firstLine="420" w:firstLineChars="200"/>
              <w:rPr>
                <w:rFonts w:hint="eastAsia" w:ascii="宋体" w:hAnsi="宋体" w:eastAsia="Arial" w:cs="宋体"/>
                <w:bCs/>
                <w:color w:val="auto"/>
                <w:szCs w:val="21"/>
                <w:highlight w:val="none"/>
              </w:rPr>
            </w:pPr>
            <w:r>
              <w:rPr>
                <w:rFonts w:hint="eastAsia" w:ascii="宋体" w:hAnsi="宋体" w:eastAsia="Arial" w:cs="宋体"/>
                <w:bCs/>
                <w:color w:val="auto"/>
                <w:szCs w:val="21"/>
                <w:highlight w:val="none"/>
              </w:rPr>
              <w:t>二档（</w:t>
            </w:r>
            <w:r>
              <w:rPr>
                <w:rFonts w:hint="eastAsia" w:ascii="宋体" w:hAnsi="宋体" w:cs="宋体"/>
                <w:bCs/>
                <w:color w:val="auto"/>
                <w:szCs w:val="21"/>
                <w:highlight w:val="none"/>
                <w:lang w:val="en-US" w:eastAsia="zh-CN"/>
              </w:rPr>
              <w:t>6</w:t>
            </w:r>
            <w:r>
              <w:rPr>
                <w:rFonts w:hint="eastAsia" w:ascii="宋体" w:hAnsi="宋体" w:eastAsia="Arial" w:cs="宋体"/>
                <w:bCs/>
                <w:color w:val="auto"/>
                <w:szCs w:val="21"/>
                <w:highlight w:val="none"/>
              </w:rPr>
              <w:t>分）根据项目实际情况制定</w:t>
            </w:r>
            <w:r>
              <w:rPr>
                <w:rFonts w:hint="eastAsia" w:ascii="宋体" w:hAnsi="宋体" w:cs="宋体"/>
                <w:bCs/>
                <w:color w:val="auto"/>
                <w:szCs w:val="21"/>
                <w:highlight w:val="none"/>
                <w:lang w:val="en-US" w:eastAsia="zh-CN"/>
              </w:rPr>
              <w:t>了</w:t>
            </w:r>
            <w:r>
              <w:rPr>
                <w:rFonts w:hint="eastAsia" w:ascii="宋体" w:hAnsi="宋体" w:eastAsia="Arial" w:cs="宋体"/>
                <w:bCs/>
                <w:color w:val="auto"/>
                <w:szCs w:val="21"/>
                <w:highlight w:val="none"/>
              </w:rPr>
              <w:t>应急预案和招聘活动（推广宣传或日常运营）现场突发事件应急方案；</w:t>
            </w:r>
          </w:p>
          <w:p>
            <w:pPr>
              <w:suppressAutoHyphens/>
              <w:spacing w:line="360" w:lineRule="auto"/>
              <w:ind w:firstLine="420" w:firstLineChars="200"/>
              <w:rPr>
                <w:rFonts w:hint="eastAsia" w:ascii="宋体" w:hAnsi="宋体" w:eastAsia="Arial" w:cs="宋体"/>
                <w:bCs/>
                <w:color w:val="auto"/>
                <w:szCs w:val="21"/>
                <w:highlight w:val="none"/>
              </w:rPr>
            </w:pPr>
            <w:r>
              <w:rPr>
                <w:rFonts w:hint="eastAsia" w:ascii="宋体" w:hAnsi="宋体" w:eastAsia="Arial" w:cs="宋体"/>
                <w:bCs/>
                <w:color w:val="auto"/>
                <w:szCs w:val="21"/>
                <w:highlight w:val="none"/>
              </w:rPr>
              <w:t>三档（</w:t>
            </w:r>
            <w:r>
              <w:rPr>
                <w:rFonts w:hint="eastAsia" w:ascii="宋体" w:hAnsi="宋体" w:cs="宋体"/>
                <w:bCs/>
                <w:color w:val="auto"/>
                <w:szCs w:val="21"/>
                <w:highlight w:val="none"/>
                <w:lang w:val="en-US" w:eastAsia="zh-CN"/>
              </w:rPr>
              <w:t>9</w:t>
            </w:r>
            <w:r>
              <w:rPr>
                <w:rFonts w:hint="eastAsia" w:ascii="宋体" w:hAnsi="宋体" w:eastAsia="Arial" w:cs="宋体"/>
                <w:bCs/>
                <w:color w:val="auto"/>
                <w:szCs w:val="21"/>
                <w:highlight w:val="none"/>
              </w:rPr>
              <w:t>分）根据项目实际情况制定</w:t>
            </w:r>
            <w:r>
              <w:rPr>
                <w:rFonts w:hint="eastAsia" w:ascii="宋体" w:hAnsi="宋体" w:cs="宋体"/>
                <w:bCs/>
                <w:color w:val="auto"/>
                <w:szCs w:val="21"/>
                <w:highlight w:val="none"/>
                <w:lang w:val="en-US" w:eastAsia="zh-CN"/>
              </w:rPr>
              <w:t>详细</w:t>
            </w:r>
            <w:r>
              <w:rPr>
                <w:rFonts w:hint="eastAsia" w:ascii="宋体" w:hAnsi="宋体" w:eastAsia="Arial" w:cs="宋体"/>
                <w:bCs/>
                <w:color w:val="auto"/>
                <w:szCs w:val="21"/>
                <w:highlight w:val="none"/>
              </w:rPr>
              <w:t>准确的应急预案、招聘活动（推广宣传或日常运营）现场突发事件应急方案和人员安全突发事件应急方案，方案的保障措施</w:t>
            </w:r>
            <w:r>
              <w:rPr>
                <w:rFonts w:hint="eastAsia" w:ascii="宋体" w:hAnsi="宋体" w:cs="宋体"/>
                <w:bCs/>
                <w:color w:val="auto"/>
                <w:szCs w:val="21"/>
                <w:highlight w:val="none"/>
                <w:lang w:val="en-US" w:eastAsia="zh-CN"/>
              </w:rPr>
              <w:t>具有可行性</w:t>
            </w:r>
            <w:r>
              <w:rPr>
                <w:rFonts w:hint="eastAsia" w:ascii="宋体" w:hAnsi="宋体" w:eastAsia="Arial" w:cs="宋体"/>
                <w:bCs/>
                <w:color w:val="auto"/>
                <w:szCs w:val="21"/>
                <w:highlight w:val="none"/>
              </w:rPr>
              <w:t>；</w:t>
            </w:r>
          </w:p>
          <w:p>
            <w:pPr>
              <w:suppressAutoHyphens/>
              <w:spacing w:line="360" w:lineRule="auto"/>
              <w:ind w:firstLine="420" w:firstLineChars="200"/>
              <w:rPr>
                <w:rFonts w:ascii="宋体" w:hAnsi="宋体" w:eastAsia="Arial" w:cs="宋体"/>
                <w:bCs/>
                <w:color w:val="auto"/>
                <w:szCs w:val="21"/>
                <w:highlight w:val="none"/>
              </w:rPr>
            </w:pPr>
            <w:r>
              <w:rPr>
                <w:rFonts w:hint="eastAsia" w:ascii="宋体" w:hAnsi="宋体" w:eastAsia="Arial" w:cs="宋体"/>
                <w:bCs/>
                <w:color w:val="auto"/>
                <w:szCs w:val="21"/>
                <w:highlight w:val="none"/>
              </w:rPr>
              <w:t>四档（</w:t>
            </w:r>
            <w:r>
              <w:rPr>
                <w:rFonts w:hint="eastAsia" w:ascii="宋体" w:hAnsi="宋体" w:cs="宋体"/>
                <w:bCs/>
                <w:color w:val="auto"/>
                <w:szCs w:val="21"/>
                <w:highlight w:val="none"/>
                <w:lang w:val="en-US" w:eastAsia="zh-CN"/>
              </w:rPr>
              <w:t>12</w:t>
            </w:r>
            <w:r>
              <w:rPr>
                <w:rFonts w:hint="eastAsia" w:ascii="宋体" w:hAnsi="宋体" w:eastAsia="Arial" w:cs="宋体"/>
                <w:bCs/>
                <w:color w:val="auto"/>
                <w:szCs w:val="21"/>
                <w:highlight w:val="none"/>
              </w:rPr>
              <w:t>分）</w:t>
            </w:r>
            <w:r>
              <w:rPr>
                <w:rFonts w:hint="eastAsia" w:ascii="宋体" w:hAnsi="宋体" w:cs="宋体"/>
                <w:bCs/>
                <w:color w:val="auto"/>
                <w:szCs w:val="21"/>
                <w:highlight w:val="none"/>
                <w:lang w:val="en-US" w:eastAsia="zh-CN"/>
              </w:rPr>
              <w:t>在三档基础上</w:t>
            </w:r>
            <w:r>
              <w:rPr>
                <w:rFonts w:hint="eastAsia" w:ascii="宋体" w:hAnsi="宋体" w:eastAsia="Arial" w:cs="宋体"/>
                <w:bCs/>
                <w:color w:val="auto"/>
                <w:szCs w:val="21"/>
                <w:highlight w:val="none"/>
              </w:rPr>
              <w:t>，制定</w:t>
            </w:r>
            <w:r>
              <w:rPr>
                <w:rFonts w:hint="eastAsia" w:ascii="宋体" w:hAnsi="宋体" w:eastAsia="宋体" w:cs="宋体"/>
                <w:bCs/>
                <w:color w:val="auto"/>
                <w:szCs w:val="21"/>
                <w:highlight w:val="none"/>
                <w:lang w:val="en-US" w:eastAsia="zh-CN"/>
              </w:rPr>
              <w:t>了</w:t>
            </w:r>
            <w:r>
              <w:rPr>
                <w:rFonts w:hint="eastAsia" w:ascii="宋体" w:hAnsi="宋体" w:cs="宋体"/>
                <w:bCs/>
                <w:color w:val="auto"/>
                <w:szCs w:val="21"/>
                <w:highlight w:val="none"/>
                <w:lang w:val="en-US" w:eastAsia="zh-CN"/>
              </w:rPr>
              <w:t>详细</w:t>
            </w:r>
            <w:r>
              <w:rPr>
                <w:rFonts w:hint="eastAsia" w:ascii="宋体" w:hAnsi="宋体" w:eastAsia="Arial" w:cs="宋体"/>
                <w:bCs/>
                <w:color w:val="auto"/>
                <w:szCs w:val="21"/>
                <w:highlight w:val="none"/>
              </w:rPr>
              <w:t>的应急预案（</w:t>
            </w:r>
            <w:r>
              <w:rPr>
                <w:rFonts w:hint="eastAsia" w:ascii="宋体" w:hAnsi="宋体" w:eastAsia="宋体" w:cs="宋体"/>
                <w:bCs/>
                <w:color w:val="auto"/>
                <w:szCs w:val="21"/>
                <w:highlight w:val="none"/>
                <w:lang w:val="en-US" w:eastAsia="zh-CN"/>
              </w:rPr>
              <w:t>至少</w:t>
            </w:r>
            <w:r>
              <w:rPr>
                <w:rFonts w:hint="eastAsia" w:ascii="宋体" w:hAnsi="宋体" w:cs="宋体"/>
                <w:bCs/>
                <w:color w:val="auto"/>
                <w:szCs w:val="21"/>
                <w:highlight w:val="none"/>
                <w:lang w:val="en-US" w:eastAsia="zh-CN"/>
              </w:rPr>
              <w:t>包</w:t>
            </w:r>
            <w:r>
              <w:rPr>
                <w:rFonts w:hint="eastAsia" w:ascii="宋体" w:hAnsi="宋体" w:eastAsia="Arial" w:cs="宋体"/>
                <w:bCs/>
                <w:color w:val="auto"/>
                <w:szCs w:val="21"/>
                <w:highlight w:val="none"/>
              </w:rPr>
              <w:t>含现场突发事件、人员安全、设备故障），保障措施</w:t>
            </w:r>
            <w:r>
              <w:rPr>
                <w:rFonts w:hint="eastAsia" w:ascii="宋体" w:hAnsi="宋体" w:cs="宋体"/>
                <w:bCs/>
                <w:color w:val="auto"/>
                <w:szCs w:val="21"/>
                <w:highlight w:val="none"/>
                <w:lang w:val="en-US" w:eastAsia="zh-CN"/>
              </w:rPr>
              <w:t>具有</w:t>
            </w:r>
            <w:r>
              <w:rPr>
                <w:rFonts w:hint="eastAsia" w:ascii="宋体" w:hAnsi="宋体" w:eastAsia="Arial" w:cs="宋体"/>
                <w:bCs/>
                <w:color w:val="auto"/>
                <w:szCs w:val="21"/>
                <w:highlight w:val="none"/>
              </w:rPr>
              <w:t>针对性，</w:t>
            </w:r>
            <w:r>
              <w:rPr>
                <w:rFonts w:hint="eastAsia" w:ascii="宋体" w:hAnsi="宋体" w:cs="宋体"/>
                <w:bCs/>
                <w:color w:val="auto"/>
                <w:szCs w:val="21"/>
                <w:highlight w:val="none"/>
                <w:lang w:val="en-US" w:eastAsia="zh-CN"/>
              </w:rPr>
              <w:t>能</w:t>
            </w:r>
            <w:r>
              <w:rPr>
                <w:rFonts w:hint="eastAsia" w:ascii="宋体" w:hAnsi="宋体" w:eastAsia="Arial" w:cs="宋体"/>
                <w:bCs/>
                <w:color w:val="auto"/>
                <w:szCs w:val="21"/>
                <w:highlight w:val="none"/>
              </w:rPr>
              <w:t>处理活动突发情况。</w:t>
            </w:r>
          </w:p>
        </w:tc>
        <w:tc>
          <w:tcPr>
            <w:tcW w:w="851" w:type="dxa"/>
            <w:vAlign w:val="center"/>
          </w:tcPr>
          <w:p>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12</w:t>
            </w:r>
            <w:r>
              <w:rPr>
                <w:rFonts w:hint="eastAsia" w:ascii="宋体" w:hAnsi="宋体" w:cs="Tahoma"/>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30" w:type="dxa"/>
            <w:vAlign w:val="center"/>
          </w:tcPr>
          <w:p>
            <w:pPr>
              <w:adjustRightInd w:val="0"/>
              <w:spacing w:line="360" w:lineRule="auto"/>
              <w:ind w:left="-105" w:leftChars="-50" w:right="-105" w:rightChars="-50"/>
              <w:jc w:val="center"/>
              <w:textAlignment w:val="baseline"/>
              <w:rPr>
                <w:rFonts w:ascii="宋体" w:hAnsi="宋体" w:eastAsia="Arial" w:cs="Arial"/>
                <w:bCs/>
                <w:color w:val="auto"/>
                <w:kern w:val="0"/>
                <w:szCs w:val="21"/>
                <w:highlight w:val="none"/>
              </w:rPr>
            </w:pPr>
            <w:r>
              <w:rPr>
                <w:rFonts w:hint="eastAsia" w:ascii="宋体" w:hAnsi="宋体" w:eastAsia="Arial" w:cs="Arial"/>
                <w:bCs/>
                <w:color w:val="auto"/>
                <w:kern w:val="0"/>
                <w:szCs w:val="21"/>
                <w:highlight w:val="none"/>
              </w:rPr>
              <w:t>2.4</w:t>
            </w:r>
          </w:p>
        </w:tc>
        <w:tc>
          <w:tcPr>
            <w:tcW w:w="1418" w:type="dxa"/>
            <w:vAlign w:val="center"/>
          </w:tcPr>
          <w:p>
            <w:pPr>
              <w:adjustRightInd w:val="0"/>
              <w:spacing w:line="360" w:lineRule="auto"/>
              <w:jc w:val="center"/>
              <w:textAlignment w:val="baseline"/>
              <w:rPr>
                <w:rFonts w:hint="eastAsia" w:ascii="宋体" w:hAnsi="宋体" w:cs="Arial"/>
                <w:bCs/>
                <w:color w:val="auto"/>
                <w:kern w:val="0"/>
                <w:szCs w:val="21"/>
                <w:highlight w:val="none"/>
              </w:rPr>
            </w:pPr>
            <w:r>
              <w:rPr>
                <w:rFonts w:hint="eastAsia" w:ascii="宋体" w:hAnsi="宋体" w:cs="Arial"/>
                <w:bCs/>
                <w:color w:val="auto"/>
                <w:kern w:val="0"/>
                <w:szCs w:val="21"/>
                <w:highlight w:val="none"/>
              </w:rPr>
              <w:t>进度保证</w:t>
            </w:r>
          </w:p>
          <w:p>
            <w:pPr>
              <w:adjustRightInd w:val="0"/>
              <w:spacing w:line="360" w:lineRule="auto"/>
              <w:jc w:val="center"/>
              <w:textAlignment w:val="baseline"/>
              <w:rPr>
                <w:rFonts w:hint="eastAsia" w:ascii="宋体" w:hAnsi="宋体" w:cs="Arial"/>
                <w:bCs/>
                <w:color w:val="auto"/>
                <w:kern w:val="0"/>
                <w:szCs w:val="21"/>
                <w:highlight w:val="none"/>
              </w:rPr>
            </w:pPr>
            <w:r>
              <w:rPr>
                <w:rFonts w:hint="eastAsia" w:ascii="宋体" w:hAnsi="宋体" w:cs="Arial"/>
                <w:bCs/>
                <w:color w:val="auto"/>
                <w:kern w:val="0"/>
                <w:szCs w:val="21"/>
                <w:highlight w:val="none"/>
              </w:rPr>
              <w:t>和质量控</w:t>
            </w:r>
          </w:p>
          <w:p>
            <w:pPr>
              <w:adjustRightInd w:val="0"/>
              <w:spacing w:line="360" w:lineRule="auto"/>
              <w:jc w:val="center"/>
              <w:textAlignment w:val="baseline"/>
              <w:rPr>
                <w:rFonts w:ascii="宋体" w:hAnsi="宋体" w:cs="Arial"/>
                <w:bCs/>
                <w:color w:val="auto"/>
                <w:kern w:val="0"/>
                <w:szCs w:val="21"/>
                <w:highlight w:val="none"/>
              </w:rPr>
            </w:pPr>
            <w:r>
              <w:rPr>
                <w:rFonts w:hint="eastAsia" w:ascii="宋体" w:hAnsi="宋体" w:cs="Arial"/>
                <w:bCs/>
                <w:color w:val="auto"/>
                <w:kern w:val="0"/>
                <w:szCs w:val="21"/>
                <w:highlight w:val="none"/>
              </w:rPr>
              <w:t>制措施</w:t>
            </w:r>
            <w:r>
              <w:rPr>
                <w:rFonts w:hint="eastAsia" w:ascii="宋体" w:hAnsi="宋体" w:cs="Arial"/>
                <w:bCs/>
                <w:color w:val="auto"/>
                <w:kern w:val="0"/>
                <w:szCs w:val="21"/>
                <w:highlight w:val="none"/>
                <w:lang w:eastAsia="zh-CN"/>
              </w:rPr>
              <w:t>（</w:t>
            </w:r>
            <w:r>
              <w:rPr>
                <w:rFonts w:hint="eastAsia" w:ascii="宋体" w:hAnsi="宋体" w:cs="Arial"/>
                <w:bCs/>
                <w:color w:val="auto"/>
                <w:kern w:val="0"/>
                <w:szCs w:val="21"/>
                <w:highlight w:val="none"/>
                <w:lang w:val="en-US" w:eastAsia="zh-CN"/>
              </w:rPr>
              <w:t>满分14分）</w:t>
            </w:r>
          </w:p>
        </w:tc>
        <w:tc>
          <w:tcPr>
            <w:tcW w:w="7055" w:type="dxa"/>
            <w:vAlign w:val="center"/>
          </w:tcPr>
          <w:p>
            <w:pPr>
              <w:suppressAutoHyphens/>
              <w:spacing w:line="360" w:lineRule="auto"/>
              <w:ind w:firstLine="420" w:firstLineChars="200"/>
              <w:rPr>
                <w:rFonts w:hint="eastAsia" w:ascii="宋体" w:hAnsi="宋体" w:eastAsia="Arial" w:cs="Arial"/>
                <w:color w:val="auto"/>
                <w:szCs w:val="21"/>
                <w:highlight w:val="none"/>
              </w:rPr>
            </w:pPr>
            <w:r>
              <w:rPr>
                <w:rFonts w:hint="eastAsia" w:ascii="宋体" w:hAnsi="宋体" w:eastAsia="Arial" w:cs="Arial"/>
                <w:color w:val="auto"/>
                <w:szCs w:val="21"/>
                <w:highlight w:val="none"/>
              </w:rPr>
              <w:t>一档（</w:t>
            </w:r>
            <w:r>
              <w:rPr>
                <w:rFonts w:hint="eastAsia" w:ascii="宋体" w:hAnsi="宋体" w:eastAsia="宋体" w:cs="Arial"/>
                <w:color w:val="auto"/>
                <w:szCs w:val="21"/>
                <w:highlight w:val="none"/>
                <w:lang w:val="en-US" w:eastAsia="zh-CN"/>
              </w:rPr>
              <w:t>4</w:t>
            </w:r>
            <w:r>
              <w:rPr>
                <w:rFonts w:hint="eastAsia" w:ascii="宋体" w:hAnsi="宋体" w:eastAsia="Arial" w:cs="Arial"/>
                <w:color w:val="auto"/>
                <w:szCs w:val="21"/>
                <w:highlight w:val="none"/>
              </w:rPr>
              <w:t>分）未根据项目实际情况制定质量控制措施，</w:t>
            </w:r>
            <w:r>
              <w:rPr>
                <w:rFonts w:hint="eastAsia" w:ascii="宋体" w:hAnsi="宋体" w:eastAsia="宋体" w:cs="Arial"/>
                <w:color w:val="auto"/>
                <w:szCs w:val="21"/>
                <w:highlight w:val="none"/>
                <w:lang w:val="en-US" w:eastAsia="zh-CN"/>
              </w:rPr>
              <w:t>提供了</w:t>
            </w:r>
            <w:r>
              <w:rPr>
                <w:rFonts w:hint="eastAsia" w:ascii="宋体" w:hAnsi="宋体" w:eastAsia="Arial" w:cs="Arial"/>
                <w:color w:val="auto"/>
                <w:szCs w:val="21"/>
                <w:highlight w:val="none"/>
              </w:rPr>
              <w:t>服务过程各系列活动工作的衔接措施，</w:t>
            </w:r>
            <w:r>
              <w:rPr>
                <w:rFonts w:hint="eastAsia" w:ascii="宋体" w:hAnsi="宋体" w:eastAsia="宋体" w:cs="Arial"/>
                <w:color w:val="auto"/>
                <w:szCs w:val="21"/>
                <w:highlight w:val="none"/>
                <w:lang w:val="en-US" w:eastAsia="zh-CN"/>
              </w:rPr>
              <w:t>有</w:t>
            </w:r>
            <w:r>
              <w:rPr>
                <w:rFonts w:hint="eastAsia" w:ascii="宋体" w:hAnsi="宋体" w:eastAsia="Arial" w:cs="Arial"/>
                <w:color w:val="auto"/>
                <w:szCs w:val="21"/>
                <w:highlight w:val="none"/>
              </w:rPr>
              <w:t>进度计划编制，不能满足各系列活动实际要求；</w:t>
            </w:r>
          </w:p>
          <w:p>
            <w:pPr>
              <w:suppressAutoHyphens/>
              <w:spacing w:line="360" w:lineRule="auto"/>
              <w:ind w:firstLine="420" w:firstLineChars="200"/>
              <w:rPr>
                <w:rFonts w:hint="eastAsia" w:ascii="宋体" w:hAnsi="宋体" w:eastAsia="Arial" w:cs="Arial"/>
                <w:color w:val="auto"/>
                <w:szCs w:val="21"/>
                <w:highlight w:val="none"/>
              </w:rPr>
            </w:pPr>
            <w:r>
              <w:rPr>
                <w:rFonts w:hint="eastAsia" w:ascii="宋体" w:hAnsi="宋体" w:eastAsia="Arial" w:cs="Arial"/>
                <w:color w:val="auto"/>
                <w:szCs w:val="21"/>
                <w:highlight w:val="none"/>
              </w:rPr>
              <w:t>二档（</w:t>
            </w:r>
            <w:r>
              <w:rPr>
                <w:rFonts w:hint="eastAsia" w:ascii="宋体" w:hAnsi="宋体" w:eastAsia="宋体" w:cs="Arial"/>
                <w:color w:val="auto"/>
                <w:szCs w:val="21"/>
                <w:highlight w:val="none"/>
                <w:lang w:val="en-US" w:eastAsia="zh-CN"/>
              </w:rPr>
              <w:t>9</w:t>
            </w:r>
            <w:r>
              <w:rPr>
                <w:rFonts w:hint="eastAsia" w:ascii="宋体" w:hAnsi="宋体" w:eastAsia="Arial" w:cs="Arial"/>
                <w:color w:val="auto"/>
                <w:szCs w:val="21"/>
                <w:highlight w:val="none"/>
              </w:rPr>
              <w:t>分）有质量管理班子和质量制度，服务过程各系列活动工作的衔接措施</w:t>
            </w:r>
            <w:r>
              <w:rPr>
                <w:rFonts w:hint="eastAsia" w:ascii="宋体" w:hAnsi="宋体" w:eastAsia="宋体" w:cs="Arial"/>
                <w:color w:val="auto"/>
                <w:szCs w:val="21"/>
                <w:highlight w:val="none"/>
                <w:lang w:val="en-US" w:eastAsia="zh-CN"/>
              </w:rPr>
              <w:t>具有可行性</w:t>
            </w:r>
            <w:r>
              <w:rPr>
                <w:rFonts w:hint="eastAsia" w:ascii="宋体" w:hAnsi="宋体" w:eastAsia="Arial" w:cs="Arial"/>
                <w:color w:val="auto"/>
                <w:szCs w:val="21"/>
                <w:highlight w:val="none"/>
              </w:rPr>
              <w:t>，</w:t>
            </w:r>
            <w:r>
              <w:rPr>
                <w:rFonts w:hint="eastAsia" w:ascii="宋体" w:hAnsi="宋体" w:cs="Arial"/>
                <w:color w:val="auto"/>
                <w:szCs w:val="21"/>
                <w:highlight w:val="none"/>
                <w:lang w:val="en-US" w:eastAsia="zh-CN"/>
              </w:rPr>
              <w:t>有</w:t>
            </w:r>
            <w:r>
              <w:rPr>
                <w:rFonts w:hint="eastAsia" w:ascii="宋体" w:hAnsi="宋体" w:eastAsia="Arial" w:cs="Arial"/>
                <w:color w:val="auto"/>
                <w:szCs w:val="21"/>
                <w:highlight w:val="none"/>
              </w:rPr>
              <w:t>进度计划编制，满足各系列活动实际要求；</w:t>
            </w:r>
          </w:p>
          <w:p>
            <w:pPr>
              <w:suppressAutoHyphens/>
              <w:spacing w:line="360" w:lineRule="auto"/>
              <w:ind w:firstLine="420" w:firstLineChars="200"/>
              <w:rPr>
                <w:rFonts w:ascii="宋体" w:hAnsi="宋体" w:eastAsia="Arial" w:cs="Arial"/>
                <w:color w:val="auto"/>
                <w:szCs w:val="21"/>
                <w:highlight w:val="none"/>
              </w:rPr>
            </w:pPr>
            <w:r>
              <w:rPr>
                <w:rFonts w:hint="eastAsia" w:ascii="宋体" w:hAnsi="宋体" w:eastAsia="Arial" w:cs="Arial"/>
                <w:color w:val="auto"/>
                <w:szCs w:val="21"/>
                <w:highlight w:val="none"/>
              </w:rPr>
              <w:t>三档（</w:t>
            </w:r>
            <w:r>
              <w:rPr>
                <w:rFonts w:hint="eastAsia" w:ascii="宋体" w:hAnsi="宋体" w:eastAsia="宋体" w:cs="Arial"/>
                <w:color w:val="auto"/>
                <w:szCs w:val="21"/>
                <w:highlight w:val="none"/>
                <w:lang w:val="en-US" w:eastAsia="zh-CN"/>
              </w:rPr>
              <w:t>1</w:t>
            </w:r>
            <w:r>
              <w:rPr>
                <w:rFonts w:hint="eastAsia" w:ascii="宋体" w:hAnsi="宋体" w:eastAsia="Arial" w:cs="Arial"/>
                <w:color w:val="auto"/>
                <w:szCs w:val="21"/>
                <w:highlight w:val="none"/>
              </w:rPr>
              <w:t>4分）有</w:t>
            </w:r>
            <w:r>
              <w:rPr>
                <w:rFonts w:hint="eastAsia" w:ascii="宋体" w:hAnsi="宋体" w:cs="Arial"/>
                <w:color w:val="auto"/>
                <w:szCs w:val="21"/>
                <w:highlight w:val="none"/>
                <w:lang w:val="en-US" w:eastAsia="zh-CN"/>
              </w:rPr>
              <w:t>详细的</w:t>
            </w:r>
            <w:r>
              <w:rPr>
                <w:rFonts w:hint="eastAsia" w:ascii="宋体" w:hAnsi="宋体" w:eastAsia="Arial" w:cs="Arial"/>
                <w:color w:val="auto"/>
                <w:szCs w:val="21"/>
                <w:highlight w:val="none"/>
              </w:rPr>
              <w:t>质量管理班子和质量制度，服务过程各系列活动工作的衔接措施具有可行性，计划执行到位保障性符合要求，进度计划编制</w:t>
            </w:r>
            <w:r>
              <w:rPr>
                <w:rFonts w:hint="eastAsia" w:ascii="宋体" w:hAnsi="宋体" w:eastAsia="宋体" w:cs="Arial"/>
                <w:color w:val="auto"/>
                <w:szCs w:val="21"/>
                <w:highlight w:val="none"/>
                <w:lang w:val="en-US" w:eastAsia="zh-CN"/>
              </w:rPr>
              <w:t>详细</w:t>
            </w:r>
            <w:r>
              <w:rPr>
                <w:rFonts w:hint="eastAsia" w:ascii="宋体" w:hAnsi="宋体" w:eastAsia="Arial" w:cs="Arial"/>
                <w:color w:val="auto"/>
                <w:szCs w:val="21"/>
                <w:highlight w:val="none"/>
              </w:rPr>
              <w:t>，符合各系列活动要求。</w:t>
            </w:r>
          </w:p>
        </w:tc>
        <w:tc>
          <w:tcPr>
            <w:tcW w:w="851" w:type="dxa"/>
            <w:vAlign w:val="center"/>
          </w:tcPr>
          <w:p>
            <w:pPr>
              <w:spacing w:line="360" w:lineRule="auto"/>
              <w:jc w:val="center"/>
              <w:rPr>
                <w:rFonts w:ascii="宋体" w:hAnsi="宋体" w:cs="宋体"/>
                <w:bCs/>
                <w:color w:val="auto"/>
                <w:spacing w:val="-4"/>
                <w:szCs w:val="21"/>
                <w:highlight w:val="none"/>
              </w:rPr>
            </w:pPr>
            <w:r>
              <w:rPr>
                <w:rFonts w:hint="eastAsia" w:ascii="宋体" w:hAnsi="宋体" w:cs="宋体"/>
                <w:bCs/>
                <w:color w:val="auto"/>
                <w:spacing w:val="-4"/>
                <w:szCs w:val="21"/>
                <w:highlight w:val="none"/>
                <w:lang w:val="en-US" w:eastAsia="zh-CN"/>
              </w:rPr>
              <w:t>14</w:t>
            </w:r>
            <w:r>
              <w:rPr>
                <w:rFonts w:hint="eastAsia" w:ascii="宋体" w:hAnsi="宋体" w:cs="宋体"/>
                <w:bCs/>
                <w:color w:val="auto"/>
                <w:spacing w:val="-4"/>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0" w:type="dxa"/>
            <w:vAlign w:val="center"/>
          </w:tcPr>
          <w:p>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vAlign w:val="center"/>
          </w:tcPr>
          <w:p>
            <w:pPr>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lang w:val="en-US" w:eastAsia="zh-CN"/>
              </w:rPr>
              <w:t>商务分</w:t>
            </w:r>
            <w:r>
              <w:rPr>
                <w:rFonts w:hint="eastAsia" w:ascii="宋体" w:hAnsi="宋体" w:cs="Courier New"/>
                <w:bCs/>
                <w:color w:val="auto"/>
                <w:szCs w:val="21"/>
                <w:highlight w:val="none"/>
              </w:rPr>
              <w:t>（满分</w:t>
            </w:r>
            <w:r>
              <w:rPr>
                <w:rFonts w:hint="eastAsia" w:ascii="宋体" w:hAnsi="宋体" w:cs="Courier New"/>
                <w:bCs/>
                <w:color w:val="auto"/>
                <w:szCs w:val="21"/>
                <w:highlight w:val="none"/>
                <w:lang w:val="en-US" w:eastAsia="zh-CN"/>
              </w:rPr>
              <w:t>29</w:t>
            </w:r>
            <w:r>
              <w:rPr>
                <w:rFonts w:hint="eastAsia" w:ascii="宋体" w:hAnsi="宋体" w:cs="Courier New"/>
                <w:bCs/>
                <w:color w:val="auto"/>
                <w:szCs w:val="21"/>
                <w:highlight w:val="none"/>
              </w:rPr>
              <w:t>分）</w:t>
            </w:r>
          </w:p>
        </w:tc>
        <w:tc>
          <w:tcPr>
            <w:tcW w:w="7906" w:type="dxa"/>
            <w:gridSpan w:val="2"/>
            <w:vAlign w:val="center"/>
          </w:tcPr>
          <w:p>
            <w:pPr>
              <w:widowControl/>
              <w:spacing w:line="360" w:lineRule="auto"/>
              <w:jc w:val="center"/>
              <w:rPr>
                <w:rFonts w:ascii="宋体" w:hAnsi="宋体" w:eastAsia="Arial" w:cs="Tahoma"/>
                <w:color w:val="auto"/>
                <w:kern w:val="0"/>
                <w:szCs w:val="21"/>
                <w:highlight w:val="none"/>
              </w:rPr>
            </w:pPr>
            <w:r>
              <w:rPr>
                <w:rFonts w:hint="eastAsia" w:ascii="宋体" w:hAnsi="宋体" w:eastAsia="Arial" w:cs="Arial"/>
                <w:b/>
                <w:bCs/>
                <w:color w:val="auto"/>
                <w:szCs w:val="21"/>
                <w:highlight w:val="none"/>
              </w:rPr>
              <w:t>评分内容与标准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30" w:type="dxa"/>
            <w:vAlign w:val="center"/>
          </w:tcPr>
          <w:p>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418" w:type="dxa"/>
            <w:vAlign w:val="center"/>
          </w:tcPr>
          <w:p>
            <w:pPr>
              <w:spacing w:line="360" w:lineRule="auto"/>
              <w:jc w:val="both"/>
              <w:rPr>
                <w:rFonts w:hint="default" w:ascii="宋体" w:hAnsi="宋体" w:eastAsia="宋体" w:cs="Courier New"/>
                <w:bCs/>
                <w:color w:val="auto"/>
                <w:szCs w:val="21"/>
                <w:highlight w:val="none"/>
                <w:lang w:val="en-US" w:eastAsia="zh-CN"/>
              </w:rPr>
            </w:pPr>
            <w:r>
              <w:rPr>
                <w:rFonts w:hint="eastAsia" w:ascii="宋体" w:hAnsi="宋体" w:cs="Courier New"/>
                <w:bCs/>
                <w:color w:val="auto"/>
                <w:szCs w:val="21"/>
                <w:highlight w:val="none"/>
                <w:lang w:val="en-US" w:eastAsia="zh-CN"/>
              </w:rPr>
              <w:t>服务团队及宣传能力分</w:t>
            </w:r>
          </w:p>
        </w:tc>
        <w:tc>
          <w:tcPr>
            <w:tcW w:w="7055" w:type="dxa"/>
            <w:vAlign w:val="center"/>
          </w:tcPr>
          <w:p>
            <w:pPr>
              <w:suppressAutoHyphens/>
              <w:spacing w:line="360" w:lineRule="auto"/>
              <w:ind w:firstLine="420" w:firstLineChars="200"/>
              <w:rPr>
                <w:rFonts w:hint="eastAsia" w:ascii="宋体" w:hAnsi="宋体" w:eastAsia="Arial" w:cs="Arial"/>
                <w:color w:val="auto"/>
                <w:szCs w:val="21"/>
                <w:highlight w:val="none"/>
              </w:rPr>
            </w:pPr>
            <w:r>
              <w:rPr>
                <w:rFonts w:hint="eastAsia" w:ascii="宋体" w:hAnsi="宋体" w:eastAsia="Arial" w:cs="Arial"/>
                <w:color w:val="auto"/>
                <w:szCs w:val="21"/>
                <w:highlight w:val="none"/>
              </w:rPr>
              <w:t>1.拟投入该项目的实施人员，持有二级人力资源师或人力资源中级职称证书的，每提供一个证书得</w:t>
            </w:r>
            <w:r>
              <w:rPr>
                <w:rFonts w:hint="eastAsia" w:ascii="宋体" w:hAnsi="宋体" w:eastAsia="宋体" w:cs="Arial"/>
                <w:color w:val="auto"/>
                <w:szCs w:val="21"/>
                <w:highlight w:val="none"/>
                <w:lang w:val="en-US" w:eastAsia="zh-CN"/>
              </w:rPr>
              <w:t>2</w:t>
            </w:r>
            <w:r>
              <w:rPr>
                <w:rFonts w:hint="eastAsia" w:ascii="宋体" w:hAnsi="宋体" w:eastAsia="Arial" w:cs="Arial"/>
                <w:color w:val="auto"/>
                <w:szCs w:val="21"/>
                <w:highlight w:val="none"/>
              </w:rPr>
              <w:t>分；持有人力资源管理师证、职业指导师证、劳动关系协调师证的，每提供一个证书得</w:t>
            </w:r>
            <w:r>
              <w:rPr>
                <w:rFonts w:hint="eastAsia" w:ascii="宋体" w:hAnsi="宋体" w:eastAsia="宋体" w:cs="Arial"/>
                <w:color w:val="auto"/>
                <w:szCs w:val="21"/>
                <w:highlight w:val="none"/>
                <w:lang w:val="en-US" w:eastAsia="zh-CN"/>
              </w:rPr>
              <w:t>1</w:t>
            </w:r>
            <w:r>
              <w:rPr>
                <w:rFonts w:hint="eastAsia" w:ascii="宋体" w:hAnsi="宋体" w:eastAsia="Arial" w:cs="Arial"/>
                <w:color w:val="auto"/>
                <w:szCs w:val="21"/>
                <w:highlight w:val="none"/>
              </w:rPr>
              <w:t>.5分。本项满分</w:t>
            </w:r>
            <w:r>
              <w:rPr>
                <w:rFonts w:hint="eastAsia" w:ascii="宋体" w:hAnsi="宋体" w:eastAsia="宋体" w:cs="Arial"/>
                <w:color w:val="auto"/>
                <w:szCs w:val="21"/>
                <w:highlight w:val="none"/>
                <w:lang w:val="en-US" w:eastAsia="zh-CN"/>
              </w:rPr>
              <w:t>12</w:t>
            </w:r>
            <w:r>
              <w:rPr>
                <w:rFonts w:hint="eastAsia" w:ascii="宋体" w:hAnsi="宋体" w:eastAsia="Arial" w:cs="Arial"/>
                <w:color w:val="auto"/>
                <w:szCs w:val="21"/>
                <w:highlight w:val="none"/>
              </w:rPr>
              <w:t>分。</w:t>
            </w:r>
          </w:p>
          <w:p>
            <w:pPr>
              <w:suppressAutoHyphens/>
              <w:spacing w:line="360" w:lineRule="auto"/>
              <w:ind w:firstLine="420" w:firstLineChars="200"/>
              <w:rPr>
                <w:rFonts w:hint="eastAsia" w:ascii="宋体" w:hAnsi="宋体" w:eastAsia="Arial" w:cs="Arial"/>
                <w:color w:val="auto"/>
                <w:szCs w:val="21"/>
                <w:highlight w:val="none"/>
              </w:rPr>
            </w:pPr>
            <w:r>
              <w:rPr>
                <w:rFonts w:hint="eastAsia" w:ascii="宋体" w:hAnsi="宋体" w:eastAsia="Arial" w:cs="Arial"/>
                <w:color w:val="auto"/>
                <w:szCs w:val="21"/>
                <w:highlight w:val="none"/>
              </w:rPr>
              <w:t>响应文件中须提供相关证书证明扫描件或其他电子文件、截图、照片</w:t>
            </w:r>
            <w:r>
              <w:rPr>
                <w:rFonts w:hint="eastAsia" w:ascii="宋体" w:hAnsi="宋体" w:cs="Arial"/>
                <w:color w:val="auto"/>
                <w:szCs w:val="21"/>
                <w:highlight w:val="none"/>
                <w:lang w:val="en-US" w:eastAsia="zh-CN"/>
              </w:rPr>
              <w:t>及供应商与实施人员签订的劳动合同或工资流水或</w:t>
            </w:r>
            <w:r>
              <w:rPr>
                <w:rFonts w:hint="eastAsia" w:ascii="宋体" w:hAnsi="宋体" w:eastAsia="Arial" w:cs="Arial"/>
                <w:color w:val="auto"/>
                <w:szCs w:val="21"/>
                <w:highlight w:val="none"/>
              </w:rPr>
              <w:t>提供递交截止日期止前半年内至少其中1个月的社保证明，没有提供或者提供不符合要求的不得分。</w:t>
            </w:r>
          </w:p>
          <w:p>
            <w:pPr>
              <w:suppressAutoHyphens/>
              <w:spacing w:line="360" w:lineRule="auto"/>
              <w:ind w:firstLine="420" w:firstLineChars="200"/>
              <w:rPr>
                <w:rFonts w:ascii="宋体" w:hAnsi="宋体" w:eastAsia="Arial" w:cs="Arial"/>
                <w:b/>
                <w:bCs/>
                <w:color w:val="auto"/>
                <w:szCs w:val="21"/>
                <w:highlight w:val="none"/>
              </w:rPr>
            </w:pPr>
            <w:r>
              <w:rPr>
                <w:rFonts w:hint="eastAsia" w:ascii="宋体" w:hAnsi="宋体" w:eastAsia="Arial" w:cs="Arial"/>
                <w:color w:val="auto"/>
                <w:szCs w:val="21"/>
                <w:highlight w:val="none"/>
              </w:rPr>
              <w:t>2.</w:t>
            </w:r>
            <w:r>
              <w:rPr>
                <w:rFonts w:hint="eastAsia" w:ascii="宋体" w:hAnsi="宋体" w:cs="Arial"/>
                <w:color w:val="auto"/>
                <w:szCs w:val="21"/>
                <w:highlight w:val="none"/>
                <w:lang w:val="en-US" w:eastAsia="zh-CN"/>
              </w:rPr>
              <w:t>供应商具有</w:t>
            </w:r>
            <w:r>
              <w:rPr>
                <w:rFonts w:hint="eastAsia" w:ascii="宋体" w:hAnsi="宋体" w:eastAsia="Arial" w:cs="Arial"/>
                <w:color w:val="auto"/>
                <w:szCs w:val="21"/>
                <w:highlight w:val="none"/>
              </w:rPr>
              <w:t>完善的线上服务体系（含招聘服务网站、APP、公众号、微信小程序），</w:t>
            </w:r>
            <w:r>
              <w:rPr>
                <w:rFonts w:hint="eastAsia" w:ascii="宋体" w:hAnsi="宋体" w:cs="Arial"/>
                <w:color w:val="auto"/>
                <w:szCs w:val="21"/>
                <w:highlight w:val="none"/>
                <w:lang w:val="en-US" w:eastAsia="zh-CN"/>
              </w:rPr>
              <w:t>能提供相关网站、APP、公众号、微信小程序的截图的，得5分</w:t>
            </w:r>
            <w:r>
              <w:rPr>
                <w:rFonts w:hint="eastAsia" w:ascii="宋体" w:hAnsi="宋体" w:eastAsia="Arial" w:cs="Arial"/>
                <w:color w:val="auto"/>
                <w:szCs w:val="21"/>
                <w:highlight w:val="none"/>
              </w:rPr>
              <w:t>（满分5分）。</w:t>
            </w:r>
          </w:p>
        </w:tc>
        <w:tc>
          <w:tcPr>
            <w:tcW w:w="85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17</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0" w:type="dxa"/>
            <w:vAlign w:val="center"/>
          </w:tcPr>
          <w:p>
            <w:pPr>
              <w:widowControl/>
              <w:spacing w:line="360" w:lineRule="auto"/>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3.2</w:t>
            </w:r>
          </w:p>
        </w:tc>
        <w:tc>
          <w:tcPr>
            <w:tcW w:w="1418" w:type="dxa"/>
            <w:vAlign w:val="center"/>
          </w:tcPr>
          <w:p>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业绩分</w:t>
            </w:r>
          </w:p>
        </w:tc>
        <w:tc>
          <w:tcPr>
            <w:tcW w:w="7055" w:type="dxa"/>
            <w:vAlign w:val="center"/>
          </w:tcPr>
          <w:p>
            <w:pPr>
              <w:widowControl/>
              <w:spacing w:line="360" w:lineRule="auto"/>
              <w:jc w:val="left"/>
              <w:rPr>
                <w:rFonts w:hint="eastAsia" w:ascii="宋体" w:hAnsi="宋体" w:cs="宋体"/>
                <w:color w:val="auto"/>
                <w:highlight w:val="none"/>
              </w:rPr>
            </w:pPr>
            <w:r>
              <w:rPr>
                <w:rFonts w:hint="eastAsia" w:ascii="宋体" w:hAnsi="宋体" w:cs="宋体"/>
                <w:color w:val="auto"/>
                <w:highlight w:val="none"/>
              </w:rPr>
              <w:t>1.2021年1月1日至今，承担过与采购文件服务要求相类似业绩，每个业绩得2分，本项满分12分(以合同签订时间为准)。</w:t>
            </w:r>
          </w:p>
          <w:p>
            <w:pPr>
              <w:widowControl/>
              <w:spacing w:line="360" w:lineRule="auto"/>
              <w:jc w:val="left"/>
              <w:rPr>
                <w:rFonts w:hint="eastAsia" w:ascii="宋体" w:hAnsi="宋体" w:cs="宋体"/>
                <w:color w:val="auto"/>
                <w:highlight w:val="none"/>
              </w:rPr>
            </w:pPr>
            <w:r>
              <w:rPr>
                <w:rFonts w:hint="eastAsia" w:ascii="宋体" w:hAnsi="宋体" w:cs="宋体"/>
                <w:color w:val="auto"/>
                <w:highlight w:val="none"/>
              </w:rPr>
              <w:t>注：以上须提供合同扫描件或其他电子文件和招聘会举办现场照片扫描件或其他电子文件，没有提供或者提供不符合要求的不得分。</w:t>
            </w:r>
          </w:p>
        </w:tc>
        <w:tc>
          <w:tcPr>
            <w:tcW w:w="851" w:type="dxa"/>
            <w:vAlign w:val="center"/>
          </w:tcPr>
          <w:p>
            <w:pPr>
              <w:widowControl/>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54" w:type="dxa"/>
            <w:gridSpan w:val="4"/>
          </w:tcPr>
          <w:p>
            <w:pPr>
              <w:widowControl/>
              <w:spacing w:line="360" w:lineRule="auto"/>
              <w:jc w:val="left"/>
              <w:rPr>
                <w:rFonts w:ascii="宋体" w:hAnsi="宋体" w:eastAsia="Arial" w:cs="Tahoma"/>
                <w:color w:val="auto"/>
                <w:kern w:val="0"/>
                <w:szCs w:val="21"/>
                <w:highlight w:val="none"/>
              </w:rPr>
            </w:pPr>
            <w:r>
              <w:rPr>
                <w:rFonts w:hint="eastAsia" w:ascii="宋体" w:hAnsi="宋体" w:eastAsia="Arial" w:cs="Courier New"/>
                <w:b/>
                <w:color w:val="auto"/>
                <w:szCs w:val="21"/>
                <w:highlight w:val="none"/>
              </w:rPr>
              <w:t>总得分＝1＋2＋3</w:t>
            </w:r>
          </w:p>
        </w:tc>
      </w:tr>
    </w:tbl>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pPr>
        <w:spacing w:line="360" w:lineRule="auto"/>
        <w:ind w:firstLine="420" w:firstLineChars="200"/>
        <w:rPr>
          <w:rFonts w:ascii="宋体" w:hAnsi="宋体"/>
          <w:b/>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color w:val="auto"/>
          <w:highlight w:val="none"/>
        </w:rPr>
      </w:pPr>
      <w:bookmarkStart w:id="134" w:name="_Toc22545"/>
      <w:bookmarkStart w:id="135" w:name="_Toc11595"/>
      <w:bookmarkStart w:id="136" w:name="_Toc80886939"/>
      <w:r>
        <w:rPr>
          <w:rFonts w:hint="eastAsia" w:ascii="宋体" w:hAnsi="宋体"/>
          <w:b w:val="0"/>
          <w:color w:val="auto"/>
          <w:highlight w:val="none"/>
        </w:rPr>
        <w:t>第二节 评审报告</w:t>
      </w:r>
      <w:bookmarkEnd w:id="132"/>
      <w:bookmarkEnd w:id="134"/>
      <w:bookmarkEnd w:id="135"/>
      <w:bookmarkEnd w:id="136"/>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2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pPr>
        <w:pStyle w:val="27"/>
        <w:spacing w:before="0"/>
        <w:ind w:firstLine="420"/>
        <w:rPr>
          <w:rFonts w:cs="宋体"/>
          <w:color w:val="auto"/>
          <w:kern w:val="2"/>
          <w:sz w:val="21"/>
          <w:szCs w:val="24"/>
          <w:highlight w:val="none"/>
        </w:rPr>
      </w:pPr>
    </w:p>
    <w:p>
      <w:pPr>
        <w:pStyle w:val="4"/>
        <w:spacing w:before="0" w:after="0" w:line="360" w:lineRule="auto"/>
        <w:ind w:firstLine="640" w:firstLineChars="200"/>
        <w:jc w:val="center"/>
        <w:rPr>
          <w:rFonts w:ascii="宋体" w:hAnsi="宋体"/>
          <w:b w:val="0"/>
          <w:color w:val="auto"/>
          <w:highlight w:val="none"/>
        </w:rPr>
      </w:pPr>
      <w:bookmarkStart w:id="137" w:name="_Toc80205936"/>
      <w:bookmarkStart w:id="138" w:name="_Toc80886940"/>
      <w:bookmarkStart w:id="139" w:name="_Toc2025"/>
      <w:bookmarkStart w:id="140" w:name="_Toc20045"/>
      <w:r>
        <w:rPr>
          <w:rFonts w:hint="eastAsia" w:ascii="宋体" w:hAnsi="宋体"/>
          <w:b w:val="0"/>
          <w:color w:val="auto"/>
          <w:highlight w:val="none"/>
        </w:rPr>
        <w:t>第三节 评审过程的保密与录像</w:t>
      </w:r>
      <w:bookmarkEnd w:id="137"/>
      <w:bookmarkEnd w:id="138"/>
      <w:bookmarkEnd w:id="139"/>
      <w:bookmarkEnd w:id="140"/>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cs="宋体"/>
          <w:color w:val="auto"/>
          <w:highlight w:val="none"/>
        </w:rPr>
        <w:t>磋商小组</w:t>
      </w:r>
      <w:r>
        <w:rPr>
          <w:rFonts w:cs="宋体"/>
          <w:color w:val="auto"/>
          <w:highlight w:val="none"/>
        </w:rPr>
        <w:t>成员、采购人和采购</w:t>
      </w:r>
      <w:r>
        <w:rPr>
          <w:rFonts w:hint="eastAsia" w:cs="宋体"/>
          <w:color w:val="auto"/>
          <w:highlight w:val="none"/>
        </w:rPr>
        <w:t>代理</w:t>
      </w:r>
      <w:r>
        <w:rPr>
          <w:rFonts w:cs="宋体"/>
          <w:color w:val="auto"/>
          <w:highlight w:val="none"/>
        </w:rPr>
        <w:t>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pPr>
        <w:pStyle w:val="4"/>
        <w:jc w:val="center"/>
        <w:rPr>
          <w:color w:val="auto"/>
          <w:highlight w:val="none"/>
        </w:rPr>
      </w:pP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rPr>
          <w:color w:val="auto"/>
          <w:highlight w:val="none"/>
        </w:rPr>
      </w:pPr>
    </w:p>
    <w:p>
      <w:pPr>
        <w:pStyle w:val="3"/>
        <w:rPr>
          <w:color w:val="auto"/>
          <w:highlight w:val="none"/>
        </w:rPr>
      </w:pPr>
    </w:p>
    <w:p>
      <w:pPr>
        <w:rPr>
          <w:color w:val="auto"/>
          <w:highlight w:val="none"/>
        </w:rPr>
      </w:pPr>
    </w:p>
    <w:p>
      <w:pPr>
        <w:pStyle w:val="3"/>
        <w:jc w:val="center"/>
        <w:rPr>
          <w:color w:val="auto"/>
          <w:highlight w:val="none"/>
        </w:rPr>
        <w:sectPr>
          <w:headerReference r:id="rId10" w:type="default"/>
          <w:footerReference r:id="rId11" w:type="default"/>
          <w:pgSz w:w="11911" w:h="16838"/>
          <w:pgMar w:top="1134" w:right="1134" w:bottom="1134" w:left="1134" w:header="720" w:footer="720" w:gutter="0"/>
          <w:pgNumType w:fmt="decimal" w:start="1"/>
          <w:cols w:space="720" w:num="1"/>
        </w:sectPr>
      </w:pPr>
      <w:bookmarkStart w:id="141" w:name="_Toc80886941"/>
      <w:bookmarkStart w:id="142" w:name="_Toc26272"/>
      <w:bookmarkStart w:id="143" w:name="_Toc17404"/>
      <w:bookmarkStart w:id="144" w:name="_Toc12890"/>
      <w:bookmarkStart w:id="145" w:name="_Toc27282"/>
      <w:bookmarkStart w:id="146" w:name="_Toc7776"/>
      <w:bookmarkStart w:id="147" w:name="_Toc5005"/>
      <w:bookmarkStart w:id="148" w:name="_Toc22302"/>
      <w:r>
        <w:rPr>
          <w:rFonts w:hint="eastAsia" w:ascii="Calibri" w:hAnsi="Calibri"/>
          <w:color w:val="auto"/>
          <w:highlight w:val="none"/>
        </w:rPr>
        <w:t>第五章 响应文件格式</w:t>
      </w:r>
      <w:bookmarkEnd w:id="141"/>
      <w:bookmarkEnd w:id="142"/>
      <w:bookmarkEnd w:id="143"/>
      <w:bookmarkEnd w:id="144"/>
      <w:bookmarkEnd w:id="145"/>
      <w:bookmarkEnd w:id="146"/>
      <w:bookmarkEnd w:id="147"/>
      <w:bookmarkEnd w:id="148"/>
    </w:p>
    <w:p>
      <w:pPr>
        <w:pStyle w:val="4"/>
        <w:jc w:val="center"/>
        <w:rPr>
          <w:rFonts w:ascii="宋体" w:hAnsi="宋体"/>
          <w:bCs w:val="0"/>
          <w:color w:val="auto"/>
          <w:highlight w:val="none"/>
        </w:rPr>
      </w:pPr>
      <w:bookmarkStart w:id="149" w:name="_Toc80886943"/>
      <w:bookmarkStart w:id="150" w:name="_Toc22245"/>
      <w:bookmarkStart w:id="151" w:name="_Toc12994"/>
      <w:bookmarkStart w:id="152" w:name="_Toc80205939"/>
      <w:r>
        <w:rPr>
          <w:rFonts w:hint="eastAsia" w:ascii="宋体" w:hAnsi="宋体"/>
          <w:bCs w:val="0"/>
          <w:color w:val="auto"/>
          <w:highlight w:val="none"/>
        </w:rPr>
        <w:t>第一节 资格证明文件格式</w:t>
      </w:r>
      <w:bookmarkEnd w:id="149"/>
      <w:bookmarkEnd w:id="150"/>
      <w:bookmarkEnd w:id="151"/>
      <w:bookmarkEnd w:id="152"/>
    </w:p>
    <w:p>
      <w:pPr>
        <w:snapToGrid w:val="0"/>
        <w:spacing w:before="120" w:beforeLines="50" w:after="50"/>
        <w:jc w:val="left"/>
        <w:rPr>
          <w:color w:val="auto"/>
          <w:sz w:val="24"/>
          <w:highlight w:val="none"/>
        </w:rPr>
      </w:pPr>
      <w:r>
        <w:rPr>
          <w:rFonts w:hint="eastAsia" w:hAnsi="宋体" w:cs="宋体"/>
          <w:b/>
          <w:bCs/>
          <w:color w:val="auto"/>
          <w:sz w:val="28"/>
          <w:szCs w:val="28"/>
          <w:highlight w:val="none"/>
        </w:rPr>
        <w:t>1.资格证明文件封面的格式</w:t>
      </w:r>
      <w:r>
        <w:rPr>
          <w:rFonts w:hint="eastAsia" w:ascii="宋体" w:hAnsi="宋体" w:cs="宋体"/>
          <w:b/>
          <w:color w:val="auto"/>
          <w:sz w:val="28"/>
          <w:szCs w:val="28"/>
          <w:highlight w:val="none"/>
        </w:rPr>
        <w:t>（参照此格式自拟）</w:t>
      </w:r>
      <w:r>
        <w:rPr>
          <w:rFonts w:hint="eastAsia" w:hAnsi="宋体" w:cs="宋体"/>
          <w:b/>
          <w:bCs/>
          <w:color w:val="auto"/>
          <w:sz w:val="28"/>
          <w:szCs w:val="28"/>
          <w:highlight w:val="none"/>
        </w:rPr>
        <w:t>：</w:t>
      </w:r>
      <w:r>
        <w:rPr>
          <w:rFonts w:hint="eastAsia"/>
          <w:color w:val="auto"/>
          <w:sz w:val="24"/>
          <w:highlight w:val="none"/>
        </w:rPr>
        <w:t xml:space="preserve">                                      </w:t>
      </w:r>
    </w:p>
    <w:p>
      <w:pPr>
        <w:snapToGrid w:val="0"/>
        <w:spacing w:before="120" w:beforeLines="50" w:after="50"/>
        <w:ind w:firstLine="6930" w:firstLineChars="33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9"/>
        <w:snapToGrid w:val="0"/>
        <w:spacing w:before="50" w:after="50"/>
        <w:ind w:firstLine="720" w:firstLineChars="225"/>
        <w:rPr>
          <w:rFonts w:cs="仿宋_GB2312"/>
          <w:bCs/>
          <w:color w:val="auto"/>
          <w:sz w:val="32"/>
          <w:szCs w:val="32"/>
          <w:highlight w:val="none"/>
        </w:rPr>
      </w:pPr>
      <w:r>
        <w:rPr>
          <w:rFonts w:hint="eastAsia" w:cs="仿宋_GB2312"/>
          <w:bCs/>
          <w:color w:val="auto"/>
          <w:sz w:val="32"/>
          <w:szCs w:val="32"/>
          <w:highlight w:val="none"/>
        </w:rPr>
        <w:t>供应商名称：</w:t>
      </w: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b/>
          <w:bCs/>
          <w:color w:val="auto"/>
          <w:sz w:val="28"/>
          <w:szCs w:val="28"/>
          <w:highlight w:val="none"/>
        </w:rPr>
      </w:pPr>
      <w:r>
        <w:rPr>
          <w:color w:val="auto"/>
          <w:sz w:val="24"/>
          <w:highlight w:val="none"/>
        </w:rPr>
        <w:br w:type="page"/>
      </w:r>
      <w:r>
        <w:rPr>
          <w:rFonts w:hint="eastAsia" w:ascii="宋体" w:hAnsi="宋体" w:cs="宋体"/>
          <w:b/>
          <w:bCs/>
          <w:color w:val="auto"/>
          <w:sz w:val="28"/>
          <w:szCs w:val="28"/>
          <w:highlight w:val="none"/>
        </w:rPr>
        <w:t>2.资格证明文件目录</w:t>
      </w:r>
    </w:p>
    <w:p>
      <w:pPr>
        <w:spacing w:line="360" w:lineRule="auto"/>
        <w:rPr>
          <w:rFonts w:ascii="宋体" w:hAnsi="宋体" w:cs="宋体"/>
          <w:b/>
          <w:bCs/>
          <w:color w:val="auto"/>
          <w:sz w:val="28"/>
          <w:szCs w:val="28"/>
          <w:highlight w:val="none"/>
        </w:rPr>
      </w:pPr>
      <w:r>
        <w:rPr>
          <w:rFonts w:hint="eastAsia" w:ascii="宋体" w:hAnsi="宋体" w:cs="宋体"/>
          <w:color w:val="auto"/>
          <w:sz w:val="28"/>
          <w:szCs w:val="28"/>
          <w:highlight w:val="none"/>
        </w:rPr>
        <w:t xml:space="preserve">    根据竞争性磋商文件规定及供应商提供的材料自行编写目录（部分格式后附）。</w:t>
      </w:r>
    </w:p>
    <w:p>
      <w:pPr>
        <w:spacing w:line="320" w:lineRule="exact"/>
        <w:jc w:val="left"/>
        <w:rPr>
          <w:rFonts w:ascii="宋体" w:hAnsi="宋体" w:cs="宋体"/>
          <w:b/>
          <w:bCs/>
          <w:color w:val="auto"/>
          <w:sz w:val="28"/>
          <w:szCs w:val="28"/>
          <w:highlight w:val="none"/>
        </w:rPr>
      </w:pPr>
      <w:r>
        <w:rPr>
          <w:rFonts w:hint="eastAsia"/>
          <w:color w:val="auto"/>
          <w:szCs w:val="21"/>
          <w:highlight w:val="none"/>
        </w:rPr>
        <w:br w:type="page"/>
      </w:r>
      <w:r>
        <w:rPr>
          <w:rFonts w:hint="eastAsia" w:ascii="宋体" w:hAnsi="宋体" w:cs="宋体"/>
          <w:b/>
          <w:bCs/>
          <w:color w:val="auto"/>
          <w:kern w:val="0"/>
          <w:sz w:val="28"/>
          <w:szCs w:val="28"/>
          <w:highlight w:val="none"/>
        </w:rPr>
        <w:t>3.声明函的格式：</w:t>
      </w:r>
    </w:p>
    <w:p>
      <w:pPr>
        <w:spacing w:line="320" w:lineRule="exact"/>
        <w:jc w:val="center"/>
        <w:rPr>
          <w:b/>
          <w:color w:val="auto"/>
          <w:sz w:val="32"/>
          <w:szCs w:val="32"/>
          <w:highlight w:val="none"/>
        </w:rPr>
      </w:pPr>
    </w:p>
    <w:p>
      <w:pPr>
        <w:spacing w:line="320" w:lineRule="exact"/>
        <w:jc w:val="center"/>
        <w:rPr>
          <w:b/>
          <w:color w:val="auto"/>
          <w:sz w:val="32"/>
          <w:szCs w:val="32"/>
          <w:highlight w:val="none"/>
        </w:rPr>
      </w:pPr>
      <w:r>
        <w:rPr>
          <w:rFonts w:hint="eastAsia"/>
          <w:b/>
          <w:color w:val="auto"/>
          <w:sz w:val="32"/>
          <w:szCs w:val="32"/>
          <w:highlight w:val="none"/>
        </w:rPr>
        <w:t>声明函</w:t>
      </w:r>
    </w:p>
    <w:p>
      <w:pPr>
        <w:spacing w:line="320" w:lineRule="exact"/>
        <w:jc w:val="center"/>
        <w:rPr>
          <w:color w:val="auto"/>
          <w:sz w:val="24"/>
          <w:szCs w:val="20"/>
          <w:highlight w:val="none"/>
        </w:rPr>
      </w:pPr>
    </w:p>
    <w:p>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i/>
          <w:iCs/>
          <w:color w:val="auto"/>
          <w:sz w:val="24"/>
          <w:highlight w:val="none"/>
          <w:u w:val="single"/>
        </w:rPr>
        <w:t>（供应商名称）</w:t>
      </w:r>
      <w:r>
        <w:rPr>
          <w:rFonts w:hint="eastAsia" w:ascii="宋体" w:hAnsi="宋体" w:cs="宋体"/>
          <w:color w:val="auto"/>
          <w:sz w:val="24"/>
          <w:highlight w:val="none"/>
        </w:rPr>
        <w:t>系中华人民共和国合法供应商，统一社会信用代码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1.我方向贵方提交的所有响应文件、资料都是准确的、真实的和完整有效的。</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（2）已详细审查磋商文件的全部内容，包括澄清或者更正公告（如有）；</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4"/>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以上事项如有虚假或者隐瞒，我方愿意承担一切后果，并不再寻求任何旨在减轻或者免除法律责任的辩解。</w:t>
      </w:r>
    </w:p>
    <w:p>
      <w:pPr>
        <w:pStyle w:val="14"/>
        <w:tabs>
          <w:tab w:val="left" w:pos="939"/>
        </w:tabs>
        <w:spacing w:line="44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pStyle w:val="14"/>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color w:val="auto"/>
          <w:kern w:val="0"/>
          <w:sz w:val="24"/>
          <w:highlight w:val="none"/>
        </w:rPr>
      </w:pP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rPr>
          <w:rFonts w:ascii="宋体" w:hAnsi="宋体" w:cs="宋体"/>
          <w:color w:val="auto"/>
          <w:kern w:val="0"/>
          <w:sz w:val="24"/>
          <w:highlight w:val="none"/>
          <w:lang w:val="zh-CN"/>
        </w:rPr>
      </w:pP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供应商直接控股股东信息表的格式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before="50" w:after="12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供应商直接控股股东信息表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供应商直接管理关系信息表的格式</w:t>
      </w:r>
      <w:r>
        <w:rPr>
          <w:rFonts w:hint="eastAsia"/>
          <w:color w:val="auto"/>
          <w:sz w:val="28"/>
          <w:szCs w:val="28"/>
          <w:highlight w:val="none"/>
        </w:rPr>
        <w:t>：</w:t>
      </w:r>
    </w:p>
    <w:p>
      <w:pPr>
        <w:snapToGrid w:val="0"/>
        <w:jc w:val="left"/>
        <w:rPr>
          <w:color w:val="auto"/>
          <w:sz w:val="18"/>
          <w:szCs w:val="18"/>
          <w:highlight w:val="none"/>
        </w:rPr>
      </w:pPr>
    </w:p>
    <w:p>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pPr>
        <w:snapToGrid w:val="0"/>
        <w:spacing w:before="50" w:after="120" w:afterLines="50"/>
        <w:ind w:firstLine="180" w:firstLineChars="100"/>
        <w:jc w:val="left"/>
        <w:rPr>
          <w:rFonts w:ascii="宋体" w:hAnsi="宋体"/>
          <w:color w:val="auto"/>
          <w:sz w:val="18"/>
          <w:szCs w:val="18"/>
          <w:highlight w:val="none"/>
        </w:rPr>
      </w:pPr>
    </w:p>
    <w:p>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pPr>
        <w:pStyle w:val="9"/>
        <w:overflowPunct w:val="0"/>
        <w:spacing w:line="520" w:lineRule="exact"/>
        <w:ind w:firstLine="0"/>
        <w:rPr>
          <w:rFonts w:ascii="宋体" w:hAnsi="宋体" w:cs="宋体"/>
          <w:b/>
          <w:bCs/>
          <w:color w:val="auto"/>
          <w:sz w:val="28"/>
          <w:szCs w:val="28"/>
          <w:highlight w:val="none"/>
        </w:rPr>
      </w:pPr>
      <w:r>
        <w:rPr>
          <w:rFonts w:hint="eastAsia" w:ascii="宋体" w:hAnsi="宋体" w:cs="宋体"/>
          <w:b/>
          <w:color w:val="auto"/>
          <w:kern w:val="0"/>
          <w:sz w:val="28"/>
          <w:szCs w:val="28"/>
          <w:highlight w:val="none"/>
        </w:rPr>
        <w:t>6.联合体竞标协议书的格式：</w:t>
      </w:r>
    </w:p>
    <w:p>
      <w:pPr>
        <w:spacing w:line="600" w:lineRule="exact"/>
        <w:jc w:val="center"/>
        <w:rPr>
          <w:rFonts w:ascii="仿宋" w:hAnsi="仿宋" w:eastAsia="仿宋" w:cs="仿宋"/>
          <w:color w:val="auto"/>
          <w:sz w:val="44"/>
          <w:szCs w:val="44"/>
          <w:highlight w:val="none"/>
        </w:rPr>
      </w:pPr>
    </w:p>
    <w:p>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w:t>
      </w:r>
    </w:p>
    <w:p>
      <w:pPr>
        <w:autoSpaceDE w:val="0"/>
        <w:autoSpaceDN w:val="0"/>
        <w:adjustRightInd w:val="0"/>
        <w:spacing w:line="360" w:lineRule="auto"/>
        <w:jc w:val="left"/>
        <w:rPr>
          <w:rFonts w:hAnsi="Calibri" w:cs="宋体"/>
          <w:color w:val="auto"/>
          <w:kern w:val="0"/>
          <w:szCs w:val="21"/>
          <w:highlight w:val="none"/>
          <w:u w:val="singl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（采购代理机构名称）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 xml:space="preserve"> （项目名称）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i/>
          <w:iCs/>
          <w:color w:val="auto"/>
          <w:kern w:val="0"/>
          <w:sz w:val="24"/>
          <w:highlight w:val="none"/>
          <w:u w:val="single"/>
        </w:rPr>
        <w:t>（项目编号）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（某成员单位名称）为联合体名称牵头人。</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3.</w:t>
      </w:r>
      <w:r>
        <w:rPr>
          <w:rFonts w:hint="eastAsia" w:ascii="宋体" w:hAnsi="宋体" w:cs="宋体"/>
          <w:color w:val="auto"/>
          <w:kern w:val="0"/>
          <w:sz w:val="24"/>
          <w:highlight w:val="none"/>
        </w:rPr>
        <w:t>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4.</w:t>
      </w:r>
      <w:r>
        <w:rPr>
          <w:rFonts w:hint="eastAsia" w:ascii="宋体" w:hAnsi="宋体" w:cs="宋体"/>
          <w:color w:val="auto"/>
          <w:kern w:val="0"/>
          <w:sz w:val="24"/>
          <w:highlight w:val="none"/>
        </w:rPr>
        <w:t>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5.</w:t>
      </w:r>
      <w:r>
        <w:rPr>
          <w:rFonts w:hint="eastAsia" w:ascii="宋体" w:hAnsi="宋体" w:cs="宋体"/>
          <w:color w:val="auto"/>
          <w:kern w:val="0"/>
          <w:sz w:val="24"/>
          <w:highlight w:val="none"/>
        </w:rPr>
        <w:t>本联合体中，</w:t>
      </w:r>
      <w:r>
        <w:rPr>
          <w:rFonts w:hint="eastAsia" w:ascii="宋体" w:hAnsi="宋体" w:cs="宋体"/>
          <w:color w:val="auto"/>
          <w:kern w:val="0"/>
          <w:sz w:val="24"/>
          <w:highlight w:val="none"/>
          <w:u w:val="single"/>
        </w:rPr>
        <w:t xml:space="preserve">                         （某成员单位名称）为       </w:t>
      </w:r>
      <w:r>
        <w:rPr>
          <w:rFonts w:hint="eastAsia" w:ascii="宋体" w:hAnsi="宋体" w:cs="宋体"/>
          <w:color w:val="auto"/>
          <w:kern w:val="0"/>
          <w:sz w:val="24"/>
          <w:highlight w:val="none"/>
        </w:rPr>
        <w:t>（请填写：中型、小型、微型）企业，其协议合同金额占联合体协议合同总金额的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%。【如联合体成员中有小型、微型企业的，请填写此条，否则无需填写；如联合体成员中有多个小型、微型企业的，请逐一列出</w:t>
      </w:r>
      <w:r>
        <w:rPr>
          <w:rFonts w:hint="eastAsia" w:ascii="宋体" w:hAnsi="宋体" w:cs="宋体"/>
          <w:color w:val="auto"/>
          <w:kern w:val="0"/>
          <w:sz w:val="24"/>
          <w:highlight w:val="none"/>
          <w:lang w:eastAsia="zh-CN"/>
        </w:rPr>
        <w:t>】</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hint="eastAsia" w:ascii="宋体" w:hAnsi="宋体" w:cs="宋体"/>
          <w:color w:val="auto"/>
          <w:kern w:val="0"/>
          <w:sz w:val="24"/>
          <w:highlight w:val="none"/>
        </w:rPr>
        <w:t>本协议书自签署之日起生效，合同履行完毕后自动失效。</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7.</w:t>
      </w:r>
      <w:r>
        <w:rPr>
          <w:rFonts w:hint="eastAsia" w:ascii="宋体" w:hAnsi="宋体" w:cs="宋体"/>
          <w:color w:val="auto"/>
          <w:kern w:val="0"/>
          <w:sz w:val="24"/>
          <w:highlight w:val="none"/>
        </w:rPr>
        <w:t>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pPr>
        <w:autoSpaceDE w:val="0"/>
        <w:autoSpaceDN w:val="0"/>
        <w:adjustRightInd w:val="0"/>
        <w:spacing w:line="360" w:lineRule="exact"/>
        <w:jc w:val="left"/>
        <w:rPr>
          <w:rFonts w:ascii="宋体" w:hAnsi="宋体" w:cs="宋体"/>
          <w:color w:val="auto"/>
          <w:kern w:val="0"/>
          <w:szCs w:val="21"/>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w:t>
      </w:r>
    </w:p>
    <w:p>
      <w:pPr>
        <w:autoSpaceDE w:val="0"/>
        <w:autoSpaceDN w:val="0"/>
        <w:adjustRightInd w:val="0"/>
        <w:spacing w:line="360" w:lineRule="exact"/>
        <w:jc w:val="left"/>
        <w:rPr>
          <w:rFonts w:ascii="宋体" w:hAnsi="宋体" w:cs="宋体"/>
          <w:color w:val="auto"/>
          <w:kern w:val="0"/>
          <w:sz w:val="24"/>
          <w:highlight w:val="none"/>
        </w:rPr>
      </w:pPr>
    </w:p>
    <w:p>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w:t>
      </w:r>
    </w:p>
    <w:p>
      <w:pPr>
        <w:autoSpaceDE w:val="0"/>
        <w:autoSpaceDN w:val="0"/>
        <w:spacing w:line="360" w:lineRule="exact"/>
        <w:ind w:left="4365" w:leftChars="1850" w:hanging="480" w:hangingChars="200"/>
        <w:rPr>
          <w:rFonts w:ascii="宋体" w:hAnsi="宋体" w:cs="宋体"/>
          <w:color w:val="auto"/>
          <w:kern w:val="0"/>
          <w:sz w:val="24"/>
          <w:highlight w:val="none"/>
        </w:rPr>
      </w:pPr>
    </w:p>
    <w:p>
      <w:pPr>
        <w:autoSpaceDE w:val="0"/>
        <w:autoSpaceDN w:val="0"/>
        <w:spacing w:line="360" w:lineRule="exact"/>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pPr>
        <w:pStyle w:val="4"/>
        <w:jc w:val="center"/>
        <w:rPr>
          <w:rFonts w:ascii="宋体" w:hAnsi="宋体"/>
          <w:b w:val="0"/>
          <w:color w:val="auto"/>
          <w:highlight w:val="none"/>
        </w:rPr>
      </w:pPr>
      <w:bookmarkStart w:id="153" w:name="_Toc80205940"/>
      <w:bookmarkStart w:id="154" w:name="_Toc20562"/>
      <w:bookmarkStart w:id="155" w:name="_Toc80886944"/>
      <w:bookmarkStart w:id="156" w:name="_Toc15951"/>
      <w:r>
        <w:rPr>
          <w:rFonts w:hint="eastAsia" w:ascii="宋体" w:hAnsi="宋体"/>
          <w:b w:val="0"/>
          <w:bCs w:val="0"/>
          <w:color w:val="auto"/>
          <w:highlight w:val="none"/>
        </w:rPr>
        <w:t xml:space="preserve">第二节 </w:t>
      </w:r>
      <w:r>
        <w:rPr>
          <w:rFonts w:hint="eastAsia" w:ascii="宋体" w:hAnsi="宋体"/>
          <w:b w:val="0"/>
          <w:color w:val="auto"/>
          <w:highlight w:val="none"/>
        </w:rPr>
        <w:t>商务技术文件格式</w:t>
      </w:r>
      <w:bookmarkEnd w:id="153"/>
      <w:bookmarkEnd w:id="154"/>
      <w:bookmarkEnd w:id="155"/>
      <w:bookmarkEnd w:id="156"/>
    </w:p>
    <w:p>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28"/>
          <w:szCs w:val="28"/>
          <w:highlight w:val="none"/>
        </w:rPr>
        <w:t>1.商务技术文件封面的格式</w:t>
      </w:r>
      <w:r>
        <w:rPr>
          <w:rFonts w:hint="eastAsia" w:ascii="宋体" w:hAnsi="宋体" w:cs="宋体"/>
          <w:b/>
          <w:color w:val="auto"/>
          <w:sz w:val="28"/>
          <w:szCs w:val="28"/>
          <w:highlight w:val="none"/>
        </w:rPr>
        <w:t>（参照此格式自拟）</w:t>
      </w:r>
      <w:r>
        <w:rPr>
          <w:rFonts w:hint="eastAsia" w:ascii="宋体" w:hAnsi="宋体"/>
          <w:b/>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9"/>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NumType w:fmt="decimal"/>
          <w:cols w:space="720" w:num="1"/>
        </w:sectPr>
      </w:pPr>
    </w:p>
    <w:p>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2.商务技术文件目录</w:t>
      </w:r>
    </w:p>
    <w:p>
      <w:pPr>
        <w:spacing w:line="400" w:lineRule="exact"/>
        <w:rPr>
          <w:rFonts w:ascii="仿宋_GB2312" w:hAnsi="仿宋_GB2312" w:eastAsia="仿宋_GB2312" w:cs="仿宋_GB2312"/>
          <w:color w:val="auto"/>
          <w:sz w:val="32"/>
          <w:szCs w:val="32"/>
          <w:highlight w:val="none"/>
        </w:rPr>
      </w:pPr>
      <w:r>
        <w:rPr>
          <w:rFonts w:hint="eastAsia" w:ascii="宋体" w:hAnsi="宋体" w:cs="宋体"/>
          <w:color w:val="auto"/>
          <w:kern w:val="0"/>
          <w:sz w:val="24"/>
          <w:highlight w:val="none"/>
        </w:rPr>
        <w:t xml:space="preserve">  根据竞争性磋商文件规定及供应商提供的材料自行编写目录（部分格式后附）。</w:t>
      </w:r>
    </w:p>
    <w:p>
      <w:pPr>
        <w:spacing w:line="520" w:lineRule="exact"/>
        <w:jc w:val="left"/>
        <w:rPr>
          <w:rFonts w:ascii="宋体" w:hAnsi="宋体" w:cs="宋体"/>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cs="宋体"/>
          <w:b/>
          <w:color w:val="auto"/>
          <w:sz w:val="28"/>
          <w:szCs w:val="28"/>
          <w:highlight w:val="none"/>
        </w:rPr>
        <w:t>3.无串通竞标行为的承诺函的格式：</w:t>
      </w: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pPr>
        <w:spacing w:line="520" w:lineRule="exact"/>
        <w:ind w:firstLine="640" w:firstLineChars="200"/>
        <w:rPr>
          <w:rFonts w:ascii="仿宋_GB2312" w:hAnsi="仿宋_GB2312" w:eastAsia="仿宋_GB2312" w:cs="仿宋_GB2312"/>
          <w:color w:val="auto"/>
          <w:sz w:val="32"/>
          <w:szCs w:val="32"/>
          <w:highlight w:val="none"/>
        </w:rPr>
      </w:pP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pPr>
        <w:pStyle w:val="12"/>
        <w:ind w:firstLine="480" w:firstLineChars="200"/>
        <w:rPr>
          <w:rFonts w:ascii="宋体" w:hAnsi="宋体" w:cs="宋体"/>
          <w:color w:val="auto"/>
          <w:highlight w:val="none"/>
        </w:rPr>
      </w:pPr>
      <w:r>
        <w:rPr>
          <w:rFonts w:hint="eastAsia" w:ascii="宋体" w:hAnsi="宋体" w:cs="宋体"/>
          <w:color w:val="auto"/>
          <w:sz w:val="24"/>
          <w:highlight w:val="none"/>
        </w:rPr>
        <w:t>6.不同供应商的磋商保证金从同一单位或者个人账户转出。</w:t>
      </w: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宋体"/>
          <w:color w:val="auto"/>
          <w:sz w:val="24"/>
          <w:highlight w:val="none"/>
        </w:rPr>
      </w:pPr>
    </w:p>
    <w:p>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pPr>
        <w:pStyle w:val="16"/>
        <w:rPr>
          <w:rFonts w:ascii="宋体" w:hAnsi="宋体" w:cs="宋体"/>
          <w:b/>
          <w:bCs/>
          <w:color w:val="auto"/>
          <w:sz w:val="24"/>
          <w:highlight w:val="none"/>
        </w:rPr>
      </w:pPr>
    </w:p>
    <w:p>
      <w:pPr>
        <w:pStyle w:val="16"/>
        <w:rPr>
          <w:rFonts w:ascii="宋体" w:hAnsi="宋体" w:cs="宋体"/>
          <w:b/>
          <w:bCs/>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480" w:lineRule="auto"/>
        <w:ind w:firstLine="5040" w:firstLineChars="2100"/>
        <w:jc w:val="left"/>
        <w:rPr>
          <w:rFonts w:ascii="宋体" w:hAnsi="宋体" w:cs="宋体"/>
          <w:b/>
          <w:bCs/>
          <w:color w:val="auto"/>
          <w:sz w:val="28"/>
          <w:szCs w:val="28"/>
          <w:highlight w:val="none"/>
        </w:rPr>
      </w:pPr>
      <w:r>
        <w:rPr>
          <w:rFonts w:hint="eastAsia" w:ascii="宋体" w:hAnsi="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cs="宋体"/>
          <w:b/>
          <w:bCs/>
          <w:color w:val="auto"/>
          <w:sz w:val="28"/>
          <w:szCs w:val="28"/>
          <w:highlight w:val="none"/>
        </w:rPr>
        <w:t>4.法定代表人身份证明的格式：</w:t>
      </w: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cs="宋体"/>
          <w:bCs/>
          <w:color w:val="auto"/>
          <w:sz w:val="32"/>
          <w:szCs w:val="32"/>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p>
    <w:p>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pPr>
        <w:spacing w:line="360" w:lineRule="auto"/>
        <w:ind w:left="540"/>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contextualSpacing/>
        <w:jc w:val="left"/>
        <w:rPr>
          <w:rFonts w:ascii="宋体" w:hAnsi="宋体" w:cs="宋体"/>
          <w:color w:val="auto"/>
          <w:sz w:val="24"/>
          <w:highlight w:val="none"/>
        </w:rPr>
      </w:pPr>
    </w:p>
    <w:p>
      <w:pPr>
        <w:spacing w:line="360" w:lineRule="auto"/>
        <w:contextualSpacing/>
        <w:jc w:val="left"/>
        <w:rPr>
          <w:rFonts w:ascii="宋体" w:hAnsi="宋体" w:cs="宋体"/>
          <w:color w:val="auto"/>
          <w:sz w:val="24"/>
          <w:highlight w:val="none"/>
        </w:rPr>
      </w:pP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1.自然人竞标的无需提供，联合体竞标的只需牵头人出具。</w:t>
      </w:r>
    </w:p>
    <w:p>
      <w:pPr>
        <w:spacing w:line="360" w:lineRule="auto"/>
        <w:ind w:firstLine="420" w:firstLineChars="200"/>
        <w:contextualSpacing/>
        <w:jc w:val="left"/>
        <w:rPr>
          <w:rFonts w:ascii="宋体" w:hAnsi="宋体" w:cs="宋体"/>
          <w:color w:val="auto"/>
          <w:szCs w:val="21"/>
          <w:highlight w:val="none"/>
        </w:rPr>
        <w:sectPr>
          <w:pgSz w:w="11911" w:h="16838"/>
          <w:pgMar w:top="1134" w:right="1134" w:bottom="1134" w:left="1134" w:header="720" w:footer="720" w:gutter="0"/>
          <w:pgNumType w:fmt="decimal"/>
          <w:cols w:space="720" w:num="1"/>
        </w:sect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Calibri"/>
          <w:b/>
          <w:color w:val="auto"/>
          <w:sz w:val="24"/>
          <w:highlight w:val="none"/>
        </w:rPr>
        <w:t>附件：</w:t>
      </w:r>
    </w:p>
    <w:tbl>
      <w:tblPr>
        <w:tblStyle w:val="22"/>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hAnsi="Calibri"/>
                <w:b/>
                <w:color w:val="auto"/>
                <w:sz w:val="24"/>
                <w:highlight w:val="none"/>
              </w:rPr>
            </w:pPr>
          </w:p>
          <w:p>
            <w:pPr>
              <w:spacing w:line="360" w:lineRule="auto"/>
              <w:rPr>
                <w:rFonts w:hAnsi="Calibri"/>
                <w:b/>
                <w:color w:val="auto"/>
                <w:sz w:val="24"/>
                <w:highlight w:val="none"/>
              </w:rPr>
            </w:pPr>
            <w:r>
              <w:rPr>
                <w:rFonts w:hint="eastAsia" w:hAnsi="Calibri"/>
                <w:b/>
                <w:color w:val="auto"/>
                <w:sz w:val="24"/>
                <w:highlight w:val="none"/>
              </w:rPr>
              <w:t>法定代表人身份证复印件粘贴处（正、反面）</w:t>
            </w:r>
          </w:p>
        </w:tc>
      </w:tr>
    </w:tbl>
    <w:p>
      <w:pPr>
        <w:adjustRightInd w:val="0"/>
        <w:snapToGrid w:val="0"/>
        <w:spacing w:line="300" w:lineRule="auto"/>
        <w:jc w:val="left"/>
        <w:rPr>
          <w:b/>
          <w:color w:val="auto"/>
          <w:szCs w:val="21"/>
          <w:highlight w:val="none"/>
        </w:rPr>
      </w:pPr>
    </w:p>
    <w:p>
      <w:pPr>
        <w:spacing w:line="520" w:lineRule="exact"/>
        <w:ind w:firstLine="880"/>
        <w:jc w:val="left"/>
        <w:rPr>
          <w:rFonts w:ascii="宋体" w:hAnsi="宋体" w:cs="宋体"/>
          <w:color w:val="auto"/>
          <w:szCs w:val="21"/>
          <w:highlight w:val="none"/>
        </w:rPr>
      </w:pPr>
    </w:p>
    <w:p>
      <w:pPr>
        <w:spacing w:line="520" w:lineRule="exact"/>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宋体" w:hAnsi="宋体" w:cs="宋体"/>
          <w:b/>
          <w:bCs/>
          <w:color w:val="auto"/>
          <w:sz w:val="28"/>
          <w:szCs w:val="28"/>
          <w:highlight w:val="none"/>
        </w:rPr>
        <w:t>5.法定代表人授权委托书的格式：</w:t>
      </w:r>
    </w:p>
    <w:p>
      <w:pPr>
        <w:spacing w:line="500" w:lineRule="exact"/>
        <w:jc w:val="center"/>
        <w:rPr>
          <w:rFonts w:ascii="仿宋" w:hAnsi="仿宋" w:eastAsia="仿宋" w:cs="仿宋"/>
          <w:color w:val="auto"/>
          <w:sz w:val="44"/>
          <w:szCs w:val="44"/>
          <w:highlight w:val="none"/>
        </w:rPr>
      </w:pP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授权委托书（非联合体竞标格式）</w:t>
      </w:r>
    </w:p>
    <w:p>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pPr>
        <w:spacing w:line="500" w:lineRule="exact"/>
        <w:jc w:val="center"/>
        <w:rPr>
          <w:rFonts w:ascii="宋体" w:hAnsi="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cs="宋体"/>
          <w:b/>
          <w:bCs/>
          <w:color w:val="auto"/>
          <w:sz w:val="32"/>
          <w:szCs w:val="32"/>
          <w:highlight w:val="none"/>
        </w:rPr>
        <w:t>授权委托书（联合体竞标格式）</w:t>
      </w:r>
    </w:p>
    <w:p>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pPr>
        <w:spacing w:line="500" w:lineRule="exact"/>
        <w:jc w:val="center"/>
        <w:rPr>
          <w:rFonts w:ascii="仿宋" w:hAnsi="仿宋" w:eastAsia="仿宋" w:cs="仿宋"/>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xml:space="preserve"> （姓名）</w:t>
      </w:r>
      <w:r>
        <w:rPr>
          <w:rFonts w:hint="eastAsia" w:ascii="宋体" w:hAnsi="宋体" w:cs="宋体"/>
          <w:color w:val="auto"/>
          <w:sz w:val="24"/>
          <w:highlight w:val="none"/>
        </w:rPr>
        <w:t>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w:t>
      </w: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牵头人名称（盖公章）：</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委托代理人（签字）：</w:t>
      </w:r>
    </w:p>
    <w:p>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4"/>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widowControl/>
        <w:shd w:val="clear" w:color="auto" w:fill="FFFFFF"/>
        <w:spacing w:line="480" w:lineRule="atLeast"/>
        <w:rPr>
          <w:rFonts w:ascii="宋体" w:hAnsi="宋体" w:cs="宋体"/>
          <w:color w:val="auto"/>
          <w:sz w:val="24"/>
          <w:highlight w:val="none"/>
        </w:rPr>
      </w:pPr>
      <w:r>
        <w:rPr>
          <w:rFonts w:hint="eastAsia" w:ascii="仿宋_GB2312" w:hAnsi="仿宋_GB2312" w:eastAsia="仿宋_GB2312" w:cs="仿宋_GB2312"/>
          <w:color w:val="auto"/>
          <w:sz w:val="32"/>
          <w:szCs w:val="32"/>
          <w:highlight w:val="none"/>
        </w:rPr>
        <w:br w:type="page"/>
      </w:r>
      <w:r>
        <w:rPr>
          <w:rFonts w:hint="eastAsia" w:hAnsi="宋体" w:cs="宋体"/>
          <w:b/>
          <w:color w:val="auto"/>
          <w:sz w:val="28"/>
          <w:szCs w:val="28"/>
          <w:highlight w:val="none"/>
        </w:rPr>
        <w:t xml:space="preserve">6.供应商认为有必要提供的其他文件 </w:t>
      </w:r>
    </w:p>
    <w:p>
      <w:pPr>
        <w:shd w:val="clear" w:color="auto" w:fill="FFFFFF"/>
        <w:spacing w:line="520" w:lineRule="exact"/>
        <w:jc w:val="center"/>
        <w:rPr>
          <w:color w:val="auto"/>
          <w:sz w:val="24"/>
          <w:highlight w:val="none"/>
        </w:rPr>
      </w:pPr>
    </w:p>
    <w:p>
      <w:pPr>
        <w:spacing w:line="520" w:lineRule="exact"/>
        <w:jc w:val="center"/>
        <w:rPr>
          <w:color w:val="auto"/>
          <w:sz w:val="24"/>
          <w:highlight w:val="none"/>
        </w:rPr>
      </w:pPr>
    </w:p>
    <w:p>
      <w:pPr>
        <w:spacing w:line="520" w:lineRule="exact"/>
        <w:jc w:val="left"/>
        <w:rPr>
          <w:rFonts w:ascii="仿宋_GB2312" w:hAnsi="仿宋_GB2312" w:eastAsia="仿宋_GB2312" w:cs="仿宋_GB2312"/>
          <w:color w:val="auto"/>
          <w:sz w:val="32"/>
          <w:szCs w:val="32"/>
          <w:highlight w:val="none"/>
        </w:rPr>
      </w:pPr>
    </w:p>
    <w:p>
      <w:pPr>
        <w:spacing w:line="520" w:lineRule="exact"/>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宋体"/>
          <w:b/>
          <w:color w:val="auto"/>
          <w:sz w:val="28"/>
          <w:szCs w:val="28"/>
          <w:highlight w:val="none"/>
        </w:rPr>
        <w:t>7.商务条款偏离表的格式：</w:t>
      </w:r>
    </w:p>
    <w:p>
      <w:pPr>
        <w:pStyle w:val="16"/>
        <w:rPr>
          <w:color w:val="auto"/>
          <w:highlight w:val="none"/>
        </w:rPr>
      </w:pP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pPr>
        <w:spacing w:line="520" w:lineRule="exact"/>
        <w:rPr>
          <w:rFonts w:ascii="宋体" w:hAnsi="宋体" w:cs="宋体"/>
          <w:color w:val="auto"/>
          <w:sz w:val="32"/>
          <w:szCs w:val="32"/>
          <w:highlight w:val="none"/>
        </w:rPr>
      </w:pP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highlight w:val="none"/>
              </w:rPr>
            </w:pPr>
          </w:p>
        </w:tc>
      </w:tr>
    </w:tbl>
    <w:p>
      <w:pPr>
        <w:pStyle w:val="13"/>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3"/>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1.应对照磋商文件“第二章 采购需求”中的商务条款逐条作出明确响应，并作出偏离说明。</w:t>
      </w:r>
    </w:p>
    <w:p>
      <w:pPr>
        <w:pStyle w:val="13"/>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w:t>
      </w:r>
      <w:r>
        <w:rPr>
          <w:rFonts w:hint="eastAsia" w:ascii="宋体" w:hAnsi="宋体" w:cs="宋体"/>
          <w:b/>
          <w:bCs/>
          <w:color w:val="auto"/>
          <w:kern w:val="0"/>
          <w:sz w:val="24"/>
          <w:highlight w:val="none"/>
        </w:rPr>
        <w:t>否则按竞标无效处理。</w:t>
      </w:r>
    </w:p>
    <w:p>
      <w:pPr>
        <w:spacing w:line="400" w:lineRule="exact"/>
        <w:ind w:firstLine="480" w:firstLineChars="200"/>
        <w:contextualSpacing/>
        <w:rPr>
          <w:rFonts w:ascii="宋体" w:hAnsi="宋体" w:cs="宋体"/>
          <w:color w:val="auto"/>
          <w:kern w:val="0"/>
          <w:sz w:val="24"/>
          <w:highlight w:val="none"/>
        </w:rPr>
      </w:pPr>
    </w:p>
    <w:p>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供应商名称（盖公章）：</w:t>
      </w:r>
    </w:p>
    <w:p>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16"/>
        <w:rPr>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pStyle w:val="19"/>
        <w:snapToGrid w:val="0"/>
        <w:ind w:left="562" w:hanging="562"/>
        <w:rPr>
          <w:rFonts w:ascii="宋体" w:hAnsi="宋体" w:cs="宋体"/>
          <w:i/>
          <w:iCs/>
          <w:color w:val="auto"/>
          <w:sz w:val="24"/>
          <w:highlight w:val="none"/>
        </w:rPr>
      </w:pPr>
      <w:r>
        <w:rPr>
          <w:rFonts w:hint="eastAsia" w:ascii="宋体" w:hAnsi="宋体" w:cs="宋体"/>
          <w:b/>
          <w:color w:val="auto"/>
          <w:sz w:val="28"/>
          <w:szCs w:val="28"/>
          <w:highlight w:val="none"/>
        </w:rPr>
        <w:t>8.供应商类似的业绩证明文件</w:t>
      </w:r>
      <w:r>
        <w:rPr>
          <w:rFonts w:hint="eastAsia" w:ascii="宋体" w:hAnsi="宋体" w:cs="宋体"/>
          <w:b/>
          <w:bCs/>
          <w:color w:val="auto"/>
          <w:sz w:val="30"/>
          <w:szCs w:val="30"/>
          <w:highlight w:val="none"/>
        </w:rPr>
        <w:t>（如有要求）：</w:t>
      </w:r>
    </w:p>
    <w:p>
      <w:pPr>
        <w:spacing w:line="360" w:lineRule="auto"/>
        <w:ind w:firstLine="2880" w:firstLineChars="900"/>
        <w:contextualSpacing/>
        <w:rPr>
          <w:rFonts w:ascii="宋体" w:hAnsi="宋体" w:cs="宋体"/>
          <w:color w:val="auto"/>
          <w:sz w:val="32"/>
          <w:szCs w:val="32"/>
          <w:highlight w:val="none"/>
        </w:rPr>
      </w:pPr>
    </w:p>
    <w:p>
      <w:pPr>
        <w:spacing w:line="360" w:lineRule="auto"/>
        <w:ind w:firstLine="2880" w:firstLineChars="900"/>
        <w:contextualSpacing/>
        <w:rPr>
          <w:rFonts w:ascii="宋体" w:hAnsi="宋体" w:cs="宋体"/>
          <w:color w:val="auto"/>
          <w:sz w:val="32"/>
          <w:szCs w:val="32"/>
          <w:highlight w:val="none"/>
        </w:rPr>
      </w:pPr>
      <w:r>
        <w:rPr>
          <w:rFonts w:hint="eastAsia" w:ascii="宋体" w:hAnsi="宋体" w:cs="宋体"/>
          <w:color w:val="auto"/>
          <w:sz w:val="32"/>
          <w:szCs w:val="32"/>
          <w:highlight w:val="none"/>
        </w:rPr>
        <w:t>类似项目的业绩一览表</w:t>
      </w:r>
    </w:p>
    <w:p>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22"/>
        <w:tblpPr w:leftFromText="180" w:rightFromText="180" w:vertAnchor="page" w:horzAnchor="page" w:tblpX="1008" w:tblpY="3639"/>
        <w:tblW w:w="9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3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合同</w:t>
            </w:r>
          </w:p>
          <w:p>
            <w:pPr>
              <w:snapToGrid w:val="0"/>
              <w:jc w:val="center"/>
              <w:rPr>
                <w:rFonts w:ascii="宋体" w:hAnsi="宋体" w:cs="宋体"/>
                <w:color w:val="auto"/>
                <w:sz w:val="24"/>
                <w:highlight w:val="none"/>
              </w:rPr>
            </w:pPr>
            <w:r>
              <w:rPr>
                <w:rFonts w:hint="eastAsia" w:ascii="宋体" w:hAnsi="宋体" w:cs="宋体"/>
                <w:color w:val="auto"/>
                <w:sz w:val="24"/>
                <w:highlight w:val="none"/>
              </w:rPr>
              <w:t>金额</w:t>
            </w:r>
          </w:p>
          <w:p>
            <w:pPr>
              <w:snapToGrid w:val="0"/>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36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合同或中标（成交）通知书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highlight w:val="none"/>
              </w:rPr>
            </w:pPr>
          </w:p>
        </w:tc>
      </w:tr>
    </w:tbl>
    <w:p>
      <w:pPr>
        <w:snapToGrid w:val="0"/>
        <w:spacing w:line="360" w:lineRule="auto"/>
        <w:ind w:firstLine="4935" w:firstLineChars="2350"/>
        <w:rPr>
          <w:rFonts w:ascii="宋体" w:hAnsi="宋体" w:cs="宋体"/>
          <w:color w:val="auto"/>
          <w:szCs w:val="21"/>
          <w:highlight w:val="none"/>
        </w:rPr>
      </w:pPr>
    </w:p>
    <w:p>
      <w:pPr>
        <w:snapToGrid w:val="0"/>
        <w:spacing w:line="360" w:lineRule="auto"/>
        <w:rPr>
          <w:rFonts w:ascii="宋体" w:hAnsi="宋体" w:cs="宋体"/>
          <w:color w:val="auto"/>
          <w:szCs w:val="21"/>
          <w:highlight w:val="none"/>
        </w:rPr>
      </w:pPr>
      <w:r>
        <w:rPr>
          <w:rFonts w:hint="eastAsia" w:ascii="宋体" w:hAnsi="宋体" w:cs="宋体"/>
          <w:color w:val="auto"/>
          <w:sz w:val="24"/>
          <w:szCs w:val="20"/>
          <w:highlight w:val="none"/>
        </w:rPr>
        <w:t>注：在填写时，如本表格不适合供应商的实际情况，可参照本表格式自行制表填写，并附上相关证明材料</w:t>
      </w:r>
      <w:r>
        <w:rPr>
          <w:rFonts w:hint="eastAsia"/>
          <w:color w:val="auto"/>
          <w:highlight w:val="none"/>
        </w:rPr>
        <w:t>。</w:t>
      </w: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供应商名称(盖公章)：</w:t>
      </w:r>
    </w:p>
    <w:p>
      <w:pPr>
        <w:spacing w:line="500" w:lineRule="exact"/>
        <w:jc w:val="center"/>
        <w:rPr>
          <w:rFonts w:ascii="宋体" w:hAnsi="宋体" w:cs="宋体"/>
          <w:color w:val="auto"/>
          <w:sz w:val="32"/>
          <w:szCs w:val="32"/>
          <w:highlight w:val="none"/>
        </w:rPr>
        <w:sectPr>
          <w:pgSz w:w="11911" w:h="16838"/>
          <w:pgMar w:top="1134" w:right="1134" w:bottom="1134" w:left="1134" w:header="720" w:footer="720" w:gutter="0"/>
          <w:pgNumType w:fmt="decimal"/>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9.服务需求偏离表的格式：</w:t>
      </w:r>
    </w:p>
    <w:p>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pPr>
        <w:spacing w:line="360" w:lineRule="auto"/>
        <w:contextualSpacing/>
        <w:jc w:val="left"/>
        <w:rPr>
          <w:rFonts w:ascii="宋体" w:hAnsi="宋体" w:cs="宋体"/>
          <w:color w:val="auto"/>
          <w:sz w:val="24"/>
          <w:highlight w:val="none"/>
        </w:rPr>
      </w:pP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40"/>
        <w:gridCol w:w="3032"/>
        <w:gridCol w:w="259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项号</w:t>
            </w:r>
          </w:p>
        </w:tc>
        <w:tc>
          <w:tcPr>
            <w:tcW w:w="1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3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竞争性磋商文件</w:t>
            </w:r>
            <w:r>
              <w:rPr>
                <w:rFonts w:hint="eastAsia" w:ascii="宋体" w:hAnsi="宋体"/>
                <w:color w:val="auto"/>
                <w:sz w:val="24"/>
                <w:highlight w:val="none"/>
              </w:rPr>
              <w:t>采购需求中的技术要求</w:t>
            </w:r>
          </w:p>
        </w:tc>
        <w:tc>
          <w:tcPr>
            <w:tcW w:w="25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响应文件响应的</w:t>
            </w:r>
            <w:r>
              <w:rPr>
                <w:rFonts w:hint="eastAsia" w:ascii="宋体" w:hAnsi="宋体"/>
                <w:color w:val="auto"/>
                <w:sz w:val="24"/>
                <w:highlight w:val="none"/>
              </w:rPr>
              <w:t>技术要求</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3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3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30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25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highlight w:val="none"/>
              </w:rPr>
            </w:pPr>
          </w:p>
        </w:tc>
      </w:tr>
    </w:tbl>
    <w:p>
      <w:pPr>
        <w:pStyle w:val="13"/>
        <w:ind w:firstLine="845"/>
        <w:rPr>
          <w:rFonts w:ascii="宋体" w:hAnsi="宋体" w:cs="宋体"/>
          <w:color w:val="auto"/>
          <w:sz w:val="24"/>
          <w:highlight w:val="none"/>
          <w:u w:val="single"/>
        </w:rPr>
      </w:pPr>
    </w:p>
    <w:p>
      <w:pPr>
        <w:pStyle w:val="11"/>
        <w:spacing w:after="0" w:line="360" w:lineRule="auto"/>
        <w:contextualSpacing/>
        <w:rPr>
          <w:rFonts w:ascii="宋体" w:hAnsi="宋体" w:cs="宋体"/>
          <w:color w:val="auto"/>
          <w:kern w:val="0"/>
          <w:sz w:val="24"/>
          <w:szCs w:val="24"/>
          <w:highlight w:val="none"/>
        </w:rPr>
      </w:pPr>
    </w:p>
    <w:p>
      <w:pPr>
        <w:pStyle w:val="11"/>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pPr>
        <w:pStyle w:val="11"/>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1.说明：应对照磋商文件“第二章  </w:t>
      </w:r>
      <w:r>
        <w:rPr>
          <w:rFonts w:hint="eastAsia" w:ascii="Cambria" w:hAnsi="Cambria"/>
          <w:bCs/>
          <w:color w:val="auto"/>
          <w:sz w:val="21"/>
          <w:szCs w:val="21"/>
          <w:highlight w:val="none"/>
        </w:rPr>
        <w:t>采购需求</w:t>
      </w:r>
      <w:r>
        <w:rPr>
          <w:rFonts w:hint="eastAsia" w:ascii="宋体" w:hAnsi="宋体" w:cs="宋体"/>
          <w:color w:val="auto"/>
          <w:kern w:val="0"/>
          <w:sz w:val="21"/>
          <w:szCs w:val="21"/>
          <w:highlight w:val="none"/>
        </w:rPr>
        <w:t>”中“需求一览表”的技术要求条款逐条作出明确响应，并作出偏离说明。</w:t>
      </w:r>
    </w:p>
    <w:p>
      <w:pPr>
        <w:pStyle w:val="13"/>
        <w:spacing w:line="48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3.表格内容均需按要求填写并盖公章，不得留空，</w:t>
      </w:r>
      <w:r>
        <w:rPr>
          <w:rFonts w:hint="eastAsia" w:ascii="宋体" w:hAnsi="宋体" w:cs="宋体"/>
          <w:b/>
          <w:bCs/>
          <w:color w:val="auto"/>
          <w:kern w:val="0"/>
          <w:szCs w:val="21"/>
          <w:highlight w:val="none"/>
        </w:rPr>
        <w:t>否则按竞标无效处理。</w:t>
      </w:r>
    </w:p>
    <w:p>
      <w:pPr>
        <w:pStyle w:val="13"/>
        <w:spacing w:line="480" w:lineRule="auto"/>
        <w:ind w:firstLine="420" w:firstLineChars="200"/>
        <w:contextualSpacing/>
        <w:rPr>
          <w:rFonts w:ascii="宋体" w:hAnsi="宋体" w:eastAsia="宋体" w:cs="宋体"/>
          <w:color w:val="auto"/>
          <w:sz w:val="21"/>
          <w:szCs w:val="21"/>
          <w:highlight w:val="none"/>
        </w:rPr>
      </w:pPr>
    </w:p>
    <w:p>
      <w:pPr>
        <w:snapToGrid w:val="0"/>
        <w:spacing w:line="360" w:lineRule="auto"/>
        <w:rPr>
          <w:rFonts w:ascii="宋体" w:hAnsi="宋体" w:cs="宋体"/>
          <w:b/>
          <w:color w:val="auto"/>
          <w:sz w:val="30"/>
          <w:szCs w:val="30"/>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p>
    <w:p>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10.项目方案</w:t>
      </w:r>
    </w:p>
    <w:p>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color w:val="auto"/>
          <w:highlight w:val="none"/>
          <w:lang w:val="zh-CN"/>
        </w:rPr>
      </w:pPr>
    </w:p>
    <w:p>
      <w:pPr>
        <w:rPr>
          <w:color w:val="auto"/>
          <w:highlight w:val="none"/>
          <w:lang w:val="zh-CN"/>
        </w:rPr>
      </w:pPr>
    </w:p>
    <w:p>
      <w:pPr>
        <w:pStyle w:val="3"/>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pPr>
        <w:rPr>
          <w:rFonts w:ascii="宋体" w:hAnsi="宋体" w:cs="宋体"/>
          <w:color w:val="auto"/>
          <w:kern w:val="0"/>
          <w:sz w:val="24"/>
          <w:highlight w:val="none"/>
          <w:lang w:val="zh-CN"/>
        </w:rPr>
      </w:pPr>
    </w:p>
    <w:p>
      <w:pPr>
        <w:pStyle w:val="3"/>
        <w:rPr>
          <w:rFonts w:ascii="宋体" w:hAnsi="宋体" w:cs="宋体"/>
          <w:color w:val="auto"/>
          <w:kern w:val="0"/>
          <w:sz w:val="24"/>
          <w:highlight w:val="none"/>
          <w:lang w:val="zh-CN"/>
        </w:rPr>
      </w:pPr>
    </w:p>
    <w:p>
      <w:pPr>
        <w:rPr>
          <w:rFonts w:ascii="宋体" w:hAnsi="宋体" w:cs="宋体"/>
          <w:color w:val="auto"/>
          <w:kern w:val="0"/>
          <w:sz w:val="24"/>
          <w:highlight w:val="none"/>
          <w:lang w:val="zh-CN"/>
        </w:rPr>
      </w:pPr>
    </w:p>
    <w:p>
      <w:pPr>
        <w:pStyle w:val="3"/>
        <w:rPr>
          <w:color w:val="auto"/>
          <w:highlight w:val="none"/>
          <w:lang w:val="zh-CN"/>
        </w:rPr>
      </w:pPr>
    </w:p>
    <w:p>
      <w:pPr>
        <w:rPr>
          <w:color w:val="auto"/>
          <w:highlight w:val="none"/>
          <w:lang w:val="zh-CN"/>
        </w:rPr>
      </w:pPr>
    </w:p>
    <w:p>
      <w:pPr>
        <w:pStyle w:val="3"/>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pPr>
        <w:pStyle w:val="3"/>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pPr>
        <w:autoSpaceDE w:val="0"/>
        <w:autoSpaceDN w:val="0"/>
        <w:spacing w:line="360" w:lineRule="auto"/>
        <w:ind w:firstLine="8132" w:firstLineChars="2700"/>
        <w:rPr>
          <w:rFonts w:ascii="仿宋_GB2312" w:hAnsi="仿宋" w:eastAsia="仿宋_GB2312" w:cs="仿宋_GB2312"/>
          <w:b/>
          <w:bCs/>
          <w:color w:val="auto"/>
          <w:sz w:val="24"/>
          <w:highlight w:val="none"/>
        </w:rPr>
      </w:pPr>
      <w:r>
        <w:rPr>
          <w:rFonts w:hint="eastAsia" w:ascii="仿宋" w:hAnsi="仿宋" w:eastAsia="仿宋" w:cs="仿宋_GB2312"/>
          <w:b/>
          <w:color w:val="auto"/>
          <w:sz w:val="30"/>
          <w:szCs w:val="30"/>
          <w:highlight w:val="none"/>
        </w:rPr>
        <w:br w:type="page"/>
      </w:r>
    </w:p>
    <w:p>
      <w:pPr>
        <w:pStyle w:val="4"/>
        <w:jc w:val="center"/>
        <w:rPr>
          <w:rFonts w:ascii="宋体" w:hAnsi="宋体"/>
          <w:color w:val="auto"/>
          <w:highlight w:val="none"/>
        </w:rPr>
      </w:pPr>
      <w:bookmarkStart w:id="157" w:name="_Toc80886945"/>
      <w:bookmarkStart w:id="158" w:name="_Toc12611"/>
      <w:bookmarkStart w:id="159" w:name="_Toc80205941"/>
      <w:bookmarkStart w:id="160" w:name="_Toc31035"/>
      <w:r>
        <w:rPr>
          <w:rFonts w:hint="eastAsia" w:ascii="宋体" w:hAnsi="宋体"/>
          <w:color w:val="auto"/>
          <w:highlight w:val="none"/>
        </w:rPr>
        <w:t>第三节 报价文件格式</w:t>
      </w:r>
      <w:bookmarkEnd w:id="157"/>
      <w:bookmarkEnd w:id="158"/>
      <w:bookmarkEnd w:id="159"/>
      <w:bookmarkEnd w:id="160"/>
    </w:p>
    <w:p>
      <w:pPr>
        <w:pStyle w:val="16"/>
        <w:rPr>
          <w:color w:val="auto"/>
          <w:highlight w:val="none"/>
          <w:lang w:val="zh-CN"/>
        </w:rPr>
      </w:pPr>
      <w:r>
        <w:rPr>
          <w:rFonts w:hint="eastAsia"/>
          <w:color w:val="auto"/>
          <w:sz w:val="24"/>
          <w:highlight w:val="none"/>
        </w:rPr>
        <w:t xml:space="preserve">  </w:t>
      </w:r>
      <w:r>
        <w:rPr>
          <w:rFonts w:hint="eastAsia" w:ascii="宋体" w:hAnsi="宋体" w:cs="宋体"/>
          <w:b/>
          <w:bCs/>
          <w:color w:val="auto"/>
          <w:sz w:val="28"/>
          <w:szCs w:val="28"/>
          <w:highlight w:val="none"/>
        </w:rPr>
        <w:t>1.报价文件封面的格式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20" w:beforeLines="50" w:after="50"/>
        <w:rPr>
          <w:color w:val="auto"/>
          <w:sz w:val="24"/>
          <w:highlight w:val="none"/>
        </w:rPr>
      </w:pPr>
      <w:r>
        <w:rPr>
          <w:rFonts w:hint="eastAsia"/>
          <w:color w:val="auto"/>
          <w:sz w:val="24"/>
          <w:highlight w:val="none"/>
        </w:rPr>
        <w:t xml:space="preserve">                                             </w:t>
      </w:r>
    </w:p>
    <w:p>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rPr>
          <w:color w:val="auto"/>
          <w:sz w:val="24"/>
          <w:szCs w:val="20"/>
          <w:highlight w:val="none"/>
        </w:rPr>
      </w:pPr>
    </w:p>
    <w:p>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报 </w:t>
      </w:r>
      <w:r>
        <w:rPr>
          <w:rFonts w:ascii="仿宋" w:hAnsi="仿宋" w:eastAsia="仿宋" w:cs="仿宋"/>
          <w:bCs/>
          <w:color w:val="auto"/>
          <w:sz w:val="44"/>
          <w:szCs w:val="44"/>
          <w:highlight w:val="none"/>
        </w:rPr>
        <w:t xml:space="preserve"> </w:t>
      </w:r>
      <w:r>
        <w:rPr>
          <w:rFonts w:hint="eastAsia" w:ascii="仿宋" w:hAnsi="仿宋" w:eastAsia="仿宋" w:cs="仿宋"/>
          <w:bCs/>
          <w:color w:val="auto"/>
          <w:sz w:val="44"/>
          <w:szCs w:val="44"/>
          <w:highlight w:val="none"/>
        </w:rPr>
        <w:t>价  文  件</w:t>
      </w: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rPr>
          <w:bCs/>
          <w:color w:val="auto"/>
          <w:sz w:val="24"/>
          <w:szCs w:val="20"/>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pPr>
        <w:snapToGrid w:val="0"/>
        <w:spacing w:before="120" w:beforeLines="50" w:after="50"/>
        <w:ind w:firstLine="720" w:firstLineChars="225"/>
        <w:rPr>
          <w:rFonts w:cs="仿宋_GB2312"/>
          <w:bCs/>
          <w:color w:val="auto"/>
          <w:sz w:val="32"/>
          <w:szCs w:val="32"/>
          <w:highlight w:val="none"/>
        </w:rPr>
      </w:pP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cs="仿宋_GB2312"/>
          <w:bCs/>
          <w:color w:val="auto"/>
          <w:sz w:val="32"/>
          <w:szCs w:val="32"/>
          <w:highlight w:val="none"/>
        </w:rPr>
      </w:pPr>
    </w:p>
    <w:p>
      <w:pPr>
        <w:pStyle w:val="9"/>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720" w:firstLineChars="225"/>
        <w:rPr>
          <w:rFonts w:cs="仿宋_GB2312"/>
          <w:bCs/>
          <w:color w:val="auto"/>
          <w:sz w:val="32"/>
          <w:szCs w:val="32"/>
          <w:highlight w:val="none"/>
        </w:rPr>
      </w:pPr>
    </w:p>
    <w:p>
      <w:pPr>
        <w:pStyle w:val="9"/>
        <w:snapToGrid w:val="0"/>
        <w:spacing w:before="50" w:after="50"/>
        <w:ind w:firstLine="1280" w:firstLineChars="400"/>
        <w:rPr>
          <w:rFonts w:cs="仿宋_GB2312"/>
          <w:bCs/>
          <w:color w:val="auto"/>
          <w:sz w:val="32"/>
          <w:szCs w:val="32"/>
          <w:highlight w:val="none"/>
        </w:rPr>
      </w:pPr>
    </w:p>
    <w:p>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pPr>
        <w:snapToGrid w:val="0"/>
        <w:spacing w:before="120" w:beforeLines="50" w:after="50" w:line="360" w:lineRule="auto"/>
        <w:jc w:val="left"/>
        <w:rPr>
          <w:rFonts w:ascii="宋体" w:hAnsi="宋体" w:cs="宋体"/>
          <w:color w:val="auto"/>
          <w:sz w:val="28"/>
          <w:szCs w:val="28"/>
          <w:highlight w:val="none"/>
        </w:rPr>
      </w:pPr>
      <w:r>
        <w:rPr>
          <w:color w:val="auto"/>
          <w:sz w:val="24"/>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根据竞争性磋商文件规定及供应商提供的材料自行编写目录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pPr>
        <w:spacing w:line="360" w:lineRule="auto"/>
        <w:rPr>
          <w:rFonts w:ascii="仿宋_GB2312" w:hAnsi="仿宋" w:eastAsia="仿宋_GB2312" w:cs="仿宋_GB2312"/>
          <w:color w:val="auto"/>
          <w:sz w:val="24"/>
          <w:highlight w:val="none"/>
        </w:rPr>
      </w:pP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val="zh-CN"/>
        </w:rPr>
        <w:t>响应函的格式：</w:t>
      </w:r>
    </w:p>
    <w:p>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pPr>
        <w:spacing w:line="460" w:lineRule="exact"/>
        <w:rPr>
          <w:color w:val="auto"/>
          <w:kern w:val="0"/>
          <w:sz w:val="24"/>
          <w:highlight w:val="none"/>
        </w:rPr>
      </w:pPr>
    </w:p>
    <w:p>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pPr>
        <w:spacing w:line="460" w:lineRule="exact"/>
        <w:ind w:firstLine="480" w:firstLineChars="200"/>
        <w:rPr>
          <w:rFonts w:ascii="宋体" w:hAnsi="宋体" w:cs="宋体"/>
          <w:color w:val="auto"/>
          <w:kern w:val="0"/>
          <w:sz w:val="24"/>
          <w:highlight w:val="none"/>
        </w:rPr>
      </w:pP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）的竞争性磋商文件的全部内容，现正式递交下述文件参加贵方组织的本次政府采购活动： </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一、首次报价文件电子版（包含按“第三章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三、资格证明文件电子版（包含按“第三章供应商须知”提交的全部文件）。</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据此函，我方兹宣布：</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hint="eastAsia" w:ascii="宋体" w:hAnsi="宋体" w:cs="宋体"/>
          <w:color w:val="auto"/>
          <w:kern w:val="0"/>
          <w:sz w:val="24"/>
          <w:highlight w:val="none"/>
        </w:rPr>
        <w:t>我方愿意以磋商时</w:t>
      </w:r>
      <w:r>
        <w:rPr>
          <w:rFonts w:hint="eastAsia" w:hAnsi="宋体" w:cs="宋体"/>
          <w:color w:val="auto"/>
          <w:sz w:val="24"/>
          <w:highlight w:val="none"/>
        </w:rPr>
        <w:t>提交的最后报价表中的竞标总</w:t>
      </w:r>
      <w:r>
        <w:rPr>
          <w:rFonts w:hint="eastAsia" w:ascii="宋体" w:hAnsi="宋体" w:cs="宋体"/>
          <w:color w:val="auto"/>
          <w:sz w:val="24"/>
          <w:highlight w:val="none"/>
        </w:rPr>
        <w:t>报价</w:t>
      </w:r>
      <w:r>
        <w:rPr>
          <w:rFonts w:hint="eastAsia" w:hAnsi="宋体" w:cs="宋体"/>
          <w:color w:val="auto"/>
          <w:sz w:val="24"/>
          <w:highlight w:val="none"/>
        </w:rPr>
        <w:t>，在承诺的</w:t>
      </w:r>
      <w:r>
        <w:rPr>
          <w:rFonts w:hint="eastAsia" w:ascii="宋体" w:hAnsi="宋体" w:cs="宋体"/>
          <w:color w:val="auto"/>
          <w:kern w:val="0"/>
          <w:sz w:val="24"/>
          <w:highlight w:val="none"/>
        </w:rPr>
        <w:t>服务时间</w:t>
      </w:r>
      <w:r>
        <w:rPr>
          <w:rFonts w:hint="eastAsia" w:hAnsi="宋体" w:cs="宋体"/>
          <w:color w:val="auto"/>
          <w:sz w:val="24"/>
          <w:highlight w:val="none"/>
        </w:rPr>
        <w:t>内</w:t>
      </w:r>
      <w:r>
        <w:rPr>
          <w:rFonts w:hint="eastAsia" w:ascii="宋体" w:hAnsi="宋体" w:cs="宋体"/>
          <w:color w:val="auto"/>
          <w:kern w:val="0"/>
          <w:sz w:val="24"/>
          <w:highlight w:val="none"/>
        </w:rPr>
        <w:t>提供本项目竞争性磋商文件第二章“采购需求”中相应的采购内容</w:t>
      </w:r>
      <w:r>
        <w:rPr>
          <w:rFonts w:hint="eastAsia" w:hAnsi="宋体" w:cs="宋体"/>
          <w:color w:val="auto"/>
          <w:sz w:val="24"/>
          <w:highlight w:val="none"/>
        </w:rPr>
        <w:t>，具体详见最后报价表</w:t>
      </w:r>
      <w:r>
        <w:rPr>
          <w:rFonts w:hint="eastAsia" w:ascii="宋体" w:hAnsi="宋体" w:cs="宋体"/>
          <w:color w:val="auto"/>
          <w:kern w:val="0"/>
          <w:sz w:val="24"/>
          <w:highlight w:val="none"/>
        </w:rPr>
        <w:t>。</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rPr>
        <w:t>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3.</w:t>
      </w:r>
      <w:r>
        <w:rPr>
          <w:rFonts w:hint="eastAsia" w:ascii="宋体" w:hAnsi="宋体" w:cs="宋体"/>
          <w:color w:val="auto"/>
          <w:kern w:val="0"/>
          <w:sz w:val="24"/>
          <w:highlight w:val="none"/>
        </w:rPr>
        <w:t>我方在此声明，所递交的响应文件及有关资料内容完整、真实和准确。</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4.</w:t>
      </w:r>
      <w:r>
        <w:rPr>
          <w:rFonts w:hint="eastAsia" w:ascii="宋体" w:hAnsi="宋体" w:cs="宋体"/>
          <w:color w:val="auto"/>
          <w:kern w:val="0"/>
          <w:sz w:val="24"/>
          <w:highlight w:val="none"/>
        </w:rPr>
        <w:t>如本项目采购内容涉及须符合国家强制规定的，我方承诺我方本次竞标均符合国家有关强制规定。</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5.</w:t>
      </w:r>
      <w:r>
        <w:rPr>
          <w:rFonts w:hint="eastAsia" w:ascii="宋体" w:hAnsi="宋体" w:cs="宋体"/>
          <w:color w:val="auto"/>
          <w:kern w:val="0"/>
          <w:sz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hint="eastAsia" w:ascii="宋体" w:hAnsi="宋体" w:cs="宋体"/>
          <w:color w:val="auto"/>
          <w:kern w:val="0"/>
          <w:sz w:val="24"/>
          <w:highlight w:val="none"/>
        </w:rPr>
        <w:t>我方已详细审核竞争性磋商文件，我方知道必须放弃提出含糊不清或误解问题的权利。</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7.</w:t>
      </w:r>
      <w:r>
        <w:rPr>
          <w:rFonts w:hint="eastAsia" w:ascii="宋体" w:hAnsi="宋体" w:cs="宋体"/>
          <w:color w:val="auto"/>
          <w:kern w:val="0"/>
          <w:sz w:val="24"/>
          <w:highlight w:val="none"/>
        </w:rPr>
        <w:t>我方承诺满足竞争性磋商文件第六章“合同文本”的条款，承担完成合同的责任和义务。</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8.</w:t>
      </w:r>
      <w:r>
        <w:rPr>
          <w:rFonts w:hint="eastAsia" w:ascii="宋体" w:hAnsi="宋体" w:cs="宋体"/>
          <w:color w:val="auto"/>
          <w:kern w:val="0"/>
          <w:sz w:val="24"/>
          <w:highlight w:val="none"/>
        </w:rPr>
        <w:t>我方同意应贵方要求提供与本竞标有关的任何数据或资料。若贵方需要，我方愿意提供我方作出的一切承诺的证明材料。</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9.</w:t>
      </w:r>
      <w:r>
        <w:rPr>
          <w:rFonts w:hint="eastAsia" w:ascii="宋体" w:hAnsi="宋体" w:cs="宋体"/>
          <w:color w:val="auto"/>
          <w:kern w:val="0"/>
          <w:sz w:val="24"/>
          <w:highlight w:val="none"/>
        </w:rPr>
        <w:t>我方完全理解贵方不一定接受响应报价最低的供应商为成交供应商的行为。</w:t>
      </w:r>
    </w:p>
    <w:p>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10.</w:t>
      </w:r>
      <w:r>
        <w:rPr>
          <w:rFonts w:hint="eastAsia" w:ascii="宋体" w:hAnsi="宋体" w:cs="宋体"/>
          <w:color w:val="auto"/>
          <w:kern w:val="0"/>
          <w:sz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在采购过程中与采购人进行协商磋商的；</w:t>
      </w:r>
    </w:p>
    <w:p>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11.</w:t>
      </w:r>
      <w:r>
        <w:rPr>
          <w:rFonts w:hint="eastAsia" w:ascii="宋体" w:hAnsi="宋体" w:cs="宋体"/>
          <w:b/>
          <w:bCs/>
          <w:color w:val="auto"/>
          <w:kern w:val="0"/>
          <w:sz w:val="24"/>
          <w:highlight w:val="none"/>
        </w:rPr>
        <w:t>以上事项如有虚假或者隐瞒，我方愿意承担一切后果，并不再寻求任何旨在减轻或者免除法律责任的辩解。</w:t>
      </w:r>
    </w:p>
    <w:p>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12.</w:t>
      </w:r>
      <w:r>
        <w:rPr>
          <w:rFonts w:hint="eastAsia" w:ascii="宋体" w:hAnsi="宋体" w:cs="宋体"/>
          <w:b/>
          <w:bCs/>
          <w:color w:val="auto"/>
          <w:kern w:val="0"/>
          <w:sz w:val="24"/>
          <w:highlight w:val="none"/>
        </w:rPr>
        <w:t xml:space="preserve">与本磋商有关的一切正式往来信函请寄： </w:t>
      </w:r>
    </w:p>
    <w:p>
      <w:pPr>
        <w:spacing w:line="46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sz w:val="24"/>
          <w:highlight w:val="none"/>
        </w:rPr>
      </w:pPr>
      <w:r>
        <w:rPr>
          <w:rFonts w:hint="eastAsia" w:ascii="宋体" w:hAnsi="宋体" w:cs="宋体"/>
          <w:color w:val="auto"/>
          <w:kern w:val="0"/>
          <w:sz w:val="24"/>
          <w:highlight w:val="none"/>
        </w:rPr>
        <w:t>电子邮箱：</w:t>
      </w:r>
      <w:r>
        <w:rPr>
          <w:rFonts w:hint="eastAsia" w:ascii="宋体" w:hAnsi="宋体" w:cs="宋体"/>
          <w:color w:val="auto"/>
          <w:kern w:val="0"/>
          <w:sz w:val="24"/>
          <w:highlight w:val="none"/>
          <w:u w:val="single"/>
        </w:rPr>
        <w:t>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pPr>
        <w:pStyle w:val="14"/>
        <w:tabs>
          <w:tab w:val="left" w:pos="939"/>
        </w:tabs>
        <w:spacing w:line="46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ascii="宋体" w:hAnsi="宋体" w:cs="宋体"/>
          <w:color w:val="auto"/>
          <w:szCs w:val="21"/>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500" w:lineRule="exact"/>
        <w:rPr>
          <w:rFonts w:ascii="宋体" w:hAnsi="宋体" w:cs="宋体"/>
          <w:b/>
          <w:color w:val="auto"/>
          <w:sz w:val="28"/>
          <w:szCs w:val="28"/>
          <w:highlight w:val="none"/>
        </w:rPr>
      </w:pPr>
    </w:p>
    <w:p>
      <w:pPr>
        <w:spacing w:line="500" w:lineRule="exact"/>
        <w:rPr>
          <w:rFonts w:ascii="仿宋" w:hAnsi="仿宋" w:eastAsia="仿宋" w:cs="仿宋_GB2312"/>
          <w:b/>
          <w:color w:val="auto"/>
          <w:sz w:val="30"/>
          <w:szCs w:val="30"/>
          <w:highlight w:val="none"/>
          <w:lang w:val="zh-CN"/>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w:t>
      </w:r>
      <w:r>
        <w:rPr>
          <w:rFonts w:hint="eastAsia" w:ascii="宋体" w:hAnsi="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pacing w:line="520" w:lineRule="exact"/>
        <w:jc w:val="center"/>
        <w:rPr>
          <w:b/>
          <w:bCs/>
          <w:color w:val="auto"/>
          <w:sz w:val="32"/>
          <w:szCs w:val="32"/>
          <w:highlight w:val="none"/>
        </w:rPr>
      </w:pPr>
      <w:r>
        <w:rPr>
          <w:rFonts w:hint="eastAsia"/>
          <w:b/>
          <w:bCs/>
          <w:color w:val="auto"/>
          <w:sz w:val="32"/>
          <w:szCs w:val="32"/>
          <w:highlight w:val="none"/>
        </w:rPr>
        <w:t>响应报价表</w:t>
      </w:r>
    </w:p>
    <w:p>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tbl>
      <w:tblPr>
        <w:tblStyle w:val="22"/>
        <w:tblpPr w:leftFromText="180" w:rightFromText="180" w:vertAnchor="text" w:horzAnchor="page" w:tblpX="1189" w:tblpY="1036"/>
        <w:tblOverlap w:val="never"/>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774"/>
        <w:gridCol w:w="177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bookmarkStart w:id="161" w:name="OLE_LINK21"/>
            <w:r>
              <w:rPr>
                <w:rFonts w:hint="eastAsia" w:ascii="宋体" w:hAnsi="宋体" w:cs="宋体"/>
                <w:color w:val="auto"/>
                <w:szCs w:val="21"/>
                <w:highlight w:val="none"/>
                <w:lang w:val="en-US" w:eastAsia="zh-CN"/>
              </w:rPr>
              <w:t>总价（元）</w:t>
            </w:r>
            <w:bookmarkEnd w:id="161"/>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竞标总报价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人民币</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服务期限：</w:t>
            </w:r>
          </w:p>
        </w:tc>
      </w:tr>
    </w:tbl>
    <w:p>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所竞分标（如有则填写，无分标时填写“无”或者留空）：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before="50" w:after="50" w:line="360" w:lineRule="auto"/>
        <w:jc w:val="left"/>
        <w:rPr>
          <w:rFonts w:ascii="宋体" w:hAnsi="宋体" w:cs="宋体"/>
          <w:color w:val="auto"/>
          <w:kern w:val="0"/>
          <w:szCs w:val="21"/>
          <w:highlight w:val="none"/>
          <w:lang w:val="zh-CN"/>
        </w:rPr>
      </w:pPr>
    </w:p>
    <w:p>
      <w:pPr>
        <w:snapToGrid w:val="0"/>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1.供应商需按本表格式填写，不得自行更改，也不得留空（</w:t>
      </w:r>
      <w:r>
        <w:rPr>
          <w:rFonts w:hint="eastAsia" w:ascii="宋体" w:hAnsi="宋体" w:cs="宋体"/>
          <w:color w:val="auto"/>
          <w:szCs w:val="21"/>
          <w:highlight w:val="none"/>
        </w:rPr>
        <w:t>备注除外</w:t>
      </w:r>
      <w:r>
        <w:rPr>
          <w:rFonts w:hint="eastAsia" w:ascii="宋体" w:hAnsi="宋体" w:cs="宋体"/>
          <w:color w:val="auto"/>
          <w:kern w:val="0"/>
          <w:szCs w:val="21"/>
          <w:highlight w:val="none"/>
          <w:lang w:val="zh-CN"/>
        </w:rPr>
        <w:t>）， 如有多分标，按分标分别提供响应报价表，</w:t>
      </w:r>
      <w:r>
        <w:rPr>
          <w:rFonts w:hint="eastAsia" w:ascii="宋体" w:hAnsi="宋体" w:cs="宋体"/>
          <w:b/>
          <w:color w:val="auto"/>
          <w:kern w:val="0"/>
          <w:szCs w:val="21"/>
          <w:highlight w:val="none"/>
          <w:lang w:val="zh-CN"/>
        </w:rPr>
        <w:t>否则其响应按无效响应处理。</w:t>
      </w:r>
    </w:p>
    <w:p>
      <w:pPr>
        <w:snapToGrid w:val="0"/>
        <w:spacing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否则其响应按无效响应处理。</w:t>
      </w:r>
    </w:p>
    <w:p>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lang w:val="zh-CN"/>
        </w:rPr>
        <w:t>特别提示：采购代理机构将对项目名称和项目编号，成交供应商名称、地址和成交金额，主要成交标的的名称、服务范围、服务要求、服务时间、服务标准等予以公示。</w:t>
      </w:r>
    </w:p>
    <w:p>
      <w:pPr>
        <w:autoSpaceDE w:val="0"/>
        <w:autoSpaceDN w:val="0"/>
        <w:spacing w:line="360" w:lineRule="auto"/>
        <w:ind w:firstLine="3990" w:firstLineChars="1900"/>
        <w:rPr>
          <w:rFonts w:ascii="宋体" w:hAnsi="宋体" w:cs="宋体"/>
          <w:color w:val="auto"/>
          <w:kern w:val="0"/>
          <w:szCs w:val="21"/>
          <w:highlight w:val="none"/>
        </w:rPr>
      </w:pPr>
    </w:p>
    <w:p>
      <w:pPr>
        <w:autoSpaceDE w:val="0"/>
        <w:autoSpaceDN w:val="0"/>
        <w:spacing w:line="360" w:lineRule="auto"/>
        <w:ind w:firstLine="3990" w:firstLineChars="1900"/>
        <w:rPr>
          <w:rFonts w:ascii="宋体" w:hAnsi="宋体" w:cs="宋体"/>
          <w:color w:val="auto"/>
          <w:kern w:val="0"/>
          <w:szCs w:val="21"/>
          <w:highlight w:val="none"/>
        </w:rPr>
      </w:pPr>
    </w:p>
    <w:p>
      <w:pPr>
        <w:autoSpaceDE w:val="0"/>
        <w:autoSpaceDN w:val="0"/>
        <w:spacing w:line="360" w:lineRule="auto"/>
        <w:ind w:firstLine="3990" w:firstLineChars="1900"/>
        <w:rPr>
          <w:rFonts w:ascii="宋体" w:hAnsi="宋体" w:cs="宋体"/>
          <w:color w:val="auto"/>
          <w:kern w:val="0"/>
          <w:szCs w:val="21"/>
          <w:highlight w:val="none"/>
        </w:rPr>
      </w:pPr>
      <w:r>
        <w:rPr>
          <w:rFonts w:hint="eastAsia" w:ascii="宋体" w:hAnsi="宋体" w:cs="宋体"/>
          <w:color w:val="auto"/>
          <w:kern w:val="0"/>
          <w:szCs w:val="21"/>
          <w:highlight w:val="none"/>
        </w:rPr>
        <w:t>供应商名称（盖公章）：</w:t>
      </w:r>
    </w:p>
    <w:p>
      <w:pPr>
        <w:spacing w:line="360" w:lineRule="auto"/>
        <w:ind w:firstLine="5565" w:firstLineChars="26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pPr>
        <w:spacing w:line="500" w:lineRule="exact"/>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br w:type="page"/>
      </w:r>
    </w:p>
    <w:p>
      <w:pPr>
        <w:pStyle w:val="4"/>
        <w:jc w:val="center"/>
        <w:rPr>
          <w:rFonts w:ascii="宋体" w:hAnsi="宋体"/>
          <w:b w:val="0"/>
          <w:color w:val="auto"/>
          <w:highlight w:val="none"/>
        </w:rPr>
      </w:pPr>
      <w:bookmarkStart w:id="162" w:name="_Toc80205942"/>
      <w:bookmarkStart w:id="163" w:name="_Toc18482"/>
      <w:bookmarkStart w:id="164" w:name="_Toc80886946"/>
      <w:bookmarkStart w:id="165" w:name="_Toc13936"/>
      <w:r>
        <w:rPr>
          <w:rFonts w:hint="eastAsia" w:ascii="宋体" w:hAnsi="宋体"/>
          <w:color w:val="auto"/>
          <w:highlight w:val="none"/>
        </w:rPr>
        <w:t>第四节 其他文书、文件格式</w:t>
      </w:r>
      <w:bookmarkEnd w:id="162"/>
      <w:bookmarkEnd w:id="163"/>
      <w:bookmarkEnd w:id="164"/>
      <w:bookmarkEnd w:id="165"/>
    </w:p>
    <w:p>
      <w:pPr>
        <w:spacing w:line="500" w:lineRule="exact"/>
        <w:rPr>
          <w:rFonts w:ascii="宋体" w:hAnsi="宋体" w:cs="宋体"/>
          <w:b/>
          <w:color w:val="auto"/>
          <w:sz w:val="30"/>
          <w:szCs w:val="30"/>
          <w:highlight w:val="none"/>
          <w:lang w:val="zh-CN"/>
        </w:rPr>
      </w:pPr>
      <w:r>
        <w:rPr>
          <w:rFonts w:hint="eastAsia" w:ascii="宋体" w:hAnsi="宋体" w:cs="宋体"/>
          <w:b/>
          <w:color w:val="auto"/>
          <w:sz w:val="30"/>
          <w:szCs w:val="30"/>
          <w:highlight w:val="none"/>
        </w:rPr>
        <w:t>1.</w:t>
      </w:r>
      <w:r>
        <w:rPr>
          <w:rFonts w:hint="eastAsia" w:ascii="宋体" w:hAnsi="宋体" w:cs="宋体"/>
          <w:b/>
          <w:color w:val="auto"/>
          <w:sz w:val="30"/>
          <w:szCs w:val="30"/>
          <w:highlight w:val="none"/>
          <w:lang w:val="zh-CN"/>
        </w:rPr>
        <w:t>中小企业声明函的格式：</w:t>
      </w:r>
    </w:p>
    <w:p>
      <w:pPr>
        <w:pStyle w:val="16"/>
        <w:rPr>
          <w:rFonts w:ascii="宋体" w:hAnsi="宋体" w:cs="宋体"/>
          <w:color w:val="auto"/>
          <w:highlight w:val="none"/>
        </w:rPr>
      </w:pPr>
    </w:p>
    <w:p>
      <w:pPr>
        <w:spacing w:line="300" w:lineRule="auto"/>
        <w:ind w:firstLine="3520" w:firstLineChars="800"/>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pPr>
        <w:pStyle w:val="12"/>
        <w:spacing w:after="0" w:line="360" w:lineRule="auto"/>
        <w:ind w:left="-426" w:right="142" w:firstLine="640"/>
        <w:contextualSpacing/>
        <w:rPr>
          <w:rFonts w:ascii="宋体" w:hAnsi="宋体" w:cs="宋体"/>
          <w:color w:val="auto"/>
          <w:sz w:val="24"/>
          <w:highlight w:val="none"/>
        </w:rPr>
      </w:pPr>
    </w:p>
    <w:p>
      <w:pPr>
        <w:pStyle w:val="12"/>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w:t>
      </w:r>
      <w:r>
        <w:rPr>
          <w:rFonts w:hint="eastAsia" w:ascii="宋体" w:hAnsi="宋体" w:cs="宋体"/>
          <w:color w:val="auto"/>
          <w:kern w:val="0"/>
          <w:sz w:val="24"/>
          <w:highlight w:val="none"/>
        </w:rPr>
        <w:t>服务全部由符合政策要求的中小企业承接</w:t>
      </w:r>
      <w:r>
        <w:rPr>
          <w:rFonts w:hint="eastAsia" w:ascii="宋体" w:hAnsi="宋体" w:cs="宋体"/>
          <w:color w:val="auto"/>
          <w:sz w:val="24"/>
          <w:highlight w:val="none"/>
        </w:rPr>
        <w:t>。相关企业（含联合体中的</w:t>
      </w:r>
      <w:r>
        <w:rPr>
          <w:rFonts w:hint="eastAsia" w:ascii="宋体" w:hAnsi="宋体" w:cs="宋体"/>
          <w:color w:val="auto"/>
          <w:kern w:val="0"/>
          <w:sz w:val="24"/>
          <w:highlight w:val="none"/>
        </w:rPr>
        <w:t>中小</w:t>
      </w:r>
      <w:r>
        <w:rPr>
          <w:rFonts w:hint="eastAsia" w:ascii="宋体" w:hAnsi="宋体" w:cs="宋体"/>
          <w:color w:val="auto"/>
          <w:sz w:val="24"/>
          <w:highlight w:val="none"/>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pStyle w:val="12"/>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pPr>
        <w:pStyle w:val="12"/>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pStyle w:val="12"/>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pStyle w:val="12"/>
        <w:spacing w:after="0" w:line="360" w:lineRule="auto"/>
        <w:ind w:left="3960" w:right="1808"/>
        <w:contextualSpacing/>
        <w:rPr>
          <w:rFonts w:ascii="宋体" w:hAnsi="宋体" w:cs="宋体"/>
          <w:color w:val="auto"/>
          <w:sz w:val="24"/>
          <w:highlight w:val="none"/>
        </w:rPr>
      </w:pPr>
    </w:p>
    <w:p>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pStyle w:val="12"/>
        <w:spacing w:after="0" w:line="360" w:lineRule="auto"/>
        <w:ind w:left="3960" w:right="1808"/>
        <w:contextualSpacing/>
        <w:rPr>
          <w:rFonts w:ascii="宋体" w:hAnsi="宋体" w:cs="宋体"/>
          <w:color w:val="auto"/>
          <w:highlight w:val="none"/>
        </w:rPr>
      </w:pPr>
    </w:p>
    <w:p>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color w:val="auto"/>
          <w:sz w:val="32"/>
          <w:szCs w:val="32"/>
          <w:highlight w:val="none"/>
        </w:rPr>
        <w:sectPr>
          <w:pgSz w:w="11911" w:h="16838"/>
          <w:pgMar w:top="1134" w:right="1134" w:bottom="1134" w:left="1134" w:header="720" w:footer="720" w:gutter="0"/>
          <w:pgNumType w:fmt="decimal"/>
          <w:cols w:space="720" w:num="1"/>
        </w:sectPr>
      </w:pPr>
    </w:p>
    <w:p>
      <w:pPr>
        <w:spacing w:line="520" w:lineRule="exact"/>
        <w:rPr>
          <w:rFonts w:hAnsi="宋体" w:cs="宋体"/>
          <w:b/>
          <w:color w:val="auto"/>
          <w:sz w:val="28"/>
          <w:szCs w:val="28"/>
          <w:highlight w:val="none"/>
        </w:rPr>
      </w:pPr>
      <w:r>
        <w:rPr>
          <w:rFonts w:hint="eastAsia" w:ascii="宋体" w:hAnsi="宋体" w:cs="宋体"/>
          <w:b/>
          <w:color w:val="auto"/>
          <w:sz w:val="28"/>
          <w:szCs w:val="28"/>
          <w:highlight w:val="none"/>
        </w:rPr>
        <w:t>2.</w:t>
      </w:r>
      <w:r>
        <w:rPr>
          <w:rFonts w:hint="eastAsia" w:hAnsi="宋体" w:cs="宋体"/>
          <w:b/>
          <w:color w:val="auto"/>
          <w:sz w:val="28"/>
          <w:szCs w:val="28"/>
          <w:highlight w:val="none"/>
        </w:rPr>
        <w:t>残疾人福利性单位声明函的格式：</w:t>
      </w:r>
    </w:p>
    <w:p>
      <w:pPr>
        <w:pStyle w:val="16"/>
        <w:rPr>
          <w:color w:val="auto"/>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仿宋" w:hAnsi="仿宋" w:eastAsia="仿宋" w:cs="仿宋"/>
          <w:color w:val="auto"/>
          <w:sz w:val="44"/>
          <w:szCs w:val="44"/>
          <w:highlight w:val="none"/>
        </w:rPr>
      </w:pPr>
    </w:p>
    <w:p>
      <w:pPr>
        <w:spacing w:line="52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残疾人福利性单位声明函</w:t>
      </w:r>
    </w:p>
    <w:p>
      <w:pPr>
        <w:spacing w:line="520" w:lineRule="exact"/>
        <w:rPr>
          <w:rFonts w:ascii="宋体" w:hAnsi="宋体" w:cs="宋体"/>
          <w:color w:val="auto"/>
          <w:sz w:val="32"/>
          <w:szCs w:val="32"/>
          <w:highlight w:val="none"/>
        </w:rPr>
      </w:pPr>
    </w:p>
    <w:p>
      <w:pPr>
        <w:spacing w:line="360" w:lineRule="auto"/>
        <w:ind w:firstLine="480" w:firstLineChars="200"/>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供应商名称（盖公章）：</w:t>
      </w:r>
    </w:p>
    <w:p>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contextualSpacing/>
        <w:rPr>
          <w:rFonts w:ascii="宋体" w:hAnsi="宋体" w:cs="宋体"/>
          <w:color w:val="auto"/>
          <w:sz w:val="24"/>
          <w:highlight w:val="none"/>
        </w:rPr>
      </w:pP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widowControl/>
        <w:shd w:val="clear" w:color="auto" w:fill="FFFFFF"/>
        <w:spacing w:line="480" w:lineRule="atLeast"/>
        <w:rPr>
          <w:rFonts w:ascii="宋体" w:hAnsi="宋体" w:cs="宋体"/>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广西壮族自治区政府采购项目合同验收书的格式：</w:t>
      </w:r>
    </w:p>
    <w:p>
      <w:pPr>
        <w:spacing w:line="360" w:lineRule="auto"/>
        <w:ind w:firstLine="480" w:firstLineChars="200"/>
        <w:contextualSpacing/>
        <w:rPr>
          <w:rFonts w:cs="仿宋_GB2312"/>
          <w:color w:val="auto"/>
          <w:sz w:val="24"/>
          <w:highlight w:val="none"/>
        </w:rPr>
      </w:pP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根据政府采购项目（</w:t>
      </w:r>
      <w:r>
        <w:rPr>
          <w:rFonts w:hint="eastAsia" w:ascii="宋体" w:hAnsi="宋体" w:cs="宋体"/>
          <w:color w:val="auto"/>
          <w:kern w:val="0"/>
          <w:sz w:val="24"/>
          <w:highlight w:val="none"/>
          <w:u w:val="single"/>
        </w:rPr>
        <w:t>采购合同编号：</w:t>
      </w:r>
      <w:r>
        <w:rPr>
          <w:rFonts w:hint="eastAsia" w:ascii="宋体" w:hAnsi="宋体" w:cs="宋体"/>
          <w:color w:val="auto"/>
          <w:kern w:val="0"/>
          <w:sz w:val="24"/>
          <w:highlight w:val="none"/>
          <w:u w:val="single"/>
        </w:rPr>
        <w:softHyphen/>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）的约定，我单位对（</w:t>
      </w:r>
      <w:r>
        <w:rPr>
          <w:rFonts w:hint="eastAsia" w:ascii="宋体" w:hAnsi="宋体" w:cs="宋体"/>
          <w:color w:val="auto"/>
          <w:kern w:val="0"/>
          <w:sz w:val="24"/>
          <w:highlight w:val="none"/>
          <w:u w:val="single"/>
        </w:rPr>
        <w:t xml:space="preserve"> 项目名称 </w:t>
      </w:r>
      <w:r>
        <w:rPr>
          <w:rFonts w:hint="eastAsia" w:ascii="宋体" w:hAnsi="宋体" w:cs="宋体"/>
          <w:color w:val="auto"/>
          <w:kern w:val="0"/>
          <w:sz w:val="24"/>
          <w:highlight w:val="none"/>
        </w:rPr>
        <w:t>） 政府采购项目成交供应商（</w:t>
      </w:r>
      <w:r>
        <w:rPr>
          <w:rFonts w:hint="eastAsia" w:ascii="宋体" w:hAnsi="宋体" w:cs="宋体"/>
          <w:color w:val="auto"/>
          <w:kern w:val="0"/>
          <w:sz w:val="24"/>
          <w:highlight w:val="none"/>
          <w:u w:val="single"/>
        </w:rPr>
        <w:t xml:space="preserve"> 公司名称 </w:t>
      </w:r>
      <w:r>
        <w:rPr>
          <w:rFonts w:hint="eastAsia" w:ascii="宋体" w:hAnsi="宋体" w:cs="宋体"/>
          <w:color w:val="auto"/>
          <w:kern w:val="0"/>
          <w:sz w:val="24"/>
          <w:highlight w:val="none"/>
        </w:rPr>
        <w:t>） 提供的货物（或者工程、服务）进行了验收，验收情况如下：</w:t>
      </w:r>
    </w:p>
    <w:tbl>
      <w:tblPr>
        <w:tblStyle w:val="2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宋体" w:hAnsi="宋体" w:cs="宋体"/>
                <w:color w:val="auto"/>
                <w:kern w:val="0"/>
                <w:szCs w:val="21"/>
                <w:highlight w:val="none"/>
              </w:rPr>
              <w:t>□</w:t>
            </w:r>
            <w:r>
              <w:rPr>
                <w:rFonts w:ascii="Verdana" w:hAnsi="Verdana" w:cs="宋体"/>
                <w:color w:val="auto"/>
                <w:kern w:val="0"/>
                <w:szCs w:val="21"/>
                <w:highlight w:val="none"/>
              </w:rPr>
              <w:t xml:space="preserve">自行验收 </w:t>
            </w:r>
            <w:r>
              <w:rPr>
                <w:rFonts w:hint="eastAsia" w:ascii="宋体" w:hAnsi="宋体" w:cs="宋体"/>
                <w:color w:val="auto"/>
                <w:kern w:val="0"/>
                <w:szCs w:val="21"/>
                <w:highlight w:val="none"/>
              </w:rPr>
              <w:t>□</w:t>
            </w:r>
            <w:r>
              <w:rPr>
                <w:rFonts w:ascii="Verdana" w:hAnsi="Verdana" w:cs="宋体"/>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shd w:val="clear" w:color="auto" w:fill="FFFFFF"/>
        <w:spacing w:line="360" w:lineRule="auto"/>
        <w:ind w:firstLine="2730" w:firstLineChars="1300"/>
        <w:jc w:val="left"/>
        <w:rPr>
          <w:color w:val="auto"/>
          <w:sz w:val="24"/>
          <w:highlight w:val="none"/>
        </w:rPr>
      </w:pPr>
      <w:r>
        <w:rPr>
          <w:rFonts w:hAnsi="宋体"/>
          <w:color w:val="auto"/>
          <w:highlight w:val="none"/>
        </w:rPr>
        <w:br w:type="page"/>
      </w:r>
    </w:p>
    <w:p>
      <w:pPr>
        <w:jc w:val="both"/>
        <w:rPr>
          <w:rFonts w:hint="eastAsia" w:ascii="宋体" w:hAnsi="宋体" w:cs="宋体"/>
          <w:color w:val="auto"/>
          <w:sz w:val="28"/>
          <w:szCs w:val="28"/>
          <w:highlight w:val="none"/>
          <w:lang w:val="en-US" w:eastAsia="zh-CN"/>
        </w:rPr>
      </w:pPr>
      <w:bookmarkStart w:id="166" w:name="_Toc9343"/>
      <w:bookmarkStart w:id="167" w:name="_Toc24786"/>
      <w:bookmarkStart w:id="168" w:name="_Toc80886947"/>
      <w:bookmarkStart w:id="169" w:name="_Toc4005"/>
      <w:bookmarkStart w:id="170" w:name="_Toc15161"/>
      <w:bookmarkStart w:id="171" w:name="_Toc18676"/>
      <w:bookmarkStart w:id="172" w:name="_Toc15154"/>
      <w:bookmarkStart w:id="173" w:name="_Toc12748"/>
      <w:r>
        <w:rPr>
          <w:rFonts w:hint="eastAsia" w:ascii="宋体" w:hAnsi="宋体" w:cs="宋体"/>
          <w:color w:val="auto"/>
          <w:sz w:val="28"/>
          <w:szCs w:val="28"/>
          <w:highlight w:val="none"/>
          <w:lang w:val="en-US" w:eastAsia="zh-CN"/>
        </w:rPr>
        <w:t>4.政府采购项目履约保证金退付意见书的格式：</w:t>
      </w:r>
    </w:p>
    <w:p>
      <w:pPr>
        <w:pStyle w:val="15"/>
        <w:snapToGrid w:val="0"/>
        <w:rPr>
          <w:rFonts w:hint="eastAsia" w:ascii="黑体" w:hAnsi="黑体" w:eastAsia="黑体" w:cs="黑体"/>
          <w:color w:val="auto"/>
          <w:sz w:val="32"/>
          <w:szCs w:val="32"/>
          <w:highlight w:val="none"/>
        </w:rPr>
      </w:pPr>
    </w:p>
    <w:p>
      <w:pPr>
        <w:pStyle w:val="7"/>
        <w:rPr>
          <w:rFonts w:hint="eastAsia" w:ascii="Times New Roman" w:hAnsi="Times New Roman" w:cs="Times New Roman"/>
          <w:color w:val="auto"/>
          <w:highlight w:val="none"/>
        </w:rPr>
      </w:pP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hint="eastAsia" w:ascii="黑体" w:hAnsi="黑体" w:eastAsia="黑体" w:cs="Times New Roman"/>
          <w:color w:val="auto"/>
          <w:sz w:val="36"/>
          <w:szCs w:val="36"/>
          <w:highlight w:val="none"/>
        </w:rPr>
      </w:pPr>
    </w:p>
    <w:tbl>
      <w:tblPr>
        <w:tblStyle w:val="2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供</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应</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商</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申</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请</w:t>
            </w:r>
          </w:p>
        </w:tc>
        <w:tc>
          <w:tcPr>
            <w:tcW w:w="8009" w:type="dxa"/>
            <w:noWrap w:val="0"/>
            <w:vAlign w:val="center"/>
          </w:tcPr>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pPr>
              <w:rPr>
                <w:rFonts w:hint="eastAsia" w:ascii="Times New Roman" w:hAnsi="Times New Roman" w:cs="Times New Roman"/>
                <w:color w:val="auto"/>
                <w:sz w:val="24"/>
                <w:highlight w:val="none"/>
              </w:rPr>
            </w:pPr>
          </w:p>
        </w:tc>
        <w:tc>
          <w:tcPr>
            <w:tcW w:w="8009" w:type="dxa"/>
            <w:noWrap w:val="0"/>
            <w:vAlign w:val="center"/>
          </w:tcPr>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pPr>
              <w:rPr>
                <w:rFonts w:hint="eastAsia" w:ascii="Times New Roman" w:hAnsi="Times New Roman" w:cs="Times New Roman"/>
                <w:color w:val="auto"/>
                <w:sz w:val="24"/>
                <w:highlight w:val="none"/>
              </w:rPr>
            </w:pPr>
          </w:p>
        </w:tc>
        <w:tc>
          <w:tcPr>
            <w:tcW w:w="8009" w:type="dxa"/>
            <w:noWrap w:val="0"/>
            <w:vAlign w:val="top"/>
          </w:tcPr>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w:t>
            </w:r>
          </w:p>
          <w:p>
            <w:pPr>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该项目已于</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年</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月</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日验收并交付使用。根据合同规定，该项目的履约保证金期限于</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年</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月</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日已满，请将履约保证金</w:t>
            </w: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（大写）</w:t>
            </w:r>
            <w:r>
              <w:rPr>
                <w:rFonts w:hint="eastAsia" w:ascii="Times New Roman" w:hAnsi="Times New Roman" w:cs="Times New Roman"/>
                <w:color w:val="auto"/>
                <w:sz w:val="24"/>
                <w:highlight w:val="none"/>
                <w:u w:val="single"/>
                <w:lang w:eastAsia="zh-CN"/>
              </w:rPr>
              <w:t>人民币</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（小写）¥</w:t>
            </w:r>
            <w:r>
              <w:rPr>
                <w:rFonts w:hint="eastAsia"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rPr>
              <w:t>退付到达以下</w:t>
            </w:r>
            <w:r>
              <w:rPr>
                <w:rFonts w:hint="eastAsia" w:ascii="Times New Roman" w:hAnsi="Times New Roman" w:cs="Times New Roman"/>
                <w:color w:val="auto"/>
                <w:sz w:val="24"/>
                <w:highlight w:val="none"/>
                <w:lang w:eastAsia="zh-CN"/>
              </w:rPr>
              <w:t>账</w:t>
            </w:r>
            <w:r>
              <w:rPr>
                <w:rFonts w:hint="eastAsia" w:ascii="Times New Roman" w:hAnsi="Times New Roman" w:cs="Times New Roman"/>
                <w:color w:val="auto"/>
                <w:sz w:val="24"/>
                <w:highlight w:val="none"/>
              </w:rPr>
              <w:t>户。</w:t>
            </w: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单位名称：</w:t>
            </w: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开户银行：</w:t>
            </w: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账</w:t>
            </w:r>
            <w:r>
              <w:rPr>
                <w:rFonts w:hint="eastAsia" w:ascii="Times New Roman" w:hAnsi="Times New Roman" w:cs="Times New Roman"/>
                <w:color w:val="auto"/>
                <w:sz w:val="24"/>
                <w:highlight w:val="none"/>
              </w:rPr>
              <w:t xml:space="preserve">    号：</w:t>
            </w: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联系人及电话：</w:t>
            </w:r>
          </w:p>
          <w:p>
            <w:pPr>
              <w:rPr>
                <w:rFonts w:hint="eastAsia" w:ascii="Times New Roman" w:hAnsi="Times New Roman" w:cs="Times New Roman"/>
                <w:color w:val="auto"/>
                <w:sz w:val="24"/>
                <w:highlight w:val="none"/>
              </w:rPr>
            </w:pP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供应商签章：</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采</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购</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单</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位</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意</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见</w:t>
            </w:r>
          </w:p>
        </w:tc>
        <w:tc>
          <w:tcPr>
            <w:tcW w:w="8009" w:type="dxa"/>
            <w:noWrap w:val="0"/>
            <w:vAlign w:val="top"/>
          </w:tcPr>
          <w:p>
            <w:pPr>
              <w:rPr>
                <w:rFonts w:hint="eastAsia" w:ascii="Times New Roman" w:hAnsi="Times New Roman" w:cs="Times New Roman"/>
                <w:color w:val="auto"/>
                <w:sz w:val="24"/>
                <w:highlight w:val="none"/>
              </w:rPr>
            </w:pP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退付意见：是否同意退付履约保证金及退付金额：</w:t>
            </w:r>
          </w:p>
          <w:p>
            <w:pPr>
              <w:rPr>
                <w:rFonts w:hint="eastAsia" w:ascii="Times New Roman" w:hAnsi="Times New Roman" w:cs="Times New Roman"/>
                <w:color w:val="auto"/>
                <w:sz w:val="24"/>
                <w:highlight w:val="none"/>
              </w:rPr>
            </w:pPr>
          </w:p>
          <w:p>
            <w:pPr>
              <w:rPr>
                <w:rFonts w:hint="eastAsia" w:ascii="Times New Roman" w:hAnsi="Times New Roman" w:cs="Times New Roman"/>
                <w:color w:val="auto"/>
                <w:sz w:val="24"/>
                <w:highlight w:val="none"/>
              </w:rPr>
            </w:pPr>
          </w:p>
          <w:p>
            <w:pP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联系人及电话：                                </w:t>
            </w:r>
          </w:p>
          <w:p>
            <w:pPr>
              <w:rPr>
                <w:rFonts w:hint="eastAsia" w:ascii="Times New Roman" w:hAnsi="Times New Roman" w:cs="Times New Roman"/>
                <w:color w:val="auto"/>
                <w:sz w:val="24"/>
                <w:highlight w:val="none"/>
              </w:rPr>
            </w:pPr>
          </w:p>
          <w:p>
            <w:pPr>
              <w:ind w:firstLine="4560" w:firstLineChars="19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采购人签章：</w:t>
            </w:r>
          </w:p>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pPr>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备注</w:t>
            </w:r>
          </w:p>
        </w:tc>
        <w:tc>
          <w:tcPr>
            <w:tcW w:w="8009" w:type="dxa"/>
            <w:noWrap w:val="0"/>
            <w:vAlign w:val="top"/>
          </w:tcPr>
          <w:p>
            <w:pPr>
              <w:rPr>
                <w:rFonts w:hint="eastAsia" w:ascii="Times New Roman" w:hAnsi="Times New Roman" w:cs="Times New Roman"/>
                <w:color w:val="auto"/>
                <w:sz w:val="24"/>
                <w:highlight w:val="none"/>
              </w:rPr>
            </w:pPr>
          </w:p>
        </w:tc>
      </w:tr>
    </w:tbl>
    <w:p>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p>
    <w:p>
      <w:pPr>
        <w:widowControl w:val="0"/>
        <w:spacing w:after="120"/>
        <w:ind w:left="1" w:firstLine="2" w:firstLineChars="1"/>
        <w:jc w:val="both"/>
        <w:rPr>
          <w:rFonts w:hint="eastAsia" w:ascii="宋体" w:hAnsi="Times New Roman" w:eastAsia="宋体" w:cs="Times New Roman"/>
          <w:b/>
          <w:bCs/>
          <w:color w:val="auto"/>
          <w:kern w:val="2"/>
          <w:sz w:val="18"/>
          <w:szCs w:val="18"/>
          <w:highlight w:val="none"/>
          <w:lang w:val="en-US" w:eastAsia="zh-CN" w:bidi="ar-SA"/>
        </w:rPr>
      </w:pPr>
      <w:r>
        <w:rPr>
          <w:rFonts w:hint="eastAsia" w:ascii="宋体" w:hAnsi="Times New Roman" w:eastAsia="宋体" w:cs="Times New Roman"/>
          <w:b/>
          <w:bCs/>
          <w:color w:val="auto"/>
          <w:kern w:val="2"/>
          <w:sz w:val="18"/>
          <w:szCs w:val="18"/>
          <w:highlight w:val="none"/>
          <w:lang w:val="en-US" w:eastAsia="zh-CN" w:bidi="ar-SA"/>
        </w:rPr>
        <w:t>　　　注：供应商凭经采购人审批的退付意见书到履约保证金收取单位财务部门办理履约保证金退付事宜。</w:t>
      </w:r>
    </w:p>
    <w:p>
      <w:pPr>
        <w:pStyle w:val="3"/>
        <w:jc w:val="center"/>
        <w:rPr>
          <w:b w:val="0"/>
          <w:bCs w:val="0"/>
          <w:color w:val="auto"/>
          <w:highlight w:val="none"/>
        </w:rPr>
      </w:pPr>
    </w:p>
    <w:p>
      <w:pPr>
        <w:pStyle w:val="3"/>
        <w:jc w:val="center"/>
        <w:rPr>
          <w:b w:val="0"/>
          <w:bCs w:val="0"/>
          <w:color w:val="auto"/>
          <w:highlight w:val="none"/>
        </w:rPr>
      </w:pPr>
    </w:p>
    <w:p>
      <w:pPr>
        <w:pStyle w:val="3"/>
        <w:jc w:val="center"/>
        <w:rPr>
          <w:b w:val="0"/>
          <w:bCs w:val="0"/>
          <w:color w:val="auto"/>
          <w:highlight w:val="none"/>
        </w:rPr>
      </w:pPr>
    </w:p>
    <w:p>
      <w:pPr>
        <w:pStyle w:val="3"/>
        <w:jc w:val="center"/>
        <w:rPr>
          <w:b w:val="0"/>
          <w:bCs w:val="0"/>
          <w:color w:val="auto"/>
          <w:highlight w:val="none"/>
        </w:rPr>
      </w:pPr>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66"/>
      <w:bookmarkEnd w:id="167"/>
      <w:bookmarkEnd w:id="168"/>
      <w:bookmarkEnd w:id="169"/>
      <w:bookmarkEnd w:id="170"/>
      <w:bookmarkEnd w:id="171"/>
      <w:bookmarkEnd w:id="172"/>
    </w:p>
    <w:p>
      <w:pPr>
        <w:snapToGrid w:val="0"/>
        <w:rPr>
          <w:rFonts w:ascii="宋体" w:hAnsi="宋体" w:cs="宋体"/>
          <w:b/>
          <w:bCs/>
          <w:color w:val="auto"/>
          <w:sz w:val="32"/>
          <w:szCs w:val="32"/>
          <w:highlight w:val="none"/>
        </w:rPr>
      </w:pPr>
      <w:r>
        <w:rPr>
          <w:b/>
          <w:bCs/>
          <w:color w:val="auto"/>
          <w:highlight w:val="none"/>
        </w:rPr>
        <w:br w:type="page"/>
      </w:r>
      <w:bookmarkEnd w:id="173"/>
    </w:p>
    <w:p>
      <w:pPr>
        <w:snapToGrid w:val="0"/>
        <w:spacing w:before="120" w:line="460" w:lineRule="exact"/>
        <w:jc w:val="center"/>
        <w:outlineLvl w:val="0"/>
        <w:rPr>
          <w:rFonts w:ascii="宋体" w:hAnsi="宋体" w:cs="宋体"/>
          <w:b/>
          <w:bCs/>
          <w:color w:val="auto"/>
          <w:sz w:val="30"/>
          <w:szCs w:val="30"/>
          <w:highlight w:val="none"/>
        </w:rPr>
      </w:pPr>
      <w:bookmarkStart w:id="174" w:name="_Toc14801"/>
      <w:r>
        <w:rPr>
          <w:rFonts w:ascii="宋体" w:hAnsi="宋体" w:cs="宋体"/>
          <w:b/>
          <w:bCs/>
          <w:color w:val="auto"/>
          <w:sz w:val="32"/>
          <w:szCs w:val="32"/>
          <w:highlight w:val="none"/>
        </w:rPr>
        <w:t>广西壮族自治区政府采购合同</w:t>
      </w:r>
      <w:bookmarkEnd w:id="174"/>
    </w:p>
    <w:p>
      <w:pPr>
        <w:snapToGrid w:val="0"/>
        <w:spacing w:before="120" w:line="420" w:lineRule="exact"/>
        <w:ind w:right="-97" w:rightChars="-46"/>
        <w:jc w:val="right"/>
        <w:rPr>
          <w:rFonts w:ascii="宋体" w:hAnsi="宋体" w:cs="宋体"/>
          <w:color w:val="auto"/>
          <w:szCs w:val="21"/>
          <w:highlight w:val="none"/>
        </w:rPr>
      </w:pPr>
      <w:r>
        <w:rPr>
          <w:rFonts w:ascii="宋体" w:hAnsi="宋体" w:cs="宋体"/>
          <w:bCs/>
          <w:color w:val="auto"/>
          <w:szCs w:val="21"/>
          <w:highlight w:val="none"/>
        </w:rPr>
        <w:t>合同编号：</w:t>
      </w:r>
    </w:p>
    <w:p>
      <w:pPr>
        <w:snapToGrid w:val="0"/>
        <w:spacing w:before="120" w:line="420" w:lineRule="exact"/>
        <w:rPr>
          <w:rFonts w:ascii="宋体" w:hAnsi="宋体" w:cs="宋体"/>
          <w:color w:val="auto"/>
          <w:szCs w:val="21"/>
          <w:highlight w:val="none"/>
        </w:rPr>
      </w:pPr>
    </w:p>
    <w:p>
      <w:pPr>
        <w:snapToGrid w:val="0"/>
        <w:spacing w:before="120" w:line="420" w:lineRule="exact"/>
        <w:rPr>
          <w:rFonts w:ascii="宋体" w:hAnsi="宋体" w:cs="宋体"/>
          <w:color w:val="auto"/>
          <w:szCs w:val="21"/>
          <w:highlight w:val="none"/>
          <w:u w:val="single"/>
        </w:rPr>
      </w:pPr>
      <w:r>
        <w:rPr>
          <w:rFonts w:ascii="宋体" w:hAnsi="宋体" w:cs="宋体"/>
          <w:color w:val="auto"/>
          <w:szCs w:val="21"/>
          <w:highlight w:val="none"/>
        </w:rPr>
        <w:t>采购单位（甲方）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项目编号</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napToGrid w:val="0"/>
        <w:spacing w:before="120" w:line="420" w:lineRule="exact"/>
        <w:rPr>
          <w:rFonts w:ascii="宋体" w:hAnsi="宋体" w:cs="宋体"/>
          <w:color w:val="auto"/>
          <w:szCs w:val="21"/>
          <w:highlight w:val="none"/>
          <w:u w:val="single"/>
        </w:rPr>
      </w:pPr>
      <w:r>
        <w:rPr>
          <w:rFonts w:ascii="宋体" w:hAnsi="宋体" w:cs="宋体"/>
          <w:color w:val="auto"/>
          <w:szCs w:val="21"/>
          <w:highlight w:val="none"/>
        </w:rPr>
        <w:t>成交人（乙方）</w:t>
      </w:r>
      <w:r>
        <w:rPr>
          <w:rFonts w:hint="eastAsia"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项目名称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snapToGrid w:val="0"/>
        <w:spacing w:before="120" w:line="420" w:lineRule="exact"/>
        <w:rPr>
          <w:rFonts w:ascii="宋体" w:hAnsi="宋体" w:cs="宋体"/>
          <w:color w:val="auto"/>
          <w:szCs w:val="21"/>
          <w:highlight w:val="none"/>
          <w:u w:val="single"/>
        </w:rPr>
      </w:pPr>
      <w:r>
        <w:rPr>
          <w:rFonts w:ascii="宋体" w:hAnsi="宋体" w:cs="宋体"/>
          <w:color w:val="auto"/>
          <w:szCs w:val="21"/>
          <w:highlight w:val="none"/>
        </w:rPr>
        <w:t>签  订  地  点</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签 订 时 间</w:t>
      </w:r>
      <w:r>
        <w:rPr>
          <w:rFonts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120" w:line="360" w:lineRule="auto"/>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中华人民共和国民法典》等</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规定，按照</w:t>
      </w:r>
      <w:r>
        <w:rPr>
          <w:rFonts w:hint="eastAsia" w:ascii="宋体" w:hAnsi="宋体" w:eastAsia="宋体"/>
          <w:color w:val="auto"/>
          <w:szCs w:val="21"/>
          <w:highlight w:val="none"/>
        </w:rPr>
        <w:t>磋商文件规定条款和乙方响应文件及其承诺，甲乙双方签订本合同。</w:t>
      </w:r>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项目一览表</w:t>
      </w: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  价</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总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价</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详见报价表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合同合计金额包括满足本项目全部采购需求所应提供的服务，包含但不限于服务、劳务、人工、会务、场地费、管理费、设备设施、宣传、物料、货物、运输（含保险）、安装、调试、检验、技术服务、培训、通讯、邮寄、交通、差旅、食宿、各项保险、税金等乙方为履行合同义务而发生的所有费用总和，乙方承诺不再向甲方收取其他任何费用。如磋商文件对其另有规定的，从其规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w:t>
      </w:r>
      <w:r>
        <w:rPr>
          <w:rFonts w:hint="eastAsia" w:ascii="宋体" w:hAnsi="宋体" w:eastAsia="宋体" w:cs="宋体"/>
          <w:color w:val="auto"/>
          <w:szCs w:val="21"/>
          <w:highlight w:val="none"/>
        </w:rPr>
        <w:t>与</w:t>
      </w:r>
      <w:r>
        <w:rPr>
          <w:rFonts w:hint="eastAsia" w:ascii="宋体" w:hAnsi="宋体" w:cs="宋体"/>
          <w:color w:val="auto"/>
          <w:szCs w:val="21"/>
          <w:highlight w:val="none"/>
          <w:lang w:val="en-US" w:eastAsia="zh-CN"/>
        </w:rPr>
        <w:t>磋商文件、</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本合同约定及甲方要求</w:t>
      </w:r>
      <w:r>
        <w:rPr>
          <w:rFonts w:hint="eastAsia" w:ascii="宋体" w:hAnsi="宋体" w:eastAsia="宋体" w:cs="宋体"/>
          <w:color w:val="auto"/>
          <w:szCs w:val="21"/>
          <w:highlight w:val="none"/>
        </w:rPr>
        <w:t>承诺相一致，有国家强制性标准的，还必须符合国家强制性标准的规定，没有国家强制性标准但有其他强制性标准的，必须符合其他强制性标准的规定。</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合同履行过程中，乙方使用了自有或他人的专利、商标权、工业设计权、著作权等知识产权，所涉及的费用由乙方自行承担；如因乙方原因引起上述有关事项的争议及赔偿等，由乙方承担一切赔偿责任，与甲方无关。</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除非另有规定或约定，因履行本合同工作而产生的服务成果、技术成果、数据、信息和相关知识产权归甲方所有。甲方有权许可第三方使用本合同项下的全部服务成果。甲方许可第三方使用该服务成果的，不需经乙方同意，亦不需支付费用</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双方确定，甲方有权利用乙方按照本合同约定提供的服务成果（含全部阶段性成果和最终成果），进行后续改进、改编、创作等。由此产生的具有实质性或创造性技术进步特征的新的技术成果及其权利归属，全部由甲方享有。具体相关利益的分配办法如下：甲方100%。</w:t>
      </w:r>
    </w:p>
    <w:p>
      <w:pPr>
        <w:snapToGrid w:val="0"/>
        <w:spacing w:line="360" w:lineRule="auto"/>
        <w:ind w:firstLine="422" w:firstLineChars="200"/>
        <w:rPr>
          <w:rFonts w:hint="default"/>
          <w:b/>
          <w:bCs/>
          <w:color w:val="auto"/>
          <w:highlight w:val="none"/>
          <w:lang w:val="en-US" w:eastAsia="zh-CN"/>
        </w:rPr>
      </w:pPr>
      <w:r>
        <w:rPr>
          <w:rFonts w:hint="eastAsia"/>
          <w:b/>
          <w:bCs/>
          <w:color w:val="auto"/>
          <w:highlight w:val="none"/>
          <w:lang w:val="en-US" w:eastAsia="zh-CN"/>
        </w:rPr>
        <w:t>4.</w:t>
      </w:r>
      <w:r>
        <w:rPr>
          <w:rFonts w:hint="eastAsia" w:ascii="宋体" w:hAnsi="宋体" w:eastAsia="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hint="eastAsia"/>
          <w:b/>
          <w:bCs/>
          <w:color w:val="auto"/>
          <w:highlight w:val="none"/>
          <w:lang w:val="en-US" w:eastAsia="zh-CN"/>
        </w:rPr>
      </w:pPr>
      <w:r>
        <w:rPr>
          <w:rFonts w:hint="eastAsia"/>
          <w:b/>
          <w:bCs/>
          <w:color w:val="auto"/>
          <w:highlight w:val="none"/>
          <w:lang w:val="en-US" w:eastAsia="zh-CN"/>
        </w:rPr>
        <w:t>第四条权利和义务</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1.甲方的权利和义务</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甲方可联合相关专业部门，通过数据监控、日常抽查、建立投诉受理渠道等方式，对乙方进行监督检查，督促其及时做好受托工作。甲方有权对乙方开展的各项工作进行监督和检查，并对乙方提交的工作成果的质量进行审核。</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（2）若乙方指派人员不按本合同履行其职责，甲方有权要求乙方更换不称职、不符合要求的工作人员。</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（3）合同期间，甲方可对乙方的服务内容提出新的需求，经双方协商认可后进行修改或补充。</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（4）甲方发现乙方或其工作人员有违反合同或法律行为的，有权予以制止并做出合理处置。</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（5）甲方有权要求乙方全面履行合同。甲方不接受部分履行，如本合同项下部分服务成果未能按时交付则视为整体延误。</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（6）如乙方提供服务的内容等存在不符合法律法规、国家、地方政策规定的内容，甲方有权要求乙方予以整改或拒绝确认、验收。</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（7）如乙方所提供的服务成果不符合</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rPr>
        <w:t>文件、响应文件、本合同约定及甲方要求，甲方有权要求乙方重新执行相应的工作服务，由此产生的全部费用由乙方自行承担，同时，甲方的付款时间相应顺延。</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2.乙方的权利和义务</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服务期间，乙方执行本次业务必须做好组织分工和安排，制定详细实施方案，成立项目小组，明确该项目的总负责人及联络员各一名。总负责人需全程跟进项目，联络员在项目开展过程中做好日常事务的沟通协调。在合同服务期间，项目成员应当保持稳定，如根据实际工作需要对项目成员进行调整的，需经甲方同意；在接到甲方更换不称职、不符合要求的工作人员通知时，乙方应及时配合甲方更换调配符合要求的工作人员，保证项目的顺利进行。</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（2）按</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rPr>
        <w:t>文件、响应文件、本合同服务内容及甲方要求按时按质按量提供服务，如实记录参加招聘会单位名称、线上线下参会人次</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宣传推广</w:t>
      </w:r>
      <w:r>
        <w:rPr>
          <w:rFonts w:hint="eastAsia" w:ascii="宋体" w:hAnsi="宋体" w:eastAsia="宋体" w:cs="宋体"/>
          <w:b w:val="0"/>
          <w:bCs/>
          <w:color w:val="auto"/>
          <w:szCs w:val="21"/>
          <w:highlight w:val="none"/>
        </w:rPr>
        <w:t>等情况，如实将项目的进展情况以及在项目进行中遇到的问题和取得的进展定期、及时向甲方报告，报告时应提供相应的报告材料。交付甲方的服务成品需满足甲方需求，如出现质量问题，由乙方承担全部责任，并采取相应补救措施且不收取任何费用。</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（3）乙方未按本合同约定开具和送达增值税发票的，应按甲方要求采取重新开具发票等补救措施。乙方违反国家法律、法规、规章、政策等规定开具和提供发票的，乙方应自行承担相应法律责任。</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乙方必须保证独立完成本合同约定的服务成果，同时须保证服务过程中不侵犯第三方知识产权、肖像权或其他相关权利，如因乙方原因引起争议及赔偿等事项的，由乙方承担一切赔偿责任，与甲方无关，但因甲方内容原因导致的纠纷除外。</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（5）未经甲方书面许可，乙方不得擅自转让或分包其应履行的合同义务给任何第三方。</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（6）乙方应自行对其参与本项目的服务人员进行管理，乙方与其服务人员发生的劳资纠纷或因履行本合同过程中的伤亡、责任或导致他人遭受人身、财产损失的，由乙方自行承担赔偿责任。</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（7）乙方应确保其在进行本合同项下的活动应合法合规以及在授权范围内进行，否则因此产生的全部责任由乙方自行承担。</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（8）乙方应积极接受甲方的监督和检查，对不符合要求的，乙方须根据甲方的要求在规定的时间内进行修改、完善。</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（9）乙方及其工作人员必须坚持正确的政治方向引导舆论，确保提供的服务内容意识形态正确，不得有违反国家法律法规、政策大政方针等言论及内容，内容符合宪法和中国共产党的相关规定。</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（10）乙方在服务过程中，不得向甲方或任何第三方索取、收受本合同约定以外的酬金或其他财物。</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11）乙方承诺不外传、利用与此次交流学习活动相关的各类知识产权，其范围包括但不限于：各类活动资料、未公开出版的教学资料，如讲义、课件、数据等，包括文字及电子版本资料、音像资料等形式。如乙方违反上述约定导致甲方受损或涉诉的，甲方有权要求乙方承担相应的违约责任。</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12）乙方应妥善保管甲方向其提供的有关资料文件，在本合同终止后5日内，将全部资料文件归还甲方，未经甲方许可，不得将上述文件、资料外传、复制、披露或留档。如材料有缺漏遗失或乙方私自留存的，乙方应承担相应的违约责任。合同终止后，如甲方根据业务需要向乙方调取有关数据、资料、信息的，乙方仍应配合及协助提供。</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13）乙方必须按照《中华人民共和国保守国家秘密法》等文件的规定，严格保守国家和单位机密，做好保密工作，同时对甲方未向社会公开的信息、数据、资料等均负有保密义务，杜绝泄密。乙方应责成相关人员以及任何有可能接触到上述信息、数据、资料的人员保守秘密。未经甲方许可，乙方及其工作人员不得将上述信息、数据、资料等用于本合同之外的目的或向第三方透露和使用。乙方及其工作人员的保密义务持续有效，不因为本合同履行终止、解除或者无效而解除。</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（14）乙方应根据有关财务制度规定，对各项开支加强监督管理，拟定项目期间各项开支的相关台账，并对其准确性、真实性、完整性负责，根据甲方要求提交相关台帐给甲方查阅，保证专款专用。</w:t>
      </w:r>
    </w:p>
    <w:p>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15</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rPr>
        <w:t>完成甲方交办的其他与本项目活动有关服务事宜。</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五</w:t>
      </w:r>
      <w:r>
        <w:rPr>
          <w:rFonts w:hint="eastAsia" w:ascii="宋体" w:hAnsi="宋体" w:eastAsia="宋体" w:cs="宋体"/>
          <w:b/>
          <w:color w:val="auto"/>
          <w:szCs w:val="21"/>
          <w:highlight w:val="none"/>
        </w:rPr>
        <w:t>条　交付和验收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服务期限：</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甲方</w:t>
      </w:r>
      <w:r>
        <w:rPr>
          <w:rFonts w:hint="eastAsia" w:ascii="宋体" w:hAnsi="宋体" w:eastAsia="宋体" w:cs="宋体"/>
          <w:color w:val="auto"/>
          <w:szCs w:val="21"/>
          <w:highlight w:val="none"/>
          <w:u w:val="single"/>
        </w:rPr>
        <w:t>指</w:t>
      </w:r>
      <w:r>
        <w:rPr>
          <w:rFonts w:hint="eastAsia" w:ascii="宋体" w:hAnsi="宋体" w:eastAsia="宋体" w:cs="宋体"/>
          <w:color w:val="auto"/>
          <w:szCs w:val="21"/>
          <w:highlight w:val="none"/>
          <w:u w:val="single"/>
        </w:rPr>
        <w:t>定地点</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乙方应按</w:t>
      </w:r>
      <w:r>
        <w:rPr>
          <w:rFonts w:hint="eastAsia" w:ascii="宋体" w:hAnsi="宋体" w:cs="宋体"/>
          <w:color w:val="auto"/>
          <w:szCs w:val="21"/>
          <w:highlight w:val="none"/>
          <w:lang w:val="en-US" w:eastAsia="zh-CN"/>
        </w:rPr>
        <w:t>磋商文件、</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w:t>
      </w:r>
      <w:r>
        <w:rPr>
          <w:rFonts w:hint="eastAsia" w:ascii="宋体" w:hAnsi="宋体" w:cs="仿宋"/>
          <w:color w:val="auto"/>
          <w:kern w:val="2"/>
          <w:sz w:val="21"/>
          <w:szCs w:val="21"/>
          <w:highlight w:val="none"/>
        </w:rPr>
        <w:t>本合同约定及甲方</w:t>
      </w:r>
      <w:r>
        <w:rPr>
          <w:rFonts w:hint="eastAsia" w:ascii="宋体" w:hAnsi="宋体" w:cs="仿宋"/>
          <w:color w:val="auto"/>
          <w:kern w:val="2"/>
          <w:sz w:val="21"/>
          <w:szCs w:val="21"/>
          <w:highlight w:val="none"/>
          <w:lang w:val="en-US" w:eastAsia="zh-CN"/>
        </w:rPr>
        <w:t>要求</w:t>
      </w:r>
      <w:r>
        <w:rPr>
          <w:rFonts w:hint="eastAsia" w:ascii="宋体" w:hAnsi="宋体" w:eastAsia="宋体" w:cs="宋体"/>
          <w:color w:val="auto"/>
          <w:szCs w:val="21"/>
          <w:highlight w:val="none"/>
        </w:rPr>
        <w:t>向甲方提供相应的服务，并提供所服务内容的</w:t>
      </w:r>
      <w:r>
        <w:rPr>
          <w:rFonts w:hint="eastAsia" w:ascii="宋体" w:hAnsi="宋体"/>
          <w:color w:val="auto"/>
          <w:kern w:val="2"/>
          <w:sz w:val="21"/>
          <w:szCs w:val="21"/>
          <w:highlight w:val="none"/>
        </w:rPr>
        <w:t>所需的</w:t>
      </w:r>
      <w:r>
        <w:rPr>
          <w:rFonts w:hint="eastAsia" w:ascii="宋体" w:hAnsi="宋体" w:eastAsia="宋体" w:cs="宋体"/>
          <w:color w:val="auto"/>
          <w:szCs w:val="21"/>
          <w:highlight w:val="none"/>
        </w:rPr>
        <w:t>相关</w:t>
      </w:r>
      <w:r>
        <w:rPr>
          <w:rFonts w:hint="eastAsia" w:ascii="宋体" w:hAnsi="宋体"/>
          <w:color w:val="auto"/>
          <w:kern w:val="2"/>
          <w:sz w:val="21"/>
          <w:szCs w:val="21"/>
          <w:highlight w:val="none"/>
        </w:rPr>
        <w:t>素材、资料、物资</w:t>
      </w:r>
      <w:r>
        <w:rPr>
          <w:rFonts w:hint="eastAsia" w:ascii="宋体" w:hAnsi="宋体"/>
          <w:color w:val="auto"/>
          <w:kern w:val="2"/>
          <w:sz w:val="21"/>
          <w:szCs w:val="21"/>
          <w:highlight w:val="none"/>
          <w:lang w:eastAsia="zh-CN"/>
        </w:rPr>
        <w:t>、</w:t>
      </w:r>
      <w:r>
        <w:rPr>
          <w:rFonts w:hint="eastAsia" w:ascii="宋体" w:hAnsi="宋体" w:eastAsia="宋体" w:cs="宋体"/>
          <w:color w:val="auto"/>
          <w:szCs w:val="21"/>
          <w:highlight w:val="none"/>
        </w:rPr>
        <w:t>技术资料</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乙方提供不符合</w:t>
      </w:r>
      <w:r>
        <w:rPr>
          <w:rFonts w:hint="eastAsia" w:ascii="宋体" w:hAnsi="宋体" w:cs="宋体"/>
          <w:color w:val="auto"/>
          <w:szCs w:val="21"/>
          <w:highlight w:val="none"/>
          <w:lang w:val="en-US" w:eastAsia="zh-CN"/>
        </w:rPr>
        <w:t>磋商文件、</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本合同</w:t>
      </w:r>
      <w:r>
        <w:rPr>
          <w:rFonts w:hint="eastAsia" w:ascii="宋体" w:hAnsi="宋体" w:cs="宋体"/>
          <w:color w:val="auto"/>
          <w:szCs w:val="21"/>
          <w:highlight w:val="none"/>
          <w:lang w:val="en-US" w:eastAsia="zh-CN"/>
        </w:rPr>
        <w:t>约定及甲方要求</w:t>
      </w:r>
      <w:r>
        <w:rPr>
          <w:rFonts w:hint="eastAsia" w:ascii="宋体" w:hAnsi="宋体" w:eastAsia="宋体" w:cs="宋体"/>
          <w:color w:val="auto"/>
          <w:szCs w:val="21"/>
          <w:highlight w:val="none"/>
        </w:rPr>
        <w:t>的服务成果，甲方有权拒绝接受。</w:t>
      </w:r>
    </w:p>
    <w:p>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乙方完成服务后应及时书面通知甲方进行验收，甲方应在收到通知后七个工作日内进行验收</w:t>
      </w:r>
      <w:r>
        <w:rPr>
          <w:rFonts w:hint="eastAsia" w:ascii="宋体" w:hAnsi="宋体"/>
          <w:color w:val="auto"/>
          <w:szCs w:val="21"/>
          <w:highlight w:val="none"/>
          <w:lang w:eastAsia="zh-CN"/>
        </w:rPr>
        <w:t>。</w:t>
      </w:r>
      <w:r>
        <w:rPr>
          <w:rFonts w:hint="eastAsia" w:ascii="宋体" w:hAnsi="宋体" w:eastAsia="宋体"/>
          <w:color w:val="auto"/>
          <w:szCs w:val="21"/>
          <w:highlight w:val="none"/>
        </w:rPr>
        <w:t>验收合格后由甲乙双方签署验收单并加盖</w:t>
      </w:r>
      <w:r>
        <w:rPr>
          <w:rFonts w:hint="eastAsia" w:ascii="宋体" w:hAnsi="宋体"/>
          <w:color w:val="auto"/>
          <w:szCs w:val="21"/>
          <w:highlight w:val="none"/>
          <w:lang w:val="en-US" w:eastAsia="zh-CN"/>
        </w:rPr>
        <w:t>甲方</w:t>
      </w:r>
      <w:r>
        <w:rPr>
          <w:rFonts w:hint="eastAsia" w:ascii="宋体" w:hAnsi="宋体" w:eastAsia="宋体"/>
          <w:color w:val="auto"/>
          <w:szCs w:val="21"/>
          <w:highlight w:val="none"/>
        </w:rPr>
        <w:t>公章，甲乙双方各执一份。验收通过后，乙方应按甲方要求提供完整的服务成果以及相关素材。</w:t>
      </w:r>
    </w:p>
    <w:p>
      <w:pPr>
        <w:spacing w:line="360" w:lineRule="auto"/>
        <w:ind w:firstLine="420" w:firstLineChars="200"/>
        <w:rPr>
          <w:rFonts w:hint="eastAsia" w:ascii="宋体" w:hAnsi="宋体" w:eastAsia="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w:t>
      </w:r>
      <w:r>
        <w:rPr>
          <w:rFonts w:hint="eastAsia" w:ascii="宋体" w:hAnsi="宋体" w:cs="宋体"/>
          <w:color w:val="auto"/>
          <w:szCs w:val="21"/>
          <w:highlight w:val="none"/>
          <w:lang w:val="en-US" w:eastAsia="zh-CN"/>
        </w:rPr>
        <w:t>及甲方要求进行</w:t>
      </w:r>
      <w:r>
        <w:rPr>
          <w:rFonts w:hint="eastAsia" w:ascii="宋体" w:hAnsi="宋体" w:eastAsia="宋体" w:cs="宋体"/>
          <w:color w:val="auto"/>
          <w:szCs w:val="21"/>
          <w:highlight w:val="none"/>
        </w:rPr>
        <w:t>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甲方在初步验收或者最终验收过程中如发现乙方提供的服务成果不满足</w:t>
      </w:r>
      <w:r>
        <w:rPr>
          <w:rFonts w:hint="eastAsia" w:ascii="宋体" w:hAnsi="宋体" w:cs="宋体"/>
          <w:color w:val="auto"/>
          <w:szCs w:val="21"/>
          <w:highlight w:val="none"/>
          <w:lang w:val="en-US" w:eastAsia="zh-CN"/>
        </w:rPr>
        <w:t>磋商文件、</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本合同</w:t>
      </w:r>
      <w:r>
        <w:rPr>
          <w:rFonts w:hint="eastAsia" w:ascii="宋体" w:hAnsi="宋体" w:cs="宋体"/>
          <w:color w:val="auto"/>
          <w:szCs w:val="21"/>
          <w:highlight w:val="none"/>
          <w:lang w:val="en-US" w:eastAsia="zh-CN"/>
        </w:rPr>
        <w:t>约定或甲方要求</w:t>
      </w:r>
      <w:r>
        <w:rPr>
          <w:rFonts w:hint="eastAsia" w:ascii="宋体" w:hAnsi="宋体" w:eastAsia="宋体" w:cs="宋体"/>
          <w:color w:val="auto"/>
          <w:szCs w:val="21"/>
          <w:highlight w:val="none"/>
        </w:rPr>
        <w:t>的，可暂缓向乙方付款，直到乙方及时完善并提交相应的服务成果且经甲方验收合格后，方可办理付款。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六</w:t>
      </w:r>
      <w:r>
        <w:rPr>
          <w:rFonts w:hint="eastAsia" w:ascii="宋体" w:hAnsi="宋体" w:eastAsia="宋体" w:cs="宋体"/>
          <w:b/>
          <w:color w:val="auto"/>
          <w:szCs w:val="21"/>
          <w:highlight w:val="none"/>
        </w:rPr>
        <w:t>条  售后服务及培训</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乙方应按照国家有关法律法规和本合同所附的《售后服务承诺》要求为甲方提供相应的售后服务。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甲方应提供必要测试条件（如场地、电源、水源等）。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由甲方确定</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七</w:t>
      </w:r>
      <w:r>
        <w:rPr>
          <w:rFonts w:hint="eastAsia" w:ascii="宋体" w:hAnsi="宋体" w:eastAsia="宋体" w:cs="宋体"/>
          <w:b/>
          <w:color w:val="auto"/>
          <w:szCs w:val="21"/>
          <w:highlight w:val="none"/>
        </w:rPr>
        <w:t>条　付款方式</w:t>
      </w:r>
    </w:p>
    <w:p>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rPr>
        <w:t>本项目预付款在合同生效以及具备实施条件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并经甲方审核确认</w:t>
      </w:r>
      <w:r>
        <w:rPr>
          <w:rFonts w:hint="eastAsia" w:ascii="宋体" w:hAnsi="宋体" w:eastAsia="宋体"/>
          <w:color w:val="auto"/>
          <w:szCs w:val="21"/>
          <w:highlight w:val="none"/>
        </w:rPr>
        <w:t>后15日内支付，预付款比例为合同金额的50%，</w:t>
      </w:r>
      <w:r>
        <w:rPr>
          <w:rFonts w:hint="eastAsia" w:ascii="宋体" w:hAnsi="宋体"/>
          <w:color w:val="auto"/>
          <w:szCs w:val="21"/>
          <w:highlight w:val="none"/>
          <w:lang w:val="en-US" w:eastAsia="zh-CN"/>
        </w:rPr>
        <w:t>乙方</w:t>
      </w:r>
      <w:r>
        <w:rPr>
          <w:rFonts w:hint="eastAsia" w:ascii="宋体" w:hAnsi="宋体" w:eastAsia="宋体"/>
          <w:color w:val="auto"/>
          <w:szCs w:val="21"/>
          <w:highlight w:val="none"/>
        </w:rPr>
        <w:t>完成35场线下招聘会</w:t>
      </w:r>
      <w:r>
        <w:rPr>
          <w:rFonts w:hint="eastAsia" w:ascii="宋体" w:hAnsi="宋体"/>
          <w:color w:val="auto"/>
          <w:szCs w:val="21"/>
          <w:highlight w:val="none"/>
          <w:lang w:eastAsia="zh-CN"/>
        </w:rPr>
        <w:t>，</w:t>
      </w:r>
      <w:r>
        <w:rPr>
          <w:rFonts w:hint="eastAsia" w:ascii="宋体" w:hAnsi="宋体" w:eastAsia="宋体"/>
          <w:color w:val="auto"/>
          <w:szCs w:val="21"/>
          <w:highlight w:val="none"/>
        </w:rPr>
        <w:t>服务期限满</w:t>
      </w:r>
      <w:r>
        <w:rPr>
          <w:rFonts w:hint="eastAsia" w:ascii="宋体" w:hAnsi="宋体"/>
          <w:color w:val="auto"/>
          <w:szCs w:val="21"/>
          <w:highlight w:val="none"/>
          <w:lang w:val="en-US" w:eastAsia="zh-CN"/>
        </w:rPr>
        <w:t>且服务成果经甲方全部验收合格</w:t>
      </w:r>
      <w:r>
        <w:rPr>
          <w:rFonts w:hint="eastAsia" w:ascii="宋体" w:hAnsi="宋体" w:eastAsia="宋体"/>
          <w:color w:val="auto"/>
          <w:szCs w:val="21"/>
          <w:highlight w:val="none"/>
        </w:rPr>
        <w:t>后七天内支付总额的</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0%。</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lang w:val="en-US" w:eastAsia="zh-CN"/>
        </w:rPr>
        <w:t>乙方在甲方每次付款前应开具等额、合法有效且符合甲方要求的增值税发票，否则付款时间相应顺延，且甲方不必承担延迟付款的责任。</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3.乙方确认本合同签署页的账户为指定收款账户，如乙方指定收款账户在甲方转款前发生变更的，应在变更前书面通知甲方，否则甲方向原账户转款视为有效支付，由此产生的一切损失由乙方承担。</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八</w:t>
      </w:r>
      <w:r>
        <w:rPr>
          <w:rFonts w:hint="eastAsia" w:ascii="宋体" w:hAnsi="宋体" w:eastAsia="宋体" w:cs="宋体"/>
          <w:b/>
          <w:color w:val="auto"/>
          <w:szCs w:val="21"/>
          <w:highlight w:val="none"/>
        </w:rPr>
        <w:t>条　履约保证金</w:t>
      </w:r>
    </w:p>
    <w:p>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1.履约保证金金额：</w:t>
      </w:r>
      <w:r>
        <w:rPr>
          <w:rFonts w:hint="eastAsia" w:ascii="宋体" w:hAnsi="宋体" w:eastAsia="宋体" w:cs="宋体"/>
          <w:b w:val="0"/>
          <w:bCs/>
          <w:color w:val="auto"/>
          <w:szCs w:val="21"/>
          <w:highlight w:val="none"/>
          <w:lang w:val="en-US" w:eastAsia="zh-CN"/>
        </w:rPr>
        <w:t>按</w:t>
      </w:r>
      <w:r>
        <w:rPr>
          <w:rFonts w:hint="eastAsia" w:ascii="宋体" w:hAnsi="宋体" w:cs="宋体"/>
          <w:b w:val="0"/>
          <w:bCs/>
          <w:color w:val="auto"/>
          <w:szCs w:val="21"/>
          <w:highlight w:val="none"/>
          <w:lang w:val="en-US" w:eastAsia="zh-CN"/>
        </w:rPr>
        <w:t>合同总额</w:t>
      </w:r>
      <w:r>
        <w:rPr>
          <w:rFonts w:hint="eastAsia" w:ascii="宋体" w:hAnsi="宋体" w:eastAsia="宋体" w:cs="宋体"/>
          <w:b w:val="0"/>
          <w:bCs/>
          <w:color w:val="auto"/>
          <w:szCs w:val="21"/>
          <w:highlight w:val="none"/>
          <w:lang w:val="en-US" w:eastAsia="zh-CN"/>
        </w:rPr>
        <w:t>的2%</w:t>
      </w:r>
      <w:r>
        <w:rPr>
          <w:rFonts w:hint="eastAsia" w:ascii="宋体" w:hAnsi="宋体" w:cs="宋体"/>
          <w:b w:val="0"/>
          <w:bCs/>
          <w:color w:val="auto"/>
          <w:szCs w:val="21"/>
          <w:highlight w:val="none"/>
          <w:lang w:val="en-US" w:eastAsia="zh-CN"/>
        </w:rPr>
        <w:t>收取</w:t>
      </w:r>
      <w:r>
        <w:rPr>
          <w:rFonts w:hint="eastAsia" w:ascii="宋体" w:hAnsi="宋体" w:eastAsia="宋体" w:cs="宋体"/>
          <w:b w:val="0"/>
          <w:bCs/>
          <w:color w:val="auto"/>
          <w:szCs w:val="21"/>
          <w:highlight w:val="none"/>
          <w:lang w:val="en-US" w:eastAsia="zh-CN"/>
        </w:rPr>
        <w:t>。</w:t>
      </w:r>
    </w:p>
    <w:p>
      <w:pPr>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2.履约保证金递交方式：</w:t>
      </w:r>
      <w:r>
        <w:rPr>
          <w:rFonts w:hint="eastAsia" w:ascii="宋体" w:hAnsi="宋体" w:cs="宋体"/>
          <w:b w:val="0"/>
          <w:bCs/>
          <w:color w:val="auto"/>
          <w:szCs w:val="21"/>
          <w:highlight w:val="none"/>
          <w:lang w:val="en-US" w:eastAsia="zh-CN"/>
        </w:rPr>
        <w:t>乙方</w:t>
      </w:r>
      <w:r>
        <w:rPr>
          <w:rFonts w:hint="eastAsia" w:ascii="宋体" w:hAnsi="宋体" w:eastAsia="宋体" w:cs="宋体"/>
          <w:b w:val="0"/>
          <w:bCs/>
          <w:color w:val="auto"/>
          <w:szCs w:val="21"/>
          <w:highlight w:val="none"/>
          <w:lang w:val="en-US" w:eastAsia="zh-CN"/>
        </w:rPr>
        <w:t>在签订合同前以银行转账、支票、汇票、本票或者金融机构、担保机构出具的保函等非现金方式向</w:t>
      </w:r>
      <w:r>
        <w:rPr>
          <w:rFonts w:hint="eastAsia" w:ascii="宋体" w:hAnsi="宋体" w:cs="宋体"/>
          <w:b w:val="0"/>
          <w:bCs/>
          <w:color w:val="auto"/>
          <w:szCs w:val="21"/>
          <w:highlight w:val="none"/>
          <w:lang w:val="en-US" w:eastAsia="zh-CN"/>
        </w:rPr>
        <w:t>甲方</w:t>
      </w:r>
      <w:r>
        <w:rPr>
          <w:rFonts w:hint="eastAsia" w:ascii="宋体" w:hAnsi="宋体" w:eastAsia="宋体" w:cs="宋体"/>
          <w:b w:val="0"/>
          <w:bCs/>
          <w:color w:val="auto"/>
          <w:szCs w:val="21"/>
          <w:highlight w:val="none"/>
          <w:lang w:val="en-US" w:eastAsia="zh-CN"/>
        </w:rPr>
        <w:t>提交。</w:t>
      </w:r>
    </w:p>
    <w:p>
      <w:pPr>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3.履约保证金退付方式、时间及条件：</w:t>
      </w:r>
      <w:r>
        <w:rPr>
          <w:rFonts w:hint="eastAsia" w:ascii="宋体" w:hAnsi="宋体" w:cs="宋体"/>
          <w:b w:val="0"/>
          <w:bCs/>
          <w:color w:val="auto"/>
          <w:szCs w:val="21"/>
          <w:highlight w:val="none"/>
          <w:lang w:val="en-US" w:eastAsia="zh-CN"/>
        </w:rPr>
        <w:t>乙方按</w:t>
      </w:r>
      <w:r>
        <w:rPr>
          <w:rFonts w:hint="eastAsia" w:ascii="宋体" w:hAnsi="宋体" w:cs="宋体"/>
          <w:bCs/>
          <w:color w:val="auto"/>
          <w:szCs w:val="21"/>
          <w:highlight w:val="none"/>
          <w:lang w:val="en-US" w:eastAsia="zh-CN"/>
        </w:rPr>
        <w:t>磋商文件、</w:t>
      </w:r>
      <w:r>
        <w:rPr>
          <w:rFonts w:hint="eastAsia" w:ascii="宋体" w:hAnsi="宋体" w:eastAsia="宋体" w:cs="宋体"/>
          <w:bCs/>
          <w:color w:val="auto"/>
          <w:szCs w:val="21"/>
          <w:highlight w:val="none"/>
        </w:rPr>
        <w:t>响应文件</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本合同</w:t>
      </w:r>
      <w:r>
        <w:rPr>
          <w:rFonts w:hint="eastAsia" w:ascii="宋体" w:hAnsi="宋体" w:cs="宋体"/>
          <w:bCs/>
          <w:color w:val="auto"/>
          <w:szCs w:val="21"/>
          <w:highlight w:val="none"/>
          <w:lang w:val="en-US" w:eastAsia="zh-CN"/>
        </w:rPr>
        <w:t>约定或甲方要求</w:t>
      </w:r>
      <w:r>
        <w:rPr>
          <w:rFonts w:hint="eastAsia" w:ascii="宋体" w:hAnsi="宋体" w:cs="宋体"/>
          <w:b w:val="0"/>
          <w:bCs/>
          <w:color w:val="auto"/>
          <w:szCs w:val="21"/>
          <w:highlight w:val="none"/>
          <w:lang w:val="en-US" w:eastAsia="zh-CN"/>
        </w:rPr>
        <w:t>完成全部服务内容，服务期限届满，</w:t>
      </w:r>
      <w:r>
        <w:rPr>
          <w:rFonts w:hint="eastAsia" w:ascii="宋体" w:hAnsi="宋体"/>
          <w:bCs/>
          <w:color w:val="auto"/>
          <w:szCs w:val="21"/>
          <w:highlight w:val="none"/>
          <w:lang w:val="en-US" w:eastAsia="zh-CN"/>
        </w:rPr>
        <w:t>服务成果经甲方全部验收合格</w:t>
      </w:r>
      <w:r>
        <w:rPr>
          <w:rFonts w:hint="eastAsia" w:ascii="宋体" w:hAnsi="宋体" w:eastAsia="宋体" w:cs="宋体"/>
          <w:b w:val="0"/>
          <w:bCs/>
          <w:color w:val="auto"/>
          <w:szCs w:val="21"/>
          <w:highlight w:val="none"/>
          <w:lang w:val="en-US" w:eastAsia="zh-CN"/>
        </w:rPr>
        <w:t>且乙方无违约情形的，由乙方向</w:t>
      </w:r>
      <w:r>
        <w:rPr>
          <w:rFonts w:hint="eastAsia" w:ascii="宋体" w:hAnsi="宋体" w:cs="宋体"/>
          <w:b w:val="0"/>
          <w:bCs/>
          <w:color w:val="auto"/>
          <w:szCs w:val="21"/>
          <w:highlight w:val="none"/>
          <w:lang w:val="en-US" w:eastAsia="zh-CN"/>
        </w:rPr>
        <w:t>甲方</w:t>
      </w:r>
      <w:r>
        <w:rPr>
          <w:rFonts w:hint="eastAsia" w:ascii="宋体" w:hAnsi="宋体" w:eastAsia="宋体" w:cs="宋体"/>
          <w:b w:val="0"/>
          <w:bCs/>
          <w:color w:val="auto"/>
          <w:szCs w:val="21"/>
          <w:highlight w:val="none"/>
          <w:lang w:val="en-US" w:eastAsia="zh-CN"/>
        </w:rPr>
        <w:t>提供审签完成的《广西壮族自治区政府采购项目合同验收书》（格式见详见第五章，规定详见桂财采〔2015〕22号）及《政府采购项目履约保证金退付意见书》（格式见详见第五章），</w:t>
      </w:r>
      <w:r>
        <w:rPr>
          <w:rFonts w:hint="eastAsia" w:ascii="宋体" w:hAnsi="宋体" w:cs="宋体"/>
          <w:b w:val="0"/>
          <w:bCs/>
          <w:color w:val="auto"/>
          <w:szCs w:val="21"/>
          <w:highlight w:val="none"/>
          <w:lang w:val="en-US" w:eastAsia="zh-CN"/>
        </w:rPr>
        <w:t>甲方</w:t>
      </w:r>
      <w:r>
        <w:rPr>
          <w:rFonts w:hint="eastAsia" w:ascii="宋体" w:hAnsi="宋体" w:eastAsia="宋体" w:cs="宋体"/>
          <w:b w:val="0"/>
          <w:bCs/>
          <w:color w:val="auto"/>
          <w:szCs w:val="21"/>
          <w:highlight w:val="none"/>
          <w:lang w:val="en-US" w:eastAsia="zh-CN"/>
        </w:rPr>
        <w:t>在收到</w:t>
      </w:r>
      <w:r>
        <w:rPr>
          <w:rFonts w:hint="eastAsia" w:ascii="宋体" w:hAnsi="宋体" w:cs="宋体"/>
          <w:b w:val="0"/>
          <w:bCs/>
          <w:color w:val="auto"/>
          <w:szCs w:val="21"/>
          <w:highlight w:val="none"/>
          <w:lang w:val="en-US" w:eastAsia="zh-CN"/>
        </w:rPr>
        <w:t>乙方的申请材料，并审核</w:t>
      </w:r>
      <w:r>
        <w:rPr>
          <w:rFonts w:hint="eastAsia" w:ascii="宋体" w:hAnsi="宋体" w:eastAsia="宋体" w:cs="宋体"/>
          <w:b w:val="0"/>
          <w:bCs/>
          <w:color w:val="auto"/>
          <w:szCs w:val="21"/>
          <w:highlight w:val="none"/>
          <w:lang w:val="en-US" w:eastAsia="zh-CN"/>
        </w:rPr>
        <w:t>材料</w:t>
      </w:r>
      <w:r>
        <w:rPr>
          <w:rFonts w:hint="eastAsia" w:ascii="宋体" w:hAnsi="宋体" w:cs="宋体"/>
          <w:b w:val="0"/>
          <w:bCs/>
          <w:color w:val="auto"/>
          <w:szCs w:val="21"/>
          <w:highlight w:val="none"/>
          <w:lang w:val="en-US" w:eastAsia="zh-CN"/>
        </w:rPr>
        <w:t>合格</w:t>
      </w:r>
      <w:r>
        <w:rPr>
          <w:rFonts w:hint="eastAsia" w:ascii="宋体" w:hAnsi="宋体" w:eastAsia="宋体" w:cs="宋体"/>
          <w:b w:val="0"/>
          <w:bCs/>
          <w:color w:val="auto"/>
          <w:szCs w:val="21"/>
          <w:highlight w:val="none"/>
          <w:lang w:val="en-US" w:eastAsia="zh-CN"/>
        </w:rPr>
        <w:t>后5个工作日内办理退还手续（不计利息）。</w:t>
      </w:r>
    </w:p>
    <w:p>
      <w:pPr>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4.缴纳履约保证金的指定账户：</w:t>
      </w:r>
    </w:p>
    <w:p>
      <w:pPr>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开户名称：广西壮族自治区就业服务中心</w:t>
      </w:r>
    </w:p>
    <w:p>
      <w:pPr>
        <w:spacing w:line="360" w:lineRule="auto"/>
        <w:ind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开户银行：建行南宁市汇春支行</w:t>
      </w:r>
    </w:p>
    <w:p>
      <w:pPr>
        <w:spacing w:line="360" w:lineRule="auto"/>
        <w:ind w:firstLine="420" w:firstLineChars="200"/>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银行账号：45001604568059158158</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九</w:t>
      </w:r>
      <w:r>
        <w:rPr>
          <w:rFonts w:hint="eastAsia" w:ascii="宋体" w:hAnsi="宋体" w:eastAsia="宋体" w:cs="宋体"/>
          <w:b/>
          <w:color w:val="auto"/>
          <w:szCs w:val="21"/>
          <w:highlight w:val="none"/>
        </w:rPr>
        <w:t>条  税费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pStyle w:val="29"/>
        <w:keepNext w:val="0"/>
        <w:keepLines w:val="0"/>
        <w:pageBreakBefore w:val="0"/>
        <w:widowControl w:val="0"/>
        <w:numPr>
          <w:ilvl w:val="0"/>
          <w:numId w:val="0"/>
        </w:numPr>
        <w:kinsoku/>
        <w:wordWrap/>
        <w:overflowPunct/>
        <w:topLinePunct w:val="0"/>
        <w:bidi w:val="0"/>
        <w:spacing w:line="440" w:lineRule="exact"/>
        <w:ind w:firstLine="482" w:firstLineChars="200"/>
        <w:jc w:val="both"/>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w:t>
      </w:r>
      <w:r>
        <w:rPr>
          <w:rFonts w:hint="eastAsia" w:ascii="宋体" w:hAnsi="宋体" w:cs="宋体"/>
          <w:b/>
          <w:color w:val="auto"/>
          <w:szCs w:val="21"/>
          <w:highlight w:val="none"/>
          <w:lang w:eastAsia="zh-CN"/>
        </w:rPr>
        <w:t>十</w:t>
      </w:r>
      <w:r>
        <w:rPr>
          <w:rFonts w:hint="eastAsia" w:ascii="宋体" w:hAnsi="宋体" w:eastAsia="宋体" w:cs="宋体"/>
          <w:b/>
          <w:color w:val="auto"/>
          <w:szCs w:val="21"/>
          <w:highlight w:val="none"/>
        </w:rPr>
        <w:t>条　违约责任</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 xml:space="preserve">1.除不可抗力原因外，乙方没有按照合同约定的时间提供服务的，甲方可要求乙方支付违约金。每推迟一天按合同总金额的3‰支付违约金，逾期超过10日的，甲方有权解除合同，并要求乙方支付合同总金额的20%作为违约金。                                  </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2.乙方不完全履约或提供的服务不符合</w:t>
      </w:r>
      <w:r>
        <w:rPr>
          <w:rFonts w:hint="eastAsia" w:ascii="宋体" w:hAnsi="宋体"/>
          <w:color w:val="auto"/>
          <w:szCs w:val="21"/>
          <w:highlight w:val="none"/>
          <w:lang w:val="en-US" w:eastAsia="zh-CN"/>
        </w:rPr>
        <w:t>磋商</w:t>
      </w:r>
      <w:r>
        <w:rPr>
          <w:rFonts w:hint="eastAsia" w:ascii="宋体" w:hAnsi="宋体" w:eastAsia="宋体"/>
          <w:color w:val="auto"/>
          <w:szCs w:val="21"/>
          <w:highlight w:val="none"/>
          <w:lang w:eastAsia="zh-CN"/>
        </w:rPr>
        <w:t xml:space="preserve">文件、响应文件、合同约定或甲方要求的，甲方有权要求乙方整改，乙方应予以负责整改，由此造成逾期交付的，乙方根据本条第1款承担延迟履约的违约责任。如乙方整改后仍不符合上述文件约定或甲方要求，或已经无法整改的，甲方有权要求乙方支付合同总金额的20%作为违约金。 </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 xml:space="preserve">3.因乙方原因导致提供的服务或服务成果侵犯了第三方知识产权或其他合法权益，由乙方承担全部赔偿责任，造成甲方损失或涉诉（包括但不限于甲方对第三人承担赔偿、诉讼费、律师费、保全费、鉴定费、调查费、公证费、公告费、差旅费、诉讼财产保全责任保险费等），甲方有权解除合同并向乙方追偿，要求乙方赔偿全部损失及支付合同总金额10%的违约金。 </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乙方必须坚持正确的政治方向引导舆论，促进甲方形象提升和开展工作。如因乙方任何违法违规行为或不利于甲方订立合同的目标实现或有损于甲方订立合同目标的，甲方有权解除合同，索回已支付的全部款项，要求乙方支付合同总金额的20%作为违约金，如还有其他损失的，甲方还有权向乙方追偿。</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乙方及其工作人员违反本合同约定的保密义务的要立即组织人员消除泄密影响，甲方有权要求乙方支付合同总金额20%的违约金，如给甲方造成损失的，乙方应承担全部赔偿责任，同时，甲方有权单方解除本合同。</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 xml:space="preserve">6.乙方擅自转让或分包其应履行的合同义务给任何第三方的，甲方有权解除合同，索回已支付的全部款项，并要求乙方支付合同总金额的20%作为违约金。  </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7.如乙方在提供服务过程未尽保管义务，损毁、遗失、丢失甲方提供的有关材料、文件的，甲方有权要求乙方支付合同总金额的10%作为违约金。如乙方逾期归还甲方材料、文件原件或私自留存文档的，应每日按合同总金额的万分之五支付违约金，直至乙方按甲方要求销毁或退回全部材料、文件为止。</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8.如合同终止后，乙方未配合及协助甲方调取有关数据、资料、信息的，应每日按合同总金额的万分之五支付违约金，本条款不因为本合同履行终止、解除或者无效而解除。</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9.乙方为甲方服务期间，乙方与其具体履约工作人员的劳资纠纷或因本项目工作所发生的乙方人员事故及责任或导致他人遭受人身、财产损失的均由乙方承担，甲方概不负责，如造成甲方损失或涉诉（包括但不限于甲方对第三人承担赔偿、诉讼费、律师费、保全费、鉴定费、调查费、公证费、公告费、差旅费、诉讼财产保全责任保险费等）的，要求乙方赔偿全部损失及支付合同总金额20%作为违约金。</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10.如乙方未按甲方要求更换不称职、不符合要求的工作人员，每逾期一日按照合同总金额的千分之三向甲方支付违约金，并赔偿甲方因此所遭受的损失。如逾期超过10个工作日，甲方有权解除合同并要求乙方支付合同总金额的20%作为违约金。</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11.乙方存在其他违约情形的，除本合同另有约定外，甲方有权要求乙方支付合同总金额的5%作为违约金。</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12.合同约定的违约金不足以弥补甲方全部损失的，乙方除支付合同约定的违约金外，还应承担全部赔偿责任。因乙方违约造成的甲方损失或应向甲方支付的违约金、赔偿金，甲方有权直接从未付款中扣除。</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13.因违约方违约行为，造成守约方支出的争议处理费用以及实现债权的费用（包括但不限于诉讼费、律师费、保全费、鉴定费、调查费、公证费、公告费、差旅费、诉讼财产保全责任保险费等）由违约方承担。</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eastAsia="zh-CN"/>
        </w:rPr>
        <w:t>一</w:t>
      </w:r>
      <w:r>
        <w:rPr>
          <w:rFonts w:hint="eastAsia" w:ascii="宋体" w:hAnsi="宋体" w:eastAsia="宋体" w:cs="宋体"/>
          <w:b/>
          <w:color w:val="auto"/>
          <w:szCs w:val="21"/>
          <w:highlight w:val="none"/>
        </w:rPr>
        <w:t>条  不可抗力事件处理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eastAsia="zh-CN"/>
        </w:rPr>
        <w:t>二</w:t>
      </w:r>
      <w:r>
        <w:rPr>
          <w:rFonts w:hint="eastAsia" w:ascii="宋体" w:hAnsi="宋体" w:eastAsia="宋体" w:cs="宋体"/>
          <w:b/>
          <w:color w:val="auto"/>
          <w:szCs w:val="21"/>
          <w:highlight w:val="none"/>
        </w:rPr>
        <w:t>条  合同争议解决</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因履行本合同引起的或者与本合同有关的争议，甲乙双方应首先通过友好协商解决，如果协商不能解决，可向甲方所在地有管辖权的人民法院提起诉讼。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诉讼期间，本合同继续履行。</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条  送达约定</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val="0"/>
          <w:bCs/>
          <w:color w:val="auto"/>
          <w:szCs w:val="21"/>
          <w:highlight w:val="none"/>
        </w:rPr>
        <w:t>双方确认的送达地址详见合同签署页，合同履行过程中需送达的协议、通知、函件、法律文书（包括但不限于起诉状、应诉通知、传票、裁定书、判决书、律师函）等文件资料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eastAsia="zh-CN"/>
        </w:rPr>
        <w:t>四</w:t>
      </w:r>
      <w:r>
        <w:rPr>
          <w:rFonts w:hint="eastAsia" w:ascii="宋体" w:hAnsi="宋体" w:eastAsia="宋体" w:cs="宋体"/>
          <w:b/>
          <w:color w:val="auto"/>
          <w:szCs w:val="21"/>
          <w:highlight w:val="none"/>
        </w:rPr>
        <w:t>条  合同生效及其它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合同经双方法定代表人或者</w:t>
      </w:r>
      <w:r>
        <w:rPr>
          <w:rFonts w:hint="eastAsia" w:ascii="宋体" w:hAnsi="宋体" w:cs="宋体"/>
          <w:color w:val="auto"/>
          <w:szCs w:val="21"/>
          <w:highlight w:val="none"/>
          <w:lang w:val="en-US" w:eastAsia="zh-CN"/>
        </w:rPr>
        <w:t>委托代理人</w:t>
      </w:r>
      <w:r>
        <w:rPr>
          <w:rFonts w:hint="eastAsia" w:ascii="宋体" w:hAnsi="宋体" w:eastAsia="宋体" w:cs="宋体"/>
          <w:color w:val="auto"/>
          <w:szCs w:val="21"/>
          <w:highlight w:val="none"/>
        </w:rPr>
        <w:t>签字并加盖单位公章后生效（委托代理人签字的需后附授权委托书，格式自拟）。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本合同未尽事宜，遵照《中华人民共和国民法典》有关条文执行。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eastAsia="zh-CN"/>
        </w:rPr>
        <w:t>五</w:t>
      </w:r>
      <w:r>
        <w:rPr>
          <w:rFonts w:hint="eastAsia" w:ascii="宋体" w:hAnsi="宋体" w:eastAsia="宋体" w:cs="宋体"/>
          <w:b/>
          <w:color w:val="auto"/>
          <w:szCs w:val="21"/>
          <w:highlight w:val="none"/>
        </w:rPr>
        <w:t>条　合同的变更、终止与转让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cs="宋体"/>
          <w:b/>
          <w:color w:val="auto"/>
          <w:szCs w:val="21"/>
          <w:highlight w:val="none"/>
          <w:lang w:eastAsia="zh-CN"/>
        </w:rPr>
        <w:t>六</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rPr>
        <w:t>　签订本合同依据</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eastAsia="zh-CN"/>
        </w:rPr>
        <w:t>1.</w:t>
      </w:r>
      <w:r>
        <w:rPr>
          <w:rFonts w:hint="eastAsia" w:ascii="宋体" w:hAnsi="宋体" w:cs="宋体"/>
          <w:color w:val="auto"/>
          <w:szCs w:val="21"/>
          <w:highlight w:val="none"/>
          <w:lang w:val="en-US" w:eastAsia="zh-CN"/>
        </w:rPr>
        <w:t>磋商文件；</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竞标报价表；</w:t>
      </w:r>
    </w:p>
    <w:p>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商务要求偏离表和技术要求偏离表；</w:t>
      </w:r>
    </w:p>
    <w:p>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服务方案；</w:t>
      </w:r>
    </w:p>
    <w:p>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6.其他</w:t>
      </w:r>
      <w:r>
        <w:rPr>
          <w:rFonts w:hint="eastAsia" w:ascii="宋体" w:hAnsi="宋体" w:eastAsia="宋体" w:cs="宋体"/>
          <w:color w:val="auto"/>
          <w:szCs w:val="21"/>
          <w:highlight w:val="none"/>
        </w:rPr>
        <w:t>相关文件。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w:t>
      </w:r>
      <w:r>
        <w:rPr>
          <w:rFonts w:hint="eastAsia" w:ascii="宋体" w:hAnsi="宋体" w:cs="宋体"/>
          <w:color w:val="auto"/>
          <w:szCs w:val="21"/>
          <w:highlight w:val="none"/>
          <w:lang w:eastAsia="zh-CN"/>
        </w:rPr>
        <w:t>十七</w:t>
      </w:r>
      <w:r>
        <w:rPr>
          <w:rFonts w:hint="eastAsia" w:ascii="宋体" w:hAnsi="宋体" w:cs="宋体"/>
          <w:color w:val="auto"/>
          <w:szCs w:val="21"/>
          <w:highlight w:val="none"/>
          <w:lang w:eastAsia="zh-CN"/>
        </w:rPr>
        <w:t>条</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本合同一式陆份，具有同等法律效力，财政部门（政府采购监管部门）、采购代理机构各壹份</w:t>
      </w:r>
      <w:r>
        <w:rPr>
          <w:rFonts w:hint="eastAsia" w:ascii="宋体" w:hAnsi="宋体" w:cs="宋体"/>
          <w:color w:val="auto"/>
          <w:szCs w:val="21"/>
          <w:highlight w:val="none"/>
          <w:lang w:eastAsia="zh-CN"/>
        </w:rPr>
        <w:t>，甲乙双方各贰份（可根据需要增加）。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本合同</w:t>
      </w:r>
      <w:r>
        <w:rPr>
          <w:rFonts w:hint="eastAsia" w:ascii="宋体" w:hAnsi="宋体" w:eastAsia="宋体" w:cs="宋体"/>
          <w:color w:val="auto"/>
          <w:szCs w:val="21"/>
          <w:highlight w:val="none"/>
        </w:rPr>
        <w:t>自签订之日起七个工作日内，甲方应当将合同副本报同级财政部门备案。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（以下无正文，为合同签署页）</w:t>
      </w:r>
    </w:p>
    <w:tbl>
      <w:tblPr>
        <w:tblStyle w:val="22"/>
        <w:tblpPr w:leftFromText="180" w:rightFromText="180" w:vertAnchor="text" w:horzAnchor="margin" w:tblpXSpec="center"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p>
          <w:p>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jc w:val="right"/>
              <w:rPr>
                <w:rFonts w:hint="eastAsia" w:ascii="宋体" w:hAnsi="宋体" w:eastAsia="宋体" w:cs="宋体"/>
                <w:color w:val="auto"/>
                <w:szCs w:val="21"/>
                <w:highlight w:val="none"/>
              </w:rPr>
            </w:pPr>
          </w:p>
          <w:p>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r>
    </w:tbl>
    <w:p>
      <w:pPr>
        <w:pStyle w:val="3"/>
        <w:rPr>
          <w:color w:val="auto"/>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tabs>
          <w:tab w:val="left" w:pos="3261"/>
        </w:tabs>
        <w:spacing w:line="360" w:lineRule="auto"/>
        <w:contextualSpacing/>
        <w:jc w:val="center"/>
        <w:rPr>
          <w:rFonts w:cs="仿宋_GB2312"/>
          <w:b/>
          <w:color w:val="auto"/>
          <w:sz w:val="44"/>
          <w:szCs w:val="44"/>
          <w:highlight w:val="none"/>
        </w:rPr>
      </w:pPr>
    </w:p>
    <w:p>
      <w:pPr>
        <w:pStyle w:val="3"/>
        <w:jc w:val="center"/>
        <w:rPr>
          <w:rFonts w:cs="仿宋_GB2312"/>
          <w:b w:val="0"/>
          <w:color w:val="auto"/>
          <w:highlight w:val="none"/>
        </w:rPr>
      </w:pPr>
      <w:bookmarkStart w:id="175" w:name="_Toc29624"/>
      <w:bookmarkStart w:id="176" w:name="_Toc610"/>
      <w:bookmarkStart w:id="177" w:name="_Toc28283"/>
      <w:bookmarkStart w:id="178" w:name="_Toc80886951"/>
      <w:bookmarkStart w:id="179" w:name="_Toc20915"/>
      <w:bookmarkStart w:id="180" w:name="_Toc13011"/>
      <w:bookmarkStart w:id="181" w:name="_Toc178"/>
      <w:bookmarkStart w:id="182" w:name="_Toc8963"/>
    </w:p>
    <w:p>
      <w:pPr>
        <w:pStyle w:val="3"/>
        <w:jc w:val="center"/>
        <w:rPr>
          <w:rFonts w:cs="仿宋_GB2312"/>
          <w:b w:val="0"/>
          <w:color w:val="auto"/>
          <w:highlight w:val="none"/>
        </w:rPr>
      </w:pPr>
    </w:p>
    <w:p>
      <w:pPr>
        <w:rPr>
          <w:color w:val="auto"/>
          <w:highlight w:val="none"/>
        </w:rPr>
      </w:pPr>
    </w:p>
    <w:p>
      <w:pPr>
        <w:pStyle w:val="3"/>
        <w:jc w:val="center"/>
        <w:rPr>
          <w:rFonts w:hint="eastAsia" w:cs="仿宋_GB2312"/>
          <w:b w:val="0"/>
          <w:color w:val="auto"/>
          <w:highlight w:val="none"/>
        </w:rPr>
      </w:pPr>
    </w:p>
    <w:p>
      <w:pPr>
        <w:pStyle w:val="3"/>
        <w:jc w:val="center"/>
        <w:rPr>
          <w:rFonts w:hint="eastAsia" w:cs="仿宋_GB2312"/>
          <w:b w:val="0"/>
          <w:color w:val="auto"/>
          <w:highlight w:val="none"/>
        </w:rPr>
      </w:pPr>
    </w:p>
    <w:p>
      <w:pPr>
        <w:pStyle w:val="3"/>
        <w:jc w:val="center"/>
        <w:rPr>
          <w:rFonts w:hint="eastAsia" w:cs="仿宋_GB2312"/>
          <w:b w:val="0"/>
          <w:color w:val="auto"/>
          <w:highlight w:val="none"/>
        </w:rPr>
      </w:pPr>
    </w:p>
    <w:p>
      <w:pPr>
        <w:pStyle w:val="3"/>
        <w:jc w:val="center"/>
        <w:rPr>
          <w:rFonts w:hint="eastAsia" w:cs="仿宋_GB2312"/>
          <w:b w:val="0"/>
          <w:color w:val="auto"/>
          <w:highlight w:val="none"/>
        </w:rPr>
      </w:pPr>
    </w:p>
    <w:p>
      <w:pPr>
        <w:pStyle w:val="3"/>
        <w:jc w:val="center"/>
        <w:rPr>
          <w:rFonts w:cs="仿宋_GB2312"/>
          <w:color w:val="auto"/>
          <w:highlight w:val="none"/>
        </w:rPr>
        <w:sectPr>
          <w:pgSz w:w="11911" w:h="16838"/>
          <w:pgMar w:top="1134" w:right="1134" w:bottom="1134" w:left="1134" w:header="720" w:footer="720" w:gutter="0"/>
          <w:pgNumType w:fmt="decimal"/>
          <w:cols w:space="720" w:num="1"/>
        </w:sectPr>
      </w:pPr>
      <w:r>
        <w:rPr>
          <w:rFonts w:hint="eastAsia" w:cs="仿宋_GB2312"/>
          <w:b w:val="0"/>
          <w:color w:val="auto"/>
          <w:highlight w:val="none"/>
        </w:rPr>
        <w:t>第七章 质疑、投诉材料格式</w:t>
      </w:r>
      <w:bookmarkEnd w:id="175"/>
      <w:bookmarkEnd w:id="176"/>
      <w:bookmarkEnd w:id="177"/>
      <w:bookmarkEnd w:id="178"/>
      <w:bookmarkEnd w:id="179"/>
      <w:bookmarkEnd w:id="180"/>
      <w:bookmarkEnd w:id="181"/>
      <w:bookmarkEnd w:id="182"/>
    </w:p>
    <w:p>
      <w:pPr>
        <w:spacing w:line="360" w:lineRule="auto"/>
        <w:jc w:val="center"/>
        <w:rPr>
          <w:b/>
          <w:bCs/>
          <w:color w:val="auto"/>
          <w:sz w:val="32"/>
          <w:szCs w:val="32"/>
          <w:highlight w:val="none"/>
        </w:rPr>
      </w:pPr>
      <w:r>
        <w:rPr>
          <w:rFonts w:hint="eastAsia"/>
          <w:b/>
          <w:bCs/>
          <w:color w:val="auto"/>
          <w:sz w:val="32"/>
          <w:szCs w:val="32"/>
          <w:highlight w:val="none"/>
        </w:rPr>
        <w:t>质疑函（格式）</w:t>
      </w:r>
    </w:p>
    <w:p>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contextualSpacing/>
        <w:rPr>
          <w:rFonts w:ascii="宋体" w:hAnsi="宋体" w:cs="宋体"/>
          <w:color w:val="auto"/>
          <w:kern w:val="0"/>
          <w:sz w:val="24"/>
          <w:highlight w:val="none"/>
        </w:rPr>
      </w:pPr>
    </w:p>
    <w:p>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contextualSpacing/>
        <w:rPr>
          <w:b/>
          <w:color w:val="auto"/>
          <w:kern w:val="0"/>
          <w:sz w:val="24"/>
          <w:highlight w:val="none"/>
        </w:rPr>
      </w:pPr>
    </w:p>
    <w:p>
      <w:pPr>
        <w:spacing w:line="360" w:lineRule="auto"/>
        <w:contextualSpacing/>
        <w:rPr>
          <w:b/>
          <w:color w:val="auto"/>
          <w:kern w:val="0"/>
          <w:sz w:val="24"/>
          <w:highlight w:val="none"/>
        </w:rPr>
      </w:pPr>
    </w:p>
    <w:p>
      <w:pPr>
        <w:pStyle w:val="28"/>
        <w:ind w:firstLine="480"/>
        <w:rPr>
          <w:color w:val="auto"/>
          <w:highlight w:val="none"/>
        </w:rPr>
      </w:pPr>
    </w:p>
    <w:p>
      <w:pPr>
        <w:spacing w:line="360" w:lineRule="auto"/>
        <w:contextualSpacing/>
        <w:rPr>
          <w:b/>
          <w:color w:val="auto"/>
          <w:kern w:val="0"/>
          <w:sz w:val="24"/>
          <w:highlight w:val="none"/>
        </w:rPr>
      </w:pPr>
      <w:r>
        <w:rPr>
          <w:rFonts w:hint="eastAsia"/>
          <w:b/>
          <w:color w:val="auto"/>
          <w:kern w:val="0"/>
          <w:sz w:val="24"/>
          <w:highlight w:val="none"/>
        </w:rPr>
        <w:t>说明：</w:t>
      </w:r>
    </w:p>
    <w:p>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pPr>
        <w:snapToGrid w:val="0"/>
        <w:rPr>
          <w:rFonts w:hAnsi="Courier New"/>
          <w:b/>
          <w:color w:val="auto"/>
          <w:kern w:val="0"/>
          <w:sz w:val="24"/>
          <w:highlight w:val="none"/>
        </w:rPr>
      </w:pPr>
    </w:p>
    <w:p>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pPr>
        <w:spacing w:line="360" w:lineRule="auto"/>
        <w:jc w:val="center"/>
        <w:rPr>
          <w:b/>
          <w:bCs/>
          <w:color w:val="auto"/>
          <w:sz w:val="32"/>
          <w:szCs w:val="32"/>
          <w:highlight w:val="none"/>
        </w:rPr>
      </w:pPr>
      <w:r>
        <w:rPr>
          <w:rFonts w:hint="eastAsia"/>
          <w:b/>
          <w:bCs/>
          <w:color w:val="auto"/>
          <w:sz w:val="32"/>
          <w:szCs w:val="32"/>
          <w:highlight w:val="none"/>
        </w:rPr>
        <w:t>投诉书（格式）</w:t>
      </w:r>
    </w:p>
    <w:p>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pPr>
        <w:spacing w:line="360" w:lineRule="auto"/>
        <w:ind w:firstLine="241"/>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241"/>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采购人/采购代理机构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pPr>
        <w:spacing w:line="360" w:lineRule="auto"/>
        <w:ind w:left="25" w:leftChars="12" w:firstLine="352" w:firstLineChars="147"/>
        <w:rPr>
          <w:rFonts w:ascii="宋体" w:hAnsi="宋体" w:cs="宋体"/>
          <w:color w:val="auto"/>
          <w:kern w:val="0"/>
          <w:sz w:val="24"/>
          <w:highlight w:val="none"/>
        </w:rPr>
      </w:pP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 xml:space="preserve">                                                                                 </w:t>
      </w:r>
    </w:p>
    <w:p>
      <w:pPr>
        <w:snapToGrid w:val="0"/>
        <w:spacing w:line="360" w:lineRule="auto"/>
        <w:rPr>
          <w:rFonts w:ascii="宋体" w:hAnsi="宋体" w:cs="宋体"/>
          <w:b/>
          <w:color w:val="auto"/>
          <w:kern w:val="0"/>
          <w:sz w:val="24"/>
          <w:highlight w:val="none"/>
        </w:rPr>
      </w:pPr>
    </w:p>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p>
      <w:pPr>
        <w:rPr>
          <w:color w:val="auto"/>
          <w:highlight w:val="none"/>
        </w:rPr>
      </w:pPr>
    </w:p>
    <w:p>
      <w:pPr>
        <w:rPr>
          <w:color w:val="auto"/>
          <w:highlight w:val="none"/>
        </w:rPr>
      </w:pPr>
    </w:p>
    <w:sectPr>
      <w:headerReference r:id="rId12" w:type="default"/>
      <w:footerReference r:id="rId13" w:type="default"/>
      <w:pgSz w:w="11911" w:h="16838"/>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Fonts w:ascii="Calibri" w:hAnsi="Calibri"/>
        <w:sz w:val="21"/>
      </w:rPr>
    </w:pPr>
    <w:r>
      <w:rPr>
        <w:rFonts w:ascii="Calibri" w:hAnsi="Calibri"/>
        <w:sz w:val="21"/>
      </w:rPr>
      <w:fldChar w:fldCharType="begin"/>
    </w:r>
    <w:r>
      <w:rPr>
        <w:rStyle w:val="24"/>
        <w:rFonts w:ascii="Calibri" w:hAnsi="Calibri"/>
        <w:sz w:val="21"/>
      </w:rPr>
      <w:instrText xml:space="preserve">PAGE  </w:instrText>
    </w:r>
    <w:r>
      <w:rPr>
        <w:rFonts w:ascii="Calibri" w:hAnsi="Calibri"/>
        <w:sz w:val="21"/>
      </w:rPr>
      <w:fldChar w:fldCharType="separate"/>
    </w:r>
    <w:r>
      <w:rPr>
        <w:rStyle w:val="24"/>
        <w:rFonts w:ascii="Calibri" w:hAnsi="Calibri"/>
        <w:sz w:val="21"/>
      </w:rPr>
      <w:t>0</w:t>
    </w:r>
    <w:r>
      <w:rPr>
        <w:rFonts w:ascii="Calibri" w:hAnsi="Calibri"/>
        <w:sz w:val="21"/>
      </w:rPr>
      <w:fldChar w:fldCharType="end"/>
    </w:r>
  </w:p>
  <w:p>
    <w:pPr>
      <w:pStyle w:val="16"/>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jc w:val="both"/>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Calibri" w:hAnsi="Calibr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16"/>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0"/>
        <w:tab w:val="clear" w:pos="4153"/>
      </w:tabs>
      <w:rPr>
        <w:rFonts w:ascii="Calibri" w:hAnsi="Calibri"/>
      </w:rPr>
    </w:pPr>
    <w:r>
      <w:rPr>
        <w:rFonts w:hint="eastAsia" w:ascii="Calibri" w:hAnsi="Calibri"/>
      </w:rPr>
      <w:t>南宁市政府采购竞争性磋商采购文件（项目编号：NNZC2021-C3--KLZB）</w:t>
    </w:r>
  </w:p>
  <w:p>
    <w:pPr>
      <w:pStyle w:val="17"/>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0"/>
        <w:tab w:val="clear" w:pos="4153"/>
      </w:tabs>
    </w:pPr>
    <w:r>
      <w:rPr>
        <w:vanish/>
        <w:highlight w:val="yellow"/>
      </w:rPr>
      <w:t>&gt;</w:t>
    </w:r>
  </w:p>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0F31"/>
    <w:multiLevelType w:val="singleLevel"/>
    <w:tmpl w:val="E9290F31"/>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44B67FBC"/>
    <w:multiLevelType w:val="singleLevel"/>
    <w:tmpl w:val="44B67FBC"/>
    <w:lvl w:ilvl="0" w:tentative="0">
      <w:start w:val="1"/>
      <w:numFmt w:val="decimal"/>
      <w:pStyle w:val="8"/>
      <w:lvlText w:val="%1."/>
      <w:lvlJc w:val="left"/>
      <w:pPr>
        <w:tabs>
          <w:tab w:val="left" w:pos="360"/>
        </w:tabs>
        <w:ind w:left="36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2U5ZGE5MjdkNjI3MTE3Yjc0ODhiMGJiOTA4YTMifQ=="/>
  </w:docVars>
  <w:rsids>
    <w:rsidRoot w:val="12C57D85"/>
    <w:rsid w:val="0181047D"/>
    <w:rsid w:val="0ED85523"/>
    <w:rsid w:val="12C57D85"/>
    <w:rsid w:val="19F31707"/>
    <w:rsid w:val="22B157A9"/>
    <w:rsid w:val="25036B24"/>
    <w:rsid w:val="29050510"/>
    <w:rsid w:val="2C305024"/>
    <w:rsid w:val="2C9D56C9"/>
    <w:rsid w:val="30A37B08"/>
    <w:rsid w:val="33E03ED7"/>
    <w:rsid w:val="36490190"/>
    <w:rsid w:val="3DD70350"/>
    <w:rsid w:val="3EB23A46"/>
    <w:rsid w:val="42FE0DE9"/>
    <w:rsid w:val="443F3641"/>
    <w:rsid w:val="475A4918"/>
    <w:rsid w:val="50564E31"/>
    <w:rsid w:val="527F4096"/>
    <w:rsid w:val="52C003FF"/>
    <w:rsid w:val="5D294603"/>
    <w:rsid w:val="613579BA"/>
    <w:rsid w:val="69205E3C"/>
    <w:rsid w:val="7505454F"/>
    <w:rsid w:val="7C2C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9"/>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23">
    <w:name w:val="Default Paragraph Font"/>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beforeAutospacing="0" w:after="60" w:afterLines="0" w:afterAutospacing="0"/>
      <w:ind w:firstLine="0" w:firstLineChars="0"/>
      <w:jc w:val="center"/>
      <w:outlineLvl w:val="0"/>
    </w:pPr>
    <w:rPr>
      <w:rFonts w:ascii="Times New Roman" w:hAnsi="Times New Roman" w:eastAsia="方正小标宋简体"/>
      <w:sz w:val="44"/>
    </w:rPr>
  </w:style>
  <w:style w:type="paragraph" w:styleId="7">
    <w:name w:val="index 8"/>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List Number"/>
    <w:basedOn w:val="1"/>
    <w:autoRedefine/>
    <w:qFormat/>
    <w:uiPriority w:val="0"/>
    <w:pPr>
      <w:numPr>
        <w:ilvl w:val="0"/>
        <w:numId w:val="1"/>
      </w:numPr>
    </w:pPr>
  </w:style>
  <w:style w:type="paragraph" w:styleId="9">
    <w:name w:val="Normal Indent"/>
    <w:basedOn w:val="1"/>
    <w:autoRedefine/>
    <w:qFormat/>
    <w:uiPriority w:val="99"/>
    <w:pPr>
      <w:ind w:firstLine="420"/>
    </w:pPr>
    <w:rPr>
      <w:szCs w:val="20"/>
    </w:rPr>
  </w:style>
  <w:style w:type="paragraph" w:styleId="10">
    <w:name w:val="annotation text"/>
    <w:basedOn w:val="1"/>
    <w:autoRedefine/>
    <w:qFormat/>
    <w:uiPriority w:val="99"/>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next w:val="1"/>
    <w:autoRedefine/>
    <w:unhideWhenUsed/>
    <w:qFormat/>
    <w:uiPriority w:val="0"/>
    <w:pPr>
      <w:spacing w:after="120"/>
    </w:pPr>
  </w:style>
  <w:style w:type="paragraph" w:styleId="13">
    <w:name w:val="Body Text Indent"/>
    <w:basedOn w:val="1"/>
    <w:autoRedefine/>
    <w:qFormat/>
    <w:uiPriority w:val="99"/>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next w:val="6"/>
    <w:autoRedefine/>
    <w:qFormat/>
    <w:uiPriority w:val="0"/>
    <w:pPr>
      <w:widowControl w:val="0"/>
      <w:jc w:val="both"/>
    </w:pPr>
    <w:rPr>
      <w:rFonts w:ascii="宋体" w:hAnsi="Courier New" w:eastAsia="宋体" w:cs="Times New Roman"/>
      <w:kern w:val="0"/>
      <w:sz w:val="20"/>
      <w:szCs w:val="21"/>
      <w:lang w:val="en-US" w:eastAsia="zh-CN" w:bidi="ar-SA"/>
    </w:rPr>
  </w:style>
  <w:style w:type="paragraph" w:styleId="16">
    <w:name w:val="footer"/>
    <w:basedOn w:val="1"/>
    <w:next w:val="1"/>
    <w:autoRedefine/>
    <w:unhideWhenUsed/>
    <w:qFormat/>
    <w:uiPriority w:val="99"/>
    <w:pPr>
      <w:tabs>
        <w:tab w:val="center" w:pos="4153"/>
        <w:tab w:val="right" w:pos="8306"/>
      </w:tabs>
      <w:snapToGrid w:val="0"/>
      <w:jc w:val="left"/>
    </w:pPr>
    <w:rPr>
      <w:kern w:val="0"/>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style>
  <w:style w:type="paragraph" w:styleId="19">
    <w:name w:val="List"/>
    <w:basedOn w:val="1"/>
    <w:autoRedefine/>
    <w:unhideWhenUsed/>
    <w:qFormat/>
    <w:uiPriority w:val="99"/>
    <w:pPr>
      <w:ind w:left="200" w:hanging="200" w:hangingChars="200"/>
      <w:contextualSpacing/>
    </w:pPr>
  </w:style>
  <w:style w:type="paragraph" w:styleId="20">
    <w:name w:val="toc 2"/>
    <w:basedOn w:val="1"/>
    <w:next w:val="1"/>
    <w:autoRedefine/>
    <w:unhideWhenUsed/>
    <w:qFormat/>
    <w:uiPriority w:val="39"/>
    <w:pPr>
      <w:tabs>
        <w:tab w:val="right" w:leader="dot" w:pos="8296"/>
      </w:tabs>
      <w:ind w:left="420" w:leftChars="200"/>
    </w:pPr>
  </w:style>
  <w:style w:type="paragraph" w:styleId="21">
    <w:name w:val="Body Text First Indent 2"/>
    <w:basedOn w:val="13"/>
    <w:next w:val="1"/>
    <w:autoRedefine/>
    <w:qFormat/>
    <w:uiPriority w:val="99"/>
    <w:pPr>
      <w:autoSpaceDE w:val="0"/>
      <w:autoSpaceDN w:val="0"/>
      <w:spacing w:after="120" w:line="360" w:lineRule="auto"/>
      <w:ind w:left="420" w:leftChars="200" w:firstLine="420" w:firstLineChars="200"/>
    </w:pPr>
    <w:rPr>
      <w:sz w:val="21"/>
      <w:szCs w:val="24"/>
    </w:rPr>
  </w:style>
  <w:style w:type="character" w:styleId="24">
    <w:name w:val="page number"/>
    <w:autoRedefine/>
    <w:qFormat/>
    <w:uiPriority w:val="0"/>
  </w:style>
  <w:style w:type="character" w:styleId="25">
    <w:name w:val="FollowedHyperlink"/>
    <w:autoRedefine/>
    <w:unhideWhenUsed/>
    <w:qFormat/>
    <w:uiPriority w:val="99"/>
    <w:rPr>
      <w:color w:val="800080"/>
      <w:u w:val="single"/>
    </w:rPr>
  </w:style>
  <w:style w:type="character" w:styleId="26">
    <w:name w:val="Hyperlink"/>
    <w:autoRedefine/>
    <w:unhideWhenUsed/>
    <w:qFormat/>
    <w:uiPriority w:val="99"/>
    <w:rPr>
      <w:color w:val="0000FF"/>
      <w:u w:val="single"/>
    </w:rPr>
  </w:style>
  <w:style w:type="paragraph" w:customStyle="1" w:styleId="2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28">
    <w:name w:val="正文 首行缩进:  2 字符"/>
    <w:basedOn w:val="1"/>
    <w:autoRedefine/>
    <w:qFormat/>
    <w:uiPriority w:val="0"/>
    <w:pPr>
      <w:spacing w:line="360" w:lineRule="auto"/>
      <w:ind w:firstLine="200" w:firstLineChars="200"/>
    </w:pPr>
    <w:rPr>
      <w:rFonts w:cs="宋体"/>
      <w:sz w:val="24"/>
      <w:szCs w:val="20"/>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0</Words>
  <Characters>0</Characters>
  <Lines>0</Lines>
  <Paragraphs>0</Paragraphs>
  <TotalTime>34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2025-10-26T05:40:00Z</dcterms:created>
  <dc:creator>农民工工作科-陆艳梅</dc:creator>
  <cp:lastModifiedBy>欧明聪</cp:lastModifiedBy>
  <dcterms:modified xsi:type="dcterms:W3CDTF">2025-11-03T02:58:11Z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450E2B1E208A44FC97FD5FED22A5A227_13</vt:lpwstr>
  </property>
</Properties>
</file>